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jpeg" ContentType="image/jpeg"/>
  <Override PartName="/word/footer1.xml" ContentType="application/vnd.openxmlformats-officedocument.wordprocessingml.footer+xml"/>
  <Default Extension="png" ContentType="image/png"/>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BodyText"/>
        <w:ind w:left="0"/>
        <w:jc w:val="left"/>
        <w:rPr>
          <w:sz w:val="20"/>
        </w:rPr>
      </w:pPr>
      <w:r>
        <w:rPr/>
        <w:pict>
          <v:shapetype id="_x0000_t202" o:spt="202" coordsize="21600,21600" path="m,l,21600r21600,l21600,xe">
            <v:stroke joinstyle="miter"/>
            <v:path gradientshapeok="t" o:connecttype="rect"/>
          </v:shapetype>
          <v:shape style="position:absolute;margin-left:42.599998pt;margin-top:57.568748pt;width:489pt;height:767.8pt;mso-position-horizontal-relative:page;mso-position-vertical-relative:page;z-index:-22279680" type="#_x0000_t202" filled="false" stroked="false">
            <v:textbox inset="0,0,0,0">
              <w:txbxContent>
                <w:p>
                  <w:pPr>
                    <w:spacing w:line="311" w:lineRule="exact" w:before="0"/>
                    <w:ind w:left="0" w:right="0" w:firstLine="0"/>
                    <w:jc w:val="left"/>
                    <w:rPr>
                      <w:sz w:val="28"/>
                    </w:rPr>
                  </w:pPr>
                  <w:r>
                    <w:rPr>
                      <w:w w:val="100"/>
                      <w:sz w:val="28"/>
                    </w:rPr>
                    <w:t>2</w:t>
                  </w:r>
                </w:p>
                <w:p>
                  <w:pPr>
                    <w:spacing w:before="26"/>
                    <w:ind w:left="0" w:right="0" w:firstLine="0"/>
                    <w:jc w:val="left"/>
                    <w:rPr>
                      <w:sz w:val="28"/>
                    </w:rPr>
                  </w:pPr>
                  <w:r>
                    <w:rPr>
                      <w:w w:val="100"/>
                      <w:sz w:val="28"/>
                    </w:rPr>
                    <w:t>2</w:t>
                  </w:r>
                </w:p>
                <w:p>
                  <w:pPr>
                    <w:spacing w:before="26"/>
                    <w:ind w:left="0" w:right="0" w:firstLine="0"/>
                    <w:jc w:val="left"/>
                    <w:rPr>
                      <w:sz w:val="28"/>
                    </w:rPr>
                  </w:pPr>
                  <w:r>
                    <w:rPr>
                      <w:w w:val="100"/>
                      <w:sz w:val="28"/>
                    </w:rPr>
                    <w:t>3</w:t>
                  </w: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ind w:left="0"/>
                    <w:jc w:val="left"/>
                    <w:rPr>
                      <w:sz w:val="30"/>
                    </w:rPr>
                  </w:pPr>
                </w:p>
                <w:p>
                  <w:pPr>
                    <w:pStyle w:val="BodyText"/>
                    <w:spacing w:before="9"/>
                    <w:ind w:left="0"/>
                    <w:jc w:val="left"/>
                    <w:rPr>
                      <w:sz w:val="27"/>
                    </w:rPr>
                  </w:pPr>
                </w:p>
                <w:p>
                  <w:pPr>
                    <w:spacing w:before="0"/>
                    <w:ind w:left="843" w:right="0" w:firstLine="0"/>
                    <w:jc w:val="center"/>
                    <w:rPr>
                      <w:sz w:val="22"/>
                    </w:rPr>
                  </w:pPr>
                  <w:r>
                    <w:rPr>
                      <w:w w:val="100"/>
                      <w:sz w:val="22"/>
                    </w:rPr>
                    <w:t>1</w:t>
                  </w:r>
                </w:p>
                <w:p>
                  <w:pPr>
                    <w:spacing w:before="93"/>
                    <w:ind w:left="7934" w:right="0" w:firstLine="0"/>
                    <w:jc w:val="center"/>
                    <w:rPr>
                      <w:sz w:val="20"/>
                    </w:rPr>
                  </w:pPr>
                  <w:r>
                    <w:rPr>
                      <w:color w:val="FFFFFF"/>
                      <w:sz w:val="20"/>
                    </w:rPr>
                    <w:t>Версия 9 (26.10.2020)</w:t>
                  </w:r>
                </w:p>
              </w:txbxContent>
            </v:textbox>
            <w10:wrap type="none"/>
          </v:shape>
        </w:pict>
      </w:r>
      <w:r>
        <w:rPr/>
        <w:pict>
          <v:group style="position:absolute;margin-left:0pt;margin-top:.999978pt;width:593.6pt;height:840pt;mso-position-horizontal-relative:page;mso-position-vertical-relative:page;z-index:-22279168" coordorigin="0,20" coordsize="11872,16800">
            <v:rect style="position:absolute;left:8786;top:16276;width:1846;height:233" filled="true" fillcolor="#00008a" stroked="false">
              <v:fill type="solid"/>
            </v:rect>
            <v:shape style="position:absolute;left:0;top:20;width:11872;height:16800" type="#_x0000_t75" stroked="false">
              <v:imagedata r:id="rId5" o:title=""/>
            </v:shape>
            <v:shape style="position:absolute;left:1065;top:13993;width:5043;height:1755" type="#_x0000_t75" stroked="false">
              <v:imagedata r:id="rId6" o:title=""/>
            </v:shape>
            <w10:wrap type="none"/>
          </v:group>
        </w:pict>
      </w: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spacing w:before="2"/>
        <w:ind w:left="0"/>
        <w:jc w:val="left"/>
        <w:rPr>
          <w:sz w:val="29"/>
        </w:rPr>
      </w:pPr>
    </w:p>
    <w:p>
      <w:pPr>
        <w:pStyle w:val="Heading1"/>
      </w:pPr>
      <w:r>
        <w:rPr>
          <w:color w:val="FFFFFF"/>
        </w:rPr>
        <w:t>Версия 9 (26.10.2020)</w:t>
      </w:r>
    </w:p>
    <w:p>
      <w:pPr>
        <w:spacing w:after="0"/>
        <w:sectPr>
          <w:type w:val="continuous"/>
          <w:pgSz w:w="11920" w:h="16850"/>
          <w:pgMar w:top="1600" w:bottom="280" w:left="1380" w:right="600"/>
        </w:sectPr>
      </w:pPr>
    </w:p>
    <w:p>
      <w:pPr>
        <w:pStyle w:val="Heading3"/>
        <w:spacing w:before="78"/>
        <w:ind w:left="112" w:right="678"/>
        <w:jc w:val="right"/>
      </w:pPr>
      <w:bookmarkStart w:name="УТВЕРЖДАЮ" w:id="1"/>
      <w:bookmarkEnd w:id="1"/>
      <w:r>
        <w:rPr>
          <w:b w:val="0"/>
        </w:rPr>
      </w:r>
      <w:r>
        <w:rPr>
          <w:color w:val="1F487C"/>
          <w:spacing w:val="-1"/>
        </w:rPr>
        <w:t>УТВЕРЖДАЮ</w:t>
      </w:r>
    </w:p>
    <w:p>
      <w:pPr>
        <w:pStyle w:val="BodyText"/>
        <w:spacing w:before="31"/>
        <w:ind w:left="112" w:right="674"/>
        <w:jc w:val="right"/>
      </w:pPr>
      <w:r>
        <w:rPr/>
        <w:t>Заместитель Министра</w:t>
      </w:r>
      <w:r>
        <w:rPr>
          <w:spacing w:val="-10"/>
        </w:rPr>
        <w:t> </w:t>
      </w:r>
      <w:r>
        <w:rPr/>
        <w:t>здравоохранения</w:t>
      </w:r>
    </w:p>
    <w:p>
      <w:pPr>
        <w:pStyle w:val="BodyText"/>
        <w:spacing w:before="111"/>
        <w:ind w:left="112" w:right="675"/>
        <w:jc w:val="right"/>
      </w:pPr>
      <w:r>
        <w:rPr/>
        <w:pict>
          <v:shape style="position:absolute;margin-left:412.231445pt;margin-top:6.585752pt;width:42.65pt;height:56.3pt;mso-position-horizontal-relative:page;mso-position-vertical-relative:paragraph;z-index:-22278656" coordorigin="8245,132" coordsize="853,1126" path="m8406,1018l8432,970,8474,919,8560,831,8719,677,8803,591,8871,513,8925,441,8964,375,8989,317,9000,265,8998,219,8984,180,8957,148,8908,132,8858,158,8808,215,8763,289,8725,369,8700,426,8670,494,8636,571,8601,655,8566,743,8533,831,8505,917,8484,998,8450,1127,8416,1206,8383,1246,8354,1257,8320,1242,8281,1194,8252,1113,8245,996,8257,881,8274,806,8291,764,8304,752,8312,783,8323,861,8337,963,8353,1065,8369,1143,8385,1174,8425,1164,8451,1142,8469,1121,8489,1111,8505,1116,8514,1128,8521,1139,8531,1145,8546,1138,8560,1123,8574,1108,8588,1102,8600,1107,8612,1118,8622,1129,8633,1134,8648,1134,8651,1108,8663,1108,8673,1112,8685,1120,8698,1129,8784,1087,8849,1037,8920,975,8987,906,9041,834,9087,745,9098,685,9086,646,9063,622,9037,608,8993,605,8938,630,8879,700,8832,796,8808,883,8799,957,8799,1062,8807,1147,8824,1162,8855,1145,8894,1109,8931,1078,8954,1076,8950,1108,8922,1152,8882,1196,8846,1227e" filled="false" stroked="true" strokeweight=".75168pt" strokecolor="#1568b0">
            <v:path arrowok="t"/>
            <v:stroke dashstyle="solid"/>
            <w10:wrap type="none"/>
          </v:shape>
        </w:pict>
      </w:r>
      <w:r>
        <w:rPr/>
        <w:t>Российской Федерации</w:t>
      </w:r>
    </w:p>
    <w:p>
      <w:pPr>
        <w:pStyle w:val="BodyText"/>
        <w:spacing w:before="110"/>
        <w:ind w:left="112" w:right="678"/>
        <w:jc w:val="right"/>
      </w:pPr>
      <w:r>
        <w:rPr/>
        <w:t>Е.Г.</w:t>
      </w:r>
      <w:r>
        <w:rPr>
          <w:spacing w:val="-1"/>
        </w:rPr>
        <w:t> </w:t>
      </w:r>
      <w:r>
        <w:rPr/>
        <w:t>Камкин</w:t>
      </w:r>
    </w:p>
    <w:p>
      <w:pPr>
        <w:pStyle w:val="BodyText"/>
        <w:ind w:left="0"/>
        <w:jc w:val="left"/>
        <w:rPr>
          <w:sz w:val="26"/>
        </w:rPr>
      </w:pPr>
    </w:p>
    <w:p>
      <w:pPr>
        <w:pStyle w:val="BodyText"/>
        <w:ind w:left="0"/>
        <w:jc w:val="left"/>
        <w:rPr>
          <w:sz w:val="26"/>
        </w:rPr>
      </w:pPr>
    </w:p>
    <w:p>
      <w:pPr>
        <w:pStyle w:val="BodyText"/>
        <w:ind w:left="0"/>
        <w:jc w:val="left"/>
        <w:rPr>
          <w:sz w:val="26"/>
        </w:rPr>
      </w:pPr>
    </w:p>
    <w:p>
      <w:pPr>
        <w:pStyle w:val="BodyText"/>
        <w:ind w:left="0"/>
        <w:jc w:val="left"/>
        <w:rPr>
          <w:sz w:val="26"/>
        </w:rPr>
      </w:pPr>
    </w:p>
    <w:p>
      <w:pPr>
        <w:pStyle w:val="BodyText"/>
        <w:ind w:left="0"/>
        <w:jc w:val="left"/>
        <w:rPr>
          <w:sz w:val="26"/>
        </w:rPr>
      </w:pPr>
    </w:p>
    <w:p>
      <w:pPr>
        <w:pStyle w:val="BodyText"/>
        <w:ind w:left="0"/>
        <w:jc w:val="left"/>
        <w:rPr>
          <w:sz w:val="26"/>
        </w:rPr>
      </w:pPr>
    </w:p>
    <w:p>
      <w:pPr>
        <w:pStyle w:val="BodyText"/>
        <w:ind w:left="0"/>
        <w:jc w:val="left"/>
        <w:rPr>
          <w:sz w:val="26"/>
        </w:rPr>
      </w:pPr>
    </w:p>
    <w:p>
      <w:pPr>
        <w:pStyle w:val="BodyText"/>
        <w:ind w:left="0"/>
        <w:jc w:val="left"/>
        <w:rPr>
          <w:sz w:val="26"/>
        </w:rPr>
      </w:pPr>
    </w:p>
    <w:p>
      <w:pPr>
        <w:pStyle w:val="BodyText"/>
        <w:ind w:left="0"/>
        <w:jc w:val="left"/>
        <w:rPr>
          <w:sz w:val="26"/>
        </w:rPr>
      </w:pPr>
    </w:p>
    <w:p>
      <w:pPr>
        <w:pStyle w:val="Title"/>
        <w:spacing w:line="328" w:lineRule="auto"/>
      </w:pPr>
      <w:r>
        <w:rPr/>
        <w:t>ВРЕМЕННЫЕ МЕТОДИЧЕСКИЕ РЕКОМЕНДАЦИИ</w:t>
      </w:r>
    </w:p>
    <w:p>
      <w:pPr>
        <w:spacing w:before="460"/>
        <w:ind w:left="1881" w:right="0" w:firstLine="0"/>
        <w:jc w:val="left"/>
        <w:rPr>
          <w:sz w:val="36"/>
        </w:rPr>
      </w:pPr>
      <w:r>
        <w:rPr>
          <w:sz w:val="36"/>
        </w:rPr>
        <w:t>ПРОФИЛАКТИКА, ДИАГНОСТИКА</w:t>
      </w:r>
    </w:p>
    <w:p>
      <w:pPr>
        <w:spacing w:line="333" w:lineRule="auto" w:before="157"/>
        <w:ind w:left="1881" w:right="1115" w:firstLine="0"/>
        <w:jc w:val="left"/>
        <w:rPr>
          <w:sz w:val="36"/>
        </w:rPr>
      </w:pPr>
      <w:r>
        <w:rPr>
          <w:sz w:val="36"/>
        </w:rPr>
        <w:t>И ЛЕЧЕНИЕ НОВОЙ КОРОНАВИРУСНОЙ ИНФЕКЦИИ (COVID-19)</w:t>
      </w:r>
    </w:p>
    <w:p>
      <w:pPr>
        <w:spacing w:after="0" w:line="333" w:lineRule="auto"/>
        <w:jc w:val="left"/>
        <w:rPr>
          <w:sz w:val="36"/>
        </w:rPr>
        <w:sectPr>
          <w:footerReference w:type="default" r:id="rId7"/>
          <w:pgSz w:w="11920" w:h="16850"/>
          <w:pgMar w:footer="620" w:header="0" w:top="1060" w:bottom="800" w:left="1380" w:right="600"/>
          <w:pgNumType w:start="2"/>
        </w:sectPr>
      </w:pPr>
    </w:p>
    <w:p>
      <w:pPr>
        <w:spacing w:before="60"/>
        <w:ind w:left="604" w:right="0" w:firstLine="0"/>
        <w:jc w:val="left"/>
        <w:rPr>
          <w:b/>
          <w:sz w:val="32"/>
        </w:rPr>
      </w:pPr>
      <w:bookmarkStart w:name="ОГЛАВЛЕНИЕ" w:id="2"/>
      <w:bookmarkEnd w:id="2"/>
      <w:r>
        <w:rPr/>
      </w:r>
      <w:r>
        <w:rPr>
          <w:b/>
          <w:color w:val="2D74B5"/>
          <w:sz w:val="32"/>
        </w:rPr>
        <w:t>ОГЛАВЛЕНИЕ</w:t>
      </w:r>
    </w:p>
    <w:p>
      <w:pPr>
        <w:spacing w:after="0"/>
        <w:jc w:val="left"/>
        <w:rPr>
          <w:sz w:val="32"/>
        </w:rPr>
        <w:sectPr>
          <w:pgSz w:w="11920" w:h="16850"/>
          <w:pgMar w:header="0" w:footer="620" w:top="1080" w:bottom="1594" w:left="1380" w:right="600"/>
        </w:sectPr>
      </w:pPr>
    </w:p>
    <w:sdt>
      <w:sdtPr>
        <w:docPartObj>
          <w:docPartGallery w:val="Table of Contents"/>
          <w:docPartUnique/>
        </w:docPartObj>
      </w:sdtPr>
      <w:sdtEndPr/>
      <w:sdtContent>
        <w:p>
          <w:pPr>
            <w:pStyle w:val="TOC1"/>
            <w:tabs>
              <w:tab w:pos="9081" w:val="left" w:leader="dot"/>
            </w:tabs>
            <w:spacing w:before="614"/>
            <w:ind w:left="604" w:firstLine="0"/>
          </w:pPr>
          <w:hyperlink w:history="true" w:anchor="_bookmark0">
            <w:r>
              <w:rPr>
                <w:color w:val="2D74B5"/>
              </w:rPr>
              <w:t>ВВЕДЕНИЕ</w:t>
              <w:tab/>
              <w:t>6</w:t>
            </w:r>
          </w:hyperlink>
        </w:p>
        <w:p>
          <w:pPr>
            <w:pStyle w:val="TOC1"/>
            <w:numPr>
              <w:ilvl w:val="0"/>
              <w:numId w:val="1"/>
            </w:numPr>
            <w:tabs>
              <w:tab w:pos="896" w:val="left" w:leader="none"/>
              <w:tab w:pos="9081" w:val="left" w:leader="dot"/>
            </w:tabs>
            <w:spacing w:line="240" w:lineRule="auto" w:before="109" w:after="0"/>
            <w:ind w:left="895" w:right="0" w:hanging="292"/>
            <w:jc w:val="left"/>
          </w:pPr>
          <w:hyperlink w:history="true" w:anchor="_bookmark1">
            <w:r>
              <w:rPr>
                <w:color w:val="2D74B5"/>
              </w:rPr>
              <w:t>ЭТИОЛОГИЯ, ПАТОГЕНЕЗ</w:t>
            </w:r>
            <w:r>
              <w:rPr>
                <w:color w:val="2D74B5"/>
                <w:spacing w:val="-9"/>
              </w:rPr>
              <w:t> </w:t>
            </w:r>
            <w:r>
              <w:rPr>
                <w:color w:val="2D74B5"/>
              </w:rPr>
              <w:t>И</w:t>
            </w:r>
            <w:r>
              <w:rPr>
                <w:color w:val="2D74B5"/>
                <w:spacing w:val="-4"/>
              </w:rPr>
              <w:t> </w:t>
            </w:r>
            <w:r>
              <w:rPr>
                <w:color w:val="2D74B5"/>
              </w:rPr>
              <w:t>ПАТОМОРФОЛОГИЯ</w:t>
              <w:tab/>
              <w:t>7</w:t>
            </w:r>
          </w:hyperlink>
        </w:p>
        <w:p>
          <w:pPr>
            <w:pStyle w:val="TOC1"/>
            <w:numPr>
              <w:ilvl w:val="0"/>
              <w:numId w:val="1"/>
            </w:numPr>
            <w:tabs>
              <w:tab w:pos="924" w:val="left" w:leader="none"/>
              <w:tab w:pos="8923" w:val="left" w:leader="dot"/>
            </w:tabs>
            <w:spacing w:line="240" w:lineRule="auto" w:before="112" w:after="0"/>
            <w:ind w:left="924" w:right="0" w:hanging="320"/>
            <w:jc w:val="left"/>
          </w:pPr>
          <w:hyperlink w:history="true" w:anchor="_bookmark2">
            <w:r>
              <w:rPr>
                <w:color w:val="2D74B5"/>
              </w:rPr>
              <w:t>ЭПИДЕМИОЛОГИЧЕСКАЯ</w:t>
            </w:r>
            <w:r>
              <w:rPr>
                <w:color w:val="2D74B5"/>
                <w:spacing w:val="-5"/>
              </w:rPr>
              <w:t> </w:t>
            </w:r>
            <w:r>
              <w:rPr>
                <w:color w:val="2D74B5"/>
              </w:rPr>
              <w:t>ХАРАКТЕРИСТИКА</w:t>
              <w:tab/>
              <w:t>13</w:t>
            </w:r>
          </w:hyperlink>
        </w:p>
        <w:p>
          <w:pPr>
            <w:pStyle w:val="TOC1"/>
            <w:numPr>
              <w:ilvl w:val="0"/>
              <w:numId w:val="1"/>
            </w:numPr>
            <w:tabs>
              <w:tab w:pos="924" w:val="left" w:leader="none"/>
              <w:tab w:pos="8923" w:val="left" w:leader="dot"/>
            </w:tabs>
            <w:spacing w:line="240" w:lineRule="auto" w:before="110" w:after="0"/>
            <w:ind w:left="924" w:right="0" w:hanging="320"/>
            <w:jc w:val="left"/>
          </w:pPr>
          <w:hyperlink w:history="true" w:anchor="_bookmark3">
            <w:r>
              <w:rPr>
                <w:color w:val="2D74B5"/>
              </w:rPr>
              <w:t>КЛИНИЧЕСКИЕ</w:t>
            </w:r>
            <w:r>
              <w:rPr>
                <w:color w:val="2D74B5"/>
                <w:spacing w:val="-5"/>
              </w:rPr>
              <w:t> </w:t>
            </w:r>
            <w:r>
              <w:rPr>
                <w:color w:val="2D74B5"/>
              </w:rPr>
              <w:t>ОСОБЕННОСТИ</w:t>
              <w:tab/>
              <w:t>15</w:t>
            </w:r>
          </w:hyperlink>
        </w:p>
        <w:p>
          <w:pPr>
            <w:pStyle w:val="TOC1"/>
            <w:numPr>
              <w:ilvl w:val="0"/>
              <w:numId w:val="1"/>
            </w:numPr>
            <w:tabs>
              <w:tab w:pos="924" w:val="left" w:leader="none"/>
              <w:tab w:pos="8923" w:val="left" w:leader="dot"/>
            </w:tabs>
            <w:spacing w:line="240" w:lineRule="auto" w:before="110" w:after="0"/>
            <w:ind w:left="924" w:right="0" w:hanging="320"/>
            <w:jc w:val="left"/>
          </w:pPr>
          <w:hyperlink w:history="true" w:anchor="_bookmark4">
            <w:r>
              <w:rPr>
                <w:color w:val="2D74B5"/>
              </w:rPr>
              <w:t>ДИАГНОСТИКА</w:t>
            </w:r>
            <w:r>
              <w:rPr>
                <w:color w:val="2D74B5"/>
                <w:spacing w:val="-7"/>
              </w:rPr>
              <w:t> </w:t>
            </w:r>
            <w:r>
              <w:rPr>
                <w:color w:val="2D74B5"/>
              </w:rPr>
              <w:t>КОРОНАВИРУСНОЙ</w:t>
            </w:r>
            <w:r>
              <w:rPr>
                <w:color w:val="2D74B5"/>
                <w:spacing w:val="-5"/>
              </w:rPr>
              <w:t> </w:t>
            </w:r>
            <w:r>
              <w:rPr>
                <w:color w:val="2D74B5"/>
              </w:rPr>
              <w:t>ИНФЕКЦИИ</w:t>
              <w:tab/>
              <w:t>20</w:t>
            </w:r>
          </w:hyperlink>
        </w:p>
        <w:p>
          <w:pPr>
            <w:pStyle w:val="TOC2"/>
            <w:numPr>
              <w:ilvl w:val="1"/>
              <w:numId w:val="1"/>
            </w:numPr>
            <w:tabs>
              <w:tab w:pos="1841" w:val="left" w:leader="none"/>
            </w:tabs>
            <w:spacing w:line="240" w:lineRule="auto" w:before="109" w:after="0"/>
            <w:ind w:left="1840" w:right="0" w:hanging="560"/>
            <w:jc w:val="left"/>
          </w:pPr>
          <w:hyperlink w:history="true" w:anchor="_bookmark5">
            <w:r>
              <w:rPr/>
              <w:t>Алгоритм обследования пациента с</w:t>
            </w:r>
            <w:r>
              <w:rPr>
                <w:spacing w:val="-5"/>
              </w:rPr>
              <w:t> </w:t>
            </w:r>
            <w:r>
              <w:rPr/>
              <w:t>подозрением</w:t>
            </w:r>
          </w:hyperlink>
        </w:p>
        <w:p>
          <w:pPr>
            <w:pStyle w:val="TOC2"/>
            <w:tabs>
              <w:tab w:pos="8923" w:val="left" w:leader="dot"/>
            </w:tabs>
            <w:spacing w:before="31"/>
            <w:ind w:firstLine="0"/>
          </w:pPr>
          <w:hyperlink w:history="true" w:anchor="_bookmark5">
            <w:r>
              <w:rPr/>
              <w:t>на</w:t>
            </w:r>
            <w:r>
              <w:rPr>
                <w:spacing w:val="-2"/>
              </w:rPr>
              <w:t> </w:t>
            </w:r>
            <w:r>
              <w:rPr/>
              <w:t>COVID-19</w:t>
              <w:tab/>
              <w:t>20</w:t>
            </w:r>
          </w:hyperlink>
        </w:p>
        <w:p>
          <w:pPr>
            <w:pStyle w:val="TOC2"/>
            <w:numPr>
              <w:ilvl w:val="1"/>
              <w:numId w:val="1"/>
            </w:numPr>
            <w:tabs>
              <w:tab w:pos="1841" w:val="left" w:leader="none"/>
              <w:tab w:pos="8922" w:val="left" w:leader="dot"/>
            </w:tabs>
            <w:spacing w:line="240" w:lineRule="auto" w:before="138" w:after="0"/>
            <w:ind w:left="1840" w:right="0" w:hanging="560"/>
            <w:jc w:val="left"/>
          </w:pPr>
          <w:hyperlink w:history="true" w:anchor="_bookmark6">
            <w:r>
              <w:rPr/>
              <w:t>Лабораторная</w:t>
            </w:r>
            <w:r>
              <w:rPr>
                <w:spacing w:val="-5"/>
              </w:rPr>
              <w:t> </w:t>
            </w:r>
            <w:r>
              <w:rPr/>
              <w:t>диагностика</w:t>
            </w:r>
            <w:r>
              <w:rPr>
                <w:spacing w:val="-4"/>
              </w:rPr>
              <w:t> </w:t>
            </w:r>
            <w:r>
              <w:rPr/>
              <w:t>COVID-19</w:t>
              <w:tab/>
              <w:t>29</w:t>
            </w:r>
          </w:hyperlink>
        </w:p>
        <w:p>
          <w:pPr>
            <w:pStyle w:val="TOC2"/>
            <w:numPr>
              <w:ilvl w:val="1"/>
              <w:numId w:val="1"/>
            </w:numPr>
            <w:tabs>
              <w:tab w:pos="1841" w:val="left" w:leader="none"/>
              <w:tab w:pos="8923" w:val="left" w:leader="dot"/>
            </w:tabs>
            <w:spacing w:line="240" w:lineRule="auto" w:before="139" w:after="0"/>
            <w:ind w:left="1840" w:right="0" w:hanging="560"/>
            <w:jc w:val="left"/>
          </w:pPr>
          <w:hyperlink w:history="true" w:anchor="_bookmark8">
            <w:r>
              <w:rPr/>
              <w:t>Дифференциальная</w:t>
            </w:r>
            <w:r>
              <w:rPr>
                <w:spacing w:val="-2"/>
              </w:rPr>
              <w:t> </w:t>
            </w:r>
            <w:r>
              <w:rPr/>
              <w:t>диагностика</w:t>
            </w:r>
            <w:r>
              <w:rPr>
                <w:spacing w:val="-6"/>
              </w:rPr>
              <w:t> </w:t>
            </w:r>
            <w:r>
              <w:rPr/>
              <w:t>COVID-19</w:t>
              <w:tab/>
              <w:t>37</w:t>
            </w:r>
          </w:hyperlink>
        </w:p>
        <w:p>
          <w:pPr>
            <w:pStyle w:val="TOC1"/>
            <w:numPr>
              <w:ilvl w:val="0"/>
              <w:numId w:val="1"/>
            </w:numPr>
            <w:tabs>
              <w:tab w:pos="924" w:val="left" w:leader="none"/>
              <w:tab w:pos="8923" w:val="left" w:leader="dot"/>
            </w:tabs>
            <w:spacing w:line="240" w:lineRule="auto" w:before="140" w:after="0"/>
            <w:ind w:left="924" w:right="0" w:hanging="320"/>
            <w:jc w:val="left"/>
          </w:pPr>
          <w:hyperlink w:history="true" w:anchor="_bookmark9">
            <w:r>
              <w:rPr>
                <w:color w:val="2D74B5"/>
              </w:rPr>
              <w:t>ЛЕЧЕНИЕ</w:t>
            </w:r>
            <w:r>
              <w:rPr>
                <w:color w:val="2D74B5"/>
                <w:spacing w:val="-5"/>
              </w:rPr>
              <w:t> </w:t>
            </w:r>
            <w:r>
              <w:rPr>
                <w:color w:val="2D74B5"/>
              </w:rPr>
              <w:t>КОРОНАВИРУСНОЙ</w:t>
            </w:r>
            <w:r>
              <w:rPr>
                <w:color w:val="2D74B5"/>
                <w:spacing w:val="-6"/>
              </w:rPr>
              <w:t> </w:t>
            </w:r>
            <w:r>
              <w:rPr>
                <w:color w:val="2D74B5"/>
              </w:rPr>
              <w:t>ИНФЕКЦИИ</w:t>
              <w:tab/>
              <w:t>38</w:t>
            </w:r>
          </w:hyperlink>
        </w:p>
        <w:p>
          <w:pPr>
            <w:pStyle w:val="TOC2"/>
            <w:numPr>
              <w:ilvl w:val="1"/>
              <w:numId w:val="1"/>
            </w:numPr>
            <w:tabs>
              <w:tab w:pos="1841" w:val="left" w:leader="none"/>
              <w:tab w:pos="8923" w:val="left" w:leader="dot"/>
            </w:tabs>
            <w:spacing w:line="240" w:lineRule="auto" w:before="110" w:after="0"/>
            <w:ind w:left="1840" w:right="0" w:hanging="560"/>
            <w:jc w:val="left"/>
          </w:pPr>
          <w:hyperlink w:history="true" w:anchor="_bookmark10">
            <w:r>
              <w:rPr/>
              <w:t>Этиотропное</w:t>
            </w:r>
            <w:r>
              <w:rPr>
                <w:spacing w:val="-3"/>
              </w:rPr>
              <w:t> </w:t>
            </w:r>
            <w:r>
              <w:rPr/>
              <w:t>лечение</w:t>
              <w:tab/>
              <w:t>39</w:t>
            </w:r>
          </w:hyperlink>
        </w:p>
        <w:p>
          <w:pPr>
            <w:pStyle w:val="TOC2"/>
            <w:numPr>
              <w:ilvl w:val="1"/>
              <w:numId w:val="1"/>
            </w:numPr>
            <w:tabs>
              <w:tab w:pos="1841" w:val="left" w:leader="none"/>
              <w:tab w:pos="8923" w:val="left" w:leader="dot"/>
            </w:tabs>
            <w:spacing w:line="240" w:lineRule="auto" w:before="139" w:after="0"/>
            <w:ind w:left="1840" w:right="0" w:hanging="560"/>
            <w:jc w:val="left"/>
          </w:pPr>
          <w:hyperlink w:history="true" w:anchor="_bookmark16">
            <w:r>
              <w:rPr/>
              <w:t>Патогенетическое</w:t>
            </w:r>
            <w:r>
              <w:rPr>
                <w:spacing w:val="-4"/>
              </w:rPr>
              <w:t> </w:t>
            </w:r>
            <w:r>
              <w:rPr/>
              <w:t>лечение</w:t>
              <w:tab/>
              <w:t>47</w:t>
            </w:r>
          </w:hyperlink>
        </w:p>
        <w:p>
          <w:pPr>
            <w:pStyle w:val="TOC2"/>
            <w:numPr>
              <w:ilvl w:val="1"/>
              <w:numId w:val="1"/>
            </w:numPr>
            <w:tabs>
              <w:tab w:pos="1875" w:val="left" w:leader="none"/>
              <w:tab w:pos="8961" w:val="left" w:leader="dot"/>
            </w:tabs>
            <w:spacing w:line="240" w:lineRule="auto" w:before="138" w:after="0"/>
            <w:ind w:left="1874" w:right="0" w:hanging="560"/>
            <w:jc w:val="left"/>
            <w:rPr>
              <w:sz w:val="28"/>
            </w:rPr>
          </w:pPr>
          <w:hyperlink w:history="true" w:anchor="_bookmark17">
            <w:r>
              <w:rPr/>
              <w:t>Симптоматическое</w:t>
            </w:r>
            <w:r>
              <w:rPr>
                <w:spacing w:val="-5"/>
              </w:rPr>
              <w:t> </w:t>
            </w:r>
            <w:r>
              <w:rPr/>
              <w:t>лечение</w:t>
              <w:tab/>
            </w:r>
            <w:r>
              <w:rPr>
                <w:sz w:val="28"/>
              </w:rPr>
              <w:t>57</w:t>
            </w:r>
          </w:hyperlink>
        </w:p>
        <w:p>
          <w:pPr>
            <w:pStyle w:val="TOC2"/>
            <w:numPr>
              <w:ilvl w:val="1"/>
              <w:numId w:val="1"/>
            </w:numPr>
            <w:tabs>
              <w:tab w:pos="1839" w:val="left" w:leader="none"/>
              <w:tab w:pos="8922" w:val="left" w:leader="dot"/>
            </w:tabs>
            <w:spacing w:line="259" w:lineRule="auto" w:before="129" w:after="0"/>
            <w:ind w:left="1291" w:right="684" w:hanging="12"/>
            <w:jc w:val="left"/>
          </w:pPr>
          <w:hyperlink w:history="true" w:anchor="_bookmark18">
            <w:r>
              <w:rPr/>
              <w:t>Антибактериальная терапия при осложненных</w:t>
            </w:r>
          </w:hyperlink>
          <w:hyperlink w:history="true" w:anchor="_bookmark18">
            <w:r>
              <w:rPr/>
              <w:t> формах</w:t>
            </w:r>
            <w:r>
              <w:rPr>
                <w:spacing w:val="-3"/>
              </w:rPr>
              <w:t> </w:t>
            </w:r>
            <w:r>
              <w:rPr/>
              <w:t>инфекции</w:t>
              <w:tab/>
            </w:r>
            <w:r>
              <w:rPr>
                <w:spacing w:val="-7"/>
              </w:rPr>
              <w:t>60</w:t>
            </w:r>
          </w:hyperlink>
        </w:p>
        <w:p>
          <w:pPr>
            <w:pStyle w:val="TOC2"/>
            <w:numPr>
              <w:ilvl w:val="1"/>
              <w:numId w:val="1"/>
            </w:numPr>
            <w:tabs>
              <w:tab w:pos="1920" w:val="left" w:leader="none"/>
              <w:tab w:pos="8923" w:val="left" w:leader="dot"/>
            </w:tabs>
            <w:spacing w:line="240" w:lineRule="auto" w:before="110" w:after="0"/>
            <w:ind w:left="1920" w:right="0" w:hanging="639"/>
            <w:jc w:val="left"/>
          </w:pPr>
          <w:hyperlink w:history="true" w:anchor="_bookmark19">
            <w:r>
              <w:rPr/>
              <w:t>Акушерская тактика</w:t>
            </w:r>
            <w:r>
              <w:rPr>
                <w:spacing w:val="-2"/>
              </w:rPr>
              <w:t> </w:t>
            </w:r>
            <w:r>
              <w:rPr/>
              <w:t>при</w:t>
            </w:r>
            <w:r>
              <w:rPr>
                <w:spacing w:val="-5"/>
              </w:rPr>
              <w:t> </w:t>
            </w:r>
            <w:r>
              <w:rPr/>
              <w:t>COVID-19</w:t>
              <w:tab/>
              <w:t>62</w:t>
            </w:r>
          </w:hyperlink>
        </w:p>
        <w:p>
          <w:pPr>
            <w:pStyle w:val="TOC2"/>
            <w:numPr>
              <w:ilvl w:val="1"/>
              <w:numId w:val="1"/>
            </w:numPr>
            <w:tabs>
              <w:tab w:pos="1841" w:val="left" w:leader="none"/>
            </w:tabs>
            <w:spacing w:line="240" w:lineRule="auto" w:before="138" w:after="0"/>
            <w:ind w:left="1840" w:right="0" w:hanging="560"/>
            <w:jc w:val="left"/>
          </w:pPr>
          <w:hyperlink w:history="true" w:anchor="_bookmark20">
            <w:r>
              <w:rPr/>
              <w:t>Основные принципы терапии неотложных</w:t>
            </w:r>
          </w:hyperlink>
        </w:p>
        <w:p>
          <w:pPr>
            <w:pStyle w:val="TOC2"/>
            <w:tabs>
              <w:tab w:pos="8922" w:val="left" w:leader="dot"/>
            </w:tabs>
            <w:spacing w:before="31"/>
            <w:ind w:firstLine="0"/>
          </w:pPr>
          <w:hyperlink w:history="true" w:anchor="_bookmark20">
            <w:r>
              <w:rPr/>
              <w:t>состояний</w:t>
              <w:tab/>
              <w:t>65</w:t>
            </w:r>
          </w:hyperlink>
        </w:p>
        <w:p>
          <w:pPr>
            <w:pStyle w:val="TOC2"/>
            <w:numPr>
              <w:ilvl w:val="1"/>
              <w:numId w:val="1"/>
            </w:numPr>
            <w:tabs>
              <w:tab w:pos="1841" w:val="left" w:leader="none"/>
              <w:tab w:pos="8923" w:val="left" w:leader="dot"/>
            </w:tabs>
            <w:spacing w:line="240" w:lineRule="auto" w:before="138" w:after="0"/>
            <w:ind w:left="1840" w:right="0" w:hanging="560"/>
            <w:jc w:val="left"/>
          </w:pPr>
          <w:hyperlink w:history="true" w:anchor="_bookmark21">
            <w:r>
              <w:rPr/>
              <w:t>Особые</w:t>
            </w:r>
            <w:r>
              <w:rPr>
                <w:spacing w:val="-4"/>
              </w:rPr>
              <w:t> </w:t>
            </w:r>
            <w:r>
              <w:rPr/>
              <w:t>группы</w:t>
            </w:r>
            <w:r>
              <w:rPr>
                <w:spacing w:val="-2"/>
              </w:rPr>
              <w:t> </w:t>
            </w:r>
            <w:r>
              <w:rPr/>
              <w:t>пациентов</w:t>
              <w:tab/>
              <w:t>78</w:t>
            </w:r>
          </w:hyperlink>
        </w:p>
        <w:p>
          <w:pPr>
            <w:pStyle w:val="TOC2"/>
            <w:numPr>
              <w:ilvl w:val="1"/>
              <w:numId w:val="1"/>
            </w:numPr>
            <w:tabs>
              <w:tab w:pos="1841" w:val="left" w:leader="none"/>
              <w:tab w:pos="8923" w:val="left" w:leader="dot"/>
            </w:tabs>
            <w:spacing w:line="259" w:lineRule="auto" w:before="139" w:after="0"/>
            <w:ind w:left="1291" w:right="684" w:hanging="10"/>
            <w:jc w:val="left"/>
          </w:pPr>
          <w:hyperlink w:history="true" w:anchor="_bookmark22">
            <w:r>
              <w:rPr/>
              <w:t>Мониторинг клинических и лабораторных</w:t>
            </w:r>
          </w:hyperlink>
          <w:hyperlink w:history="true" w:anchor="_bookmark22">
            <w:r>
              <w:rPr/>
              <w:t> показателей</w:t>
              <w:tab/>
            </w:r>
            <w:r>
              <w:rPr>
                <w:spacing w:val="-8"/>
              </w:rPr>
              <w:t>83</w:t>
            </w:r>
          </w:hyperlink>
        </w:p>
        <w:p>
          <w:pPr>
            <w:pStyle w:val="TOC2"/>
            <w:spacing w:line="259" w:lineRule="auto" w:before="109"/>
            <w:ind w:right="1319" w:hanging="10"/>
          </w:pPr>
          <w:hyperlink w:history="true" w:anchor="_bookmark23">
            <w:r>
              <w:rPr/>
              <w:t>5.9 медицинская реабилитация при оказании</w:t>
            </w:r>
          </w:hyperlink>
          <w:hyperlink w:history="true" w:anchor="_bookmark23">
            <w:r>
              <w:rPr/>
              <w:t> спецализированной медицинской помощи пациентам</w:t>
            </w:r>
          </w:hyperlink>
        </w:p>
        <w:p>
          <w:pPr>
            <w:pStyle w:val="TOC2"/>
            <w:tabs>
              <w:tab w:pos="8923" w:val="left" w:leader="dot"/>
            </w:tabs>
            <w:spacing w:line="368" w:lineRule="exact" w:before="0"/>
            <w:ind w:firstLine="0"/>
          </w:pPr>
          <w:hyperlink w:history="true" w:anchor="_bookmark23">
            <w:r>
              <w:rPr/>
              <w:t>с</w:t>
            </w:r>
            <w:r>
              <w:rPr>
                <w:spacing w:val="-3"/>
              </w:rPr>
              <w:t> </w:t>
            </w:r>
            <w:r>
              <w:rPr/>
              <w:t>COVID-19</w:t>
              <w:tab/>
              <w:t>84</w:t>
            </w:r>
          </w:hyperlink>
        </w:p>
        <w:p>
          <w:pPr>
            <w:pStyle w:val="TOC2"/>
            <w:ind w:left="1281" w:firstLine="0"/>
          </w:pPr>
          <w:hyperlink w:history="true" w:anchor="_bookmark24">
            <w:r>
              <w:rPr/>
              <w:t>5.10. Порядок выписки (перевода) пациентов</w:t>
            </w:r>
          </w:hyperlink>
        </w:p>
        <w:p>
          <w:pPr>
            <w:pStyle w:val="TOC2"/>
            <w:tabs>
              <w:tab w:pos="8922" w:val="left" w:leader="dot"/>
            </w:tabs>
            <w:spacing w:before="30"/>
            <w:ind w:firstLine="0"/>
          </w:pPr>
          <w:hyperlink w:history="true" w:anchor="_bookmark24">
            <w:r>
              <w:rPr/>
              <w:t>из</w:t>
            </w:r>
            <w:r>
              <w:rPr>
                <w:spacing w:val="-4"/>
              </w:rPr>
              <w:t> </w:t>
            </w:r>
            <w:r>
              <w:rPr/>
              <w:t>медицинской</w:t>
            </w:r>
            <w:r>
              <w:rPr>
                <w:spacing w:val="-3"/>
              </w:rPr>
              <w:t> </w:t>
            </w:r>
            <w:r>
              <w:rPr/>
              <w:t>организации</w:t>
              <w:tab/>
              <w:t>95</w:t>
            </w:r>
          </w:hyperlink>
        </w:p>
        <w:p>
          <w:pPr>
            <w:pStyle w:val="TOC1"/>
            <w:numPr>
              <w:ilvl w:val="0"/>
              <w:numId w:val="1"/>
            </w:numPr>
            <w:tabs>
              <w:tab w:pos="924" w:val="left" w:leader="none"/>
              <w:tab w:pos="8923" w:val="left" w:leader="dot"/>
            </w:tabs>
            <w:spacing w:line="240" w:lineRule="auto" w:before="139" w:after="0"/>
            <w:ind w:left="924" w:right="0" w:hanging="320"/>
            <w:jc w:val="left"/>
          </w:pPr>
          <w:hyperlink w:history="true" w:anchor="_bookmark25">
            <w:r>
              <w:rPr>
                <w:color w:val="2D74B5"/>
              </w:rPr>
              <w:t>ОСОБЕННОСТИ ВЕДЕНИЯ ДЕТЕЙ</w:t>
            </w:r>
            <w:r>
              <w:rPr>
                <w:color w:val="2D74B5"/>
                <w:spacing w:val="-5"/>
              </w:rPr>
              <w:t> </w:t>
            </w:r>
            <w:r>
              <w:rPr>
                <w:color w:val="2D74B5"/>
              </w:rPr>
              <w:t>С</w:t>
            </w:r>
            <w:r>
              <w:rPr>
                <w:color w:val="2D74B5"/>
                <w:spacing w:val="-3"/>
              </w:rPr>
              <w:t> </w:t>
            </w:r>
            <w:r>
              <w:rPr>
                <w:color w:val="2D74B5"/>
              </w:rPr>
              <w:t>COVID-19</w:t>
              <w:tab/>
              <w:t>97</w:t>
            </w:r>
          </w:hyperlink>
        </w:p>
        <w:p>
          <w:pPr>
            <w:pStyle w:val="TOC1"/>
            <w:numPr>
              <w:ilvl w:val="0"/>
              <w:numId w:val="1"/>
            </w:numPr>
            <w:tabs>
              <w:tab w:pos="924" w:val="left" w:leader="none"/>
            </w:tabs>
            <w:spacing w:line="240" w:lineRule="auto" w:before="109" w:after="47"/>
            <w:ind w:left="924" w:right="0" w:hanging="320"/>
            <w:jc w:val="left"/>
          </w:pPr>
          <w:hyperlink w:history="true" w:anchor="_bookmark26">
            <w:r>
              <w:rPr>
                <w:color w:val="2D74B5"/>
              </w:rPr>
              <w:t>ПРОФИЛАКТИКА КОРОНАВИРУСНОЙ ИНФЕКЦИИ</w:t>
            </w:r>
            <w:r>
              <w:rPr>
                <w:color w:val="2D74B5"/>
                <w:spacing w:val="-37"/>
              </w:rPr>
              <w:t> </w:t>
            </w:r>
            <w:r>
              <w:rPr>
                <w:color w:val="2D74B5"/>
              </w:rPr>
              <w:t>.102</w:t>
            </w:r>
          </w:hyperlink>
        </w:p>
        <w:p>
          <w:pPr>
            <w:pStyle w:val="TOC2"/>
            <w:numPr>
              <w:ilvl w:val="1"/>
              <w:numId w:val="1"/>
            </w:numPr>
            <w:tabs>
              <w:tab w:pos="1841" w:val="left" w:leader="none"/>
            </w:tabs>
            <w:spacing w:line="240" w:lineRule="auto" w:before="58" w:after="0"/>
            <w:ind w:left="1840" w:right="0" w:hanging="560"/>
            <w:jc w:val="left"/>
          </w:pPr>
          <w:hyperlink w:history="true" w:anchor="_bookmark27">
            <w:r>
              <w:rPr/>
              <w:t>Специфическая профилактика</w:t>
            </w:r>
            <w:r>
              <w:rPr>
                <w:spacing w:val="-1"/>
              </w:rPr>
              <w:t> </w:t>
            </w:r>
            <w:r>
              <w:rPr/>
              <w:t>COVID-19</w:t>
            </w:r>
          </w:hyperlink>
        </w:p>
        <w:p>
          <w:pPr>
            <w:pStyle w:val="TOC2"/>
            <w:tabs>
              <w:tab w:pos="8762" w:val="left" w:leader="dot"/>
            </w:tabs>
            <w:spacing w:before="28"/>
            <w:ind w:firstLine="0"/>
          </w:pPr>
          <w:hyperlink w:history="true" w:anchor="_bookmark27">
            <w:r>
              <w:rPr/>
              <w:t>у</w:t>
            </w:r>
            <w:r>
              <w:rPr>
                <w:spacing w:val="-5"/>
              </w:rPr>
              <w:t> </w:t>
            </w:r>
            <w:r>
              <w:rPr/>
              <w:t>взрослых</w:t>
              <w:tab/>
              <w:t>102</w:t>
            </w:r>
          </w:hyperlink>
        </w:p>
        <w:p>
          <w:pPr>
            <w:pStyle w:val="TOC2"/>
            <w:numPr>
              <w:ilvl w:val="1"/>
              <w:numId w:val="1"/>
            </w:numPr>
            <w:tabs>
              <w:tab w:pos="1841" w:val="left" w:leader="none"/>
              <w:tab w:pos="8762" w:val="left" w:leader="dot"/>
            </w:tabs>
            <w:spacing w:line="240" w:lineRule="auto" w:before="141" w:after="0"/>
            <w:ind w:left="1840" w:right="0" w:hanging="560"/>
            <w:jc w:val="left"/>
          </w:pPr>
          <w:hyperlink w:history="true" w:anchor="_bookmark28">
            <w:r>
              <w:rPr/>
              <w:t>Неспецифическая</w:t>
            </w:r>
            <w:r>
              <w:rPr>
                <w:spacing w:val="-6"/>
              </w:rPr>
              <w:t> </w:t>
            </w:r>
            <w:r>
              <w:rPr/>
              <w:t>профилактика</w:t>
            </w:r>
            <w:r>
              <w:rPr>
                <w:spacing w:val="-6"/>
              </w:rPr>
              <w:t> </w:t>
            </w:r>
            <w:r>
              <w:rPr/>
              <w:t>COVID-19</w:t>
              <w:tab/>
              <w:t>103</w:t>
            </w:r>
          </w:hyperlink>
        </w:p>
        <w:p>
          <w:pPr>
            <w:pStyle w:val="TOC2"/>
            <w:numPr>
              <w:ilvl w:val="1"/>
              <w:numId w:val="1"/>
            </w:numPr>
            <w:tabs>
              <w:tab w:pos="1841" w:val="left" w:leader="none"/>
            </w:tabs>
            <w:spacing w:line="240" w:lineRule="auto" w:before="138" w:after="0"/>
            <w:ind w:left="1840" w:right="0" w:hanging="560"/>
            <w:jc w:val="left"/>
          </w:pPr>
          <w:hyperlink w:history="true" w:anchor="_bookmark30">
            <w:r>
              <w:rPr/>
              <w:t>Медикаментозная профилактика</w:t>
            </w:r>
            <w:r>
              <w:rPr>
                <w:spacing w:val="-22"/>
              </w:rPr>
              <w:t> </w:t>
            </w:r>
            <w:r>
              <w:rPr/>
              <w:t>COVID-19</w:t>
            </w:r>
          </w:hyperlink>
        </w:p>
        <w:p>
          <w:pPr>
            <w:pStyle w:val="TOC2"/>
            <w:tabs>
              <w:tab w:pos="8762" w:val="left" w:leader="dot"/>
            </w:tabs>
            <w:spacing w:before="28"/>
            <w:ind w:firstLine="0"/>
          </w:pPr>
          <w:hyperlink w:history="true" w:anchor="_bookmark30">
            <w:r>
              <w:rPr/>
              <w:t>у</w:t>
            </w:r>
            <w:r>
              <w:rPr>
                <w:spacing w:val="-5"/>
              </w:rPr>
              <w:t> </w:t>
            </w:r>
            <w:r>
              <w:rPr/>
              <w:t>взрослых</w:t>
              <w:tab/>
              <w:t>104</w:t>
            </w:r>
          </w:hyperlink>
        </w:p>
        <w:p>
          <w:pPr>
            <w:pStyle w:val="TOC2"/>
            <w:numPr>
              <w:ilvl w:val="1"/>
              <w:numId w:val="1"/>
            </w:numPr>
            <w:tabs>
              <w:tab w:pos="1841" w:val="left" w:leader="none"/>
            </w:tabs>
            <w:spacing w:line="240" w:lineRule="auto" w:before="141" w:after="0"/>
            <w:ind w:left="1840" w:right="0" w:hanging="560"/>
            <w:jc w:val="left"/>
          </w:pPr>
          <w:hyperlink w:history="true" w:anchor="_bookmark31">
            <w:r>
              <w:rPr/>
              <w:t>Мероприятия по предупреждению</w:t>
            </w:r>
            <w:r>
              <w:rPr>
                <w:spacing w:val="-4"/>
              </w:rPr>
              <w:t> </w:t>
            </w:r>
            <w:r>
              <w:rPr/>
              <w:t>распространения</w:t>
            </w:r>
          </w:hyperlink>
        </w:p>
        <w:p>
          <w:pPr>
            <w:pStyle w:val="TOC2"/>
            <w:tabs>
              <w:tab w:pos="8762" w:val="left" w:leader="dot"/>
            </w:tabs>
            <w:spacing w:before="28"/>
            <w:ind w:firstLine="0"/>
          </w:pPr>
          <w:hyperlink w:history="true" w:anchor="_bookmark31">
            <w:r>
              <w:rPr/>
              <w:t>COVID-19 в</w:t>
            </w:r>
            <w:r>
              <w:rPr>
                <w:spacing w:val="-8"/>
              </w:rPr>
              <w:t> </w:t>
            </w:r>
            <w:r>
              <w:rPr/>
              <w:t>медицинской</w:t>
            </w:r>
            <w:r>
              <w:rPr>
                <w:spacing w:val="-5"/>
              </w:rPr>
              <w:t> </w:t>
            </w:r>
            <w:r>
              <w:rPr/>
              <w:t>организации</w:t>
              <w:tab/>
              <w:t>105</w:t>
            </w:r>
          </w:hyperlink>
        </w:p>
        <w:p>
          <w:pPr>
            <w:pStyle w:val="TOC2"/>
            <w:numPr>
              <w:ilvl w:val="1"/>
              <w:numId w:val="1"/>
            </w:numPr>
            <w:tabs>
              <w:tab w:pos="1841" w:val="left" w:leader="none"/>
            </w:tabs>
            <w:spacing w:line="259" w:lineRule="auto" w:before="141" w:after="0"/>
            <w:ind w:left="1291" w:right="2958" w:hanging="10"/>
            <w:jc w:val="left"/>
          </w:pPr>
          <w:hyperlink w:history="true" w:anchor="_bookmark32">
            <w:r>
              <w:rPr/>
              <w:t>Рациональное использование средств</w:t>
            </w:r>
          </w:hyperlink>
          <w:hyperlink w:history="true" w:anchor="_bookmark32">
            <w:r>
              <w:rPr/>
              <w:t> индивидуальной защиты в</w:t>
            </w:r>
            <w:r>
              <w:rPr>
                <w:spacing w:val="-10"/>
              </w:rPr>
              <w:t> </w:t>
            </w:r>
            <w:r>
              <w:rPr/>
              <w:t>медицинских</w:t>
            </w:r>
          </w:hyperlink>
        </w:p>
        <w:p>
          <w:pPr>
            <w:pStyle w:val="TOC2"/>
            <w:tabs>
              <w:tab w:pos="8762" w:val="left" w:leader="dot"/>
            </w:tabs>
            <w:spacing w:line="365" w:lineRule="exact" w:before="0"/>
            <w:ind w:firstLine="0"/>
          </w:pPr>
          <w:hyperlink w:history="true" w:anchor="_bookmark32">
            <w:r>
              <w:rPr/>
              <w:t>организациях</w:t>
              <w:tab/>
              <w:t>109</w:t>
            </w:r>
          </w:hyperlink>
        </w:p>
        <w:p>
          <w:pPr>
            <w:pStyle w:val="TOC1"/>
            <w:numPr>
              <w:ilvl w:val="0"/>
              <w:numId w:val="1"/>
            </w:numPr>
            <w:tabs>
              <w:tab w:pos="924" w:val="left" w:leader="none"/>
              <w:tab w:pos="8762" w:val="left" w:leader="dot"/>
            </w:tabs>
            <w:spacing w:line="259" w:lineRule="auto" w:before="140" w:after="0"/>
            <w:ind w:left="614" w:right="684" w:hanging="10"/>
            <w:jc w:val="left"/>
          </w:pPr>
          <w:hyperlink w:history="true" w:anchor="_bookmark33">
            <w:r>
              <w:rPr>
                <w:color w:val="2D74B5"/>
              </w:rPr>
              <w:t>ПОРЯДОК ПРОВЕДЕНИЯ</w:t>
            </w:r>
          </w:hyperlink>
          <w:hyperlink w:history="true" w:anchor="_bookmark33">
            <w:r>
              <w:rPr>
                <w:color w:val="2D74B5"/>
              </w:rPr>
              <w:t> ПАТОЛОГОАНАТОМИЧЕСКИХ</w:t>
            </w:r>
            <w:r>
              <w:rPr>
                <w:color w:val="2D74B5"/>
                <w:spacing w:val="-5"/>
              </w:rPr>
              <w:t> </w:t>
            </w:r>
            <w:r>
              <w:rPr>
                <w:color w:val="2D74B5"/>
              </w:rPr>
              <w:t>ВСКРЫТИЙ</w:t>
              <w:tab/>
            </w:r>
            <w:r>
              <w:rPr>
                <w:color w:val="2D74B5"/>
                <w:spacing w:val="-5"/>
              </w:rPr>
              <w:t>114</w:t>
            </w:r>
          </w:hyperlink>
        </w:p>
        <w:p>
          <w:pPr>
            <w:pStyle w:val="TOC1"/>
            <w:numPr>
              <w:ilvl w:val="0"/>
              <w:numId w:val="1"/>
            </w:numPr>
            <w:tabs>
              <w:tab w:pos="924" w:val="left" w:leader="none"/>
              <w:tab w:pos="8762" w:val="left" w:leader="dot"/>
            </w:tabs>
            <w:spacing w:line="259" w:lineRule="auto" w:before="79" w:after="0"/>
            <w:ind w:left="614" w:right="683" w:hanging="10"/>
            <w:jc w:val="left"/>
          </w:pPr>
          <w:hyperlink w:history="true" w:anchor="_bookmark34">
            <w:r>
              <w:rPr>
                <w:color w:val="2D74B5"/>
              </w:rPr>
              <w:t>МАРШРУТИЗАЦИЯ ПАЦИЕНТОВ И ОСОБЕННОСТИ</w:t>
            </w:r>
          </w:hyperlink>
          <w:hyperlink w:history="true" w:anchor="_bookmark34">
            <w:r>
              <w:rPr>
                <w:color w:val="2D74B5"/>
              </w:rPr>
              <w:t> ЭВАКУАЦИОННЫХ МЕРОПРИЯТИЙ БОЛЬНЫХ  ИЛИ</w:t>
            </w:r>
          </w:hyperlink>
          <w:hyperlink w:history="true" w:anchor="_bookmark34">
            <w:r>
              <w:rPr>
                <w:color w:val="2D74B5"/>
              </w:rPr>
              <w:t> ЛИЦ С ПОДОЗРЕНИЕМ</w:t>
            </w:r>
            <w:r>
              <w:rPr>
                <w:color w:val="2D74B5"/>
                <w:spacing w:val="-6"/>
              </w:rPr>
              <w:t> </w:t>
            </w:r>
            <w:r>
              <w:rPr>
                <w:color w:val="2D74B5"/>
              </w:rPr>
              <w:t>НА</w:t>
            </w:r>
            <w:r>
              <w:rPr>
                <w:color w:val="2D74B5"/>
                <w:spacing w:val="-4"/>
              </w:rPr>
              <w:t> </w:t>
            </w:r>
            <w:r>
              <w:rPr>
                <w:color w:val="2D74B5"/>
              </w:rPr>
              <w:t>COVID-19</w:t>
              <w:tab/>
            </w:r>
            <w:r>
              <w:rPr>
                <w:color w:val="2D74B5"/>
                <w:spacing w:val="-5"/>
              </w:rPr>
              <w:t>116</w:t>
            </w:r>
          </w:hyperlink>
        </w:p>
        <w:p>
          <w:pPr>
            <w:pStyle w:val="TOC2"/>
            <w:numPr>
              <w:ilvl w:val="1"/>
              <w:numId w:val="1"/>
            </w:numPr>
            <w:tabs>
              <w:tab w:pos="1841" w:val="left" w:leader="none"/>
            </w:tabs>
            <w:spacing w:line="240" w:lineRule="auto" w:before="82" w:after="0"/>
            <w:ind w:left="1840" w:right="0" w:hanging="560"/>
            <w:jc w:val="left"/>
          </w:pPr>
          <w:hyperlink w:history="true" w:anchor="_bookmark35">
            <w:r>
              <w:rPr/>
              <w:t>Маршрутизация пациентов и лиц с</w:t>
            </w:r>
            <w:r>
              <w:rPr>
                <w:spacing w:val="-2"/>
              </w:rPr>
              <w:t> </w:t>
            </w:r>
            <w:r>
              <w:rPr/>
              <w:t>подозрением</w:t>
            </w:r>
          </w:hyperlink>
        </w:p>
        <w:p>
          <w:pPr>
            <w:pStyle w:val="TOC2"/>
            <w:tabs>
              <w:tab w:pos="8762" w:val="left" w:leader="dot"/>
            </w:tabs>
            <w:spacing w:before="28"/>
            <w:ind w:firstLine="0"/>
          </w:pPr>
          <w:hyperlink w:history="true" w:anchor="_bookmark35">
            <w:r>
              <w:rPr/>
              <w:t>на</w:t>
            </w:r>
            <w:r>
              <w:rPr>
                <w:spacing w:val="-2"/>
              </w:rPr>
              <w:t> </w:t>
            </w:r>
            <w:r>
              <w:rPr/>
              <w:t>COVID-19</w:t>
              <w:tab/>
              <w:t>116</w:t>
            </w:r>
          </w:hyperlink>
        </w:p>
        <w:p>
          <w:pPr>
            <w:pStyle w:val="TOC2"/>
            <w:numPr>
              <w:ilvl w:val="1"/>
              <w:numId w:val="2"/>
            </w:numPr>
            <w:tabs>
              <w:tab w:pos="1762" w:val="left" w:leader="none"/>
              <w:tab w:pos="8761" w:val="left" w:leader="dot"/>
            </w:tabs>
            <w:spacing w:line="240" w:lineRule="auto" w:before="139" w:after="0"/>
            <w:ind w:left="1761" w:right="0" w:hanging="481"/>
            <w:jc w:val="left"/>
          </w:pPr>
          <w:hyperlink w:history="true" w:anchor="_bookmark36">
            <w:r>
              <w:rPr/>
              <w:t>порядок организации</w:t>
            </w:r>
            <w:r>
              <w:rPr>
                <w:spacing w:val="-5"/>
              </w:rPr>
              <w:t> </w:t>
            </w:r>
            <w:r>
              <w:rPr/>
              <w:t>медицинской</w:t>
            </w:r>
            <w:r>
              <w:rPr>
                <w:spacing w:val="-5"/>
              </w:rPr>
              <w:t> </w:t>
            </w:r>
            <w:r>
              <w:rPr/>
              <w:t>помощи</w:t>
              <w:tab/>
              <w:t>117</w:t>
            </w:r>
          </w:hyperlink>
        </w:p>
        <w:p>
          <w:pPr>
            <w:pStyle w:val="TOC2"/>
            <w:numPr>
              <w:ilvl w:val="1"/>
              <w:numId w:val="2"/>
            </w:numPr>
            <w:tabs>
              <w:tab w:pos="1762" w:val="left" w:leader="none"/>
            </w:tabs>
            <w:spacing w:line="259" w:lineRule="auto" w:before="141" w:after="0"/>
            <w:ind w:left="1291" w:right="1169" w:hanging="10"/>
            <w:jc w:val="left"/>
          </w:pPr>
          <w:hyperlink w:history="true" w:anchor="_bookmark37">
            <w:r>
              <w:rPr/>
              <w:t>особенности эвакуационных мероприятий и общие</w:t>
            </w:r>
          </w:hyperlink>
          <w:hyperlink w:history="true" w:anchor="_bookmark37">
            <w:r>
              <w:rPr/>
              <w:t> принципы госпитализации больных или</w:t>
            </w:r>
            <w:r>
              <w:rPr>
                <w:spacing w:val="-5"/>
              </w:rPr>
              <w:t> </w:t>
            </w:r>
            <w:r>
              <w:rPr/>
              <w:t>лиц</w:t>
            </w:r>
          </w:hyperlink>
        </w:p>
        <w:p>
          <w:pPr>
            <w:pStyle w:val="TOC2"/>
            <w:tabs>
              <w:tab w:pos="8762" w:val="left" w:leader="dot"/>
            </w:tabs>
            <w:spacing w:line="365" w:lineRule="exact" w:before="0"/>
            <w:ind w:firstLine="0"/>
          </w:pPr>
          <w:hyperlink w:history="true" w:anchor="_bookmark37">
            <w:r>
              <w:rPr/>
              <w:t>с подозрением</w:t>
            </w:r>
            <w:r>
              <w:rPr>
                <w:spacing w:val="-5"/>
              </w:rPr>
              <w:t> </w:t>
            </w:r>
            <w:r>
              <w:rPr/>
              <w:t>на</w:t>
            </w:r>
            <w:r>
              <w:rPr>
                <w:spacing w:val="-1"/>
              </w:rPr>
              <w:t> </w:t>
            </w:r>
            <w:r>
              <w:rPr/>
              <w:t>COVID-19</w:t>
              <w:tab/>
              <w:t>122</w:t>
            </w:r>
          </w:hyperlink>
        </w:p>
        <w:p>
          <w:pPr>
            <w:pStyle w:val="TOC2"/>
            <w:numPr>
              <w:ilvl w:val="1"/>
              <w:numId w:val="3"/>
            </w:numPr>
            <w:tabs>
              <w:tab w:pos="1841" w:val="left" w:leader="none"/>
            </w:tabs>
            <w:spacing w:line="259" w:lineRule="auto" w:before="140" w:after="0"/>
            <w:ind w:left="1291" w:right="1852" w:hanging="10"/>
            <w:jc w:val="left"/>
          </w:pPr>
          <w:hyperlink w:history="true" w:anchor="_bookmark39">
            <w:r>
              <w:rPr/>
              <w:t>Порядок госпитализации в медицинские</w:t>
            </w:r>
          </w:hyperlink>
          <w:hyperlink w:history="true" w:anchor="_bookmark39">
            <w:r>
              <w:rPr/>
              <w:t> организации пациентов в зависимости от</w:t>
            </w:r>
            <w:r>
              <w:rPr>
                <w:spacing w:val="-22"/>
              </w:rPr>
              <w:t> </w:t>
            </w:r>
            <w:r>
              <w:rPr/>
              <w:t>степени</w:t>
            </w:r>
          </w:hyperlink>
        </w:p>
        <w:p>
          <w:pPr>
            <w:pStyle w:val="TOC2"/>
            <w:tabs>
              <w:tab w:pos="8762" w:val="left" w:leader="dot"/>
            </w:tabs>
            <w:spacing w:line="368" w:lineRule="exact" w:before="0"/>
            <w:ind w:firstLine="0"/>
          </w:pPr>
          <w:hyperlink w:history="true" w:anchor="_bookmark39">
            <w:r>
              <w:rPr/>
              <w:t>тяжести</w:t>
            </w:r>
            <w:r>
              <w:rPr>
                <w:spacing w:val="-6"/>
              </w:rPr>
              <w:t> </w:t>
            </w:r>
            <w:r>
              <w:rPr/>
              <w:t>заболевания</w:t>
              <w:tab/>
              <w:t>127</w:t>
            </w:r>
          </w:hyperlink>
        </w:p>
        <w:p>
          <w:pPr>
            <w:pStyle w:val="TOC2"/>
            <w:numPr>
              <w:ilvl w:val="1"/>
              <w:numId w:val="3"/>
            </w:numPr>
            <w:tabs>
              <w:tab w:pos="1841" w:val="left" w:leader="none"/>
            </w:tabs>
            <w:spacing w:line="240" w:lineRule="auto" w:before="139" w:after="0"/>
            <w:ind w:left="1840" w:right="0" w:hanging="560"/>
            <w:jc w:val="left"/>
          </w:pPr>
          <w:hyperlink w:history="true" w:anchor="_bookmark40">
            <w:r>
              <w:rPr/>
              <w:t>Основные принципы оказания</w:t>
            </w:r>
            <w:r>
              <w:rPr>
                <w:spacing w:val="1"/>
              </w:rPr>
              <w:t> </w:t>
            </w:r>
            <w:r>
              <w:rPr/>
              <w:t>медицинской</w:t>
            </w:r>
          </w:hyperlink>
        </w:p>
        <w:p>
          <w:pPr>
            <w:pStyle w:val="TOC2"/>
            <w:tabs>
              <w:tab w:pos="8762" w:val="left" w:leader="dot"/>
            </w:tabs>
            <w:spacing w:before="28"/>
            <w:ind w:firstLine="0"/>
          </w:pPr>
          <w:hyperlink w:history="true" w:anchor="_bookmark40">
            <w:r>
              <w:rPr/>
              <w:t>помощи в амбулаторных условиях</w:t>
            </w:r>
            <w:r>
              <w:rPr>
                <w:spacing w:val="-9"/>
              </w:rPr>
              <w:t> </w:t>
            </w:r>
            <w:r>
              <w:rPr/>
              <w:t>(на</w:t>
            </w:r>
            <w:r>
              <w:rPr>
                <w:spacing w:val="-3"/>
              </w:rPr>
              <w:t> </w:t>
            </w:r>
            <w:r>
              <w:rPr/>
              <w:t>дому)</w:t>
              <w:tab/>
              <w:t>131</w:t>
            </w:r>
          </w:hyperlink>
        </w:p>
        <w:p>
          <w:pPr>
            <w:pStyle w:val="TOC2"/>
            <w:numPr>
              <w:ilvl w:val="1"/>
              <w:numId w:val="3"/>
            </w:numPr>
            <w:tabs>
              <w:tab w:pos="1841" w:val="left" w:leader="none"/>
            </w:tabs>
            <w:spacing w:line="240" w:lineRule="auto" w:before="140" w:after="0"/>
            <w:ind w:left="1840" w:right="0" w:hanging="560"/>
            <w:jc w:val="left"/>
          </w:pPr>
          <w:hyperlink w:history="true" w:anchor="_bookmark41">
            <w:r>
              <w:rPr/>
              <w:t>Маршрутизация пациентов, нуждающихся</w:t>
            </w:r>
          </w:hyperlink>
        </w:p>
        <w:p>
          <w:pPr>
            <w:pStyle w:val="TOC2"/>
            <w:tabs>
              <w:tab w:pos="8762" w:val="left" w:leader="dot"/>
            </w:tabs>
            <w:spacing w:before="29"/>
            <w:ind w:firstLine="0"/>
          </w:pPr>
          <w:hyperlink w:history="true" w:anchor="_bookmark41">
            <w:r>
              <w:rPr/>
              <w:t>в экстренной</w:t>
            </w:r>
            <w:r>
              <w:rPr>
                <w:spacing w:val="-7"/>
              </w:rPr>
              <w:t> </w:t>
            </w:r>
            <w:r>
              <w:rPr/>
              <w:t>хирургической</w:t>
            </w:r>
            <w:r>
              <w:rPr>
                <w:spacing w:val="-5"/>
              </w:rPr>
              <w:t> </w:t>
            </w:r>
            <w:r>
              <w:rPr/>
              <w:t>помощи</w:t>
              <w:tab/>
              <w:t>134</w:t>
            </w:r>
          </w:hyperlink>
        </w:p>
        <w:p>
          <w:pPr>
            <w:pStyle w:val="TOC1"/>
            <w:numPr>
              <w:ilvl w:val="0"/>
              <w:numId w:val="1"/>
            </w:numPr>
            <w:tabs>
              <w:tab w:pos="1085" w:val="left" w:leader="none"/>
            </w:tabs>
            <w:spacing w:line="259" w:lineRule="auto" w:before="138" w:after="0"/>
            <w:ind w:left="614" w:right="1875" w:hanging="10"/>
            <w:jc w:val="left"/>
          </w:pPr>
          <w:hyperlink w:history="true" w:anchor="_bookmark42">
            <w:r>
              <w:rPr>
                <w:color w:val="2D74B5"/>
              </w:rPr>
              <w:t>ПРАВИЛА ФОРМУЛИРОВКИ ДИАГНОЗА,</w:t>
            </w:r>
          </w:hyperlink>
          <w:hyperlink w:history="true" w:anchor="_bookmark42">
            <w:r>
              <w:rPr>
                <w:color w:val="2D74B5"/>
              </w:rPr>
              <w:t> КОДИРОВАНИЯ ПО МКБ-10 И УЧЕТ</w:t>
            </w:r>
            <w:r>
              <w:rPr>
                <w:color w:val="2D74B5"/>
                <w:spacing w:val="-21"/>
              </w:rPr>
              <w:t> </w:t>
            </w:r>
            <w:r>
              <w:rPr>
                <w:color w:val="2D74B5"/>
              </w:rPr>
              <w:t>ПАЦИЕНТОВ</w:t>
            </w:r>
          </w:hyperlink>
        </w:p>
        <w:p>
          <w:pPr>
            <w:pStyle w:val="TOC1"/>
            <w:tabs>
              <w:tab w:pos="8762" w:val="left" w:leader="dot"/>
            </w:tabs>
            <w:spacing w:line="368" w:lineRule="exact" w:before="0"/>
            <w:ind w:left="614" w:firstLine="0"/>
          </w:pPr>
          <w:hyperlink w:history="true" w:anchor="_bookmark42">
            <w:r>
              <w:rPr>
                <w:color w:val="2D74B5"/>
              </w:rPr>
              <w:t>С COVID-19 В</w:t>
            </w:r>
            <w:r>
              <w:rPr>
                <w:color w:val="2D74B5"/>
                <w:spacing w:val="-12"/>
              </w:rPr>
              <w:t> </w:t>
            </w:r>
            <w:r>
              <w:rPr>
                <w:color w:val="2D74B5"/>
              </w:rPr>
              <w:t>ИНФОРМАЦИОННОМ</w:t>
            </w:r>
            <w:r>
              <w:rPr>
                <w:color w:val="2D74B5"/>
                <w:spacing w:val="-2"/>
              </w:rPr>
              <w:t> </w:t>
            </w:r>
            <w:r>
              <w:rPr>
                <w:color w:val="2D74B5"/>
              </w:rPr>
              <w:t>РЕСУРСЕ</w:t>
              <w:tab/>
              <w:t>138</w:t>
            </w:r>
          </w:hyperlink>
        </w:p>
        <w:p>
          <w:pPr>
            <w:pStyle w:val="TOC3"/>
            <w:tabs>
              <w:tab w:pos="8822" w:val="left" w:leader="dot"/>
            </w:tabs>
            <w:spacing w:before="113" w:after="20"/>
          </w:pPr>
          <w:hyperlink w:history="true" w:anchor="_bookmark43">
            <w:r>
              <w:rPr/>
              <w:t>Использованные</w:t>
            </w:r>
            <w:r>
              <w:rPr>
                <w:spacing w:val="-6"/>
              </w:rPr>
              <w:t> </w:t>
            </w:r>
            <w:r>
              <w:rPr/>
              <w:t>источники</w:t>
              <w:tab/>
              <w:t>146</w:t>
            </w:r>
          </w:hyperlink>
        </w:p>
        <w:p>
          <w:pPr>
            <w:pStyle w:val="TOC3"/>
            <w:tabs>
              <w:tab w:pos="9242" w:val="right" w:leader="dot"/>
            </w:tabs>
            <w:spacing w:before="59"/>
          </w:pPr>
          <w:hyperlink w:history="true" w:anchor="_bookmark44">
            <w:r>
              <w:rPr/>
              <w:t>Приложение</w:t>
            </w:r>
            <w:r>
              <w:rPr>
                <w:spacing w:val="-4"/>
              </w:rPr>
              <w:t> </w:t>
            </w:r>
            <w:r>
              <w:rPr/>
              <w:t>1</w:t>
              <w:tab/>
              <w:t>154</w:t>
            </w:r>
          </w:hyperlink>
        </w:p>
        <w:p>
          <w:pPr>
            <w:pStyle w:val="TOC3"/>
            <w:tabs>
              <w:tab w:pos="9242" w:val="right" w:leader="dot"/>
            </w:tabs>
            <w:spacing w:before="113"/>
          </w:pPr>
          <w:hyperlink w:history="true" w:anchor="_bookmark45">
            <w:r>
              <w:rPr/>
              <w:t>Приложение</w:t>
            </w:r>
            <w:r>
              <w:rPr>
                <w:spacing w:val="-4"/>
              </w:rPr>
              <w:t> </w:t>
            </w:r>
            <w:r>
              <w:rPr/>
              <w:t>2-1</w:t>
              <w:tab/>
              <w:t>172</w:t>
            </w:r>
          </w:hyperlink>
        </w:p>
        <w:p>
          <w:pPr>
            <w:pStyle w:val="TOC3"/>
            <w:tabs>
              <w:tab w:pos="9242" w:val="right" w:leader="dot"/>
            </w:tabs>
          </w:pPr>
          <w:hyperlink w:history="true" w:anchor="_bookmark46">
            <w:r>
              <w:rPr/>
              <w:t>Приложение</w:t>
            </w:r>
            <w:r>
              <w:rPr>
                <w:spacing w:val="-4"/>
              </w:rPr>
              <w:t> </w:t>
            </w:r>
            <w:r>
              <w:rPr/>
              <w:t>2-2</w:t>
              <w:tab/>
              <w:t>173</w:t>
            </w:r>
          </w:hyperlink>
        </w:p>
        <w:p>
          <w:pPr>
            <w:pStyle w:val="TOC3"/>
            <w:tabs>
              <w:tab w:pos="9242" w:val="right" w:leader="dot"/>
            </w:tabs>
          </w:pPr>
          <w:hyperlink w:history="true" w:anchor="_bookmark47">
            <w:r>
              <w:rPr/>
              <w:t>Приложение</w:t>
            </w:r>
            <w:r>
              <w:rPr>
                <w:spacing w:val="-4"/>
              </w:rPr>
              <w:t> </w:t>
            </w:r>
            <w:r>
              <w:rPr/>
              <w:t>3-1</w:t>
              <w:tab/>
              <w:t>174</w:t>
            </w:r>
          </w:hyperlink>
        </w:p>
        <w:p>
          <w:pPr>
            <w:pStyle w:val="TOC3"/>
            <w:tabs>
              <w:tab w:pos="9242" w:val="right" w:leader="dot"/>
            </w:tabs>
            <w:spacing w:before="113"/>
          </w:pPr>
          <w:hyperlink w:history="true" w:anchor="_bookmark48">
            <w:r>
              <w:rPr/>
              <w:t>Приложение</w:t>
            </w:r>
            <w:r>
              <w:rPr>
                <w:spacing w:val="-4"/>
              </w:rPr>
              <w:t> </w:t>
            </w:r>
            <w:r>
              <w:rPr/>
              <w:t>3-2</w:t>
              <w:tab/>
              <w:t>179</w:t>
            </w:r>
          </w:hyperlink>
        </w:p>
        <w:p>
          <w:pPr>
            <w:pStyle w:val="TOC3"/>
            <w:tabs>
              <w:tab w:pos="9242" w:val="right" w:leader="dot"/>
            </w:tabs>
            <w:spacing w:before="115"/>
          </w:pPr>
          <w:hyperlink w:history="true" w:anchor="_bookmark49">
            <w:r>
              <w:rPr/>
              <w:t>Приложение</w:t>
            </w:r>
            <w:r>
              <w:rPr>
                <w:spacing w:val="-4"/>
              </w:rPr>
              <w:t> </w:t>
            </w:r>
            <w:r>
              <w:rPr/>
              <w:t>4</w:t>
              <w:tab/>
              <w:t>183</w:t>
            </w:r>
          </w:hyperlink>
        </w:p>
        <w:p>
          <w:pPr>
            <w:pStyle w:val="TOC3"/>
            <w:tabs>
              <w:tab w:pos="9242" w:val="right" w:leader="dot"/>
            </w:tabs>
          </w:pPr>
          <w:hyperlink w:history="true" w:anchor="_bookmark50">
            <w:r>
              <w:rPr/>
              <w:t>Приложение</w:t>
            </w:r>
            <w:r>
              <w:rPr>
                <w:spacing w:val="-4"/>
              </w:rPr>
              <w:t> </w:t>
            </w:r>
            <w:r>
              <w:rPr/>
              <w:t>5-1</w:t>
              <w:tab/>
              <w:t>187</w:t>
            </w:r>
          </w:hyperlink>
        </w:p>
        <w:p>
          <w:pPr>
            <w:pStyle w:val="TOC3"/>
            <w:tabs>
              <w:tab w:pos="9242" w:val="right" w:leader="dot"/>
            </w:tabs>
          </w:pPr>
          <w:hyperlink w:history="true" w:anchor="_bookmark52">
            <w:r>
              <w:rPr/>
              <w:t>Приложение</w:t>
            </w:r>
            <w:r>
              <w:rPr>
                <w:spacing w:val="-4"/>
              </w:rPr>
              <w:t> </w:t>
            </w:r>
            <w:r>
              <w:rPr/>
              <w:t>5-2</w:t>
              <w:tab/>
              <w:t>194</w:t>
            </w:r>
          </w:hyperlink>
        </w:p>
        <w:p>
          <w:pPr>
            <w:pStyle w:val="TOC3"/>
            <w:tabs>
              <w:tab w:pos="9242" w:val="right" w:leader="dot"/>
            </w:tabs>
            <w:spacing w:before="113"/>
          </w:pPr>
          <w:hyperlink w:history="true" w:anchor="_bookmark54">
            <w:r>
              <w:rPr/>
              <w:t>Приложение</w:t>
            </w:r>
            <w:r>
              <w:rPr>
                <w:spacing w:val="-4"/>
              </w:rPr>
              <w:t> </w:t>
            </w:r>
            <w:r>
              <w:rPr/>
              <w:t>5-3</w:t>
              <w:tab/>
              <w:t>201</w:t>
            </w:r>
          </w:hyperlink>
        </w:p>
        <w:p>
          <w:pPr>
            <w:pStyle w:val="TOC3"/>
            <w:tabs>
              <w:tab w:pos="9242" w:val="right" w:leader="dot"/>
            </w:tabs>
          </w:pPr>
          <w:hyperlink w:history="true" w:anchor="_bookmark55">
            <w:r>
              <w:rPr/>
              <w:t>Приложение</w:t>
            </w:r>
            <w:r>
              <w:rPr>
                <w:spacing w:val="-4"/>
              </w:rPr>
              <w:t> </w:t>
            </w:r>
            <w:r>
              <w:rPr/>
              <w:t>6</w:t>
              <w:tab/>
              <w:t>202</w:t>
            </w:r>
          </w:hyperlink>
        </w:p>
        <w:p>
          <w:pPr>
            <w:pStyle w:val="TOC3"/>
            <w:tabs>
              <w:tab w:pos="9242" w:val="right" w:leader="dot"/>
            </w:tabs>
            <w:spacing w:before="113"/>
          </w:pPr>
          <w:hyperlink w:history="true" w:anchor="_bookmark56">
            <w:r>
              <w:rPr/>
              <w:t>Приложение</w:t>
            </w:r>
            <w:r>
              <w:rPr>
                <w:spacing w:val="-4"/>
              </w:rPr>
              <w:t> </w:t>
            </w:r>
            <w:r>
              <w:rPr/>
              <w:t>7</w:t>
              <w:tab/>
              <w:t>203</w:t>
            </w:r>
          </w:hyperlink>
        </w:p>
        <w:p>
          <w:pPr>
            <w:pStyle w:val="TOC3"/>
            <w:tabs>
              <w:tab w:pos="9242" w:val="right" w:leader="dot"/>
            </w:tabs>
          </w:pPr>
          <w:hyperlink w:history="true" w:anchor="_bookmark58">
            <w:r>
              <w:rPr/>
              <w:t>Приложение</w:t>
            </w:r>
            <w:r>
              <w:rPr>
                <w:spacing w:val="-4"/>
              </w:rPr>
              <w:t> </w:t>
            </w:r>
            <w:r>
              <w:rPr/>
              <w:t>8</w:t>
              <w:tab/>
              <w:t>205</w:t>
            </w:r>
          </w:hyperlink>
        </w:p>
        <w:p>
          <w:pPr>
            <w:pStyle w:val="TOC3"/>
            <w:tabs>
              <w:tab w:pos="9242" w:val="right" w:leader="dot"/>
            </w:tabs>
            <w:spacing w:before="113"/>
          </w:pPr>
          <w:hyperlink w:history="true" w:anchor="_bookmark59">
            <w:r>
              <w:rPr/>
              <w:t>Приложение</w:t>
            </w:r>
            <w:r>
              <w:rPr>
                <w:spacing w:val="-4"/>
              </w:rPr>
              <w:t> </w:t>
            </w:r>
            <w:r>
              <w:rPr/>
              <w:t>9-1</w:t>
              <w:tab/>
              <w:t>208</w:t>
            </w:r>
          </w:hyperlink>
        </w:p>
        <w:p>
          <w:pPr>
            <w:pStyle w:val="TOC3"/>
            <w:tabs>
              <w:tab w:pos="9242" w:val="right" w:leader="dot"/>
            </w:tabs>
          </w:pPr>
          <w:hyperlink w:history="true" w:anchor="_bookmark60">
            <w:r>
              <w:rPr/>
              <w:t>Приложение</w:t>
            </w:r>
            <w:r>
              <w:rPr>
                <w:spacing w:val="-4"/>
              </w:rPr>
              <w:t> </w:t>
            </w:r>
            <w:r>
              <w:rPr/>
              <w:t>9-2</w:t>
              <w:tab/>
              <w:t>209</w:t>
            </w:r>
          </w:hyperlink>
        </w:p>
        <w:p>
          <w:pPr>
            <w:pStyle w:val="TOC3"/>
            <w:tabs>
              <w:tab w:pos="9242" w:val="right" w:leader="dot"/>
            </w:tabs>
            <w:spacing w:before="115"/>
          </w:pPr>
          <w:hyperlink w:history="true" w:anchor="_bookmark61">
            <w:r>
              <w:rPr/>
              <w:t>Приложение</w:t>
            </w:r>
            <w:r>
              <w:rPr>
                <w:spacing w:val="-4"/>
              </w:rPr>
              <w:t> </w:t>
            </w:r>
            <w:r>
              <w:rPr/>
              <w:t>10-1</w:t>
              <w:tab/>
              <w:t>210</w:t>
            </w:r>
          </w:hyperlink>
        </w:p>
        <w:p>
          <w:pPr>
            <w:pStyle w:val="TOC3"/>
            <w:tabs>
              <w:tab w:pos="9242" w:val="right" w:leader="dot"/>
            </w:tabs>
          </w:pPr>
          <w:hyperlink w:history="true" w:anchor="_bookmark62">
            <w:r>
              <w:rPr/>
              <w:t>Приложение</w:t>
            </w:r>
            <w:r>
              <w:rPr>
                <w:spacing w:val="-4"/>
              </w:rPr>
              <w:t> </w:t>
            </w:r>
            <w:r>
              <w:rPr/>
              <w:t>10-2</w:t>
              <w:tab/>
              <w:t>213</w:t>
            </w:r>
          </w:hyperlink>
        </w:p>
        <w:p>
          <w:pPr>
            <w:pStyle w:val="TOC3"/>
            <w:tabs>
              <w:tab w:pos="9242" w:val="right" w:leader="dot"/>
            </w:tabs>
            <w:spacing w:before="113"/>
          </w:pPr>
          <w:hyperlink w:history="true" w:anchor="_bookmark64">
            <w:r>
              <w:rPr/>
              <w:t>Приложение</w:t>
            </w:r>
            <w:r>
              <w:rPr>
                <w:spacing w:val="-4"/>
              </w:rPr>
              <w:t> </w:t>
            </w:r>
            <w:r>
              <w:rPr/>
              <w:t>11-1</w:t>
              <w:tab/>
              <w:t>218</w:t>
            </w:r>
          </w:hyperlink>
        </w:p>
        <w:p>
          <w:pPr>
            <w:pStyle w:val="TOC3"/>
            <w:tabs>
              <w:tab w:pos="9242" w:val="right" w:leader="dot"/>
            </w:tabs>
          </w:pPr>
          <w:hyperlink w:history="true" w:anchor="_bookmark65">
            <w:r>
              <w:rPr/>
              <w:t>Приложение</w:t>
            </w:r>
            <w:r>
              <w:rPr>
                <w:spacing w:val="-4"/>
              </w:rPr>
              <w:t> </w:t>
            </w:r>
            <w:r>
              <w:rPr/>
              <w:t>11-2</w:t>
              <w:tab/>
              <w:t>219</w:t>
            </w:r>
          </w:hyperlink>
        </w:p>
        <w:p>
          <w:pPr>
            <w:pStyle w:val="TOC3"/>
            <w:tabs>
              <w:tab w:pos="9242" w:val="right" w:leader="dot"/>
            </w:tabs>
            <w:spacing w:before="113"/>
          </w:pPr>
          <w:hyperlink w:history="true" w:anchor="_bookmark67">
            <w:r>
              <w:rPr/>
              <w:t>Приложение</w:t>
            </w:r>
            <w:r>
              <w:rPr>
                <w:spacing w:val="-4"/>
              </w:rPr>
              <w:t> </w:t>
            </w:r>
            <w:r>
              <w:rPr/>
              <w:t>12</w:t>
              <w:tab/>
              <w:t>221</w:t>
            </w:r>
          </w:hyperlink>
        </w:p>
        <w:p>
          <w:pPr>
            <w:pStyle w:val="TOC3"/>
            <w:tabs>
              <w:tab w:pos="9242" w:val="right" w:leader="dot"/>
            </w:tabs>
          </w:pPr>
          <w:hyperlink w:history="true" w:anchor="_bookmark68">
            <w:r>
              <w:rPr/>
              <w:t>Приложение</w:t>
            </w:r>
            <w:r>
              <w:rPr>
                <w:spacing w:val="-4"/>
              </w:rPr>
              <w:t> </w:t>
            </w:r>
            <w:r>
              <w:rPr/>
              <w:t>13</w:t>
              <w:tab/>
              <w:t>222</w:t>
            </w:r>
          </w:hyperlink>
        </w:p>
        <w:p>
          <w:pPr>
            <w:pStyle w:val="TOC3"/>
            <w:tabs>
              <w:tab w:pos="9242" w:val="right" w:leader="dot"/>
            </w:tabs>
          </w:pPr>
          <w:hyperlink w:history="true" w:anchor="_bookmark69">
            <w:r>
              <w:rPr/>
              <w:t>Приложение</w:t>
            </w:r>
            <w:r>
              <w:rPr>
                <w:spacing w:val="-4"/>
              </w:rPr>
              <w:t> </w:t>
            </w:r>
            <w:r>
              <w:rPr/>
              <w:t>14</w:t>
              <w:tab/>
              <w:t>223</w:t>
            </w:r>
          </w:hyperlink>
        </w:p>
        <w:p>
          <w:pPr>
            <w:pStyle w:val="TOC3"/>
            <w:tabs>
              <w:tab w:pos="9242" w:val="right" w:leader="dot"/>
            </w:tabs>
            <w:spacing w:before="113"/>
          </w:pPr>
          <w:hyperlink w:history="true" w:anchor="_bookmark70">
            <w:r>
              <w:rPr/>
              <w:t>Приложение</w:t>
            </w:r>
            <w:r>
              <w:rPr>
                <w:spacing w:val="-4"/>
              </w:rPr>
              <w:t> </w:t>
            </w:r>
            <w:r>
              <w:rPr/>
              <w:t>15</w:t>
              <w:tab/>
              <w:t>224</w:t>
            </w:r>
          </w:hyperlink>
        </w:p>
        <w:p>
          <w:pPr>
            <w:pStyle w:val="TOC1"/>
            <w:tabs>
              <w:tab w:pos="9245" w:val="right" w:leader="dot"/>
            </w:tabs>
            <w:spacing w:before="111"/>
            <w:ind w:left="604" w:firstLine="0"/>
          </w:pPr>
          <w:hyperlink w:history="true" w:anchor="_bookmark71">
            <w:r>
              <w:rPr>
                <w:color w:val="2D74B5"/>
              </w:rPr>
              <w:t>СПИСОК</w:t>
            </w:r>
            <w:r>
              <w:rPr>
                <w:color w:val="2D74B5"/>
                <w:spacing w:val="-3"/>
              </w:rPr>
              <w:t> </w:t>
            </w:r>
            <w:r>
              <w:rPr>
                <w:color w:val="2D74B5"/>
              </w:rPr>
              <w:t>ИСПОЛЬЗОВАННЫХ СОКРАЩЕНИЙ</w:t>
              <w:tab/>
              <w:t>225</w:t>
            </w:r>
          </w:hyperlink>
        </w:p>
        <w:p>
          <w:pPr>
            <w:pStyle w:val="TOC1"/>
            <w:tabs>
              <w:tab w:pos="9244" w:val="right" w:leader="dot"/>
            </w:tabs>
            <w:spacing w:before="112"/>
            <w:ind w:left="604" w:firstLine="0"/>
          </w:pPr>
          <w:hyperlink w:history="true" w:anchor="_bookmark72">
            <w:r>
              <w:rPr>
                <w:color w:val="2D74B5"/>
              </w:rPr>
              <w:t>АВТОРСКИЙ</w:t>
            </w:r>
            <w:r>
              <w:rPr>
                <w:color w:val="2D74B5"/>
                <w:spacing w:val="-2"/>
              </w:rPr>
              <w:t> </w:t>
            </w:r>
            <w:r>
              <w:rPr>
                <w:color w:val="2D74B5"/>
              </w:rPr>
              <w:t>КОЛЛЕКТИВ</w:t>
              <w:tab/>
              <w:t>227</w:t>
            </w:r>
          </w:hyperlink>
        </w:p>
      </w:sdtContent>
    </w:sdt>
    <w:p>
      <w:pPr>
        <w:spacing w:after="0"/>
        <w:sectPr>
          <w:type w:val="continuous"/>
          <w:pgSz w:w="11920" w:h="16850"/>
          <w:pgMar w:top="1090" w:bottom="1594" w:left="1380" w:right="600"/>
        </w:sectPr>
      </w:pPr>
    </w:p>
    <w:p>
      <w:pPr>
        <w:pStyle w:val="Heading2"/>
        <w:spacing w:before="59"/>
      </w:pPr>
      <w:bookmarkStart w:name="ВВЕДЕНИЕ" w:id="3"/>
      <w:bookmarkEnd w:id="3"/>
      <w:r>
        <w:rPr>
          <w:b w:val="0"/>
        </w:rPr>
      </w:r>
      <w:bookmarkStart w:name="_bookmark0" w:id="4"/>
      <w:bookmarkEnd w:id="4"/>
      <w:r>
        <w:rPr>
          <w:b w:val="0"/>
        </w:rPr>
      </w:r>
      <w:r>
        <w:rPr>
          <w:color w:val="1F487C"/>
        </w:rPr>
        <w:t>ВВЕДЕНИЕ</w:t>
      </w:r>
    </w:p>
    <w:p>
      <w:pPr>
        <w:pStyle w:val="BodyText"/>
        <w:spacing w:line="312" w:lineRule="auto" w:before="200"/>
        <w:ind w:right="674" w:firstLine="708"/>
      </w:pPr>
      <w:r>
        <w:rPr/>
        <w:t>В конце 2019 г. в Китайской Народной Республике (КНР) произошла вспышка новой коронавирусной инфекции с эпицентром в городе Ухань (провинция Хубэй). Всемирная организация здравоохранения (ВОЗ) 11 февраля 2020 г. определила официальное название инфекции, вызванной новым коронавирусом, – COVID-19 («Coronavirus  disease  2019»).  Международный  комитет   по   таксономии   вирусов 11 февраля 2020 г. присвоил официальное название возбудителю инфекции – SARS-CoV-2.</w:t>
      </w:r>
    </w:p>
    <w:p>
      <w:pPr>
        <w:pStyle w:val="BodyText"/>
        <w:spacing w:line="324" w:lineRule="auto" w:before="14"/>
        <w:ind w:right="674" w:firstLine="708"/>
      </w:pPr>
      <w:r>
        <w:rPr/>
        <w:t>Появление COVID-19 поставило перед специалистами здравоохранения задачи, связанные с  быстрой  диагностикой  и  оказанием  медицинской  помощи  больным.  В настоящее      время      продолжается      интенсивное      изучение      клинических   и эпидемиологических особенностей заболевания, разработка новых средств его профилактики</w:t>
      </w:r>
      <w:r>
        <w:rPr>
          <w:spacing w:val="18"/>
        </w:rPr>
        <w:t> </w:t>
      </w:r>
      <w:r>
        <w:rPr/>
        <w:t>и</w:t>
      </w:r>
      <w:r>
        <w:rPr>
          <w:spacing w:val="15"/>
        </w:rPr>
        <w:t> </w:t>
      </w:r>
      <w:r>
        <w:rPr/>
        <w:t>лечения.</w:t>
      </w:r>
      <w:r>
        <w:rPr>
          <w:spacing w:val="17"/>
        </w:rPr>
        <w:t> </w:t>
      </w:r>
      <w:r>
        <w:rPr/>
        <w:t>Наиболее</w:t>
      </w:r>
      <w:r>
        <w:rPr>
          <w:spacing w:val="16"/>
        </w:rPr>
        <w:t> </w:t>
      </w:r>
      <w:r>
        <w:rPr/>
        <w:t>распространенным</w:t>
      </w:r>
      <w:r>
        <w:rPr>
          <w:spacing w:val="17"/>
        </w:rPr>
        <w:t> </w:t>
      </w:r>
      <w:r>
        <w:rPr/>
        <w:t>клиническим</w:t>
      </w:r>
      <w:r>
        <w:rPr>
          <w:spacing w:val="16"/>
        </w:rPr>
        <w:t> </w:t>
      </w:r>
      <w:r>
        <w:rPr/>
        <w:t>проявлением</w:t>
      </w:r>
    </w:p>
    <w:p>
      <w:pPr>
        <w:pStyle w:val="BodyText"/>
        <w:spacing w:line="312" w:lineRule="auto"/>
        <w:ind w:right="675"/>
      </w:pPr>
      <w:r>
        <w:rPr/>
        <w:t>нового варианта коронавирусной инфекции является двусторонняя пневмония (вирусное диффузное альвеолярное повреждение с микроангиопатией), у 3-4% пациентов зарегистрировано развитие острого респираторного дистресс-синдрома (ОРДС). У части больных развивается гиперкоагуляционный синдром с тромбозами   и</w:t>
      </w:r>
      <w:r>
        <w:rPr>
          <w:spacing w:val="-2"/>
        </w:rPr>
        <w:t> </w:t>
      </w:r>
      <w:r>
        <w:rPr/>
        <w:t>тромбоэмболиями,</w:t>
      </w:r>
      <w:r>
        <w:rPr>
          <w:spacing w:val="-16"/>
        </w:rPr>
        <w:t> </w:t>
      </w:r>
      <w:r>
        <w:rPr/>
        <w:t>поражаются</w:t>
      </w:r>
      <w:r>
        <w:rPr>
          <w:spacing w:val="-17"/>
        </w:rPr>
        <w:t> </w:t>
      </w:r>
      <w:r>
        <w:rPr/>
        <w:t>также</w:t>
      </w:r>
      <w:r>
        <w:rPr>
          <w:spacing w:val="-15"/>
        </w:rPr>
        <w:t> </w:t>
      </w:r>
      <w:r>
        <w:rPr/>
        <w:t>другие</w:t>
      </w:r>
      <w:r>
        <w:rPr>
          <w:spacing w:val="-13"/>
        </w:rPr>
        <w:t> </w:t>
      </w:r>
      <w:r>
        <w:rPr/>
        <w:t>органы</w:t>
      </w:r>
      <w:r>
        <w:rPr>
          <w:spacing w:val="-16"/>
        </w:rPr>
        <w:t> </w:t>
      </w:r>
      <w:r>
        <w:rPr/>
        <w:t>и</w:t>
      </w:r>
      <w:r>
        <w:rPr>
          <w:spacing w:val="-16"/>
        </w:rPr>
        <w:t> </w:t>
      </w:r>
      <w:r>
        <w:rPr/>
        <w:t>системы</w:t>
      </w:r>
      <w:r>
        <w:rPr>
          <w:spacing w:val="-15"/>
        </w:rPr>
        <w:t> </w:t>
      </w:r>
      <w:r>
        <w:rPr/>
        <w:t>(центральная</w:t>
      </w:r>
      <w:r>
        <w:rPr>
          <w:spacing w:val="-16"/>
        </w:rPr>
        <w:t> </w:t>
      </w:r>
      <w:r>
        <w:rPr/>
        <w:t>нервная система,   миокард,    почки,    печень,    желудочно-кишечный    тракт,    эндокринная и иммунная системы), возможно развитие сепсиса и септического</w:t>
      </w:r>
      <w:r>
        <w:rPr>
          <w:spacing w:val="-4"/>
        </w:rPr>
        <w:t> </w:t>
      </w:r>
      <w:r>
        <w:rPr/>
        <w:t>шока.</w:t>
      </w:r>
    </w:p>
    <w:p>
      <w:pPr>
        <w:pStyle w:val="BodyText"/>
        <w:spacing w:line="312" w:lineRule="auto" w:before="5"/>
        <w:ind w:right="674" w:firstLine="708"/>
      </w:pPr>
      <w:r>
        <w:rPr/>
        <w:t>Рекомендации, представленные в документе, в значительной степени базируются на материалах по диагностике, профилактике и лечению COVID-19, опубликованных специалистами ВОЗ, китайского, американского и европейского центров по контролю за заболеваемостью, анализе отечественных и зарубежных научных публикаций, нормативно-правовых документах Правительства Российской Федерации, Минздрава России и Роспотребнадзора.</w:t>
      </w:r>
    </w:p>
    <w:p>
      <w:pPr>
        <w:pStyle w:val="BodyText"/>
        <w:spacing w:line="312" w:lineRule="auto" w:before="13"/>
        <w:ind w:right="676" w:firstLine="708"/>
      </w:pPr>
      <w:r>
        <w:rPr/>
        <w:t>Мероприятия по предупреждению завоза и распространения COVID-19 на территории</w:t>
      </w:r>
      <w:r>
        <w:rPr>
          <w:spacing w:val="-13"/>
        </w:rPr>
        <w:t> </w:t>
      </w:r>
      <w:r>
        <w:rPr/>
        <w:t>Российской</w:t>
      </w:r>
      <w:r>
        <w:rPr>
          <w:spacing w:val="-14"/>
        </w:rPr>
        <w:t> </w:t>
      </w:r>
      <w:r>
        <w:rPr/>
        <w:t>Федерации</w:t>
      </w:r>
      <w:r>
        <w:rPr>
          <w:spacing w:val="-12"/>
        </w:rPr>
        <w:t> </w:t>
      </w:r>
      <w:r>
        <w:rPr/>
        <w:t>регламентированы</w:t>
      </w:r>
      <w:r>
        <w:rPr>
          <w:spacing w:val="-14"/>
        </w:rPr>
        <w:t> </w:t>
      </w:r>
      <w:r>
        <w:rPr/>
        <w:t>распоряжениями</w:t>
      </w:r>
      <w:r>
        <w:rPr>
          <w:spacing w:val="-12"/>
        </w:rPr>
        <w:t> </w:t>
      </w:r>
      <w:r>
        <w:rPr/>
        <w:t>Правительства Российской  Федерации от  30.01.2020 №  140-р, от  31.01.2020 №  154-р, от</w:t>
      </w:r>
      <w:r>
        <w:rPr>
          <w:spacing w:val="16"/>
        </w:rPr>
        <w:t> </w:t>
      </w:r>
      <w:r>
        <w:rPr/>
        <w:t>03.02.2020</w:t>
      </w:r>
    </w:p>
    <w:p>
      <w:pPr>
        <w:pStyle w:val="BodyText"/>
        <w:spacing w:line="312" w:lineRule="auto" w:before="1"/>
        <w:ind w:right="675"/>
      </w:pPr>
      <w:r>
        <w:rPr/>
        <w:t>№ 194-р, от 18.02.2020 № 338-р, от 27.02.2020 № 447-р, от 27.02.2020 № 446-р, от 27.02.2020  №  448-р  от  16.03.2020  №  635-р,  от  06.03.2020  №  550-р,  от </w:t>
      </w:r>
      <w:r>
        <w:rPr>
          <w:spacing w:val="2"/>
        </w:rPr>
        <w:t> </w:t>
      </w:r>
      <w:r>
        <w:rPr/>
        <w:t>12.03.2020</w:t>
      </w:r>
    </w:p>
    <w:p>
      <w:pPr>
        <w:pStyle w:val="BodyText"/>
      </w:pPr>
      <w:r>
        <w:rPr/>
        <w:t>№</w:t>
      </w:r>
      <w:r>
        <w:rPr>
          <w:spacing w:val="36"/>
        </w:rPr>
        <w:t> </w:t>
      </w:r>
      <w:r>
        <w:rPr/>
        <w:t>597-р,</w:t>
      </w:r>
      <w:r>
        <w:rPr>
          <w:spacing w:val="40"/>
        </w:rPr>
        <w:t> </w:t>
      </w:r>
      <w:r>
        <w:rPr/>
        <w:t>от</w:t>
      </w:r>
      <w:r>
        <w:rPr>
          <w:spacing w:val="40"/>
        </w:rPr>
        <w:t> </w:t>
      </w:r>
      <w:r>
        <w:rPr/>
        <w:t>14.03.2020</w:t>
      </w:r>
      <w:r>
        <w:rPr>
          <w:spacing w:val="38"/>
        </w:rPr>
        <w:t> </w:t>
      </w:r>
      <w:r>
        <w:rPr/>
        <w:t>№</w:t>
      </w:r>
      <w:r>
        <w:rPr>
          <w:spacing w:val="38"/>
        </w:rPr>
        <w:t> </w:t>
      </w:r>
      <w:r>
        <w:rPr/>
        <w:t>622-р,</w:t>
      </w:r>
      <w:r>
        <w:rPr>
          <w:spacing w:val="38"/>
        </w:rPr>
        <w:t> </w:t>
      </w:r>
      <w:r>
        <w:rPr/>
        <w:t>от</w:t>
      </w:r>
      <w:r>
        <w:rPr>
          <w:spacing w:val="40"/>
        </w:rPr>
        <w:t> </w:t>
      </w:r>
      <w:r>
        <w:rPr/>
        <w:t>16</w:t>
      </w:r>
      <w:r>
        <w:rPr>
          <w:spacing w:val="38"/>
        </w:rPr>
        <w:t> </w:t>
      </w:r>
      <w:r>
        <w:rPr/>
        <w:t>марта</w:t>
      </w:r>
      <w:r>
        <w:rPr>
          <w:spacing w:val="41"/>
        </w:rPr>
        <w:t> </w:t>
      </w:r>
      <w:r>
        <w:rPr/>
        <w:t>2020</w:t>
      </w:r>
      <w:r>
        <w:rPr>
          <w:spacing w:val="38"/>
        </w:rPr>
        <w:t> </w:t>
      </w:r>
      <w:r>
        <w:rPr/>
        <w:t>г.</w:t>
      </w:r>
      <w:r>
        <w:rPr>
          <w:spacing w:val="39"/>
        </w:rPr>
        <w:t> </w:t>
      </w:r>
      <w:r>
        <w:rPr/>
        <w:t>№</w:t>
      </w:r>
      <w:r>
        <w:rPr>
          <w:spacing w:val="37"/>
        </w:rPr>
        <w:t> </w:t>
      </w:r>
      <w:r>
        <w:rPr/>
        <w:t>730-р,</w:t>
      </w:r>
      <w:r>
        <w:rPr>
          <w:spacing w:val="39"/>
        </w:rPr>
        <w:t> </w:t>
      </w:r>
      <w:r>
        <w:rPr/>
        <w:t>от</w:t>
      </w:r>
      <w:r>
        <w:rPr>
          <w:spacing w:val="39"/>
        </w:rPr>
        <w:t> </w:t>
      </w:r>
      <w:r>
        <w:rPr/>
        <w:t>27</w:t>
      </w:r>
      <w:r>
        <w:rPr>
          <w:spacing w:val="39"/>
        </w:rPr>
        <w:t> </w:t>
      </w:r>
      <w:r>
        <w:rPr/>
        <w:t>марта</w:t>
      </w:r>
      <w:r>
        <w:rPr>
          <w:spacing w:val="37"/>
        </w:rPr>
        <w:t> </w:t>
      </w:r>
      <w:r>
        <w:rPr/>
        <w:t>2020</w:t>
      </w:r>
      <w:r>
        <w:rPr>
          <w:spacing w:val="40"/>
        </w:rPr>
        <w:t> </w:t>
      </w:r>
      <w:r>
        <w:rPr/>
        <w:t>г.</w:t>
      </w:r>
    </w:p>
    <w:p>
      <w:pPr>
        <w:pStyle w:val="BodyText"/>
        <w:spacing w:line="312" w:lineRule="auto" w:before="82"/>
        <w:ind w:right="676"/>
      </w:pPr>
      <w:r>
        <w:rPr/>
        <w:t>№</w:t>
      </w:r>
      <w:r>
        <w:rPr>
          <w:spacing w:val="-18"/>
        </w:rPr>
        <w:t> </w:t>
      </w:r>
      <w:r>
        <w:rPr/>
        <w:t>763-р</w:t>
      </w:r>
      <w:r>
        <w:rPr>
          <w:spacing w:val="31"/>
        </w:rPr>
        <w:t> </w:t>
      </w:r>
      <w:r>
        <w:rPr/>
        <w:t>и</w:t>
      </w:r>
      <w:r>
        <w:rPr>
          <w:spacing w:val="-15"/>
        </w:rPr>
        <w:t> </w:t>
      </w:r>
      <w:r>
        <w:rPr/>
        <w:t>постановлениями</w:t>
      </w:r>
      <w:r>
        <w:rPr>
          <w:spacing w:val="-16"/>
        </w:rPr>
        <w:t> </w:t>
      </w:r>
      <w:r>
        <w:rPr/>
        <w:t>Главного</w:t>
      </w:r>
      <w:r>
        <w:rPr>
          <w:spacing w:val="-16"/>
        </w:rPr>
        <w:t> </w:t>
      </w:r>
      <w:r>
        <w:rPr/>
        <w:t>государственного</w:t>
      </w:r>
      <w:r>
        <w:rPr>
          <w:spacing w:val="-16"/>
        </w:rPr>
        <w:t> </w:t>
      </w:r>
      <w:r>
        <w:rPr/>
        <w:t>санитарного</w:t>
      </w:r>
      <w:r>
        <w:rPr>
          <w:spacing w:val="-16"/>
        </w:rPr>
        <w:t> </w:t>
      </w:r>
      <w:r>
        <w:rPr/>
        <w:t>врача</w:t>
      </w:r>
      <w:r>
        <w:rPr>
          <w:spacing w:val="-15"/>
        </w:rPr>
        <w:t> </w:t>
      </w:r>
      <w:r>
        <w:rPr/>
        <w:t>Российской Федерации от 24.01.2020 № 2, от 31.01.2020 № 3, от 02.03.2020 № 5, от 13.03.2020 №</w:t>
      </w:r>
      <w:r>
        <w:rPr>
          <w:spacing w:val="-31"/>
        </w:rPr>
        <w:t> </w:t>
      </w:r>
      <w:r>
        <w:rPr/>
        <w:t>6,</w:t>
      </w:r>
    </w:p>
    <w:p>
      <w:pPr>
        <w:pStyle w:val="BodyText"/>
        <w:jc w:val="left"/>
      </w:pPr>
      <w:r>
        <w:rPr/>
        <w:t>от</w:t>
      </w:r>
      <w:r>
        <w:rPr>
          <w:spacing w:val="41"/>
        </w:rPr>
        <w:t> </w:t>
      </w:r>
      <w:r>
        <w:rPr/>
        <w:t>18.03.2020</w:t>
      </w:r>
      <w:r>
        <w:rPr>
          <w:spacing w:val="40"/>
        </w:rPr>
        <w:t> </w:t>
      </w:r>
      <w:r>
        <w:rPr/>
        <w:t>№</w:t>
      </w:r>
      <w:r>
        <w:rPr>
          <w:spacing w:val="39"/>
        </w:rPr>
        <w:t> </w:t>
      </w:r>
      <w:r>
        <w:rPr/>
        <w:t>7,</w:t>
      </w:r>
      <w:r>
        <w:rPr>
          <w:spacing w:val="40"/>
        </w:rPr>
        <w:t> </w:t>
      </w:r>
      <w:r>
        <w:rPr/>
        <w:t>от</w:t>
      </w:r>
      <w:r>
        <w:rPr>
          <w:spacing w:val="41"/>
        </w:rPr>
        <w:t> </w:t>
      </w:r>
      <w:r>
        <w:rPr/>
        <w:t>30.03.2020</w:t>
      </w:r>
      <w:r>
        <w:rPr>
          <w:spacing w:val="40"/>
        </w:rPr>
        <w:t> </w:t>
      </w:r>
      <w:r>
        <w:rPr/>
        <w:t>№</w:t>
      </w:r>
      <w:r>
        <w:rPr>
          <w:spacing w:val="39"/>
        </w:rPr>
        <w:t> </w:t>
      </w:r>
      <w:r>
        <w:rPr/>
        <w:t>9,</w:t>
      </w:r>
      <w:r>
        <w:rPr>
          <w:spacing w:val="40"/>
        </w:rPr>
        <w:t> </w:t>
      </w:r>
      <w:r>
        <w:rPr/>
        <w:t>от</w:t>
      </w:r>
      <w:r>
        <w:rPr>
          <w:spacing w:val="41"/>
        </w:rPr>
        <w:t> </w:t>
      </w:r>
      <w:r>
        <w:rPr/>
        <w:t>03.04.2020</w:t>
      </w:r>
      <w:r>
        <w:rPr>
          <w:spacing w:val="40"/>
        </w:rPr>
        <w:t> </w:t>
      </w:r>
      <w:r>
        <w:rPr/>
        <w:t>№</w:t>
      </w:r>
      <w:r>
        <w:rPr>
          <w:spacing w:val="39"/>
        </w:rPr>
        <w:t> </w:t>
      </w:r>
      <w:r>
        <w:rPr/>
        <w:t>10,</w:t>
      </w:r>
      <w:r>
        <w:rPr>
          <w:spacing w:val="40"/>
        </w:rPr>
        <w:t> </w:t>
      </w:r>
      <w:r>
        <w:rPr/>
        <w:t>от</w:t>
      </w:r>
      <w:r>
        <w:rPr>
          <w:spacing w:val="41"/>
        </w:rPr>
        <w:t> </w:t>
      </w:r>
      <w:r>
        <w:rPr/>
        <w:t>13.04.2020</w:t>
      </w:r>
      <w:r>
        <w:rPr>
          <w:spacing w:val="40"/>
        </w:rPr>
        <w:t> </w:t>
      </w:r>
      <w:r>
        <w:rPr/>
        <w:t>№</w:t>
      </w:r>
      <w:r>
        <w:rPr>
          <w:spacing w:val="39"/>
        </w:rPr>
        <w:t> </w:t>
      </w:r>
      <w:r>
        <w:rPr/>
        <w:t>11,</w:t>
      </w:r>
      <w:r>
        <w:rPr>
          <w:spacing w:val="40"/>
        </w:rPr>
        <w:t> </w:t>
      </w:r>
      <w:r>
        <w:rPr/>
        <w:t>от</w:t>
      </w:r>
    </w:p>
    <w:p>
      <w:pPr>
        <w:pStyle w:val="BodyText"/>
        <w:spacing w:before="84"/>
        <w:jc w:val="left"/>
      </w:pPr>
      <w:r>
        <w:rPr/>
        <w:t>22.05.2020 № 15,  от  07.07.2020 г. №  18, от  13.07.2020 № 20,  от  15.07.2020 № 21, </w:t>
      </w:r>
      <w:r>
        <w:rPr>
          <w:spacing w:val="44"/>
        </w:rPr>
        <w:t> </w:t>
      </w:r>
      <w:r>
        <w:rPr/>
        <w:t>от</w:t>
      </w:r>
    </w:p>
    <w:p>
      <w:pPr>
        <w:pStyle w:val="BodyText"/>
        <w:spacing w:before="81"/>
        <w:jc w:val="left"/>
      </w:pPr>
      <w:r>
        <w:rPr/>
        <w:t>18.09.2020 № 27.</w:t>
      </w:r>
    </w:p>
    <w:p>
      <w:pPr>
        <w:pStyle w:val="BodyText"/>
        <w:spacing w:line="312" w:lineRule="auto" w:before="84"/>
        <w:ind w:firstLine="708"/>
        <w:jc w:val="left"/>
      </w:pPr>
      <w:r>
        <w:rPr/>
        <w:t>Мероприятия по недопущению распространения COVID-19 в медицинских организациях проводятся в соответствии с приказом Минздрава России от 19.03.2020</w:t>
      </w:r>
    </w:p>
    <w:p>
      <w:pPr>
        <w:spacing w:after="0" w:line="312" w:lineRule="auto"/>
        <w:jc w:val="left"/>
        <w:sectPr>
          <w:pgSz w:w="11920" w:h="16850"/>
          <w:pgMar w:header="0" w:footer="620" w:top="1080" w:bottom="880" w:left="1380" w:right="600"/>
        </w:sectPr>
      </w:pPr>
    </w:p>
    <w:p>
      <w:pPr>
        <w:pStyle w:val="BodyText"/>
        <w:spacing w:line="312" w:lineRule="auto" w:before="78"/>
        <w:ind w:right="674"/>
      </w:pPr>
      <w:r>
        <w:rPr/>
        <w:t>№ 198н </w:t>
      </w:r>
      <w:r>
        <w:rPr>
          <w:spacing w:val="-4"/>
        </w:rPr>
        <w:t>«О </w:t>
      </w:r>
      <w:r>
        <w:rPr/>
        <w:t>временном порядке организации работы медицинских организаций в целях реализации мер по профилактике и снижению рисков распространения новой коронавирусной инфекции COVID-19» (в ред. приказов Минздрава России от 27.03.2020 № 246н, от 02.04.2020 № 264н, от 29.04.2020 № 385н, от 18.05.2020 № </w:t>
      </w:r>
      <w:r>
        <w:rPr>
          <w:spacing w:val="-3"/>
        </w:rPr>
        <w:t>459н, </w:t>
      </w:r>
      <w:r>
        <w:rPr/>
        <w:t>от</w:t>
      </w:r>
      <w:r>
        <w:rPr>
          <w:spacing w:val="-12"/>
        </w:rPr>
        <w:t> </w:t>
      </w:r>
      <w:r>
        <w:rPr/>
        <w:t>29.05.2020</w:t>
      </w:r>
      <w:r>
        <w:rPr>
          <w:spacing w:val="-12"/>
        </w:rPr>
        <w:t> </w:t>
      </w:r>
      <w:r>
        <w:rPr/>
        <w:t>№</w:t>
      </w:r>
      <w:r>
        <w:rPr>
          <w:spacing w:val="-13"/>
        </w:rPr>
        <w:t> </w:t>
      </w:r>
      <w:r>
        <w:rPr/>
        <w:t>513н,</w:t>
      </w:r>
      <w:r>
        <w:rPr>
          <w:spacing w:val="-12"/>
        </w:rPr>
        <w:t> </w:t>
      </w:r>
      <w:r>
        <w:rPr/>
        <w:t>от</w:t>
      </w:r>
      <w:r>
        <w:rPr>
          <w:spacing w:val="-12"/>
        </w:rPr>
        <w:t> </w:t>
      </w:r>
      <w:r>
        <w:rPr/>
        <w:t>07.07.2020</w:t>
      </w:r>
      <w:r>
        <w:rPr>
          <w:spacing w:val="-12"/>
        </w:rPr>
        <w:t> </w:t>
      </w:r>
      <w:r>
        <w:rPr/>
        <w:t>№</w:t>
      </w:r>
      <w:r>
        <w:rPr>
          <w:spacing w:val="-12"/>
        </w:rPr>
        <w:t> </w:t>
      </w:r>
      <w:r>
        <w:rPr/>
        <w:t>685н,</w:t>
      </w:r>
      <w:r>
        <w:rPr>
          <w:spacing w:val="-12"/>
        </w:rPr>
        <w:t> </w:t>
      </w:r>
      <w:r>
        <w:rPr/>
        <w:t>от</w:t>
      </w:r>
      <w:r>
        <w:rPr>
          <w:spacing w:val="-17"/>
        </w:rPr>
        <w:t> </w:t>
      </w:r>
      <w:r>
        <w:rPr/>
        <w:t>27.08.2020</w:t>
      </w:r>
      <w:r>
        <w:rPr>
          <w:spacing w:val="-12"/>
        </w:rPr>
        <w:t> </w:t>
      </w:r>
      <w:r>
        <w:rPr/>
        <w:t>N</w:t>
      </w:r>
      <w:r>
        <w:rPr>
          <w:spacing w:val="-13"/>
        </w:rPr>
        <w:t> </w:t>
      </w:r>
      <w:r>
        <w:rPr/>
        <w:t>905н,</w:t>
      </w:r>
      <w:r>
        <w:rPr>
          <w:spacing w:val="-12"/>
        </w:rPr>
        <w:t> </w:t>
      </w:r>
      <w:r>
        <w:rPr/>
        <w:t>от</w:t>
      </w:r>
      <w:r>
        <w:rPr>
          <w:spacing w:val="-12"/>
        </w:rPr>
        <w:t> </w:t>
      </w:r>
      <w:r>
        <w:rPr/>
        <w:t>15.09.2020</w:t>
      </w:r>
      <w:r>
        <w:rPr>
          <w:spacing w:val="-11"/>
        </w:rPr>
        <w:t> </w:t>
      </w:r>
      <w:r>
        <w:rPr/>
        <w:t>N</w:t>
      </w:r>
      <w:r>
        <w:rPr>
          <w:spacing w:val="-13"/>
        </w:rPr>
        <w:t> </w:t>
      </w:r>
      <w:r>
        <w:rPr>
          <w:spacing w:val="-3"/>
        </w:rPr>
        <w:t>982н, </w:t>
      </w:r>
      <w:r>
        <w:rPr/>
        <w:t>от 01.10.2020 N</w:t>
      </w:r>
      <w:r>
        <w:rPr>
          <w:spacing w:val="-1"/>
        </w:rPr>
        <w:t> </w:t>
      </w:r>
      <w:r>
        <w:rPr/>
        <w:t>1062н).</w:t>
      </w:r>
    </w:p>
    <w:p>
      <w:pPr>
        <w:pStyle w:val="BodyText"/>
        <w:spacing w:line="312" w:lineRule="auto"/>
        <w:ind w:right="674" w:firstLine="708"/>
      </w:pPr>
      <w:r>
        <w:rPr/>
        <w:t>Методические рекомендации предназначены для руководителей медицинских организаций и их структурных подразделений, врачей-терапевтов, врачей общей практики, врачей-инфекционистов, врачей-педиатров, врачей-акушеров-гинекологов, врачей-реаниматологов отделений интенсивной терапии инфекционных стационаров, врачей</w:t>
      </w:r>
      <w:r>
        <w:rPr>
          <w:spacing w:val="-4"/>
        </w:rPr>
        <w:t> </w:t>
      </w:r>
      <w:r>
        <w:rPr/>
        <w:t>скорой</w:t>
      </w:r>
      <w:r>
        <w:rPr>
          <w:spacing w:val="-5"/>
        </w:rPr>
        <w:t> </w:t>
      </w:r>
      <w:r>
        <w:rPr/>
        <w:t>медицинской</w:t>
      </w:r>
      <w:r>
        <w:rPr>
          <w:spacing w:val="-6"/>
        </w:rPr>
        <w:t> </w:t>
      </w:r>
      <w:r>
        <w:rPr/>
        <w:t>помощи,</w:t>
      </w:r>
      <w:r>
        <w:rPr>
          <w:spacing w:val="-6"/>
        </w:rPr>
        <w:t> </w:t>
      </w:r>
      <w:r>
        <w:rPr/>
        <w:t>а</w:t>
      </w:r>
      <w:r>
        <w:rPr>
          <w:spacing w:val="-7"/>
        </w:rPr>
        <w:t> </w:t>
      </w:r>
      <w:r>
        <w:rPr/>
        <w:t>также</w:t>
      </w:r>
      <w:r>
        <w:rPr>
          <w:spacing w:val="-7"/>
        </w:rPr>
        <w:t> </w:t>
      </w:r>
      <w:r>
        <w:rPr/>
        <w:t>иных</w:t>
      </w:r>
      <w:r>
        <w:rPr>
          <w:spacing w:val="-5"/>
        </w:rPr>
        <w:t> </w:t>
      </w:r>
      <w:r>
        <w:rPr/>
        <w:t>специалистов,</w:t>
      </w:r>
      <w:r>
        <w:rPr>
          <w:spacing w:val="-6"/>
        </w:rPr>
        <w:t> </w:t>
      </w:r>
      <w:r>
        <w:rPr/>
        <w:t>работающих</w:t>
      </w:r>
      <w:r>
        <w:rPr>
          <w:spacing w:val="-4"/>
        </w:rPr>
        <w:t> </w:t>
      </w:r>
      <w:r>
        <w:rPr/>
        <w:t>в</w:t>
      </w:r>
      <w:r>
        <w:rPr>
          <w:spacing w:val="-8"/>
        </w:rPr>
        <w:t> </w:t>
      </w:r>
      <w:r>
        <w:rPr/>
        <w:t>сфере лабораторной и инструментальной диагностики и организации оказания медицинской помощи пациентам с</w:t>
      </w:r>
      <w:r>
        <w:rPr>
          <w:spacing w:val="-2"/>
        </w:rPr>
        <w:t> </w:t>
      </w:r>
      <w:r>
        <w:rPr/>
        <w:t>COVID-19.</w:t>
      </w:r>
    </w:p>
    <w:p>
      <w:pPr>
        <w:pStyle w:val="BodyText"/>
        <w:spacing w:before="4"/>
        <w:ind w:left="0"/>
        <w:jc w:val="left"/>
        <w:rPr>
          <w:sz w:val="31"/>
        </w:rPr>
      </w:pPr>
    </w:p>
    <w:p>
      <w:pPr>
        <w:pStyle w:val="Heading2"/>
        <w:numPr>
          <w:ilvl w:val="0"/>
          <w:numId w:val="4"/>
        </w:numPr>
        <w:tabs>
          <w:tab w:pos="1390" w:val="left" w:leader="none"/>
        </w:tabs>
        <w:spacing w:line="240" w:lineRule="auto" w:before="0" w:after="0"/>
        <w:ind w:left="1389" w:right="0" w:hanging="361"/>
        <w:jc w:val="left"/>
      </w:pPr>
      <w:bookmarkStart w:name="1. ЭТИОЛОГИЯ, ПАТОГЕНЕЗ И ПАТОМОРФОЛОГИЯ" w:id="5"/>
      <w:bookmarkEnd w:id="5"/>
      <w:r>
        <w:rPr>
          <w:b w:val="0"/>
        </w:rPr>
      </w:r>
      <w:bookmarkStart w:name="_bookmark1" w:id="6"/>
      <w:bookmarkEnd w:id="6"/>
      <w:r>
        <w:rPr>
          <w:b w:val="0"/>
        </w:rPr>
      </w:r>
      <w:bookmarkStart w:name="_bookmark1" w:id="7"/>
      <w:bookmarkEnd w:id="7"/>
      <w:r>
        <w:rPr>
          <w:color w:val="1F487C"/>
        </w:rPr>
        <w:t>Э</w:t>
      </w:r>
      <w:r>
        <w:rPr>
          <w:color w:val="1F487C"/>
        </w:rPr>
        <w:t>ТИОЛОГИЯ, ПАТОГЕНЕЗ И</w:t>
      </w:r>
      <w:r>
        <w:rPr>
          <w:color w:val="1F487C"/>
          <w:spacing w:val="-4"/>
        </w:rPr>
        <w:t> </w:t>
      </w:r>
      <w:r>
        <w:rPr>
          <w:color w:val="1F487C"/>
        </w:rPr>
        <w:t>ПАТОМОРФОЛОГИЯ</w:t>
      </w:r>
    </w:p>
    <w:p>
      <w:pPr>
        <w:pStyle w:val="BodyText"/>
        <w:spacing w:line="312" w:lineRule="auto" w:before="200"/>
        <w:ind w:right="673" w:firstLine="708"/>
      </w:pPr>
      <w:r>
        <w:rPr/>
        <w:t>Коронавирусы (Coronaviridae) – это большое семейство РНК-содержащих вирусов,  способных  инфицировать  как  животных  (их  естественных  хозяев),  так   и человека. По результатам серологического и филогенетического анализа коронавирусы разделяются на четыре рода: </w:t>
      </w:r>
      <w:r>
        <w:rPr>
          <w:i/>
        </w:rPr>
        <w:t>Alphacoronavirus</w:t>
      </w:r>
      <w:r>
        <w:rPr/>
        <w:t>, </w:t>
      </w:r>
      <w:r>
        <w:rPr>
          <w:i/>
        </w:rPr>
        <w:t>Betacoronavirus</w:t>
      </w:r>
      <w:r>
        <w:rPr/>
        <w:t>, </w:t>
      </w:r>
      <w:r>
        <w:rPr>
          <w:i/>
        </w:rPr>
        <w:t>Gammacoronavirus</w:t>
      </w:r>
      <w:r>
        <w:rPr>
          <w:i/>
          <w:spacing w:val="-12"/>
        </w:rPr>
        <w:t> </w:t>
      </w:r>
      <w:r>
        <w:rPr/>
        <w:t>и</w:t>
      </w:r>
      <w:r>
        <w:rPr>
          <w:spacing w:val="-11"/>
        </w:rPr>
        <w:t> </w:t>
      </w:r>
      <w:r>
        <w:rPr>
          <w:i/>
        </w:rPr>
        <w:t>Deltacoronavirus</w:t>
      </w:r>
      <w:r>
        <w:rPr/>
        <w:t>.</w:t>
      </w:r>
      <w:r>
        <w:rPr>
          <w:spacing w:val="-12"/>
        </w:rPr>
        <w:t> </w:t>
      </w:r>
      <w:r>
        <w:rPr/>
        <w:t>У</w:t>
      </w:r>
      <w:r>
        <w:rPr>
          <w:spacing w:val="-12"/>
        </w:rPr>
        <w:t> </w:t>
      </w:r>
      <w:r>
        <w:rPr/>
        <w:t>людей</w:t>
      </w:r>
      <w:r>
        <w:rPr>
          <w:spacing w:val="-16"/>
        </w:rPr>
        <w:t> </w:t>
      </w:r>
      <w:r>
        <w:rPr/>
        <w:t>коронавирусы</w:t>
      </w:r>
      <w:r>
        <w:rPr>
          <w:spacing w:val="-13"/>
        </w:rPr>
        <w:t> </w:t>
      </w:r>
      <w:r>
        <w:rPr/>
        <w:t>могут</w:t>
      </w:r>
      <w:r>
        <w:rPr>
          <w:spacing w:val="-11"/>
        </w:rPr>
        <w:t> </w:t>
      </w:r>
      <w:r>
        <w:rPr/>
        <w:t>вызвать</w:t>
      </w:r>
      <w:r>
        <w:rPr>
          <w:spacing w:val="-10"/>
        </w:rPr>
        <w:t> </w:t>
      </w:r>
      <w:r>
        <w:rPr/>
        <w:t>целый</w:t>
      </w:r>
      <w:r>
        <w:rPr>
          <w:spacing w:val="-13"/>
        </w:rPr>
        <w:t> </w:t>
      </w:r>
      <w:r>
        <w:rPr/>
        <w:t>ряд заболеваний – от легких форм острой респираторной инфекции (ОРВИ) до тяжелого острого респираторного синдрома (ТОРС или SARS). В настоящее время среди населения</w:t>
      </w:r>
      <w:r>
        <w:rPr>
          <w:spacing w:val="-8"/>
        </w:rPr>
        <w:t> </w:t>
      </w:r>
      <w:r>
        <w:rPr/>
        <w:t>циркулируют</w:t>
      </w:r>
      <w:r>
        <w:rPr>
          <w:spacing w:val="-8"/>
        </w:rPr>
        <w:t> </w:t>
      </w:r>
      <w:r>
        <w:rPr/>
        <w:t>четыре</w:t>
      </w:r>
      <w:r>
        <w:rPr>
          <w:spacing w:val="-8"/>
        </w:rPr>
        <w:t> </w:t>
      </w:r>
      <w:r>
        <w:rPr/>
        <w:t>сезонных</w:t>
      </w:r>
      <w:r>
        <w:rPr>
          <w:spacing w:val="-6"/>
        </w:rPr>
        <w:t> </w:t>
      </w:r>
      <w:r>
        <w:rPr/>
        <w:t>коронавируса</w:t>
      </w:r>
      <w:r>
        <w:rPr>
          <w:spacing w:val="-6"/>
        </w:rPr>
        <w:t> </w:t>
      </w:r>
      <w:r>
        <w:rPr/>
        <w:t>(HCoV-229E,</w:t>
      </w:r>
      <w:r>
        <w:rPr>
          <w:spacing w:val="-6"/>
        </w:rPr>
        <w:t> </w:t>
      </w:r>
      <w:r>
        <w:rPr/>
        <w:t>-OC43,</w:t>
      </w:r>
      <w:r>
        <w:rPr>
          <w:spacing w:val="-8"/>
        </w:rPr>
        <w:t> </w:t>
      </w:r>
      <w:r>
        <w:rPr/>
        <w:t>-NL63</w:t>
      </w:r>
      <w:r>
        <w:rPr>
          <w:spacing w:val="-7"/>
        </w:rPr>
        <w:t> </w:t>
      </w:r>
      <w:r>
        <w:rPr/>
        <w:t>и</w:t>
      </w:r>
      <w:r>
        <w:rPr>
          <w:spacing w:val="-7"/>
        </w:rPr>
        <w:t> </w:t>
      </w:r>
      <w:r>
        <w:rPr/>
        <w:t>- HKU1), которые круглогодично присутствуют в структуре ОРВИ, и, как правило, вызывают поражение верхних дыхательных путей легкой и средней степени тяжести, а также два высокопатогенных коронавируса – вирус ближневосточного респираторного синдрома (MERS) и новой коронавирусной инфекции</w:t>
      </w:r>
      <w:r>
        <w:rPr>
          <w:spacing w:val="-10"/>
        </w:rPr>
        <w:t> </w:t>
      </w:r>
      <w:r>
        <w:rPr/>
        <w:t>COVID-19.</w:t>
      </w:r>
    </w:p>
    <w:p>
      <w:pPr>
        <w:pStyle w:val="BodyText"/>
        <w:spacing w:line="312" w:lineRule="auto" w:before="15"/>
        <w:ind w:right="674" w:firstLine="708"/>
      </w:pPr>
      <w:r>
        <w:rPr/>
        <w:t>До 2002 г. коронавирусы рассматривались в качестве агентов, вызывающих нетяжелые заболевания верхних дыхательных путей (с крайне редкими летальными исходами).</w:t>
      </w:r>
      <w:r>
        <w:rPr>
          <w:spacing w:val="-10"/>
        </w:rPr>
        <w:t> </w:t>
      </w:r>
      <w:r>
        <w:rPr/>
        <w:t>В</w:t>
      </w:r>
      <w:r>
        <w:rPr>
          <w:spacing w:val="-10"/>
        </w:rPr>
        <w:t> </w:t>
      </w:r>
      <w:r>
        <w:rPr/>
        <w:t>период</w:t>
      </w:r>
      <w:r>
        <w:rPr>
          <w:spacing w:val="-11"/>
        </w:rPr>
        <w:t> </w:t>
      </w:r>
      <w:r>
        <w:rPr/>
        <w:t>с</w:t>
      </w:r>
      <w:r>
        <w:rPr>
          <w:spacing w:val="-10"/>
        </w:rPr>
        <w:t> </w:t>
      </w:r>
      <w:r>
        <w:rPr/>
        <w:t>2002</w:t>
      </w:r>
      <w:r>
        <w:rPr>
          <w:spacing w:val="-10"/>
        </w:rPr>
        <w:t> </w:t>
      </w:r>
      <w:r>
        <w:rPr/>
        <w:t>по</w:t>
      </w:r>
      <w:r>
        <w:rPr>
          <w:spacing w:val="-9"/>
        </w:rPr>
        <w:t> </w:t>
      </w:r>
      <w:r>
        <w:rPr/>
        <w:t>2004</w:t>
      </w:r>
      <w:r>
        <w:rPr>
          <w:spacing w:val="-9"/>
        </w:rPr>
        <w:t> </w:t>
      </w:r>
      <w:r>
        <w:rPr/>
        <w:t>гг.</w:t>
      </w:r>
      <w:r>
        <w:rPr>
          <w:spacing w:val="-12"/>
        </w:rPr>
        <w:t> </w:t>
      </w:r>
      <w:r>
        <w:rPr/>
        <w:t>коронавирус</w:t>
      </w:r>
      <w:r>
        <w:rPr>
          <w:spacing w:val="-10"/>
        </w:rPr>
        <w:t> </w:t>
      </w:r>
      <w:r>
        <w:rPr/>
        <w:t>SARS-CoV</w:t>
      </w:r>
      <w:r>
        <w:rPr>
          <w:spacing w:val="-9"/>
        </w:rPr>
        <w:t> </w:t>
      </w:r>
      <w:r>
        <w:rPr/>
        <w:t>из</w:t>
      </w:r>
      <w:r>
        <w:rPr>
          <w:spacing w:val="-10"/>
        </w:rPr>
        <w:t> </w:t>
      </w:r>
      <w:r>
        <w:rPr/>
        <w:t>рода</w:t>
      </w:r>
      <w:r>
        <w:rPr>
          <w:spacing w:val="-11"/>
        </w:rPr>
        <w:t> </w:t>
      </w:r>
      <w:r>
        <w:rPr>
          <w:i/>
        </w:rPr>
        <w:t>Betacoronavirus </w:t>
      </w:r>
      <w:r>
        <w:rPr/>
        <w:t>(резервуар – летучие мыши, промежуточный резервуар – циветты) впервые стал причиной  развития   эпидемии   так   называемой   атипичной   пневмонии   –   ТОРС и подтвержденной причиной смерти 774 человек в 37 странах мира. С 2004 г. новых случаев</w:t>
      </w:r>
      <w:r>
        <w:rPr>
          <w:spacing w:val="-14"/>
        </w:rPr>
        <w:t> </w:t>
      </w:r>
      <w:r>
        <w:rPr/>
        <w:t>атипичной</w:t>
      </w:r>
      <w:r>
        <w:rPr>
          <w:spacing w:val="-12"/>
        </w:rPr>
        <w:t> </w:t>
      </w:r>
      <w:r>
        <w:rPr/>
        <w:t>пневмонии,</w:t>
      </w:r>
      <w:r>
        <w:rPr>
          <w:spacing w:val="-13"/>
        </w:rPr>
        <w:t> </w:t>
      </w:r>
      <w:r>
        <w:rPr/>
        <w:t>вызванной</w:t>
      </w:r>
      <w:r>
        <w:rPr>
          <w:spacing w:val="-14"/>
        </w:rPr>
        <w:t> </w:t>
      </w:r>
      <w:r>
        <w:rPr/>
        <w:t>SARS-CoV,</w:t>
      </w:r>
      <w:r>
        <w:rPr>
          <w:spacing w:val="-13"/>
        </w:rPr>
        <w:t> </w:t>
      </w:r>
      <w:r>
        <w:rPr/>
        <w:t>не</w:t>
      </w:r>
      <w:r>
        <w:rPr>
          <w:spacing w:val="-14"/>
        </w:rPr>
        <w:t> </w:t>
      </w:r>
      <w:r>
        <w:rPr/>
        <w:t>зарегистрировано.</w:t>
      </w:r>
      <w:r>
        <w:rPr>
          <w:spacing w:val="-13"/>
        </w:rPr>
        <w:t> </w:t>
      </w:r>
      <w:r>
        <w:rPr/>
        <w:t>Очередная эпидемия, вызванная коронавирусом MERS-CoV (резервуар – одногорбые верблюды), также из рода Betacoronavirus – ближневосточный коронавирусный синдром, началась в 2012 г. на Аравийским полуострове (82% случаев в Саудовской Аравии). До 2020 г. зарегистрировано 866 летальных исходов от MERS. В настоящий момент MERS-CoV продолжает циркулировать и вызывать новые случаи</w:t>
      </w:r>
      <w:r>
        <w:rPr>
          <w:spacing w:val="-2"/>
        </w:rPr>
        <w:t> </w:t>
      </w:r>
      <w:r>
        <w:rPr/>
        <w:t>заболевания.</w:t>
      </w:r>
    </w:p>
    <w:p>
      <w:pPr>
        <w:spacing w:after="0" w:line="312" w:lineRule="auto"/>
        <w:sectPr>
          <w:pgSz w:w="11920" w:h="16850"/>
          <w:pgMar w:header="0" w:footer="620" w:top="1060" w:bottom="880" w:left="1380" w:right="600"/>
        </w:sectPr>
      </w:pPr>
    </w:p>
    <w:p>
      <w:pPr>
        <w:pStyle w:val="BodyText"/>
        <w:spacing w:line="312" w:lineRule="auto" w:before="78"/>
        <w:ind w:right="674" w:firstLine="708"/>
      </w:pPr>
      <w:r>
        <w:rPr/>
        <w:t>SARS-CoV-2 – вирус с одноцепочечной РНК позитивной полярности, относящийся к семейству Coronaviridae, роду </w:t>
      </w:r>
      <w:r>
        <w:rPr>
          <w:i/>
        </w:rPr>
        <w:t>Betacoronavirus</w:t>
      </w:r>
      <w:r>
        <w:rPr/>
        <w:t>. Генетическая последовательность SARSCoV-2 сходна с последовательностью SARS-CoV по меньшей мере на 79%. Генетический анализ свыше 50 тысяч геномов SARS-CoV-2, полученных</w:t>
      </w:r>
      <w:r>
        <w:rPr>
          <w:spacing w:val="-11"/>
        </w:rPr>
        <w:t> </w:t>
      </w:r>
      <w:r>
        <w:rPr/>
        <w:t>в</w:t>
      </w:r>
      <w:r>
        <w:rPr>
          <w:spacing w:val="-13"/>
        </w:rPr>
        <w:t> </w:t>
      </w:r>
      <w:r>
        <w:rPr/>
        <w:t>результате</w:t>
      </w:r>
      <w:r>
        <w:rPr>
          <w:spacing w:val="-13"/>
        </w:rPr>
        <w:t> </w:t>
      </w:r>
      <w:r>
        <w:rPr/>
        <w:t>секвенирования,</w:t>
      </w:r>
      <w:r>
        <w:rPr>
          <w:spacing w:val="-13"/>
        </w:rPr>
        <w:t> </w:t>
      </w:r>
      <w:r>
        <w:rPr/>
        <w:t>позволяет</w:t>
      </w:r>
      <w:r>
        <w:rPr>
          <w:spacing w:val="-11"/>
        </w:rPr>
        <w:t> </w:t>
      </w:r>
      <w:r>
        <w:rPr/>
        <w:t>выделить</w:t>
      </w:r>
      <w:r>
        <w:rPr>
          <w:spacing w:val="-12"/>
        </w:rPr>
        <w:t> </w:t>
      </w:r>
      <w:r>
        <w:rPr/>
        <w:t>отдельные</w:t>
      </w:r>
      <w:r>
        <w:rPr>
          <w:spacing w:val="-13"/>
        </w:rPr>
        <w:t> </w:t>
      </w:r>
      <w:r>
        <w:rPr/>
        <w:t>генетические группы возбудителя, часто связанные с его циркуляцией в определенных географических областях мира. Вместе с тем, скорость эволюционных изменений вируса</w:t>
      </w:r>
      <w:r>
        <w:rPr>
          <w:spacing w:val="-14"/>
        </w:rPr>
        <w:t> </w:t>
      </w:r>
      <w:r>
        <w:rPr/>
        <w:t>не</w:t>
      </w:r>
      <w:r>
        <w:rPr>
          <w:spacing w:val="-14"/>
        </w:rPr>
        <w:t> </w:t>
      </w:r>
      <w:r>
        <w:rPr/>
        <w:t>высока.</w:t>
      </w:r>
      <w:r>
        <w:rPr>
          <w:spacing w:val="-11"/>
        </w:rPr>
        <w:t> </w:t>
      </w:r>
      <w:r>
        <w:rPr/>
        <w:t>В</w:t>
      </w:r>
      <w:r>
        <w:rPr>
          <w:spacing w:val="-12"/>
        </w:rPr>
        <w:t> </w:t>
      </w:r>
      <w:r>
        <w:rPr/>
        <w:t>частности,</w:t>
      </w:r>
      <w:r>
        <w:rPr>
          <w:spacing w:val="-13"/>
        </w:rPr>
        <w:t> </w:t>
      </w:r>
      <w:r>
        <w:rPr/>
        <w:t>она</w:t>
      </w:r>
      <w:r>
        <w:rPr>
          <w:spacing w:val="-14"/>
        </w:rPr>
        <w:t> </w:t>
      </w:r>
      <w:r>
        <w:rPr/>
        <w:t>существенно</w:t>
      </w:r>
      <w:r>
        <w:rPr>
          <w:spacing w:val="-13"/>
        </w:rPr>
        <w:t> </w:t>
      </w:r>
      <w:r>
        <w:rPr/>
        <w:t>ниже,</w:t>
      </w:r>
      <w:r>
        <w:rPr>
          <w:spacing w:val="-13"/>
        </w:rPr>
        <w:t> </w:t>
      </w:r>
      <w:r>
        <w:rPr/>
        <w:t>чем</w:t>
      </w:r>
      <w:r>
        <w:rPr>
          <w:spacing w:val="-7"/>
        </w:rPr>
        <w:t> </w:t>
      </w:r>
      <w:r>
        <w:rPr/>
        <w:t>у</w:t>
      </w:r>
      <w:r>
        <w:rPr>
          <w:spacing w:val="-18"/>
        </w:rPr>
        <w:t> </w:t>
      </w:r>
      <w:r>
        <w:rPr/>
        <w:t>вирусов</w:t>
      </w:r>
      <w:r>
        <w:rPr>
          <w:spacing w:val="-11"/>
        </w:rPr>
        <w:t> </w:t>
      </w:r>
      <w:r>
        <w:rPr/>
        <w:t>сезонного</w:t>
      </w:r>
      <w:r>
        <w:rPr>
          <w:spacing w:val="-13"/>
        </w:rPr>
        <w:t> </w:t>
      </w:r>
      <w:r>
        <w:rPr/>
        <w:t>гриппа. Кроме того, разные генетические группы в настоящий момент не отличаются между собой по своим патогенным</w:t>
      </w:r>
      <w:r>
        <w:rPr>
          <w:spacing w:val="-2"/>
        </w:rPr>
        <w:t> </w:t>
      </w:r>
      <w:r>
        <w:rPr/>
        <w:t>свойствам.</w:t>
      </w:r>
    </w:p>
    <w:p>
      <w:pPr>
        <w:pStyle w:val="BodyText"/>
        <w:spacing w:line="312" w:lineRule="auto" w:before="15"/>
        <w:ind w:right="674" w:firstLine="708"/>
      </w:pPr>
      <w:r>
        <w:rPr/>
        <w:t>Учитывая    высокую    патогенность,     вирусы     SARS-CoV,     SARS-CoV-2  и MERS-CoV отнесены ко II группе</w:t>
      </w:r>
      <w:r>
        <w:rPr>
          <w:spacing w:val="-5"/>
        </w:rPr>
        <w:t> </w:t>
      </w:r>
      <w:r>
        <w:rPr/>
        <w:t>патогенности.</w:t>
      </w:r>
    </w:p>
    <w:p>
      <w:pPr>
        <w:pStyle w:val="BodyText"/>
        <w:spacing w:line="312" w:lineRule="auto" w:before="15"/>
        <w:ind w:right="674" w:firstLine="708"/>
      </w:pPr>
      <w:r>
        <w:rPr/>
        <w:t>При комнатной температуре </w:t>
      </w:r>
      <w:r>
        <w:rPr>
          <w:sz w:val="28"/>
        </w:rPr>
        <w:t>(</w:t>
      </w:r>
      <w:r>
        <w:rPr/>
        <w:t>20-25 °С) SARS-CoV-2 способен сохранять жизнеспособность на различных объектах окружающей среды  в  высушенном  виде до 3 суток, в жидкой среде – до 7 суток. Вирус остается стабильным в широком диапазоне значений рН (до 6 дней при значении рН от 5 до 9 и до 2 дней при рН4        и рН11). При температуре +4 °С стабильность вируса сохраняется более 14 дней. При наревании</w:t>
      </w:r>
      <w:r>
        <w:rPr>
          <w:spacing w:val="-8"/>
        </w:rPr>
        <w:t> </w:t>
      </w:r>
      <w:r>
        <w:rPr/>
        <w:t>до</w:t>
      </w:r>
      <w:r>
        <w:rPr>
          <w:spacing w:val="-8"/>
        </w:rPr>
        <w:t> </w:t>
      </w:r>
      <w:r>
        <w:rPr/>
        <w:t>37</w:t>
      </w:r>
      <w:r>
        <w:rPr>
          <w:spacing w:val="-8"/>
        </w:rPr>
        <w:t> </w:t>
      </w:r>
      <w:r>
        <w:rPr/>
        <w:t>°С</w:t>
      </w:r>
      <w:r>
        <w:rPr>
          <w:spacing w:val="-8"/>
        </w:rPr>
        <w:t> </w:t>
      </w:r>
      <w:r>
        <w:rPr/>
        <w:t>полная</w:t>
      </w:r>
      <w:r>
        <w:rPr>
          <w:spacing w:val="-8"/>
        </w:rPr>
        <w:t> </w:t>
      </w:r>
      <w:r>
        <w:rPr/>
        <w:t>инактивация</w:t>
      </w:r>
      <w:r>
        <w:rPr>
          <w:spacing w:val="-7"/>
        </w:rPr>
        <w:t> </w:t>
      </w:r>
      <w:r>
        <w:rPr/>
        <w:t>вируса</w:t>
      </w:r>
      <w:r>
        <w:rPr>
          <w:spacing w:val="-6"/>
        </w:rPr>
        <w:t> </w:t>
      </w:r>
      <w:r>
        <w:rPr/>
        <w:t>происходит</w:t>
      </w:r>
      <w:r>
        <w:rPr>
          <w:spacing w:val="-8"/>
        </w:rPr>
        <w:t> </w:t>
      </w:r>
      <w:r>
        <w:rPr/>
        <w:t>в</w:t>
      </w:r>
      <w:r>
        <w:rPr>
          <w:spacing w:val="-8"/>
        </w:rPr>
        <w:t> </w:t>
      </w:r>
      <w:r>
        <w:rPr/>
        <w:t>течение</w:t>
      </w:r>
      <w:r>
        <w:rPr>
          <w:spacing w:val="-8"/>
        </w:rPr>
        <w:t> </w:t>
      </w:r>
      <w:r>
        <w:rPr/>
        <w:t>1</w:t>
      </w:r>
      <w:r>
        <w:rPr>
          <w:spacing w:val="-8"/>
        </w:rPr>
        <w:t> </w:t>
      </w:r>
      <w:r>
        <w:rPr/>
        <w:t>дня,</w:t>
      </w:r>
      <w:r>
        <w:rPr>
          <w:spacing w:val="-9"/>
        </w:rPr>
        <w:t> </w:t>
      </w:r>
      <w:r>
        <w:rPr/>
        <w:t>при</w:t>
      </w:r>
      <w:r>
        <w:rPr>
          <w:spacing w:val="-7"/>
        </w:rPr>
        <w:t> </w:t>
      </w:r>
      <w:r>
        <w:rPr/>
        <w:t>56</w:t>
      </w:r>
      <w:r>
        <w:rPr>
          <w:spacing w:val="-8"/>
        </w:rPr>
        <w:t> </w:t>
      </w:r>
      <w:r>
        <w:rPr/>
        <w:t>°С - в   течение   45 минут,   при   70   °С   –   в   течение   5   минут.   Вирус   чувствителен к ультрафиолетовому облучению и действию различных дезинфицирующих средств   в рабочей</w:t>
      </w:r>
      <w:r>
        <w:rPr>
          <w:spacing w:val="-1"/>
        </w:rPr>
        <w:t> </w:t>
      </w:r>
      <w:r>
        <w:rPr/>
        <w:t>концентрации.</w:t>
      </w:r>
    </w:p>
    <w:p>
      <w:pPr>
        <w:pStyle w:val="BodyText"/>
        <w:spacing w:line="312" w:lineRule="auto" w:before="13"/>
        <w:ind w:right="674" w:firstLine="708"/>
      </w:pPr>
      <w:r>
        <w:rPr/>
        <w:t>Входные   ворота   возбудителя   –   эпителий   верхних   дыхательных    путей  и эпителиоциты желудка и кишечника. Начальным этапом заражения является проникновение SARS-CoV-2 в клетки-мишени, имеющие рецепторы ангиотензинпревращающего фермента II типа (АПФ2). Клеточная трансмембранная сериновая протеаза типа 2 (ТСП2) способствует связыванию вируса с АПФ-2, активируя его S-протеин, необходимый  для проникновения  SARS‑CoV‑2  в  клетку. В соответствии с современными представлениями АПФ2 и ТСП2 экспрессированы на поверхности различных клеток органов дыхания, пищевода, кишечника, сердца, надпочечников, мочевого пузыря, головного мозга (гипоталамуса) и гипофиза, а также эндотелия и</w:t>
      </w:r>
      <w:r>
        <w:rPr>
          <w:spacing w:val="-3"/>
        </w:rPr>
        <w:t> </w:t>
      </w:r>
      <w:r>
        <w:rPr/>
        <w:t>макрофагов.</w:t>
      </w:r>
    </w:p>
    <w:p>
      <w:pPr>
        <w:pStyle w:val="BodyText"/>
        <w:spacing w:line="312" w:lineRule="auto" w:before="12"/>
        <w:ind w:right="674" w:firstLine="708"/>
      </w:pPr>
      <w:r>
        <w:rPr/>
        <w:t>Нуклеокапсидный белок вируса был обнаружен в цитоплазме эпителиальных клеток слюнных желез, желудка, двенадцатиперстной и прямой кишки, мочевыводящих путей, а также в слезной жидкости. Однако основной и быстро достижимой мишенью SARS-CoV-2 являются альвеолярные клетки II типа (AT2) легких, что определяет развитие диффузного альвеолярного повреждения. Полагают, что при COVID-19 может развиваться катаральный гастроэнтероколит, так как вирус поражает клетки эпителия желудка, тонкой и толстой кишки, имеющие рецепторы АПФ2. Однако его морфологические особенности изучены недостаточно. Есть данные</w:t>
      </w:r>
    </w:p>
    <w:p>
      <w:pPr>
        <w:spacing w:after="0" w:line="312" w:lineRule="auto"/>
        <w:sectPr>
          <w:pgSz w:w="11920" w:h="16850"/>
          <w:pgMar w:header="0" w:footer="620" w:top="1060" w:bottom="880" w:left="1380" w:right="600"/>
        </w:sectPr>
      </w:pPr>
    </w:p>
    <w:p>
      <w:pPr>
        <w:pStyle w:val="BodyText"/>
        <w:spacing w:line="312" w:lineRule="auto" w:before="78"/>
        <w:ind w:right="674"/>
      </w:pPr>
      <w:r>
        <w:rPr/>
        <w:t>о специфическом поражении сосудов (эндотелия), а также миокарда, почек и других органов. Изменения иммунокомпетентных органов изучены недостаточно, обсуждается возможность специфического  поражения  лимфоцитов с их  апоптозом  и пироптозом (лежит в основе характерной и прогностически неблагоприятной лимфопении), синдрома гиперактивности макрофагов и гемофагоцитраного синдрома, нетоза нейтрофильных лейкоцитов (как одной из причин синдрома диссеминированного внутрисосудистого свертывания</w:t>
      </w:r>
      <w:r>
        <w:rPr>
          <w:spacing w:val="-2"/>
        </w:rPr>
        <w:t> </w:t>
      </w:r>
      <w:r>
        <w:rPr/>
        <w:t>(ДВС)).</w:t>
      </w:r>
    </w:p>
    <w:p>
      <w:pPr>
        <w:pStyle w:val="BodyText"/>
        <w:spacing w:line="312" w:lineRule="auto" w:before="13"/>
        <w:ind w:right="674" w:firstLine="708"/>
      </w:pPr>
      <w:r>
        <w:rPr/>
        <w:t>На основании способности SARS-CoV-2 поражать различные органы и ткани высказывается идея о существовании дополнительных рецепторов и ко-рецепторов вируса помимо АПФ2. В частности, обсуждается роль CD147 в инвазии клеток SARS‑CoV‑2.</w:t>
      </w:r>
    </w:p>
    <w:p>
      <w:pPr>
        <w:pStyle w:val="BodyText"/>
        <w:spacing w:line="312" w:lineRule="auto" w:before="15"/>
        <w:ind w:right="674" w:firstLine="708"/>
      </w:pPr>
      <w:r>
        <w:rPr/>
        <w:t>Установлено, что диссеминация SARS-CoV-2 из системного кровотока или через пластинку решетчатой кости может привести к поражению головного мозга. Изменение обоняния (аносмия) у больных на ранней стадии заболевания может свидетельствовать как о поражении ЦНС вирусом, проникающим через обонятельный нерв, так и о морфологически продемонстрированном вирусном поражении клеток слизистой оболочки носа, не исключена роль васкулита.</w:t>
      </w:r>
    </w:p>
    <w:p>
      <w:pPr>
        <w:pStyle w:val="BodyText"/>
        <w:spacing w:line="312" w:lineRule="auto" w:before="15"/>
        <w:ind w:right="673" w:firstLine="708"/>
      </w:pPr>
      <w:r>
        <w:rPr/>
        <w:t>При патологоанатомическом исследовании ткани легкого специфические макроскопические</w:t>
      </w:r>
      <w:r>
        <w:rPr>
          <w:spacing w:val="-18"/>
        </w:rPr>
        <w:t> </w:t>
      </w:r>
      <w:r>
        <w:rPr/>
        <w:t>признаки</w:t>
      </w:r>
      <w:r>
        <w:rPr>
          <w:spacing w:val="-16"/>
        </w:rPr>
        <w:t> </w:t>
      </w:r>
      <w:r>
        <w:rPr/>
        <w:t>COVID-19</w:t>
      </w:r>
      <w:r>
        <w:rPr>
          <w:spacing w:val="-17"/>
        </w:rPr>
        <w:t> </w:t>
      </w:r>
      <w:r>
        <w:rPr/>
        <w:t>не</w:t>
      </w:r>
      <w:r>
        <w:rPr>
          <w:spacing w:val="-13"/>
        </w:rPr>
        <w:t> </w:t>
      </w:r>
      <w:r>
        <w:rPr/>
        <w:t>установлены,</w:t>
      </w:r>
      <w:r>
        <w:rPr>
          <w:spacing w:val="-17"/>
        </w:rPr>
        <w:t> </w:t>
      </w:r>
      <w:r>
        <w:rPr/>
        <w:t>хотя</w:t>
      </w:r>
      <w:r>
        <w:rPr>
          <w:spacing w:val="-17"/>
        </w:rPr>
        <w:t> </w:t>
      </w:r>
      <w:r>
        <w:rPr/>
        <w:t>морфологическая</w:t>
      </w:r>
      <w:r>
        <w:rPr>
          <w:spacing w:val="-17"/>
        </w:rPr>
        <w:t> </w:t>
      </w:r>
      <w:r>
        <w:rPr/>
        <w:t>картина может</w:t>
      </w:r>
      <w:r>
        <w:rPr>
          <w:spacing w:val="-9"/>
        </w:rPr>
        <w:t> </w:t>
      </w:r>
      <w:r>
        <w:rPr/>
        <w:t>рассматриваться</w:t>
      </w:r>
      <w:r>
        <w:rPr>
          <w:spacing w:val="-9"/>
        </w:rPr>
        <w:t> </w:t>
      </w:r>
      <w:r>
        <w:rPr/>
        <w:t>как</w:t>
      </w:r>
      <w:r>
        <w:rPr>
          <w:spacing w:val="-11"/>
        </w:rPr>
        <w:t> </w:t>
      </w:r>
      <w:r>
        <w:rPr/>
        <w:t>характерная.</w:t>
      </w:r>
      <w:r>
        <w:rPr>
          <w:spacing w:val="-9"/>
        </w:rPr>
        <w:t> </w:t>
      </w:r>
      <w:r>
        <w:rPr/>
        <w:t>В</w:t>
      </w:r>
      <w:r>
        <w:rPr>
          <w:spacing w:val="-11"/>
        </w:rPr>
        <w:t> </w:t>
      </w:r>
      <w:r>
        <w:rPr/>
        <w:t>наблюдениях,</w:t>
      </w:r>
      <w:r>
        <w:rPr>
          <w:spacing w:val="-9"/>
        </w:rPr>
        <w:t> </w:t>
      </w:r>
      <w:r>
        <w:rPr/>
        <w:t>в</w:t>
      </w:r>
      <w:r>
        <w:rPr>
          <w:spacing w:val="-13"/>
        </w:rPr>
        <w:t> </w:t>
      </w:r>
      <w:r>
        <w:rPr/>
        <w:t>которых</w:t>
      </w:r>
      <w:r>
        <w:rPr>
          <w:spacing w:val="-6"/>
        </w:rPr>
        <w:t> </w:t>
      </w:r>
      <w:r>
        <w:rPr/>
        <w:t>резко</w:t>
      </w:r>
      <w:r>
        <w:rPr>
          <w:spacing w:val="-10"/>
        </w:rPr>
        <w:t> </w:t>
      </w:r>
      <w:r>
        <w:rPr/>
        <w:t>преобладают признаки тяжелой дыхательной недостаточности, </w:t>
      </w:r>
      <w:r>
        <w:rPr>
          <w:sz w:val="23"/>
        </w:rPr>
        <w:t>отмечается </w:t>
      </w:r>
      <w:r>
        <w:rPr/>
        <w:t>картина ОРДС («шокового легкого» или диффузного альвеолярного повреждения): резкое полнокровие и диффузное уплотнение легких, практически неотличимое от наблюдавшегося при «свином» гриппе А/H1N1pdm (в 2009 г. и в последующие годы), кроме</w:t>
      </w:r>
      <w:r>
        <w:rPr>
          <w:spacing w:val="-8"/>
        </w:rPr>
        <w:t> </w:t>
      </w:r>
      <w:r>
        <w:rPr/>
        <w:t>типичных</w:t>
      </w:r>
      <w:r>
        <w:rPr>
          <w:spacing w:val="-5"/>
        </w:rPr>
        <w:t> </w:t>
      </w:r>
      <w:r>
        <w:rPr/>
        <w:t>для</w:t>
      </w:r>
      <w:r>
        <w:rPr>
          <w:spacing w:val="-6"/>
        </w:rPr>
        <w:t> </w:t>
      </w:r>
      <w:r>
        <w:rPr/>
        <w:t>SARS‑CoV‑2</w:t>
      </w:r>
      <w:r>
        <w:rPr>
          <w:spacing w:val="-7"/>
        </w:rPr>
        <w:t> </w:t>
      </w:r>
      <w:r>
        <w:rPr/>
        <w:t>поражения</w:t>
      </w:r>
      <w:r>
        <w:rPr>
          <w:spacing w:val="-7"/>
        </w:rPr>
        <w:t> </w:t>
      </w:r>
      <w:r>
        <w:rPr/>
        <w:t>сосудистой</w:t>
      </w:r>
      <w:r>
        <w:rPr>
          <w:spacing w:val="-5"/>
        </w:rPr>
        <w:t> </w:t>
      </w:r>
      <w:r>
        <w:rPr/>
        <w:t>системы</w:t>
      </w:r>
      <w:r>
        <w:rPr>
          <w:spacing w:val="-8"/>
        </w:rPr>
        <w:t> </w:t>
      </w:r>
      <w:r>
        <w:rPr/>
        <w:t>легких</w:t>
      </w:r>
      <w:r>
        <w:rPr>
          <w:spacing w:val="-4"/>
        </w:rPr>
        <w:t> </w:t>
      </w:r>
      <w:r>
        <w:rPr/>
        <w:t>(эндотелиит) и выраженного альвеолярно-геморрагического синдрома. Легкие увеличены в объеме и массе, тестоватой или плотной консистенции, маловоздушные или безвоздушные; лакового вида с поверхности, темно-красного (вишневого) цвета, при надавливании    с поверхностей разрезов стекает темно-красная жидкость, с трудом выдавливаемая из ткани. Кроме разной величины кровоизлияний, встречаются геморрагические инфаркты,</w:t>
      </w:r>
      <w:r>
        <w:rPr>
          <w:spacing w:val="-15"/>
        </w:rPr>
        <w:t> </w:t>
      </w:r>
      <w:r>
        <w:rPr/>
        <w:t>обтурирующие</w:t>
      </w:r>
      <w:r>
        <w:rPr>
          <w:spacing w:val="-14"/>
        </w:rPr>
        <w:t> </w:t>
      </w:r>
      <w:r>
        <w:rPr/>
        <w:t>тромбы,</w:t>
      </w:r>
      <w:r>
        <w:rPr>
          <w:spacing w:val="-12"/>
        </w:rPr>
        <w:t> </w:t>
      </w:r>
      <w:r>
        <w:rPr/>
        <w:t>преимущественно</w:t>
      </w:r>
      <w:r>
        <w:rPr>
          <w:spacing w:val="-13"/>
        </w:rPr>
        <w:t> </w:t>
      </w:r>
      <w:r>
        <w:rPr/>
        <w:t>в</w:t>
      </w:r>
      <w:r>
        <w:rPr>
          <w:spacing w:val="-13"/>
        </w:rPr>
        <w:t> </w:t>
      </w:r>
      <w:r>
        <w:rPr/>
        <w:t>ветвях</w:t>
      </w:r>
      <w:r>
        <w:rPr>
          <w:spacing w:val="-13"/>
        </w:rPr>
        <w:t> </w:t>
      </w:r>
      <w:r>
        <w:rPr/>
        <w:t>легочных</w:t>
      </w:r>
      <w:r>
        <w:rPr>
          <w:spacing w:val="-11"/>
        </w:rPr>
        <w:t> </w:t>
      </w:r>
      <w:r>
        <w:rPr/>
        <w:t>вен.</w:t>
      </w:r>
      <w:r>
        <w:rPr>
          <w:spacing w:val="-13"/>
        </w:rPr>
        <w:t> </w:t>
      </w:r>
      <w:r>
        <w:rPr/>
        <w:t>Значимых поражений трахеи при этом не наблюдается, выявляемый  серозно-гнойный экссудат  и гиперемия     слизистой     оболочки     у     интубированных     пациентов     связаны с нозокомиальной инфекцией. В случаях, когда COVID-19 присоединялся к другой тяжелой патологии, закономерно отмечается сочетание изменений характерных для разных заболеваний.</w:t>
      </w:r>
    </w:p>
    <w:p>
      <w:pPr>
        <w:pStyle w:val="BodyText"/>
        <w:spacing w:line="312" w:lineRule="auto" w:before="13"/>
        <w:ind w:right="675" w:firstLine="708"/>
      </w:pPr>
      <w:r>
        <w:rPr/>
        <w:t>Характер морфологических изменений при легком течении COVID-19 неизвестен. Исходя из анализа клинической симптоматики, можно предполагать тропность</w:t>
      </w:r>
      <w:r>
        <w:rPr>
          <w:spacing w:val="-11"/>
        </w:rPr>
        <w:t> </w:t>
      </w:r>
      <w:r>
        <w:rPr/>
        <w:t>вируса</w:t>
      </w:r>
      <w:r>
        <w:rPr>
          <w:spacing w:val="-13"/>
        </w:rPr>
        <w:t> </w:t>
      </w:r>
      <w:r>
        <w:rPr/>
        <w:t>к</w:t>
      </w:r>
      <w:r>
        <w:rPr>
          <w:spacing w:val="-10"/>
        </w:rPr>
        <w:t> </w:t>
      </w:r>
      <w:r>
        <w:rPr/>
        <w:t>эпителию</w:t>
      </w:r>
      <w:r>
        <w:rPr>
          <w:spacing w:val="-11"/>
        </w:rPr>
        <w:t> </w:t>
      </w:r>
      <w:r>
        <w:rPr/>
        <w:t>гортани,</w:t>
      </w:r>
      <w:r>
        <w:rPr>
          <w:spacing w:val="-12"/>
        </w:rPr>
        <w:t> </w:t>
      </w:r>
      <w:r>
        <w:rPr/>
        <w:t>мерцательному</w:t>
      </w:r>
      <w:r>
        <w:rPr>
          <w:spacing w:val="-18"/>
        </w:rPr>
        <w:t> </w:t>
      </w:r>
      <w:r>
        <w:rPr/>
        <w:t>эпителию</w:t>
      </w:r>
      <w:r>
        <w:rPr>
          <w:spacing w:val="-11"/>
        </w:rPr>
        <w:t> </w:t>
      </w:r>
      <w:r>
        <w:rPr/>
        <w:t>дыхательных</w:t>
      </w:r>
      <w:r>
        <w:rPr>
          <w:spacing w:val="-10"/>
        </w:rPr>
        <w:t> </w:t>
      </w:r>
      <w:r>
        <w:rPr/>
        <w:t>путей</w:t>
      </w:r>
      <w:r>
        <w:rPr>
          <w:spacing w:val="-10"/>
        </w:rPr>
        <w:t> </w:t>
      </w:r>
      <w:r>
        <w:rPr/>
        <w:t>на</w:t>
      </w:r>
    </w:p>
    <w:p>
      <w:pPr>
        <w:spacing w:after="0" w:line="312" w:lineRule="auto"/>
        <w:sectPr>
          <w:pgSz w:w="11920" w:h="16850"/>
          <w:pgMar w:header="0" w:footer="620" w:top="1060" w:bottom="880" w:left="1380" w:right="600"/>
        </w:sectPr>
      </w:pPr>
    </w:p>
    <w:p>
      <w:pPr>
        <w:pStyle w:val="BodyText"/>
        <w:spacing w:line="312" w:lineRule="auto" w:before="78"/>
        <w:ind w:right="674"/>
      </w:pPr>
      <w:r>
        <w:rPr/>
        <w:t>всем протяжении, альвеолоцитам  I и  II типов. Судя по всему, вирусные поражения    у таких пациентов не приводят к развитию выраженного экссудативного воспаления  и соответственно катаральных</w:t>
      </w:r>
      <w:r>
        <w:rPr>
          <w:spacing w:val="2"/>
        </w:rPr>
        <w:t> </w:t>
      </w:r>
      <w:r>
        <w:rPr/>
        <w:t>явлений.</w:t>
      </w:r>
    </w:p>
    <w:p>
      <w:pPr>
        <w:pStyle w:val="BodyText"/>
        <w:spacing w:line="324" w:lineRule="auto" w:before="13"/>
        <w:ind w:right="674" w:firstLine="708"/>
      </w:pPr>
      <w:r>
        <w:rPr/>
        <w:t>Критическая форма COVID-19 является разновидностью цитокинового</w:t>
      </w:r>
      <w:r>
        <w:rPr>
          <w:spacing w:val="-38"/>
        </w:rPr>
        <w:t> </w:t>
      </w:r>
      <w:r>
        <w:rPr/>
        <w:t>шторма, а ее проявления сходны с течением первичного и вторичного гемофагоцитарного лимфогистиоцитоза (ГЛГ) или синдрома активации макрофагов (САМ). При критическом течении COVID-19 развивается патологическая активация врожденного и приобретенного   </w:t>
      </w:r>
      <w:r>
        <w:rPr>
          <w:spacing w:val="11"/>
        </w:rPr>
        <w:t> </w:t>
      </w:r>
      <w:r>
        <w:rPr/>
        <w:t>(Th1-   </w:t>
      </w:r>
      <w:r>
        <w:rPr>
          <w:spacing w:val="10"/>
        </w:rPr>
        <w:t> </w:t>
      </w:r>
      <w:r>
        <w:rPr/>
        <w:t>и   </w:t>
      </w:r>
      <w:r>
        <w:rPr>
          <w:spacing w:val="11"/>
        </w:rPr>
        <w:t> </w:t>
      </w:r>
      <w:r>
        <w:rPr/>
        <w:t>Th17-типы)   </w:t>
      </w:r>
      <w:r>
        <w:rPr>
          <w:spacing w:val="10"/>
        </w:rPr>
        <w:t> </w:t>
      </w:r>
      <w:r>
        <w:rPr/>
        <w:t>иммунитета,   </w:t>
      </w:r>
      <w:r>
        <w:rPr>
          <w:spacing w:val="15"/>
        </w:rPr>
        <w:t> </w:t>
      </w:r>
      <w:r>
        <w:rPr/>
        <w:t>«дисрегуляция»   </w:t>
      </w:r>
      <w:r>
        <w:rPr>
          <w:spacing w:val="6"/>
        </w:rPr>
        <w:t> </w:t>
      </w:r>
      <w:r>
        <w:rPr/>
        <w:t>синтеза</w:t>
      </w:r>
    </w:p>
    <w:p>
      <w:pPr>
        <w:pStyle w:val="BodyText"/>
        <w:spacing w:line="326" w:lineRule="auto"/>
        <w:ind w:right="674"/>
      </w:pPr>
      <w:r>
        <w:rPr/>
        <w:t>«провоспалительных»,   иммунорегуляторных,    «антивоспалительных»    цитокинов и хемокинов:  </w:t>
      </w:r>
      <w:r>
        <w:rPr>
          <w:spacing w:val="11"/>
        </w:rPr>
        <w:t> </w:t>
      </w:r>
      <w:r>
        <w:rPr/>
        <w:t>ИЛ1,  </w:t>
      </w:r>
      <w:r>
        <w:rPr>
          <w:spacing w:val="11"/>
        </w:rPr>
        <w:t> </w:t>
      </w:r>
      <w:r>
        <w:rPr/>
        <w:t>ИЛ2,  </w:t>
      </w:r>
      <w:r>
        <w:rPr>
          <w:spacing w:val="12"/>
        </w:rPr>
        <w:t> </w:t>
      </w:r>
      <w:r>
        <w:rPr/>
        <w:t>ИЛ6,  </w:t>
      </w:r>
      <w:r>
        <w:rPr>
          <w:spacing w:val="11"/>
        </w:rPr>
        <w:t> </w:t>
      </w:r>
      <w:r>
        <w:rPr/>
        <w:t>ИЛ7,  </w:t>
      </w:r>
      <w:r>
        <w:rPr>
          <w:spacing w:val="11"/>
        </w:rPr>
        <w:t> </w:t>
      </w:r>
      <w:r>
        <w:rPr/>
        <w:t>ИЛ8,  </w:t>
      </w:r>
      <w:r>
        <w:rPr>
          <w:spacing w:val="11"/>
        </w:rPr>
        <w:t> </w:t>
      </w:r>
      <w:r>
        <w:rPr/>
        <w:t>ИЛ9,  </w:t>
      </w:r>
      <w:r>
        <w:rPr>
          <w:spacing w:val="11"/>
        </w:rPr>
        <w:t> </w:t>
      </w:r>
      <w:r>
        <w:rPr/>
        <w:t>ИЛ10,  </w:t>
      </w:r>
      <w:r>
        <w:rPr>
          <w:spacing w:val="13"/>
        </w:rPr>
        <w:t> </w:t>
      </w:r>
      <w:r>
        <w:rPr/>
        <w:t>ИЛ12,  </w:t>
      </w:r>
      <w:r>
        <w:rPr>
          <w:spacing w:val="11"/>
        </w:rPr>
        <w:t> </w:t>
      </w:r>
      <w:r>
        <w:rPr/>
        <w:t>ИЛ17,  </w:t>
      </w:r>
      <w:r>
        <w:rPr>
          <w:spacing w:val="12"/>
        </w:rPr>
        <w:t> </w:t>
      </w:r>
      <w:r>
        <w:rPr/>
        <w:t>ИЛ18,</w:t>
      </w:r>
    </w:p>
    <w:p>
      <w:pPr>
        <w:pStyle w:val="BodyText"/>
        <w:spacing w:line="324" w:lineRule="auto"/>
        <w:ind w:right="674"/>
      </w:pPr>
      <w:r>
        <w:rPr/>
        <w:t>гранулоцитарный колониестимулирующий фактор (Г-КСФ), гранулоцитарно- макрофагальный колониестимулирующий фактор (ГМ-КСФ), фактор некроза опухоли α (ФНОα), ИФНγ-индуцируемый белок 10, ИФНα и ИФНβ, моноцитарный хемоаттрактантный белок 1 (МХБ1), макрофагальный воспалительный белок 1α (МВБ1α), а также маркеров воспаления (СРБ, ферритин).</w:t>
      </w:r>
    </w:p>
    <w:p>
      <w:pPr>
        <w:pStyle w:val="BodyText"/>
        <w:spacing w:line="324" w:lineRule="auto"/>
        <w:ind w:right="676" w:firstLine="708"/>
      </w:pPr>
      <w:r>
        <w:rPr/>
        <w:t>Отличие COVID-19-индуцированного вторичного ГЛГ от других форм вирус- индуцированного</w:t>
      </w:r>
      <w:r>
        <w:rPr>
          <w:spacing w:val="-7"/>
        </w:rPr>
        <w:t> </w:t>
      </w:r>
      <w:r>
        <w:rPr/>
        <w:t>цитокинового</w:t>
      </w:r>
      <w:r>
        <w:rPr>
          <w:spacing w:val="-7"/>
        </w:rPr>
        <w:t> </w:t>
      </w:r>
      <w:r>
        <w:rPr/>
        <w:t>шторма</w:t>
      </w:r>
      <w:r>
        <w:rPr>
          <w:spacing w:val="-7"/>
        </w:rPr>
        <w:t> </w:t>
      </w:r>
      <w:r>
        <w:rPr/>
        <w:t>заключается</w:t>
      </w:r>
      <w:r>
        <w:rPr>
          <w:spacing w:val="-7"/>
        </w:rPr>
        <w:t> </w:t>
      </w:r>
      <w:r>
        <w:rPr/>
        <w:t>в</w:t>
      </w:r>
      <w:r>
        <w:rPr>
          <w:spacing w:val="-4"/>
        </w:rPr>
        <w:t> </w:t>
      </w:r>
      <w:r>
        <w:rPr/>
        <w:t>том,</w:t>
      </w:r>
      <w:r>
        <w:rPr>
          <w:spacing w:val="-7"/>
        </w:rPr>
        <w:t> </w:t>
      </w:r>
      <w:r>
        <w:rPr/>
        <w:t>что</w:t>
      </w:r>
      <w:r>
        <w:rPr>
          <w:spacing w:val="-6"/>
        </w:rPr>
        <w:t> </w:t>
      </w:r>
      <w:r>
        <w:rPr/>
        <w:t>органом-мишенью</w:t>
      </w:r>
      <w:r>
        <w:rPr>
          <w:spacing w:val="-7"/>
        </w:rPr>
        <w:t> </w:t>
      </w:r>
      <w:r>
        <w:rPr/>
        <w:t>при этом варианте цитокинового шторма являются легкие, что связано с тропизмом коронавируса к легочной ткани, а также в более умеренном повышении уровня ферритина сыворотки крови. Гиперактивация иммунного ответа при COVID-19 часто ограничивается легочной паренхимой, прилегающей бронхиальной и альвеолярной лимфоидной тканью, и ассоциируется с развитием</w:t>
      </w:r>
      <w:r>
        <w:rPr>
          <w:spacing w:val="-3"/>
        </w:rPr>
        <w:t> </w:t>
      </w:r>
      <w:r>
        <w:rPr/>
        <w:t>ОРДС.</w:t>
      </w:r>
    </w:p>
    <w:p>
      <w:pPr>
        <w:pStyle w:val="BodyText"/>
        <w:spacing w:line="324" w:lineRule="auto"/>
        <w:ind w:right="675" w:firstLine="708"/>
      </w:pPr>
      <w:r>
        <w:rPr/>
        <w:t>В раннем периоде COVID-19-пневмонии наблюдаются нормальный уровень фибриногена крови, регионального фибринолиза и высокий уровень D-димера, что не является признаком развития острого синдрома активации макрофагов. Этот процесс можно</w:t>
      </w:r>
      <w:r>
        <w:rPr>
          <w:spacing w:val="-13"/>
        </w:rPr>
        <w:t> </w:t>
      </w:r>
      <w:r>
        <w:rPr/>
        <w:t>расценивать</w:t>
      </w:r>
      <w:r>
        <w:rPr>
          <w:spacing w:val="-12"/>
        </w:rPr>
        <w:t> </w:t>
      </w:r>
      <w:r>
        <w:rPr/>
        <w:t>как</w:t>
      </w:r>
      <w:r>
        <w:rPr>
          <w:spacing w:val="-13"/>
        </w:rPr>
        <w:t> </w:t>
      </w:r>
      <w:r>
        <w:rPr/>
        <w:t>САМ-подобное</w:t>
      </w:r>
      <w:r>
        <w:rPr>
          <w:spacing w:val="-13"/>
        </w:rPr>
        <w:t> </w:t>
      </w:r>
      <w:r>
        <w:rPr/>
        <w:t>внутрилегочное</w:t>
      </w:r>
      <w:r>
        <w:rPr>
          <w:spacing w:val="-14"/>
        </w:rPr>
        <w:t> </w:t>
      </w:r>
      <w:r>
        <w:rPr/>
        <w:t>воспаление,</w:t>
      </w:r>
      <w:r>
        <w:rPr>
          <w:spacing w:val="-12"/>
        </w:rPr>
        <w:t> </w:t>
      </w:r>
      <w:r>
        <w:rPr/>
        <w:t>которое</w:t>
      </w:r>
      <w:r>
        <w:rPr>
          <w:spacing w:val="-12"/>
        </w:rPr>
        <w:t> </w:t>
      </w:r>
      <w:r>
        <w:rPr/>
        <w:t>усиливает выраженность  локальной  сосудистой   дисфункции,   включающую   микротромбоз  и геморрагии, что в большей степени приводит развитию легочной внутрисосудистой коагулопатии, чем диссеминированного внутрисосудистого</w:t>
      </w:r>
      <w:r>
        <w:rPr>
          <w:spacing w:val="-3"/>
        </w:rPr>
        <w:t> </w:t>
      </w:r>
      <w:r>
        <w:rPr/>
        <w:t>свертывания.</w:t>
      </w:r>
    </w:p>
    <w:p>
      <w:pPr>
        <w:pStyle w:val="BodyText"/>
        <w:spacing w:line="324" w:lineRule="auto"/>
        <w:ind w:right="675" w:firstLine="708"/>
      </w:pPr>
      <w:r>
        <w:rPr/>
        <w:t>У пациентов с критическим течением COVID-19 развивается васкулярная эндотелиальная   дисфункция,    коагулопатия,    тромбозы    с    наличием    антител    к фосфолипидам, с клинической картиной, напоминающей катастрофический антифосфолипидный синдром. Клинические и патологические изменения трудно дифференцировать   с    полиорганным    тромбозом,    развивающимся    при    ДВС    и тромботической микроангиопатии</w:t>
      </w:r>
      <w:r>
        <w:rPr>
          <w:spacing w:val="2"/>
        </w:rPr>
        <w:t> </w:t>
      </w:r>
      <w:r>
        <w:rPr/>
        <w:t>(ТМА).</w:t>
      </w:r>
    </w:p>
    <w:p>
      <w:pPr>
        <w:pStyle w:val="BodyText"/>
        <w:spacing w:line="312" w:lineRule="auto"/>
        <w:ind w:right="674" w:firstLine="708"/>
      </w:pPr>
      <w:r>
        <w:rPr/>
        <w:t>Цитокиновый шторм при COVID-19, как правило, приводит к развитию ОРДС, полиорганной недостаточности и может быть причиной летального исхода.</w:t>
      </w:r>
    </w:p>
    <w:p>
      <w:pPr>
        <w:spacing w:after="0" w:line="312" w:lineRule="auto"/>
        <w:sectPr>
          <w:pgSz w:w="11920" w:h="16850"/>
          <w:pgMar w:header="0" w:footer="620" w:top="1060" w:bottom="880" w:left="1380" w:right="600"/>
        </w:sectPr>
      </w:pPr>
    </w:p>
    <w:p>
      <w:pPr>
        <w:pStyle w:val="BodyText"/>
        <w:spacing w:line="312" w:lineRule="auto" w:before="78"/>
        <w:ind w:right="674" w:firstLine="708"/>
      </w:pPr>
      <w:r>
        <w:rPr/>
        <w:t>При микроскопическом исследовании обращают внимание интраальвеолярный отек с примесью в отечной жидкости эритроцитов, макрофагов, слущенных альвеоцитов, единичных нейтрофилов, лимфоцитов и плазмоцитов; интраальвеолярные</w:t>
      </w:r>
      <w:r>
        <w:rPr>
          <w:spacing w:val="-18"/>
        </w:rPr>
        <w:t> </w:t>
      </w:r>
      <w:r>
        <w:rPr/>
        <w:t>гиалиновые</w:t>
      </w:r>
      <w:r>
        <w:rPr>
          <w:spacing w:val="-17"/>
        </w:rPr>
        <w:t> </w:t>
      </w:r>
      <w:r>
        <w:rPr/>
        <w:t>мембраны,</w:t>
      </w:r>
      <w:r>
        <w:rPr>
          <w:spacing w:val="-17"/>
        </w:rPr>
        <w:t> </w:t>
      </w:r>
      <w:r>
        <w:rPr/>
        <w:t>распространяющиеся</w:t>
      </w:r>
      <w:r>
        <w:rPr>
          <w:spacing w:val="-16"/>
        </w:rPr>
        <w:t> </w:t>
      </w:r>
      <w:r>
        <w:rPr/>
        <w:t>иногда</w:t>
      </w:r>
      <w:r>
        <w:rPr>
          <w:spacing w:val="-18"/>
        </w:rPr>
        <w:t> </w:t>
      </w:r>
      <w:r>
        <w:rPr/>
        <w:t>до</w:t>
      </w:r>
      <w:r>
        <w:rPr>
          <w:spacing w:val="-16"/>
        </w:rPr>
        <w:t> </w:t>
      </w:r>
      <w:r>
        <w:rPr/>
        <w:t>внутренней поверхности бронхиол; десквамация альвеолярного (в виде отдельных клеток и их пластов) и бронхиолярного эпителия; появление крупных, неправильной формы альвеоцитов  II   типа,   с   увеличенными   ядрами   с   грубозернистым   хроматином  и отчетливыми   ядрышками   (в   некоторых   из   них   вокруг   ядра   видно   гало,      а</w:t>
      </w:r>
      <w:r>
        <w:rPr>
          <w:spacing w:val="-2"/>
        </w:rPr>
        <w:t> </w:t>
      </w:r>
      <w:r>
        <w:rPr/>
        <w:t>в</w:t>
      </w:r>
      <w:r>
        <w:rPr>
          <w:spacing w:val="-2"/>
        </w:rPr>
        <w:t> </w:t>
      </w:r>
      <w:r>
        <w:rPr/>
        <w:t>цитоплазме</w:t>
      </w:r>
      <w:r>
        <w:rPr>
          <w:spacing w:val="-1"/>
        </w:rPr>
        <w:t> </w:t>
      </w:r>
      <w:r>
        <w:rPr/>
        <w:t>–</w:t>
      </w:r>
      <w:r>
        <w:rPr>
          <w:spacing w:val="-13"/>
        </w:rPr>
        <w:t> </w:t>
      </w:r>
      <w:r>
        <w:rPr/>
        <w:t>округлые</w:t>
      </w:r>
      <w:r>
        <w:rPr>
          <w:spacing w:val="-14"/>
        </w:rPr>
        <w:t> </w:t>
      </w:r>
      <w:r>
        <w:rPr/>
        <w:t>базофильные</w:t>
      </w:r>
      <w:r>
        <w:rPr>
          <w:spacing w:val="-13"/>
        </w:rPr>
        <w:t> </w:t>
      </w:r>
      <w:r>
        <w:rPr/>
        <w:t>и</w:t>
      </w:r>
      <w:r>
        <w:rPr>
          <w:spacing w:val="-12"/>
        </w:rPr>
        <w:t> </w:t>
      </w:r>
      <w:r>
        <w:rPr/>
        <w:t>эозинофильные</w:t>
      </w:r>
      <w:r>
        <w:rPr>
          <w:spacing w:val="-13"/>
        </w:rPr>
        <w:t> </w:t>
      </w:r>
      <w:r>
        <w:rPr/>
        <w:t>включения,</w:t>
      </w:r>
      <w:r>
        <w:rPr>
          <w:spacing w:val="-16"/>
        </w:rPr>
        <w:t> </w:t>
      </w:r>
      <w:r>
        <w:rPr/>
        <w:t>характерные</w:t>
      </w:r>
      <w:r>
        <w:rPr>
          <w:spacing w:val="-13"/>
        </w:rPr>
        <w:t> </w:t>
      </w:r>
      <w:r>
        <w:rPr/>
        <w:t>для вирусного повреждения клеток); пролиферация альвеолоцитов II типа, образование их симпластов. Характерна слабо выраженная периваскулярная и перибронхиальная лимфоидная и макрофагальная инфильтрация, а также инфильтрация межальвеолярных перегородок и стенок мелких сосудов, представленная различными популяциями лимфоцитов и макрофагов. Преобладают CD3+ Т лимфоциты, среди  них – CD2+, CD5+, CD8+ Т-клетки. B-лимфоциты (CD20+, C80+) сравнительно немногочисленны, натуральные киллеры (CD16+/CD56+) практически отсутствуют. Вирус SARS-CoV-2 выявляется в реснитчатых клетках бронхов, эпителии  бронхиол,  в альвеолоцитах и макрофагах, а также в эндотелии сосудов с помощью методов амплификации нуклеиновых кислот (МАНК), при иммуногистохимическом, ультраструктурном</w:t>
      </w:r>
      <w:r>
        <w:rPr>
          <w:spacing w:val="-2"/>
        </w:rPr>
        <w:t> </w:t>
      </w:r>
      <w:r>
        <w:rPr/>
        <w:t>исследованиях.</w:t>
      </w:r>
    </w:p>
    <w:p>
      <w:pPr>
        <w:pStyle w:val="BodyText"/>
        <w:spacing w:line="312" w:lineRule="auto" w:before="15"/>
        <w:ind w:right="674" w:firstLine="708"/>
      </w:pPr>
      <w:r>
        <w:rPr/>
        <w:t>Специфическое</w:t>
      </w:r>
      <w:r>
        <w:rPr>
          <w:spacing w:val="-18"/>
        </w:rPr>
        <w:t> </w:t>
      </w:r>
      <w:r>
        <w:rPr/>
        <w:t>вирусное</w:t>
      </w:r>
      <w:r>
        <w:rPr>
          <w:spacing w:val="-18"/>
        </w:rPr>
        <w:t> </w:t>
      </w:r>
      <w:r>
        <w:rPr/>
        <w:t>и</w:t>
      </w:r>
      <w:r>
        <w:rPr>
          <w:spacing w:val="-16"/>
        </w:rPr>
        <w:t> </w:t>
      </w:r>
      <w:r>
        <w:rPr/>
        <w:t>вызванное</w:t>
      </w:r>
      <w:r>
        <w:rPr>
          <w:spacing w:val="-18"/>
        </w:rPr>
        <w:t> </w:t>
      </w:r>
      <w:r>
        <w:rPr/>
        <w:t>цитокиновым</w:t>
      </w:r>
      <w:r>
        <w:rPr>
          <w:spacing w:val="-18"/>
        </w:rPr>
        <w:t> </w:t>
      </w:r>
      <w:r>
        <w:rPr/>
        <w:t>штормом</w:t>
      </w:r>
      <w:r>
        <w:rPr>
          <w:spacing w:val="-17"/>
        </w:rPr>
        <w:t> </w:t>
      </w:r>
      <w:r>
        <w:rPr/>
        <w:t>(а</w:t>
      </w:r>
      <w:r>
        <w:rPr>
          <w:spacing w:val="-15"/>
        </w:rPr>
        <w:t> </w:t>
      </w:r>
      <w:r>
        <w:rPr/>
        <w:t>в</w:t>
      </w:r>
      <w:r>
        <w:rPr>
          <w:spacing w:val="-17"/>
        </w:rPr>
        <w:t> </w:t>
      </w:r>
      <w:r>
        <w:rPr/>
        <w:t>более</w:t>
      </w:r>
      <w:r>
        <w:rPr>
          <w:spacing w:val="-18"/>
        </w:rPr>
        <w:t> </w:t>
      </w:r>
      <w:r>
        <w:rPr/>
        <w:t>поздние сроки – возможно и аутоиммунное) повреждение эндотелия, получившее название SARS‑CoV‑2-ассоциированый эндотелиит, – основа характерной для COVID-19 микроангиопатии преимущественно легких, реже – других органов (миокарда, головного мозга и др.), причем в ряде наблюдений развивается локальный легочный или системный продуктивно-деструктивный</w:t>
      </w:r>
      <w:r>
        <w:rPr>
          <w:spacing w:val="-1"/>
        </w:rPr>
        <w:t> </w:t>
      </w:r>
      <w:r>
        <w:rPr/>
        <w:t>тромбоваскулит.</w:t>
      </w:r>
    </w:p>
    <w:p>
      <w:pPr>
        <w:pStyle w:val="BodyText"/>
        <w:spacing w:line="312" w:lineRule="auto" w:before="12"/>
        <w:ind w:right="674" w:firstLine="708"/>
      </w:pPr>
      <w:r>
        <w:rPr/>
        <w:t>Изучается возможная связь между дефицитом фолиевой кислоты, гипергомоцистеинемией и развитием осложнений COVID-19 со стороны сердечно- сосудистой системы, а также значение их коррекции препаратами, содержащими фолиевую кислоту, в лечении новой короновирусной инфекции.</w:t>
      </w:r>
    </w:p>
    <w:p>
      <w:pPr>
        <w:pStyle w:val="BodyText"/>
        <w:spacing w:line="312" w:lineRule="auto" w:before="15"/>
        <w:ind w:right="674" w:firstLine="708"/>
      </w:pPr>
      <w:r>
        <w:rPr/>
        <w:t>В патогенезе COVID-19 поражение микроциркуляторного русла играет важнейшую роль. Для поражения легких при COVID-19 характерны выраженное полнокровие капилляров межальвеолярных перегородок, а также ветвей легочных артерий и вен, со сладжами эритроцитов, свежими фибриновыми и организующимися тромбами; внутрибронхиальные, внутрибронхиолярные и интраальвеолярные кровоизлияния, являющиеся субстратом для кровохарканья, а также периваскулярные кровоизлияния. Выраженный альвеолярно-геморрагический синдром характерен для большинства наблюдений, вплоть до формирования, фактически, геморрагических инфарктов (хотя и истинные геморрагические инфаркты не редки). Тромбы сосудов</w:t>
      </w:r>
    </w:p>
    <w:p>
      <w:pPr>
        <w:spacing w:after="0" w:line="312" w:lineRule="auto"/>
        <w:sectPr>
          <w:pgSz w:w="11920" w:h="16850"/>
          <w:pgMar w:header="0" w:footer="620" w:top="1060" w:bottom="880" w:left="1380" w:right="600"/>
        </w:sectPr>
      </w:pPr>
    </w:p>
    <w:p>
      <w:pPr>
        <w:pStyle w:val="BodyText"/>
        <w:spacing w:line="312" w:lineRule="auto" w:before="78"/>
        <w:ind w:right="673"/>
      </w:pPr>
      <w:r>
        <w:rPr/>
        <w:t>легких важно отличать от тромбоэмболов, так как тромбоэмболия легочной артерии (ТЭЛА) также характерна для COVID-19. Тромбоз легочных артерий иногда прогрессирует до правых  отделов сердца, описан тромбоз артерий разных  органов     с развитием их инфарктов (миокарда, головного мозга, кишечника, почек, селезенки), описана также гангрена конечностей. Это отличает изменения в легких при COVID-19 от ранее наблюдавшихся при гриппе A/H1N1 и других коронавирусных инфекциях. Несмотря на выраженный альвеолярно-геморрагический синдром, значительных отложений гемосидерина не наблюдается. Описанные поражения легких и других органов являются причиной смерти без присоединения бактериальной или микотической</w:t>
      </w:r>
      <w:r>
        <w:rPr>
          <w:spacing w:val="-11"/>
        </w:rPr>
        <w:t> </w:t>
      </w:r>
      <w:r>
        <w:rPr/>
        <w:t>суперинфекции.</w:t>
      </w:r>
      <w:r>
        <w:rPr>
          <w:spacing w:val="-11"/>
        </w:rPr>
        <w:t> </w:t>
      </w:r>
      <w:r>
        <w:rPr/>
        <w:t>Ее</w:t>
      </w:r>
      <w:r>
        <w:rPr>
          <w:spacing w:val="-12"/>
        </w:rPr>
        <w:t> </w:t>
      </w:r>
      <w:r>
        <w:rPr/>
        <w:t>частота</w:t>
      </w:r>
      <w:r>
        <w:rPr>
          <w:spacing w:val="-12"/>
        </w:rPr>
        <w:t> </w:t>
      </w:r>
      <w:r>
        <w:rPr/>
        <w:t>не</w:t>
      </w:r>
      <w:r>
        <w:rPr>
          <w:spacing w:val="-12"/>
        </w:rPr>
        <w:t> </w:t>
      </w:r>
      <w:r>
        <w:rPr/>
        <w:t>превышает</w:t>
      </w:r>
      <w:r>
        <w:rPr>
          <w:spacing w:val="-10"/>
        </w:rPr>
        <w:t> </w:t>
      </w:r>
      <w:r>
        <w:rPr/>
        <w:t>30-35%,</w:t>
      </w:r>
      <w:r>
        <w:rPr>
          <w:spacing w:val="-11"/>
        </w:rPr>
        <w:t> </w:t>
      </w:r>
      <w:r>
        <w:rPr/>
        <w:t>в</w:t>
      </w:r>
      <w:r>
        <w:rPr>
          <w:spacing w:val="-12"/>
        </w:rPr>
        <w:t> </w:t>
      </w:r>
      <w:r>
        <w:rPr/>
        <w:t>основном</w:t>
      </w:r>
      <w:r>
        <w:rPr>
          <w:spacing w:val="-9"/>
        </w:rPr>
        <w:t> </w:t>
      </w:r>
      <w:r>
        <w:rPr/>
        <w:t>у</w:t>
      </w:r>
      <w:r>
        <w:rPr>
          <w:spacing w:val="-16"/>
        </w:rPr>
        <w:t> </w:t>
      </w:r>
      <w:r>
        <w:rPr/>
        <w:t>больных при длительной искусственной вентиляции легких</w:t>
      </w:r>
      <w:r>
        <w:rPr>
          <w:spacing w:val="3"/>
        </w:rPr>
        <w:t> </w:t>
      </w:r>
      <w:r>
        <w:rPr/>
        <w:t>(ИВЛ).</w:t>
      </w:r>
    </w:p>
    <w:p>
      <w:pPr>
        <w:pStyle w:val="BodyText"/>
        <w:spacing w:line="312" w:lineRule="auto" w:before="14"/>
        <w:ind w:right="674" w:firstLine="708"/>
      </w:pPr>
      <w:r>
        <w:rPr/>
        <w:t>В части наблюдений выявлены изменения и в других органах (помимо васкулита), которые можно предположительно связать с генерализацией коронавирусной инфекции: кишечнике (катаральный и геморрагический гастроэнтероколит),  головном  мозге   и   мягкой   мозговой   оболочке   (энцефалит   и менингит), сердце (миокардит), поджелудочной железе, почках, селезенке. Весьма вероятны и прямые вирусные поражения плаценты, в единичных наблюдениях показана возможность внутриутробного инфицирования, клиническое значение которого требует дальнейшего изучения. Отмечены тяжелые поражения микроциркуляторного русла в связи с развитием ДВС, которые оказались наиболее выраженными в легких и почках. Описаны типичные для COVID-19 кожные проявления</w:t>
      </w:r>
      <w:r>
        <w:rPr>
          <w:spacing w:val="-8"/>
        </w:rPr>
        <w:t> </w:t>
      </w:r>
      <w:r>
        <w:rPr/>
        <w:t>–</w:t>
      </w:r>
      <w:r>
        <w:rPr>
          <w:spacing w:val="-7"/>
        </w:rPr>
        <w:t> </w:t>
      </w:r>
      <w:r>
        <w:rPr/>
        <w:t>от</w:t>
      </w:r>
      <w:r>
        <w:rPr>
          <w:spacing w:val="-7"/>
        </w:rPr>
        <w:t> </w:t>
      </w:r>
      <w:r>
        <w:rPr/>
        <w:t>геморрагического</w:t>
      </w:r>
      <w:r>
        <w:rPr>
          <w:spacing w:val="-7"/>
        </w:rPr>
        <w:t> </w:t>
      </w:r>
      <w:r>
        <w:rPr/>
        <w:t>синдрома</w:t>
      </w:r>
      <w:r>
        <w:rPr>
          <w:spacing w:val="-8"/>
        </w:rPr>
        <w:t> </w:t>
      </w:r>
      <w:r>
        <w:rPr/>
        <w:t>до</w:t>
      </w:r>
      <w:r>
        <w:rPr>
          <w:spacing w:val="-7"/>
        </w:rPr>
        <w:t> </w:t>
      </w:r>
      <w:r>
        <w:rPr/>
        <w:t>высыпаний</w:t>
      </w:r>
      <w:r>
        <w:rPr>
          <w:spacing w:val="-6"/>
        </w:rPr>
        <w:t> </w:t>
      </w:r>
      <w:r>
        <w:rPr/>
        <w:t>различного</w:t>
      </w:r>
      <w:r>
        <w:rPr>
          <w:spacing w:val="-7"/>
        </w:rPr>
        <w:t> </w:t>
      </w:r>
      <w:r>
        <w:rPr/>
        <w:t>вида,</w:t>
      </w:r>
      <w:r>
        <w:rPr>
          <w:spacing w:val="-7"/>
        </w:rPr>
        <w:t> </w:t>
      </w:r>
      <w:r>
        <w:rPr/>
        <w:t>патогенез которых не ясен. Есть данные, что SARS‑CoV2 способен активировать предшествующие хронические инфекционные</w:t>
      </w:r>
      <w:r>
        <w:rPr>
          <w:spacing w:val="-4"/>
        </w:rPr>
        <w:t> </w:t>
      </w:r>
      <w:r>
        <w:rPr/>
        <w:t>процессы.</w:t>
      </w:r>
    </w:p>
    <w:p>
      <w:pPr>
        <w:pStyle w:val="BodyText"/>
        <w:spacing w:line="312" w:lineRule="auto" w:before="13"/>
        <w:ind w:right="673" w:firstLine="708"/>
      </w:pPr>
      <w:r>
        <w:rPr/>
        <w:t>На основании исследований аутопсийного материала с учетом клинической картины  заболевания  можно   выделить,   как   минимум,   следующие   клинические и морфологические маски COVID-19: сердечную, мозговую, кишечную, почечную, печеночную, диабетическую, тромбоэмболическую (при тромбоэмболии легочной артерии), септическую (при отсутствии бактериального или микотического сепсиса), микроангиопатическую (с системной микроангиопатией),</w:t>
      </w:r>
      <w:r>
        <w:rPr>
          <w:spacing w:val="-3"/>
        </w:rPr>
        <w:t> </w:t>
      </w:r>
      <w:r>
        <w:rPr/>
        <w:t>кожную.</w:t>
      </w:r>
    </w:p>
    <w:p>
      <w:pPr>
        <w:pStyle w:val="BodyText"/>
        <w:spacing w:line="312" w:lineRule="auto" w:before="15"/>
        <w:ind w:right="673" w:firstLine="708"/>
      </w:pPr>
      <w:r>
        <w:rPr/>
        <w:t>Таким образом, как и при других коронавирусных инфекциях, а также гриппе А/H1N1 в большинстве наблюдений основным морфологическим субстратом COVID-19 является  диффузное  альвеолярное  повреждение,  но,  в  отличие  от  них, с</w:t>
      </w:r>
      <w:r>
        <w:rPr>
          <w:spacing w:val="-3"/>
        </w:rPr>
        <w:t> </w:t>
      </w:r>
      <w:r>
        <w:rPr/>
        <w:t>одновременным</w:t>
      </w:r>
      <w:r>
        <w:rPr>
          <w:spacing w:val="-17"/>
        </w:rPr>
        <w:t> </w:t>
      </w:r>
      <w:r>
        <w:rPr/>
        <w:t>тяжелым</w:t>
      </w:r>
      <w:r>
        <w:rPr>
          <w:spacing w:val="-18"/>
        </w:rPr>
        <w:t> </w:t>
      </w:r>
      <w:r>
        <w:rPr/>
        <w:t>поражением</w:t>
      </w:r>
      <w:r>
        <w:rPr>
          <w:spacing w:val="-17"/>
        </w:rPr>
        <w:t> </w:t>
      </w:r>
      <w:r>
        <w:rPr/>
        <w:t>сосудистого</w:t>
      </w:r>
      <w:r>
        <w:rPr>
          <w:spacing w:val="-16"/>
        </w:rPr>
        <w:t> </w:t>
      </w:r>
      <w:r>
        <w:rPr/>
        <w:t>русла</w:t>
      </w:r>
      <w:r>
        <w:rPr>
          <w:spacing w:val="-17"/>
        </w:rPr>
        <w:t> </w:t>
      </w:r>
      <w:r>
        <w:rPr/>
        <w:t>и</w:t>
      </w:r>
      <w:r>
        <w:rPr>
          <w:spacing w:val="-11"/>
        </w:rPr>
        <w:t> </w:t>
      </w:r>
      <w:r>
        <w:rPr/>
        <w:t>у</w:t>
      </w:r>
      <w:r>
        <w:rPr>
          <w:spacing w:val="-23"/>
        </w:rPr>
        <w:t> </w:t>
      </w:r>
      <w:r>
        <w:rPr/>
        <w:t>ряда</w:t>
      </w:r>
      <w:r>
        <w:rPr>
          <w:spacing w:val="-17"/>
        </w:rPr>
        <w:t> </w:t>
      </w:r>
      <w:r>
        <w:rPr/>
        <w:t>больных</w:t>
      </w:r>
      <w:r>
        <w:rPr>
          <w:spacing w:val="-13"/>
        </w:rPr>
        <w:t> </w:t>
      </w:r>
      <w:r>
        <w:rPr/>
        <w:t>различных органов и систем. Термин вирусной (интерстициальной) пневмонии, широко используемый в клинике, по сути своей отражает именно развитие диффузного альвеолярного повреждения. В свою очередь, тяжелое диффузное альвеолярное повреждение является синонимом клинического понятия «острый респираторный дисстресс-синдром»</w:t>
      </w:r>
      <w:r>
        <w:rPr>
          <w:spacing w:val="-8"/>
        </w:rPr>
        <w:t> </w:t>
      </w:r>
      <w:r>
        <w:rPr/>
        <w:t>(ОРДС).</w:t>
      </w:r>
    </w:p>
    <w:p>
      <w:pPr>
        <w:spacing w:after="0" w:line="312" w:lineRule="auto"/>
        <w:sectPr>
          <w:pgSz w:w="11920" w:h="16850"/>
          <w:pgMar w:header="0" w:footer="620" w:top="1060" w:bottom="880" w:left="1380" w:right="600"/>
        </w:sectPr>
      </w:pPr>
    </w:p>
    <w:p>
      <w:pPr>
        <w:pStyle w:val="BodyText"/>
        <w:spacing w:line="312" w:lineRule="auto" w:before="78"/>
        <w:ind w:right="676" w:firstLine="708"/>
      </w:pPr>
      <w:r>
        <w:rPr/>
        <w:t>Многие аспекты патогенеза и патоморфологии коронавирусной инфекции нуждаются в дальнейшем комплексном изучении с использованием современных методов.</w:t>
      </w:r>
    </w:p>
    <w:p>
      <w:pPr>
        <w:pStyle w:val="BodyText"/>
        <w:spacing w:before="3"/>
        <w:ind w:left="0"/>
        <w:jc w:val="left"/>
        <w:rPr>
          <w:sz w:val="31"/>
        </w:rPr>
      </w:pPr>
    </w:p>
    <w:p>
      <w:pPr>
        <w:pStyle w:val="Heading2"/>
        <w:numPr>
          <w:ilvl w:val="0"/>
          <w:numId w:val="4"/>
        </w:numPr>
        <w:tabs>
          <w:tab w:pos="1311" w:val="left" w:leader="none"/>
        </w:tabs>
        <w:spacing w:line="240" w:lineRule="auto" w:before="1" w:after="0"/>
        <w:ind w:left="1310" w:right="0" w:hanging="282"/>
        <w:jc w:val="left"/>
      </w:pPr>
      <w:bookmarkStart w:name="2. ЭПИДЕМИОЛОГИЧЕСКАЯ ХАРАКТЕРИСТИКА" w:id="8"/>
      <w:bookmarkEnd w:id="8"/>
      <w:r>
        <w:rPr>
          <w:b w:val="0"/>
        </w:rPr>
      </w:r>
      <w:bookmarkStart w:name="_bookmark2" w:id="9"/>
      <w:bookmarkEnd w:id="9"/>
      <w:r>
        <w:rPr>
          <w:b w:val="0"/>
        </w:rPr>
      </w:r>
      <w:bookmarkStart w:name="_bookmark2" w:id="10"/>
      <w:bookmarkEnd w:id="10"/>
      <w:r>
        <w:rPr>
          <w:color w:val="1F487C"/>
        </w:rPr>
        <w:t>Э</w:t>
      </w:r>
      <w:r>
        <w:rPr>
          <w:color w:val="1F487C"/>
        </w:rPr>
        <w:t>ПИДЕМИОЛОГИЧЕСКАЯ</w:t>
      </w:r>
      <w:r>
        <w:rPr>
          <w:color w:val="1F487C"/>
          <w:spacing w:val="-3"/>
        </w:rPr>
        <w:t> </w:t>
      </w:r>
      <w:r>
        <w:rPr>
          <w:color w:val="1F487C"/>
        </w:rPr>
        <w:t>ХАРАКТЕРИСТИКА</w:t>
      </w:r>
    </w:p>
    <w:p>
      <w:pPr>
        <w:pStyle w:val="BodyText"/>
        <w:spacing w:line="312" w:lineRule="auto" w:before="200"/>
        <w:ind w:right="675" w:firstLine="708"/>
      </w:pPr>
      <w:r>
        <w:rPr/>
        <w:t>С декабря 2019 г. по март 2020 г. наиболее широкое распространение SARS-CoV-2 получил на территории КНР, в которой подтвержденные случаи заболевания были зарегистрированы во всех административных образованиях. Наибольшее   количество   заболевших   выявлено   в   Юго-Восточной   части    КНР  с эпицентром в провинции Хубэй (84% от общего числа случаев в</w:t>
      </w:r>
      <w:r>
        <w:rPr>
          <w:spacing w:val="-10"/>
        </w:rPr>
        <w:t> </w:t>
      </w:r>
      <w:r>
        <w:rPr/>
        <w:t>КНР).</w:t>
      </w:r>
    </w:p>
    <w:p>
      <w:pPr>
        <w:pStyle w:val="BodyText"/>
        <w:spacing w:line="312" w:lineRule="auto" w:before="13"/>
        <w:ind w:right="675" w:firstLine="708"/>
      </w:pPr>
      <w:r>
        <w:rPr/>
        <w:t>С конца января 2020 г. во многих странах мира стали регистрироваться случаи COVID-19, преимущественно связанные с поездками в КНР. В конце февраля 2020 г. резко осложнилась эпидемиологическая обстановка по COVID-19 в Южной Корее, Иране и Италии, что в последующем привело к значительному росту числа случаев заболевания</w:t>
      </w:r>
      <w:r>
        <w:rPr>
          <w:spacing w:val="-12"/>
        </w:rPr>
        <w:t> </w:t>
      </w:r>
      <w:r>
        <w:rPr/>
        <w:t>в</w:t>
      </w:r>
      <w:r>
        <w:rPr>
          <w:spacing w:val="-12"/>
        </w:rPr>
        <w:t> </w:t>
      </w:r>
      <w:r>
        <w:rPr/>
        <w:t>других</w:t>
      </w:r>
      <w:r>
        <w:rPr>
          <w:spacing w:val="-10"/>
        </w:rPr>
        <w:t> </w:t>
      </w:r>
      <w:r>
        <w:rPr/>
        <w:t>странах</w:t>
      </w:r>
      <w:r>
        <w:rPr>
          <w:spacing w:val="-10"/>
        </w:rPr>
        <w:t> </w:t>
      </w:r>
      <w:r>
        <w:rPr/>
        <w:t>мира,</w:t>
      </w:r>
      <w:r>
        <w:rPr>
          <w:spacing w:val="-11"/>
        </w:rPr>
        <w:t> </w:t>
      </w:r>
      <w:r>
        <w:rPr/>
        <w:t>связанных</w:t>
      </w:r>
      <w:r>
        <w:rPr>
          <w:spacing w:val="-12"/>
        </w:rPr>
        <w:t> </w:t>
      </w:r>
      <w:r>
        <w:rPr/>
        <w:t>с</w:t>
      </w:r>
      <w:r>
        <w:rPr>
          <w:spacing w:val="-12"/>
        </w:rPr>
        <w:t> </w:t>
      </w:r>
      <w:r>
        <w:rPr/>
        <w:t>поездками</w:t>
      </w:r>
      <w:r>
        <w:rPr>
          <w:spacing w:val="-11"/>
        </w:rPr>
        <w:t> </w:t>
      </w:r>
      <w:r>
        <w:rPr/>
        <w:t>в</w:t>
      </w:r>
      <w:r>
        <w:rPr>
          <w:spacing w:val="-12"/>
        </w:rPr>
        <w:t> </w:t>
      </w:r>
      <w:r>
        <w:rPr/>
        <w:t>эти</w:t>
      </w:r>
      <w:r>
        <w:rPr>
          <w:spacing w:val="-10"/>
        </w:rPr>
        <w:t> </w:t>
      </w:r>
      <w:r>
        <w:rPr/>
        <w:t>страны.</w:t>
      </w:r>
      <w:r>
        <w:rPr>
          <w:spacing w:val="-12"/>
        </w:rPr>
        <w:t> </w:t>
      </w:r>
      <w:r>
        <w:rPr/>
        <w:t>ВОЗ</w:t>
      </w:r>
      <w:r>
        <w:rPr>
          <w:spacing w:val="-11"/>
        </w:rPr>
        <w:t> </w:t>
      </w:r>
      <w:r>
        <w:rPr/>
        <w:t>объявила 11 марта 2020 г. о начале пандемии</w:t>
      </w:r>
      <w:r>
        <w:rPr>
          <w:spacing w:val="-3"/>
        </w:rPr>
        <w:t> </w:t>
      </w:r>
      <w:r>
        <w:rPr/>
        <w:t>COVID-19.</w:t>
      </w:r>
    </w:p>
    <w:p>
      <w:pPr>
        <w:pStyle w:val="BodyText"/>
        <w:spacing w:line="312" w:lineRule="auto" w:before="15"/>
        <w:ind w:right="674" w:firstLine="708"/>
      </w:pPr>
      <w:r>
        <w:rPr/>
        <w:t>Среди всех регионов мира первое место по числу выявленных случаев заболевания и летальных исходов занимает Американский регион. При этом наибольшее  число  случаев  инфицирования  в  настоящее  время  зарегистрировано   в США и Бразилии (более 40% от общего числа в</w:t>
      </w:r>
      <w:r>
        <w:rPr>
          <w:spacing w:val="-7"/>
        </w:rPr>
        <w:t> </w:t>
      </w:r>
      <w:r>
        <w:rPr/>
        <w:t>мире).</w:t>
      </w:r>
    </w:p>
    <w:p>
      <w:pPr>
        <w:pStyle w:val="BodyText"/>
        <w:spacing w:line="312" w:lineRule="auto" w:before="14"/>
        <w:ind w:right="674" w:firstLine="708"/>
      </w:pPr>
      <w:r>
        <w:rPr/>
        <w:t>Почти все страны мира серьезно пострадали от пандемии COVID-19, однако эпидемическая ситуация в разных странах крайне неоднородная. Высокий уровень заболеваемости и летальности отмечается в тех странах, где изоляционно- ограничительные мероприятия были введены с запозданием или в неполном объеме (Италия, Испания, США, Великобритания). Напротив, в странах, в которых противоэпидемические мероприятия были введены своевременно и в полном объеме (Сингапур, Южная Корея, Тайвань, Япония), наблюдается низкий уровень заболеваемости и летальности от COVID-19.</w:t>
      </w:r>
    </w:p>
    <w:p>
      <w:pPr>
        <w:pStyle w:val="BodyText"/>
        <w:spacing w:line="312" w:lineRule="auto" w:before="15"/>
        <w:ind w:right="673" w:firstLine="708"/>
      </w:pPr>
      <w:r>
        <w:rPr/>
        <w:t>Основным источником инфекции является больной человек, в том числе находящийся в инкубационном периоде заболевания. Наибольшую опасность для окружающих представляет человек  в  последние  два  дня  инкубационного  периода и первые дни болезни.</w:t>
      </w:r>
    </w:p>
    <w:p>
      <w:pPr>
        <w:pStyle w:val="BodyText"/>
        <w:spacing w:line="312" w:lineRule="auto" w:before="12"/>
        <w:ind w:right="673" w:firstLine="708"/>
      </w:pPr>
      <w:r>
        <w:rPr/>
        <w:t>Передача инфекции осуществляется воздушно-капельным, воздушно-пылевым и контактным путями. Ведущим путем передачи SARS-CoV-2 является воздушно- капельный, который реализуется при кашле, чихании и разговоре на близком (менее   2 метров) расстоянии. Контактный путь передачи реализуется во время рукопожатий  и других видах непосредственного контакта с инфицированным человеком, а также через пищевые продукты, поверхности и предметы, контаминированные</w:t>
      </w:r>
      <w:r>
        <w:rPr>
          <w:spacing w:val="-7"/>
        </w:rPr>
        <w:t> </w:t>
      </w:r>
      <w:r>
        <w:rPr/>
        <w:t>вирусом.</w:t>
      </w:r>
    </w:p>
    <w:p>
      <w:pPr>
        <w:spacing w:after="0" w:line="312" w:lineRule="auto"/>
        <w:sectPr>
          <w:pgSz w:w="11920" w:h="16850"/>
          <w:pgMar w:header="0" w:footer="620" w:top="1060" w:bottom="880" w:left="1380" w:right="600"/>
        </w:sectPr>
      </w:pPr>
    </w:p>
    <w:p>
      <w:pPr>
        <w:pStyle w:val="BodyText"/>
        <w:spacing w:line="312" w:lineRule="auto" w:before="78"/>
        <w:ind w:right="673" w:firstLine="708"/>
      </w:pPr>
      <w:r>
        <w:rPr/>
        <w:t>По имеющимся научным данным возможен фекально-оральный механизм передачи вируса. РНК SARS-CoV-2 обнаруживалась в образцах фекалий больных, как и при других инфекциях, вызванных высокопатогенными коронавирусами.</w:t>
      </w:r>
    </w:p>
    <w:p>
      <w:pPr>
        <w:pStyle w:val="BodyText"/>
        <w:spacing w:line="312" w:lineRule="auto" w:before="13"/>
        <w:ind w:right="672" w:firstLine="708"/>
      </w:pPr>
      <w:r>
        <w:rPr/>
        <w:t>Установлена</w:t>
      </w:r>
      <w:r>
        <w:rPr>
          <w:spacing w:val="-17"/>
        </w:rPr>
        <w:t> </w:t>
      </w:r>
      <w:r>
        <w:rPr/>
        <w:t>роль</w:t>
      </w:r>
      <w:r>
        <w:rPr>
          <w:spacing w:val="-15"/>
        </w:rPr>
        <w:t> </w:t>
      </w:r>
      <w:r>
        <w:rPr/>
        <w:t>COVID-19</w:t>
      </w:r>
      <w:r>
        <w:rPr>
          <w:spacing w:val="-16"/>
        </w:rPr>
        <w:t> </w:t>
      </w:r>
      <w:r>
        <w:rPr/>
        <w:t>как</w:t>
      </w:r>
      <w:r>
        <w:rPr>
          <w:spacing w:val="-14"/>
        </w:rPr>
        <w:t> </w:t>
      </w:r>
      <w:r>
        <w:rPr/>
        <w:t>инфекции,</w:t>
      </w:r>
      <w:r>
        <w:rPr>
          <w:spacing w:val="-16"/>
        </w:rPr>
        <w:t> </w:t>
      </w:r>
      <w:r>
        <w:rPr/>
        <w:t>связанной</w:t>
      </w:r>
      <w:r>
        <w:rPr>
          <w:spacing w:val="-15"/>
        </w:rPr>
        <w:t> </w:t>
      </w:r>
      <w:r>
        <w:rPr/>
        <w:t>с</w:t>
      </w:r>
      <w:r>
        <w:rPr>
          <w:spacing w:val="-16"/>
        </w:rPr>
        <w:t> </w:t>
      </w:r>
      <w:r>
        <w:rPr/>
        <w:t>оказанием</w:t>
      </w:r>
      <w:r>
        <w:rPr>
          <w:spacing w:val="-17"/>
        </w:rPr>
        <w:t> </w:t>
      </w:r>
      <w:r>
        <w:rPr/>
        <w:t>медицинской помощи. Медицинские работники подвергаются самому высокому риску инфицирования, поскольку в процессе выполнения профессиональных обязанностей имеют  длительный  аэрозольный  контакт.  Риск  реализации  воздушно-капельного   и контактного путей передачи возбудителя повышается в условиях несоблюдения требований санитарно-эпидемиологического режима, в том числе правил инфекционной безопасности (использование средств индивидуальной</w:t>
      </w:r>
      <w:r>
        <w:rPr>
          <w:spacing w:val="-5"/>
        </w:rPr>
        <w:t> </w:t>
      </w:r>
      <w:r>
        <w:rPr/>
        <w:t>защиты).</w:t>
      </w:r>
    </w:p>
    <w:p>
      <w:pPr>
        <w:pStyle w:val="BodyText"/>
        <w:spacing w:line="312" w:lineRule="auto" w:before="16"/>
        <w:ind w:right="673" w:firstLine="708"/>
      </w:pPr>
      <w:r>
        <w:rPr/>
        <w:t>Существует высокий  риск  формирования  эпидемических  очагов  COVID-19  в организованных коллективах (воинские коллективы, образовательные учреждения, дома престарелых, психоневрологические диспансеры, общежития, медицинские организации) в случае нарушения санитарно-противоэпидемического режима. Также существует риск возникновения множественных заболеваний в коллективах организаций закрытого типа при несоблюдении мер профилактики</w:t>
      </w:r>
      <w:r>
        <w:rPr>
          <w:spacing w:val="-8"/>
        </w:rPr>
        <w:t> </w:t>
      </w:r>
      <w:r>
        <w:rPr/>
        <w:t>инфекции.</w:t>
      </w:r>
    </w:p>
    <w:p>
      <w:pPr>
        <w:pStyle w:val="BodyText"/>
        <w:spacing w:line="312" w:lineRule="auto" w:before="12"/>
        <w:ind w:right="672" w:firstLine="708"/>
      </w:pPr>
      <w:r>
        <w:rPr/>
        <w:t>Новая коронавирусная инфекция, вызванная SARS-CoV-2, включена в</w:t>
      </w:r>
      <w:r>
        <w:rPr>
          <w:spacing w:val="-37"/>
        </w:rPr>
        <w:t> </w:t>
      </w:r>
      <w:r>
        <w:rPr/>
        <w:t>перечень заболеваний, представляющих опасность для окружающих (постановление Правительства Российской Федерации от 31 января 2020 г. №</w:t>
      </w:r>
      <w:r>
        <w:rPr>
          <w:spacing w:val="-5"/>
        </w:rPr>
        <w:t> </w:t>
      </w:r>
      <w:r>
        <w:rPr/>
        <w:t>66).</w:t>
      </w:r>
    </w:p>
    <w:p>
      <w:pPr>
        <w:pStyle w:val="BodyText"/>
        <w:ind w:left="0"/>
        <w:jc w:val="left"/>
        <w:rPr>
          <w:sz w:val="21"/>
        </w:rPr>
      </w:pPr>
    </w:p>
    <w:p>
      <w:pPr>
        <w:pStyle w:val="Heading3"/>
        <w:spacing w:line="362" w:lineRule="auto"/>
        <w:ind w:right="2673"/>
        <w:jc w:val="left"/>
      </w:pPr>
      <w:bookmarkStart w:name="Стандартное определение случая заболеван" w:id="11"/>
      <w:bookmarkEnd w:id="11"/>
      <w:r>
        <w:rPr>
          <w:b w:val="0"/>
        </w:rPr>
      </w:r>
      <w:r>
        <w:rPr>
          <w:color w:val="1F487C"/>
        </w:rPr>
        <w:t>Стандартное определение случая заболевания COVID-19 </w:t>
      </w:r>
      <w:r>
        <w:rPr/>
        <w:t>Подозрительный на COVID-19 случай</w:t>
      </w:r>
    </w:p>
    <w:p>
      <w:pPr>
        <w:pStyle w:val="BodyText"/>
        <w:spacing w:before="62"/>
        <w:ind w:left="1029"/>
        <w:jc w:val="left"/>
      </w:pPr>
      <w:r>
        <w:rPr/>
        <w:t>Клинические проявления острой респираторной инфекции (ОРИ) (температура</w:t>
      </w:r>
    </w:p>
    <w:p>
      <w:pPr>
        <w:pStyle w:val="ListParagraph"/>
        <w:numPr>
          <w:ilvl w:val="0"/>
          <w:numId w:val="5"/>
        </w:numPr>
        <w:tabs>
          <w:tab w:pos="620" w:val="left" w:leader="none"/>
        </w:tabs>
        <w:spacing w:line="312" w:lineRule="auto" w:before="84" w:after="0"/>
        <w:ind w:left="321" w:right="675" w:firstLine="0"/>
        <w:jc w:val="both"/>
        <w:rPr>
          <w:sz w:val="24"/>
        </w:rPr>
      </w:pPr>
      <w:r>
        <w:rPr>
          <w:sz w:val="24"/>
        </w:rPr>
        <w:t>тела выше 37,5 °C и один или более из следующих признаков: кашель – сухой или со скудной мокротой, одышка, ощущение заложенности в грудной клетке, насыщение</w:t>
      </w:r>
      <w:r>
        <w:rPr>
          <w:position w:val="2"/>
          <w:sz w:val="24"/>
        </w:rPr>
        <w:t> крови кислородом по данным пульсоксиметрии (SpO</w:t>
      </w:r>
      <w:r>
        <w:rPr>
          <w:sz w:val="16"/>
        </w:rPr>
        <w:t>2</w:t>
      </w:r>
      <w:r>
        <w:rPr>
          <w:position w:val="2"/>
          <w:sz w:val="24"/>
        </w:rPr>
        <w:t>) ≤ 95%, боль в горле,</w:t>
      </w:r>
      <w:r>
        <w:rPr>
          <w:sz w:val="24"/>
        </w:rPr>
        <w:t> заложенность</w:t>
      </w:r>
      <w:r>
        <w:rPr>
          <w:spacing w:val="-9"/>
          <w:sz w:val="24"/>
        </w:rPr>
        <w:t> </w:t>
      </w:r>
      <w:r>
        <w:rPr>
          <w:sz w:val="24"/>
        </w:rPr>
        <w:t>носа</w:t>
      </w:r>
      <w:r>
        <w:rPr>
          <w:spacing w:val="-8"/>
          <w:sz w:val="24"/>
        </w:rPr>
        <w:t> </w:t>
      </w:r>
      <w:r>
        <w:rPr>
          <w:sz w:val="24"/>
        </w:rPr>
        <w:t>или</w:t>
      </w:r>
      <w:r>
        <w:rPr>
          <w:spacing w:val="-9"/>
          <w:sz w:val="24"/>
        </w:rPr>
        <w:t> </w:t>
      </w:r>
      <w:r>
        <w:rPr>
          <w:sz w:val="24"/>
        </w:rPr>
        <w:t>умеренная</w:t>
      </w:r>
      <w:r>
        <w:rPr>
          <w:spacing w:val="-6"/>
          <w:sz w:val="24"/>
        </w:rPr>
        <w:t> </w:t>
      </w:r>
      <w:r>
        <w:rPr>
          <w:sz w:val="24"/>
        </w:rPr>
        <w:t>ринорея,</w:t>
      </w:r>
      <w:r>
        <w:rPr>
          <w:spacing w:val="-7"/>
          <w:sz w:val="24"/>
        </w:rPr>
        <w:t> </w:t>
      </w:r>
      <w:r>
        <w:rPr>
          <w:sz w:val="24"/>
        </w:rPr>
        <w:t>нарушение</w:t>
      </w:r>
      <w:r>
        <w:rPr>
          <w:spacing w:val="-8"/>
          <w:sz w:val="24"/>
        </w:rPr>
        <w:t> </w:t>
      </w:r>
      <w:r>
        <w:rPr>
          <w:sz w:val="24"/>
        </w:rPr>
        <w:t>или</w:t>
      </w:r>
      <w:r>
        <w:rPr>
          <w:spacing w:val="-6"/>
          <w:sz w:val="24"/>
        </w:rPr>
        <w:t> </w:t>
      </w:r>
      <w:r>
        <w:rPr>
          <w:sz w:val="24"/>
        </w:rPr>
        <w:t>потеря</w:t>
      </w:r>
      <w:r>
        <w:rPr>
          <w:spacing w:val="-7"/>
          <w:sz w:val="24"/>
        </w:rPr>
        <w:t> </w:t>
      </w:r>
      <w:r>
        <w:rPr>
          <w:sz w:val="24"/>
        </w:rPr>
        <w:t>обоняния</w:t>
      </w:r>
      <w:r>
        <w:rPr>
          <w:spacing w:val="-9"/>
          <w:sz w:val="24"/>
        </w:rPr>
        <w:t> </w:t>
      </w:r>
      <w:r>
        <w:rPr>
          <w:sz w:val="24"/>
        </w:rPr>
        <w:t>(гипосмия или аносмия), потеря вкуса (дисгевзия), конъюнктивит, слабость, мышечные боли, головная боль, рвота, диарея, кожная сыпь) при отсутствии других известных причин, которые объясняют клиническую картину вне зависимости от эпидемиологического анамнеза.</w:t>
      </w:r>
    </w:p>
    <w:p>
      <w:pPr>
        <w:pStyle w:val="Heading3"/>
        <w:spacing w:before="120"/>
      </w:pPr>
      <w:r>
        <w:rPr/>
        <w:t>Вероятный (клинически подтвержденный) случай COVID-19</w:t>
      </w:r>
    </w:p>
    <w:p>
      <w:pPr>
        <w:pStyle w:val="ListParagraph"/>
        <w:numPr>
          <w:ilvl w:val="1"/>
          <w:numId w:val="5"/>
        </w:numPr>
        <w:tabs>
          <w:tab w:pos="1316" w:val="left" w:leader="none"/>
        </w:tabs>
        <w:spacing w:line="312" w:lineRule="auto" w:before="79" w:after="0"/>
        <w:ind w:left="321" w:right="675" w:firstLine="708"/>
        <w:jc w:val="both"/>
        <w:rPr>
          <w:sz w:val="24"/>
        </w:rPr>
      </w:pPr>
      <w:r>
        <w:rPr>
          <w:sz w:val="24"/>
        </w:rPr>
        <w:t>Клинические проявления ОРИ (t тела &gt; 37,5 °C и один или более признаков: кашель, сухой или со скудной мокротой, одышка, ощущение заложенности в грудной</w:t>
      </w:r>
      <w:r>
        <w:rPr>
          <w:position w:val="2"/>
          <w:sz w:val="24"/>
        </w:rPr>
        <w:t> клетке, SpO</w:t>
      </w:r>
      <w:r>
        <w:rPr>
          <w:sz w:val="16"/>
        </w:rPr>
        <w:t>2 </w:t>
      </w:r>
      <w:r>
        <w:rPr>
          <w:position w:val="2"/>
          <w:sz w:val="24"/>
        </w:rPr>
        <w:t>≤ 95%, боль в горле, заложенность носа или умеренная ринорея,</w:t>
      </w:r>
      <w:r>
        <w:rPr>
          <w:sz w:val="24"/>
        </w:rPr>
        <w:t> нарушение или потеря обоняния (гипосмия или аносмия), потеря вкуса (дисгевзия), конъюнктивит, слабость, мышечные боли, головная боль, рвота, диарея, кожная сыпь) при наличии хотя бы одного из эпидемиологических</w:t>
      </w:r>
      <w:r>
        <w:rPr>
          <w:spacing w:val="-1"/>
          <w:sz w:val="24"/>
        </w:rPr>
        <w:t> </w:t>
      </w:r>
      <w:r>
        <w:rPr>
          <w:sz w:val="24"/>
        </w:rPr>
        <w:t>признаков:</w:t>
      </w:r>
    </w:p>
    <w:p>
      <w:pPr>
        <w:spacing w:after="0" w:line="312" w:lineRule="auto"/>
        <w:jc w:val="both"/>
        <w:rPr>
          <w:sz w:val="24"/>
        </w:rPr>
        <w:sectPr>
          <w:pgSz w:w="11920" w:h="16850"/>
          <w:pgMar w:header="0" w:footer="620" w:top="1060" w:bottom="880" w:left="1380" w:right="600"/>
        </w:sectPr>
      </w:pPr>
    </w:p>
    <w:p>
      <w:pPr>
        <w:pStyle w:val="ListParagraph"/>
        <w:numPr>
          <w:ilvl w:val="0"/>
          <w:numId w:val="6"/>
        </w:numPr>
        <w:tabs>
          <w:tab w:pos="1041" w:val="left" w:leader="none"/>
          <w:tab w:pos="1042" w:val="left" w:leader="none"/>
        </w:tabs>
        <w:spacing w:line="240" w:lineRule="auto" w:before="80" w:after="0"/>
        <w:ind w:left="1041" w:right="0" w:hanging="361"/>
        <w:jc w:val="left"/>
        <w:rPr>
          <w:sz w:val="24"/>
        </w:rPr>
      </w:pPr>
      <w:r>
        <w:rPr>
          <w:sz w:val="24"/>
        </w:rPr>
        <w:t>Возвращение из зарубежной поездки за 14 дней до появления</w:t>
      </w:r>
      <w:r>
        <w:rPr>
          <w:spacing w:val="-6"/>
          <w:sz w:val="24"/>
        </w:rPr>
        <w:t> </w:t>
      </w:r>
      <w:r>
        <w:rPr>
          <w:sz w:val="24"/>
        </w:rPr>
        <w:t>симптомов;</w:t>
      </w:r>
    </w:p>
    <w:p>
      <w:pPr>
        <w:pStyle w:val="ListParagraph"/>
        <w:numPr>
          <w:ilvl w:val="0"/>
          <w:numId w:val="6"/>
        </w:numPr>
        <w:tabs>
          <w:tab w:pos="1041" w:val="left" w:leader="none"/>
          <w:tab w:pos="1042" w:val="left" w:leader="none"/>
        </w:tabs>
        <w:spacing w:line="304" w:lineRule="auto" w:before="83" w:after="0"/>
        <w:ind w:left="1041" w:right="675" w:hanging="360"/>
        <w:jc w:val="left"/>
        <w:rPr>
          <w:sz w:val="24"/>
        </w:rPr>
      </w:pPr>
      <w:r>
        <w:rPr>
          <w:sz w:val="24"/>
        </w:rPr>
        <w:t>Наличие тесных контактов за последние 14 дней с лицом, находящимся под наблюдением по COVID-19, который в последующем</w:t>
      </w:r>
      <w:r>
        <w:rPr>
          <w:spacing w:val="-6"/>
          <w:sz w:val="24"/>
        </w:rPr>
        <w:t> </w:t>
      </w:r>
      <w:r>
        <w:rPr>
          <w:sz w:val="24"/>
        </w:rPr>
        <w:t>заболел;</w:t>
      </w:r>
    </w:p>
    <w:p>
      <w:pPr>
        <w:pStyle w:val="ListParagraph"/>
        <w:numPr>
          <w:ilvl w:val="0"/>
          <w:numId w:val="6"/>
        </w:numPr>
        <w:tabs>
          <w:tab w:pos="1041" w:val="left" w:leader="none"/>
          <w:tab w:pos="1042" w:val="left" w:leader="none"/>
        </w:tabs>
        <w:spacing w:line="304" w:lineRule="auto" w:before="10" w:after="0"/>
        <w:ind w:left="1041" w:right="674" w:hanging="360"/>
        <w:jc w:val="left"/>
        <w:rPr>
          <w:sz w:val="24"/>
        </w:rPr>
      </w:pPr>
      <w:r>
        <w:rPr>
          <w:sz w:val="24"/>
        </w:rPr>
        <w:t>Наличие тесных контактов за последние 14 дней с лицом, у которого лабораторно подтвержден диагноз</w:t>
      </w:r>
      <w:r>
        <w:rPr>
          <w:spacing w:val="-2"/>
          <w:sz w:val="24"/>
        </w:rPr>
        <w:t> </w:t>
      </w:r>
      <w:r>
        <w:rPr>
          <w:sz w:val="24"/>
        </w:rPr>
        <w:t>COVID-19;</w:t>
      </w:r>
    </w:p>
    <w:p>
      <w:pPr>
        <w:pStyle w:val="ListParagraph"/>
        <w:numPr>
          <w:ilvl w:val="0"/>
          <w:numId w:val="6"/>
        </w:numPr>
        <w:tabs>
          <w:tab w:pos="1041" w:val="left" w:leader="none"/>
          <w:tab w:pos="1042" w:val="left" w:leader="none"/>
          <w:tab w:pos="2147" w:val="left" w:leader="none"/>
          <w:tab w:pos="4339" w:val="left" w:leader="none"/>
          <w:tab w:pos="5594" w:val="left" w:leader="none"/>
          <w:tab w:pos="5923" w:val="left" w:leader="none"/>
          <w:tab w:pos="6974" w:val="left" w:leader="none"/>
          <w:tab w:pos="7310" w:val="left" w:leader="none"/>
          <w:tab w:pos="8399" w:val="left" w:leader="none"/>
        </w:tabs>
        <w:spacing w:line="304" w:lineRule="auto" w:before="11" w:after="0"/>
        <w:ind w:left="1041" w:right="678" w:hanging="360"/>
        <w:jc w:val="left"/>
        <w:rPr>
          <w:sz w:val="24"/>
        </w:rPr>
      </w:pPr>
      <w:r>
        <w:rPr>
          <w:sz w:val="24"/>
        </w:rPr>
        <w:t>Наличие</w:t>
        <w:tab/>
        <w:t>профессиональных</w:t>
        <w:tab/>
        <w:t>контактов</w:t>
        <w:tab/>
        <w:t>с</w:t>
        <w:tab/>
        <w:t>лицами,</w:t>
        <w:tab/>
        <w:t>у</w:t>
        <w:tab/>
        <w:t>которых</w:t>
        <w:tab/>
      </w:r>
      <w:r>
        <w:rPr>
          <w:spacing w:val="-3"/>
          <w:sz w:val="24"/>
        </w:rPr>
        <w:t>выявлен </w:t>
      </w:r>
      <w:r>
        <w:rPr>
          <w:sz w:val="24"/>
        </w:rPr>
        <w:t>подозрительный или подтвержденный случай заболевания</w:t>
      </w:r>
      <w:r>
        <w:rPr>
          <w:spacing w:val="-3"/>
          <w:sz w:val="24"/>
        </w:rPr>
        <w:t> </w:t>
      </w:r>
      <w:r>
        <w:rPr>
          <w:sz w:val="24"/>
        </w:rPr>
        <w:t>COVID-19.</w:t>
      </w:r>
    </w:p>
    <w:p>
      <w:pPr>
        <w:pStyle w:val="BodyText"/>
        <w:spacing w:before="4"/>
        <w:ind w:left="0"/>
        <w:jc w:val="left"/>
        <w:rPr>
          <w:sz w:val="34"/>
        </w:rPr>
      </w:pPr>
    </w:p>
    <w:p>
      <w:pPr>
        <w:pStyle w:val="ListParagraph"/>
        <w:numPr>
          <w:ilvl w:val="1"/>
          <w:numId w:val="5"/>
        </w:numPr>
        <w:tabs>
          <w:tab w:pos="1316" w:val="left" w:leader="none"/>
        </w:tabs>
        <w:spacing w:line="312" w:lineRule="auto" w:before="0" w:after="0"/>
        <w:ind w:left="321" w:right="674" w:firstLine="708"/>
        <w:jc w:val="both"/>
        <w:rPr>
          <w:sz w:val="24"/>
        </w:rPr>
      </w:pPr>
      <w:r>
        <w:rPr>
          <w:sz w:val="24"/>
        </w:rPr>
        <w:t>Наличие   клинических    проявлений,    указанных    в    п.1,    в    сочетании с характерными изменениями в легких по данным компьютерной томографии (КТ) (см.</w:t>
      </w:r>
      <w:r>
        <w:rPr>
          <w:color w:val="0562C1"/>
          <w:sz w:val="24"/>
        </w:rPr>
        <w:t> </w:t>
      </w:r>
      <w:hyperlink w:history="true" w:anchor="_bookmark44">
        <w:r>
          <w:rPr>
            <w:color w:val="0562C1"/>
            <w:sz w:val="24"/>
            <w:u w:val="single" w:color="0562C1"/>
          </w:rPr>
          <w:t>Приложение 1</w:t>
        </w:r>
      </w:hyperlink>
      <w:r>
        <w:rPr>
          <w:color w:val="0562C1"/>
          <w:sz w:val="24"/>
        </w:rPr>
        <w:t> </w:t>
      </w:r>
      <w:r>
        <w:rPr>
          <w:sz w:val="24"/>
        </w:rPr>
        <w:t>настоящих рекомендаций) вне зависимости от результатов однократного    лабораторного    исследования    на    наличие    РНК    SARS-CoV-2    и эпидемиологического анамнеза.</w:t>
      </w:r>
    </w:p>
    <w:p>
      <w:pPr>
        <w:pStyle w:val="ListParagraph"/>
        <w:numPr>
          <w:ilvl w:val="1"/>
          <w:numId w:val="5"/>
        </w:numPr>
        <w:tabs>
          <w:tab w:pos="1316" w:val="left" w:leader="none"/>
        </w:tabs>
        <w:spacing w:line="312" w:lineRule="auto" w:before="1" w:after="0"/>
        <w:ind w:left="321" w:right="675" w:firstLine="708"/>
        <w:jc w:val="both"/>
        <w:rPr>
          <w:sz w:val="24"/>
        </w:rPr>
      </w:pPr>
      <w:r>
        <w:rPr>
          <w:sz w:val="24"/>
        </w:rPr>
        <w:t>Наличие   клинических    проявлений    (указаны    в    п.1),    в    сочетании   с характерными изменениями в легких  по данным лучевых  исследований (указаны    в п.2) при невозможности проведения лабораторного исследования на наличие РНК SARS-CoV-2.</w:t>
      </w:r>
    </w:p>
    <w:p>
      <w:pPr>
        <w:pStyle w:val="BodyText"/>
        <w:spacing w:before="8"/>
        <w:ind w:left="0"/>
        <w:jc w:val="left"/>
        <w:rPr>
          <w:sz w:val="20"/>
        </w:rPr>
      </w:pPr>
    </w:p>
    <w:p>
      <w:pPr>
        <w:pStyle w:val="Heading3"/>
      </w:pPr>
      <w:bookmarkStart w:name="Подтвержденный случай COVID-19" w:id="12"/>
      <w:bookmarkEnd w:id="12"/>
      <w:r>
        <w:rPr>
          <w:b w:val="0"/>
        </w:rPr>
      </w:r>
      <w:r>
        <w:rPr>
          <w:color w:val="1F487C"/>
        </w:rPr>
        <w:t>Подтвержденный случай COVID-19</w:t>
      </w:r>
    </w:p>
    <w:p>
      <w:pPr>
        <w:pStyle w:val="ListParagraph"/>
        <w:numPr>
          <w:ilvl w:val="0"/>
          <w:numId w:val="7"/>
        </w:numPr>
        <w:tabs>
          <w:tab w:pos="1316" w:val="left" w:leader="none"/>
        </w:tabs>
        <w:spacing w:line="312" w:lineRule="auto" w:before="144" w:after="0"/>
        <w:ind w:left="1389" w:right="676" w:hanging="360"/>
        <w:jc w:val="both"/>
        <w:rPr>
          <w:sz w:val="24"/>
        </w:rPr>
      </w:pPr>
      <w:r>
        <w:rPr>
          <w:sz w:val="24"/>
        </w:rPr>
        <w:t>Положительный результат лабораторного исследования на наличие РНК SARS-CoV-2 с применением методов амплификации нуклеиновых кислот (МАНК) или антигена SARS-CoV-2 c применением иммунохроматографического анализа вне зависимости от клинических проявлений.</w:t>
      </w:r>
    </w:p>
    <w:p>
      <w:pPr>
        <w:pStyle w:val="ListParagraph"/>
        <w:numPr>
          <w:ilvl w:val="0"/>
          <w:numId w:val="7"/>
        </w:numPr>
        <w:tabs>
          <w:tab w:pos="1316" w:val="left" w:leader="none"/>
        </w:tabs>
        <w:spacing w:line="312" w:lineRule="auto" w:before="0" w:after="0"/>
        <w:ind w:left="1389" w:right="674" w:hanging="360"/>
        <w:jc w:val="both"/>
        <w:rPr>
          <w:sz w:val="24"/>
        </w:rPr>
      </w:pPr>
      <w:r>
        <w:rPr>
          <w:sz w:val="24"/>
        </w:rPr>
        <w:t>Положительный</w:t>
      </w:r>
      <w:r>
        <w:rPr>
          <w:spacing w:val="-13"/>
          <w:sz w:val="24"/>
        </w:rPr>
        <w:t> </w:t>
      </w:r>
      <w:r>
        <w:rPr>
          <w:sz w:val="24"/>
        </w:rPr>
        <w:t>результат</w:t>
      </w:r>
      <w:r>
        <w:rPr>
          <w:spacing w:val="-13"/>
          <w:sz w:val="24"/>
        </w:rPr>
        <w:t> </w:t>
      </w:r>
      <w:r>
        <w:rPr>
          <w:sz w:val="24"/>
        </w:rPr>
        <w:t>на</w:t>
      </w:r>
      <w:r>
        <w:rPr>
          <w:spacing w:val="-14"/>
          <w:sz w:val="24"/>
        </w:rPr>
        <w:t> </w:t>
      </w:r>
      <w:r>
        <w:rPr>
          <w:sz w:val="24"/>
        </w:rPr>
        <w:t>антитела</w:t>
      </w:r>
      <w:r>
        <w:rPr>
          <w:spacing w:val="-14"/>
          <w:sz w:val="24"/>
        </w:rPr>
        <w:t> </w:t>
      </w:r>
      <w:r>
        <w:rPr>
          <w:sz w:val="24"/>
        </w:rPr>
        <w:t>класса</w:t>
      </w:r>
      <w:r>
        <w:rPr>
          <w:spacing w:val="-12"/>
          <w:sz w:val="24"/>
        </w:rPr>
        <w:t> </w:t>
      </w:r>
      <w:r>
        <w:rPr>
          <w:sz w:val="24"/>
        </w:rPr>
        <w:t>IgA,</w:t>
      </w:r>
      <w:r>
        <w:rPr>
          <w:spacing w:val="-9"/>
          <w:sz w:val="24"/>
        </w:rPr>
        <w:t> </w:t>
      </w:r>
      <w:r>
        <w:rPr>
          <w:sz w:val="24"/>
        </w:rPr>
        <w:t>IgM</w:t>
      </w:r>
      <w:r>
        <w:rPr>
          <w:spacing w:val="-13"/>
          <w:sz w:val="24"/>
        </w:rPr>
        <w:t> </w:t>
      </w:r>
      <w:r>
        <w:rPr>
          <w:sz w:val="24"/>
        </w:rPr>
        <w:t>и/или</w:t>
      </w:r>
      <w:r>
        <w:rPr>
          <w:spacing w:val="-10"/>
          <w:sz w:val="24"/>
        </w:rPr>
        <w:t> </w:t>
      </w:r>
      <w:r>
        <w:rPr>
          <w:spacing w:val="-3"/>
          <w:sz w:val="24"/>
        </w:rPr>
        <w:t>IgG</w:t>
      </w:r>
      <w:r>
        <w:rPr>
          <w:spacing w:val="-9"/>
          <w:sz w:val="24"/>
        </w:rPr>
        <w:t> </w:t>
      </w:r>
      <w:r>
        <w:rPr>
          <w:sz w:val="24"/>
        </w:rPr>
        <w:t>у</w:t>
      </w:r>
      <w:r>
        <w:rPr>
          <w:spacing w:val="-18"/>
          <w:sz w:val="24"/>
        </w:rPr>
        <w:t> </w:t>
      </w:r>
      <w:r>
        <w:rPr>
          <w:sz w:val="24"/>
        </w:rPr>
        <w:t>пациентов с клинически подтвержденной инфекцией</w:t>
      </w:r>
      <w:r>
        <w:rPr>
          <w:spacing w:val="-5"/>
          <w:sz w:val="24"/>
        </w:rPr>
        <w:t> </w:t>
      </w:r>
      <w:r>
        <w:rPr>
          <w:sz w:val="24"/>
        </w:rPr>
        <w:t>COVID-19.</w:t>
      </w:r>
    </w:p>
    <w:p>
      <w:pPr>
        <w:pStyle w:val="BodyText"/>
        <w:spacing w:before="3"/>
        <w:ind w:left="0"/>
        <w:jc w:val="left"/>
        <w:rPr>
          <w:sz w:val="31"/>
        </w:rPr>
      </w:pPr>
    </w:p>
    <w:p>
      <w:pPr>
        <w:pStyle w:val="Heading2"/>
        <w:numPr>
          <w:ilvl w:val="0"/>
          <w:numId w:val="7"/>
        </w:numPr>
        <w:tabs>
          <w:tab w:pos="1311" w:val="left" w:leader="none"/>
        </w:tabs>
        <w:spacing w:line="240" w:lineRule="auto" w:before="0" w:after="0"/>
        <w:ind w:left="1310" w:right="0" w:hanging="282"/>
        <w:jc w:val="left"/>
        <w:rPr>
          <w:color w:val="1F487C"/>
        </w:rPr>
      </w:pPr>
      <w:bookmarkStart w:name="3. КЛИНИЧЕСКИЕ ОСОБЕННОСТИ" w:id="13"/>
      <w:bookmarkEnd w:id="13"/>
      <w:r>
        <w:rPr>
          <w:b w:val="0"/>
        </w:rPr>
      </w:r>
      <w:bookmarkStart w:name="_bookmark3" w:id="14"/>
      <w:bookmarkEnd w:id="14"/>
      <w:r>
        <w:rPr>
          <w:b w:val="0"/>
        </w:rPr>
      </w:r>
      <w:bookmarkStart w:name="_bookmark3" w:id="15"/>
      <w:bookmarkEnd w:id="15"/>
      <w:r>
        <w:rPr>
          <w:color w:val="1F487C"/>
        </w:rPr>
        <w:t>К</w:t>
      </w:r>
      <w:r>
        <w:rPr>
          <w:color w:val="1F487C"/>
        </w:rPr>
        <w:t>ЛИНИЧЕСКИЕ</w:t>
      </w:r>
      <w:r>
        <w:rPr>
          <w:color w:val="1F487C"/>
          <w:spacing w:val="-2"/>
        </w:rPr>
        <w:t> </w:t>
      </w:r>
      <w:r>
        <w:rPr>
          <w:color w:val="1F487C"/>
        </w:rPr>
        <w:t>ОСОБЕННОСТИ</w:t>
      </w:r>
    </w:p>
    <w:p>
      <w:pPr>
        <w:pStyle w:val="BodyText"/>
        <w:spacing w:line="324" w:lineRule="auto" w:before="201"/>
        <w:ind w:left="1029" w:right="1363"/>
      </w:pPr>
      <w:r>
        <w:rPr/>
        <w:t>Инкубационный период составляет от 2 до 14 суток, в среднем 5-7 суток. Для COVID-19 характерно наличие клинических симптомов ОРВИ:</w:t>
      </w:r>
    </w:p>
    <w:p>
      <w:pPr>
        <w:pStyle w:val="BodyText"/>
        <w:spacing w:before="7"/>
        <w:ind w:left="0"/>
        <w:jc w:val="left"/>
        <w:rPr>
          <w:sz w:val="32"/>
        </w:rPr>
      </w:pPr>
    </w:p>
    <w:p>
      <w:pPr>
        <w:pStyle w:val="ListParagraph"/>
        <w:numPr>
          <w:ilvl w:val="0"/>
          <w:numId w:val="6"/>
        </w:numPr>
        <w:tabs>
          <w:tab w:pos="1000" w:val="left" w:leader="none"/>
          <w:tab w:pos="1001" w:val="left" w:leader="none"/>
        </w:tabs>
        <w:spacing w:line="240" w:lineRule="auto" w:before="0" w:after="0"/>
        <w:ind w:left="1000" w:right="0" w:hanging="339"/>
        <w:jc w:val="left"/>
        <w:rPr>
          <w:sz w:val="24"/>
        </w:rPr>
      </w:pPr>
      <w:r>
        <w:rPr>
          <w:sz w:val="24"/>
        </w:rPr>
        <w:t>Повышение t тела (&gt;</w:t>
      </w:r>
      <w:r>
        <w:rPr>
          <w:spacing w:val="-4"/>
          <w:sz w:val="24"/>
        </w:rPr>
        <w:t> </w:t>
      </w:r>
      <w:r>
        <w:rPr>
          <w:sz w:val="24"/>
        </w:rPr>
        <w:t>90%);</w:t>
      </w:r>
    </w:p>
    <w:p>
      <w:pPr>
        <w:pStyle w:val="ListParagraph"/>
        <w:numPr>
          <w:ilvl w:val="0"/>
          <w:numId w:val="6"/>
        </w:numPr>
        <w:tabs>
          <w:tab w:pos="1000" w:val="left" w:leader="none"/>
          <w:tab w:pos="1001" w:val="left" w:leader="none"/>
        </w:tabs>
        <w:spacing w:line="240" w:lineRule="auto" w:before="80" w:after="0"/>
        <w:ind w:left="1000" w:right="0" w:hanging="339"/>
        <w:jc w:val="left"/>
        <w:rPr>
          <w:sz w:val="24"/>
        </w:rPr>
      </w:pPr>
      <w:r>
        <w:rPr>
          <w:sz w:val="24"/>
        </w:rPr>
        <w:t>Кашель (сухой или с небольшим количеством мокроты) в 80%</w:t>
      </w:r>
      <w:r>
        <w:rPr>
          <w:spacing w:val="-6"/>
          <w:sz w:val="24"/>
        </w:rPr>
        <w:t> </w:t>
      </w:r>
      <w:r>
        <w:rPr>
          <w:sz w:val="24"/>
        </w:rPr>
        <w:t>случаев;</w:t>
      </w:r>
    </w:p>
    <w:p>
      <w:pPr>
        <w:pStyle w:val="ListParagraph"/>
        <w:numPr>
          <w:ilvl w:val="0"/>
          <w:numId w:val="6"/>
        </w:numPr>
        <w:tabs>
          <w:tab w:pos="1000" w:val="left" w:leader="none"/>
          <w:tab w:pos="1001" w:val="left" w:leader="none"/>
        </w:tabs>
        <w:spacing w:line="240" w:lineRule="auto" w:before="83" w:after="0"/>
        <w:ind w:left="1000" w:right="0" w:hanging="339"/>
        <w:jc w:val="left"/>
        <w:rPr>
          <w:sz w:val="24"/>
        </w:rPr>
      </w:pPr>
      <w:r>
        <w:rPr>
          <w:sz w:val="24"/>
        </w:rPr>
        <w:t>Одышка</w:t>
      </w:r>
      <w:r>
        <w:rPr>
          <w:spacing w:val="-2"/>
          <w:sz w:val="24"/>
        </w:rPr>
        <w:t> </w:t>
      </w:r>
      <w:r>
        <w:rPr>
          <w:sz w:val="24"/>
        </w:rPr>
        <w:t>(30%);</w:t>
      </w:r>
    </w:p>
    <w:p>
      <w:pPr>
        <w:pStyle w:val="ListParagraph"/>
        <w:numPr>
          <w:ilvl w:val="0"/>
          <w:numId w:val="6"/>
        </w:numPr>
        <w:tabs>
          <w:tab w:pos="1000" w:val="left" w:leader="none"/>
          <w:tab w:pos="1001" w:val="left" w:leader="none"/>
        </w:tabs>
        <w:spacing w:line="240" w:lineRule="auto" w:before="83" w:after="0"/>
        <w:ind w:left="1000" w:right="0" w:hanging="339"/>
        <w:jc w:val="left"/>
        <w:rPr>
          <w:sz w:val="24"/>
        </w:rPr>
      </w:pPr>
      <w:r>
        <w:rPr>
          <w:sz w:val="24"/>
        </w:rPr>
        <w:t>Утомляемость</w:t>
      </w:r>
      <w:r>
        <w:rPr>
          <w:spacing w:val="-1"/>
          <w:sz w:val="24"/>
        </w:rPr>
        <w:t> </w:t>
      </w:r>
      <w:r>
        <w:rPr>
          <w:sz w:val="24"/>
        </w:rPr>
        <w:t>(40%);</w:t>
      </w:r>
    </w:p>
    <w:p>
      <w:pPr>
        <w:pStyle w:val="ListParagraph"/>
        <w:numPr>
          <w:ilvl w:val="0"/>
          <w:numId w:val="6"/>
        </w:numPr>
        <w:tabs>
          <w:tab w:pos="1000" w:val="left" w:leader="none"/>
          <w:tab w:pos="1001" w:val="left" w:leader="none"/>
        </w:tabs>
        <w:spacing w:line="240" w:lineRule="auto" w:before="80" w:after="0"/>
        <w:ind w:left="1000" w:right="0" w:hanging="339"/>
        <w:jc w:val="left"/>
        <w:rPr>
          <w:sz w:val="24"/>
        </w:rPr>
      </w:pPr>
      <w:r>
        <w:rPr>
          <w:sz w:val="24"/>
        </w:rPr>
        <w:t>Ощущение заложенности в грудной клетке (&gt;</w:t>
      </w:r>
      <w:r>
        <w:rPr>
          <w:spacing w:val="-1"/>
          <w:sz w:val="24"/>
        </w:rPr>
        <w:t> </w:t>
      </w:r>
      <w:r>
        <w:rPr>
          <w:sz w:val="24"/>
        </w:rPr>
        <w:t>20%).</w:t>
      </w:r>
    </w:p>
    <w:p>
      <w:pPr>
        <w:pStyle w:val="BodyText"/>
        <w:spacing w:before="4"/>
        <w:ind w:left="0"/>
        <w:jc w:val="left"/>
        <w:rPr>
          <w:sz w:val="39"/>
        </w:rPr>
      </w:pPr>
    </w:p>
    <w:p>
      <w:pPr>
        <w:pStyle w:val="BodyText"/>
        <w:spacing w:line="312" w:lineRule="auto" w:before="1"/>
        <w:ind w:right="615" w:firstLine="708"/>
        <w:jc w:val="left"/>
      </w:pPr>
      <w:r>
        <w:rPr/>
        <w:t>Также могут отмечаться боль в горле, насморк, снижение обоняния и вкуса, признаки конъюнктивита.</w:t>
      </w:r>
    </w:p>
    <w:p>
      <w:pPr>
        <w:spacing w:after="0" w:line="312" w:lineRule="auto"/>
        <w:jc w:val="left"/>
        <w:sectPr>
          <w:pgSz w:w="11920" w:h="16850"/>
          <w:pgMar w:header="0" w:footer="620" w:top="1060" w:bottom="880" w:left="1380" w:right="600"/>
        </w:sectPr>
      </w:pPr>
    </w:p>
    <w:p>
      <w:pPr>
        <w:pStyle w:val="BodyText"/>
        <w:spacing w:line="312" w:lineRule="auto" w:before="78"/>
        <w:ind w:right="674" w:firstLine="708"/>
      </w:pPr>
      <w:r>
        <w:rPr/>
        <w:t>Наиболее тяжелая одышка развивается к 6-8-му дню от момента инфицирования. Также установлено, что среди первых симптомов могут быть миалгия (11%), спутанность сознания (9%), головные боли (8%), кровохарканье (2-3%), диарея (3%), тошнота, рвота, сердцебиение. Данные симптомы в дебюте инфекции могут наблюдаться и при отсутствии повышения температуры тела.</w:t>
      </w:r>
    </w:p>
    <w:p>
      <w:pPr>
        <w:pStyle w:val="BodyText"/>
        <w:spacing w:before="9"/>
        <w:ind w:left="0"/>
        <w:jc w:val="left"/>
        <w:rPr>
          <w:sz w:val="20"/>
        </w:rPr>
      </w:pPr>
    </w:p>
    <w:p>
      <w:pPr>
        <w:pStyle w:val="Heading3"/>
        <w:jc w:val="left"/>
      </w:pPr>
      <w:bookmarkStart w:name="Клинические варианты и проявления COVID-" w:id="16"/>
      <w:bookmarkEnd w:id="16"/>
      <w:r>
        <w:rPr>
          <w:b w:val="0"/>
        </w:rPr>
      </w:r>
      <w:r>
        <w:rPr>
          <w:color w:val="1F487C"/>
        </w:rPr>
        <w:t>Клинические варианты и проявления COVID-19:</w:t>
      </w:r>
    </w:p>
    <w:p>
      <w:pPr>
        <w:pStyle w:val="ListParagraph"/>
        <w:numPr>
          <w:ilvl w:val="0"/>
          <w:numId w:val="6"/>
        </w:numPr>
        <w:tabs>
          <w:tab w:pos="1000" w:val="left" w:leader="none"/>
          <w:tab w:pos="1001" w:val="left" w:leader="none"/>
        </w:tabs>
        <w:spacing w:line="240" w:lineRule="auto" w:before="146" w:after="0"/>
        <w:ind w:left="1000" w:right="0" w:hanging="339"/>
        <w:jc w:val="left"/>
        <w:rPr>
          <w:sz w:val="24"/>
        </w:rPr>
      </w:pPr>
      <w:r>
        <w:rPr>
          <w:sz w:val="24"/>
        </w:rPr>
        <w:t>ОРВИ (поражение только верхних отделов дыхательных</w:t>
      </w:r>
      <w:r>
        <w:rPr>
          <w:spacing w:val="-4"/>
          <w:sz w:val="24"/>
        </w:rPr>
        <w:t> </w:t>
      </w:r>
      <w:r>
        <w:rPr>
          <w:sz w:val="24"/>
        </w:rPr>
        <w:t>путей);</w:t>
      </w:r>
    </w:p>
    <w:p>
      <w:pPr>
        <w:pStyle w:val="ListParagraph"/>
        <w:numPr>
          <w:ilvl w:val="0"/>
          <w:numId w:val="6"/>
        </w:numPr>
        <w:tabs>
          <w:tab w:pos="1000" w:val="left" w:leader="none"/>
          <w:tab w:pos="1001" w:val="left" w:leader="none"/>
        </w:tabs>
        <w:spacing w:line="240" w:lineRule="auto" w:before="80" w:after="0"/>
        <w:ind w:left="1000" w:right="0" w:hanging="339"/>
        <w:jc w:val="left"/>
        <w:rPr>
          <w:sz w:val="24"/>
        </w:rPr>
      </w:pPr>
      <w:r>
        <w:rPr>
          <w:sz w:val="24"/>
        </w:rPr>
        <w:t>Пневмония без дыхательной</w:t>
      </w:r>
      <w:r>
        <w:rPr>
          <w:spacing w:val="-2"/>
          <w:sz w:val="24"/>
        </w:rPr>
        <w:t> </w:t>
      </w:r>
      <w:r>
        <w:rPr>
          <w:sz w:val="24"/>
        </w:rPr>
        <w:t>недостаточности;</w:t>
      </w:r>
    </w:p>
    <w:p>
      <w:pPr>
        <w:pStyle w:val="ListParagraph"/>
        <w:numPr>
          <w:ilvl w:val="0"/>
          <w:numId w:val="6"/>
        </w:numPr>
        <w:tabs>
          <w:tab w:pos="1000" w:val="left" w:leader="none"/>
          <w:tab w:pos="1001" w:val="left" w:leader="none"/>
        </w:tabs>
        <w:spacing w:line="240" w:lineRule="auto" w:before="83" w:after="0"/>
        <w:ind w:left="1000" w:right="0" w:hanging="339"/>
        <w:jc w:val="left"/>
        <w:rPr>
          <w:sz w:val="24"/>
        </w:rPr>
      </w:pPr>
      <w:r>
        <w:rPr>
          <w:sz w:val="24"/>
        </w:rPr>
        <w:t>ОРДС (пневмония с</w:t>
      </w:r>
      <w:r>
        <w:rPr>
          <w:spacing w:val="-2"/>
          <w:sz w:val="24"/>
        </w:rPr>
        <w:t> </w:t>
      </w:r>
      <w:r>
        <w:rPr>
          <w:sz w:val="24"/>
        </w:rPr>
        <w:t>ОДН);</w:t>
      </w:r>
    </w:p>
    <w:p>
      <w:pPr>
        <w:pStyle w:val="ListParagraph"/>
        <w:numPr>
          <w:ilvl w:val="0"/>
          <w:numId w:val="6"/>
        </w:numPr>
        <w:tabs>
          <w:tab w:pos="1000" w:val="left" w:leader="none"/>
          <w:tab w:pos="1001" w:val="left" w:leader="none"/>
        </w:tabs>
        <w:spacing w:line="240" w:lineRule="auto" w:before="83" w:after="0"/>
        <w:ind w:left="1000" w:right="0" w:hanging="339"/>
        <w:jc w:val="left"/>
        <w:rPr>
          <w:sz w:val="24"/>
        </w:rPr>
      </w:pPr>
      <w:r>
        <w:rPr>
          <w:sz w:val="24"/>
        </w:rPr>
        <w:t>Сепсис, септический (инфекционно-токсический)</w:t>
      </w:r>
      <w:r>
        <w:rPr>
          <w:spacing w:val="-1"/>
          <w:sz w:val="24"/>
        </w:rPr>
        <w:t> </w:t>
      </w:r>
      <w:r>
        <w:rPr>
          <w:sz w:val="24"/>
        </w:rPr>
        <w:t>шок;</w:t>
      </w:r>
    </w:p>
    <w:p>
      <w:pPr>
        <w:pStyle w:val="ListParagraph"/>
        <w:numPr>
          <w:ilvl w:val="0"/>
          <w:numId w:val="6"/>
        </w:numPr>
        <w:tabs>
          <w:tab w:pos="1000" w:val="left" w:leader="none"/>
          <w:tab w:pos="1001" w:val="left" w:leader="none"/>
        </w:tabs>
        <w:spacing w:line="240" w:lineRule="auto" w:before="80" w:after="0"/>
        <w:ind w:left="1000" w:right="0" w:hanging="339"/>
        <w:jc w:val="left"/>
        <w:rPr>
          <w:sz w:val="24"/>
        </w:rPr>
      </w:pPr>
      <w:r>
        <w:rPr>
          <w:sz w:val="24"/>
        </w:rPr>
        <w:t>ДВС-синдром, тромбозы и</w:t>
      </w:r>
      <w:r>
        <w:rPr>
          <w:spacing w:val="-1"/>
          <w:sz w:val="24"/>
        </w:rPr>
        <w:t> </w:t>
      </w:r>
      <w:r>
        <w:rPr>
          <w:sz w:val="24"/>
        </w:rPr>
        <w:t>тромбоэмболии.</w:t>
      </w:r>
    </w:p>
    <w:p>
      <w:pPr>
        <w:pStyle w:val="BodyText"/>
        <w:spacing w:before="7"/>
        <w:ind w:left="0"/>
        <w:jc w:val="left"/>
        <w:rPr>
          <w:sz w:val="40"/>
        </w:rPr>
      </w:pPr>
    </w:p>
    <w:p>
      <w:pPr>
        <w:pStyle w:val="BodyText"/>
        <w:ind w:left="1029"/>
        <w:jc w:val="left"/>
      </w:pPr>
      <w:r>
        <w:rPr>
          <w:position w:val="2"/>
        </w:rPr>
        <w:t>Гипоксемия (SpO</w:t>
      </w:r>
      <w:r>
        <w:rPr>
          <w:sz w:val="16"/>
        </w:rPr>
        <w:t>2 </w:t>
      </w:r>
      <w:r>
        <w:rPr>
          <w:position w:val="2"/>
        </w:rPr>
        <w:t>&lt; 88%) развивается более чем у 30 % пациентов.</w:t>
      </w:r>
    </w:p>
    <w:p>
      <w:pPr>
        <w:pStyle w:val="BodyText"/>
        <w:spacing w:before="9"/>
        <w:ind w:left="0"/>
        <w:jc w:val="left"/>
        <w:rPr>
          <w:sz w:val="27"/>
        </w:rPr>
      </w:pPr>
    </w:p>
    <w:p>
      <w:pPr>
        <w:pStyle w:val="Heading3"/>
        <w:spacing w:line="364" w:lineRule="auto"/>
        <w:ind w:right="3780"/>
        <w:jc w:val="left"/>
      </w:pPr>
      <w:bookmarkStart w:name="Классификация COVID-19 по степени тяжест" w:id="17"/>
      <w:bookmarkEnd w:id="17"/>
      <w:r>
        <w:rPr>
          <w:b w:val="0"/>
        </w:rPr>
      </w:r>
      <w:r>
        <w:rPr>
          <w:color w:val="1F487C"/>
        </w:rPr>
        <w:t>Классификация COVID-19 по степени тяжести </w:t>
      </w:r>
      <w:r>
        <w:rPr/>
        <w:t>Легкое течение</w:t>
      </w:r>
    </w:p>
    <w:p>
      <w:pPr>
        <w:pStyle w:val="BodyText"/>
        <w:spacing w:before="5"/>
        <w:ind w:left="0"/>
        <w:jc w:val="left"/>
        <w:rPr>
          <w:b/>
          <w:sz w:val="28"/>
        </w:rPr>
      </w:pPr>
    </w:p>
    <w:p>
      <w:pPr>
        <w:pStyle w:val="ListParagraph"/>
        <w:numPr>
          <w:ilvl w:val="0"/>
          <w:numId w:val="6"/>
        </w:numPr>
        <w:tabs>
          <w:tab w:pos="1000" w:val="left" w:leader="none"/>
          <w:tab w:pos="1001" w:val="left" w:leader="none"/>
        </w:tabs>
        <w:spacing w:line="240" w:lineRule="auto" w:before="0" w:after="0"/>
        <w:ind w:left="1000" w:right="0" w:hanging="339"/>
        <w:jc w:val="left"/>
        <w:rPr>
          <w:sz w:val="24"/>
        </w:rPr>
      </w:pPr>
      <w:r>
        <w:rPr>
          <w:sz w:val="24"/>
        </w:rPr>
        <w:t>Т тела &lt; 38 °C, кашель, слабость, боли в</w:t>
      </w:r>
      <w:r>
        <w:rPr>
          <w:spacing w:val="-4"/>
          <w:sz w:val="24"/>
        </w:rPr>
        <w:t> </w:t>
      </w:r>
      <w:r>
        <w:rPr>
          <w:sz w:val="24"/>
        </w:rPr>
        <w:t>горле</w:t>
      </w:r>
    </w:p>
    <w:p>
      <w:pPr>
        <w:pStyle w:val="ListParagraph"/>
        <w:numPr>
          <w:ilvl w:val="0"/>
          <w:numId w:val="6"/>
        </w:numPr>
        <w:tabs>
          <w:tab w:pos="1000" w:val="left" w:leader="none"/>
          <w:tab w:pos="1001" w:val="left" w:leader="none"/>
        </w:tabs>
        <w:spacing w:line="240" w:lineRule="auto" w:before="83" w:after="0"/>
        <w:ind w:left="1000" w:right="0" w:hanging="339"/>
        <w:jc w:val="left"/>
        <w:rPr>
          <w:sz w:val="24"/>
        </w:rPr>
      </w:pPr>
      <w:r>
        <w:rPr>
          <w:sz w:val="24"/>
        </w:rPr>
        <w:t>Отсутствие критериев среднетяжелого и тяжелого</w:t>
      </w:r>
      <w:r>
        <w:rPr>
          <w:spacing w:val="-2"/>
          <w:sz w:val="24"/>
        </w:rPr>
        <w:t> </w:t>
      </w:r>
      <w:r>
        <w:rPr>
          <w:sz w:val="24"/>
        </w:rPr>
        <w:t>течения</w:t>
      </w:r>
    </w:p>
    <w:p>
      <w:pPr>
        <w:pStyle w:val="BodyText"/>
        <w:ind w:left="0"/>
        <w:jc w:val="left"/>
        <w:rPr>
          <w:sz w:val="28"/>
        </w:rPr>
      </w:pPr>
    </w:p>
    <w:p>
      <w:pPr>
        <w:pStyle w:val="BodyText"/>
        <w:ind w:left="0"/>
        <w:jc w:val="left"/>
        <w:rPr>
          <w:sz w:val="22"/>
        </w:rPr>
      </w:pPr>
    </w:p>
    <w:p>
      <w:pPr>
        <w:pStyle w:val="Heading3"/>
        <w:jc w:val="left"/>
      </w:pPr>
      <w:r>
        <w:rPr/>
        <w:t>Среднетяжелое течение</w:t>
      </w:r>
    </w:p>
    <w:p>
      <w:pPr>
        <w:pStyle w:val="ListParagraph"/>
        <w:numPr>
          <w:ilvl w:val="0"/>
          <w:numId w:val="6"/>
        </w:numPr>
        <w:tabs>
          <w:tab w:pos="1000" w:val="left" w:leader="none"/>
          <w:tab w:pos="1001" w:val="left" w:leader="none"/>
        </w:tabs>
        <w:spacing w:line="240" w:lineRule="auto" w:before="201" w:after="0"/>
        <w:ind w:left="1000" w:right="0" w:hanging="339"/>
        <w:jc w:val="left"/>
        <w:rPr>
          <w:sz w:val="24"/>
        </w:rPr>
      </w:pPr>
      <w:r>
        <w:rPr>
          <w:sz w:val="24"/>
        </w:rPr>
        <w:t>Т тела &gt; 38</w:t>
      </w:r>
      <w:r>
        <w:rPr>
          <w:spacing w:val="-4"/>
          <w:sz w:val="24"/>
        </w:rPr>
        <w:t> </w:t>
      </w:r>
      <w:r>
        <w:rPr>
          <w:sz w:val="24"/>
        </w:rPr>
        <w:t>°C</w:t>
      </w:r>
    </w:p>
    <w:p>
      <w:pPr>
        <w:pStyle w:val="ListParagraph"/>
        <w:numPr>
          <w:ilvl w:val="0"/>
          <w:numId w:val="6"/>
        </w:numPr>
        <w:tabs>
          <w:tab w:pos="1000" w:val="left" w:leader="none"/>
          <w:tab w:pos="1001" w:val="left" w:leader="none"/>
        </w:tabs>
        <w:spacing w:line="240" w:lineRule="auto" w:before="83" w:after="0"/>
        <w:ind w:left="1000" w:right="0" w:hanging="339"/>
        <w:jc w:val="left"/>
        <w:rPr>
          <w:sz w:val="24"/>
        </w:rPr>
      </w:pPr>
      <w:r>
        <w:rPr>
          <w:sz w:val="24"/>
        </w:rPr>
        <w:t>ЧДД &gt;</w:t>
      </w:r>
      <w:r>
        <w:rPr>
          <w:spacing w:val="-3"/>
          <w:sz w:val="24"/>
        </w:rPr>
        <w:t> </w:t>
      </w:r>
      <w:r>
        <w:rPr>
          <w:sz w:val="24"/>
        </w:rPr>
        <w:t>22/мин</w:t>
      </w:r>
    </w:p>
    <w:p>
      <w:pPr>
        <w:pStyle w:val="ListParagraph"/>
        <w:numPr>
          <w:ilvl w:val="0"/>
          <w:numId w:val="6"/>
        </w:numPr>
        <w:tabs>
          <w:tab w:pos="1000" w:val="left" w:leader="none"/>
          <w:tab w:pos="1001" w:val="left" w:leader="none"/>
        </w:tabs>
        <w:spacing w:line="240" w:lineRule="auto" w:before="83" w:after="0"/>
        <w:ind w:left="1000" w:right="0" w:hanging="339"/>
        <w:jc w:val="left"/>
        <w:rPr>
          <w:sz w:val="24"/>
        </w:rPr>
      </w:pPr>
      <w:r>
        <w:rPr>
          <w:sz w:val="24"/>
        </w:rPr>
        <w:t>Одышка при физических</w:t>
      </w:r>
      <w:r>
        <w:rPr>
          <w:spacing w:val="1"/>
          <w:sz w:val="24"/>
        </w:rPr>
        <w:t> </w:t>
      </w:r>
      <w:r>
        <w:rPr>
          <w:sz w:val="24"/>
        </w:rPr>
        <w:t>нагрузках</w:t>
      </w:r>
    </w:p>
    <w:p>
      <w:pPr>
        <w:pStyle w:val="ListParagraph"/>
        <w:numPr>
          <w:ilvl w:val="0"/>
          <w:numId w:val="6"/>
        </w:numPr>
        <w:tabs>
          <w:tab w:pos="1000" w:val="left" w:leader="none"/>
          <w:tab w:pos="1001" w:val="left" w:leader="none"/>
        </w:tabs>
        <w:spacing w:line="304" w:lineRule="auto" w:before="80" w:after="0"/>
        <w:ind w:left="1000" w:right="677" w:hanging="339"/>
        <w:jc w:val="left"/>
        <w:rPr>
          <w:sz w:val="24"/>
        </w:rPr>
      </w:pPr>
      <w:r>
        <w:rPr>
          <w:sz w:val="24"/>
        </w:rPr>
        <w:t>Изменения при КТ (рентгенографии), типичные для вирусного поражения (объем поражения минимальный или средний; КТ</w:t>
      </w:r>
      <w:r>
        <w:rPr>
          <w:spacing w:val="-8"/>
          <w:sz w:val="24"/>
        </w:rPr>
        <w:t> </w:t>
      </w:r>
      <w:r>
        <w:rPr>
          <w:sz w:val="24"/>
        </w:rPr>
        <w:t>1-2)</w:t>
      </w:r>
    </w:p>
    <w:p>
      <w:pPr>
        <w:pStyle w:val="ListParagraph"/>
        <w:numPr>
          <w:ilvl w:val="0"/>
          <w:numId w:val="6"/>
        </w:numPr>
        <w:tabs>
          <w:tab w:pos="1000" w:val="left" w:leader="none"/>
          <w:tab w:pos="1001" w:val="left" w:leader="none"/>
        </w:tabs>
        <w:spacing w:line="240" w:lineRule="auto" w:before="12" w:after="0"/>
        <w:ind w:left="1000" w:right="0" w:hanging="339"/>
        <w:jc w:val="left"/>
        <w:rPr>
          <w:sz w:val="24"/>
        </w:rPr>
      </w:pPr>
      <w:r>
        <w:rPr>
          <w:position w:val="2"/>
          <w:sz w:val="24"/>
        </w:rPr>
        <w:t>SpO</w:t>
      </w:r>
      <w:r>
        <w:rPr>
          <w:sz w:val="16"/>
        </w:rPr>
        <w:t>2 </w:t>
      </w:r>
      <w:r>
        <w:rPr>
          <w:position w:val="2"/>
          <w:sz w:val="24"/>
        </w:rPr>
        <w:t>&lt;</w:t>
      </w:r>
      <w:r>
        <w:rPr>
          <w:spacing w:val="-20"/>
          <w:position w:val="2"/>
          <w:sz w:val="24"/>
        </w:rPr>
        <w:t> </w:t>
      </w:r>
      <w:r>
        <w:rPr>
          <w:position w:val="2"/>
          <w:sz w:val="24"/>
        </w:rPr>
        <w:t>95%</w:t>
      </w:r>
    </w:p>
    <w:p>
      <w:pPr>
        <w:pStyle w:val="ListParagraph"/>
        <w:numPr>
          <w:ilvl w:val="0"/>
          <w:numId w:val="6"/>
        </w:numPr>
        <w:tabs>
          <w:tab w:pos="1000" w:val="left" w:leader="none"/>
          <w:tab w:pos="1001" w:val="left" w:leader="none"/>
        </w:tabs>
        <w:spacing w:line="240" w:lineRule="auto" w:before="80" w:after="0"/>
        <w:ind w:left="1000" w:right="0" w:hanging="339"/>
        <w:jc w:val="left"/>
        <w:rPr>
          <w:sz w:val="24"/>
        </w:rPr>
      </w:pPr>
      <w:r>
        <w:rPr>
          <w:sz w:val="24"/>
        </w:rPr>
        <w:t>СРБ сыворотки крови &gt;10</w:t>
      </w:r>
      <w:r>
        <w:rPr>
          <w:spacing w:val="-1"/>
          <w:sz w:val="24"/>
        </w:rPr>
        <w:t> </w:t>
      </w:r>
      <w:r>
        <w:rPr>
          <w:sz w:val="24"/>
        </w:rPr>
        <w:t>мг/л</w:t>
      </w:r>
    </w:p>
    <w:p>
      <w:pPr>
        <w:pStyle w:val="BodyText"/>
        <w:ind w:left="0"/>
        <w:jc w:val="left"/>
        <w:rPr>
          <w:sz w:val="28"/>
        </w:rPr>
      </w:pPr>
    </w:p>
    <w:p>
      <w:pPr>
        <w:pStyle w:val="BodyText"/>
        <w:spacing w:before="11"/>
        <w:ind w:left="0"/>
        <w:jc w:val="left"/>
        <w:rPr>
          <w:sz w:val="30"/>
        </w:rPr>
      </w:pPr>
    </w:p>
    <w:p>
      <w:pPr>
        <w:pStyle w:val="Heading3"/>
        <w:jc w:val="left"/>
      </w:pPr>
      <w:r>
        <w:rPr/>
        <w:t>Тяжелое течение</w:t>
      </w:r>
    </w:p>
    <w:p>
      <w:pPr>
        <w:pStyle w:val="ListParagraph"/>
        <w:numPr>
          <w:ilvl w:val="0"/>
          <w:numId w:val="6"/>
        </w:numPr>
        <w:tabs>
          <w:tab w:pos="1000" w:val="left" w:leader="none"/>
          <w:tab w:pos="1001" w:val="left" w:leader="none"/>
        </w:tabs>
        <w:spacing w:line="240" w:lineRule="auto" w:before="206" w:after="0"/>
        <w:ind w:left="1000" w:right="0" w:hanging="339"/>
        <w:jc w:val="left"/>
        <w:rPr>
          <w:sz w:val="24"/>
        </w:rPr>
      </w:pPr>
      <w:r>
        <w:rPr>
          <w:sz w:val="24"/>
        </w:rPr>
        <w:t>ЧДД &gt;</w:t>
      </w:r>
      <w:r>
        <w:rPr>
          <w:spacing w:val="-3"/>
          <w:sz w:val="24"/>
        </w:rPr>
        <w:t> </w:t>
      </w:r>
      <w:r>
        <w:rPr>
          <w:sz w:val="24"/>
        </w:rPr>
        <w:t>30/мин</w:t>
      </w:r>
    </w:p>
    <w:p>
      <w:pPr>
        <w:pStyle w:val="ListParagraph"/>
        <w:numPr>
          <w:ilvl w:val="0"/>
          <w:numId w:val="6"/>
        </w:numPr>
        <w:tabs>
          <w:tab w:pos="1000" w:val="left" w:leader="none"/>
          <w:tab w:pos="1001" w:val="left" w:leader="none"/>
        </w:tabs>
        <w:spacing w:line="240" w:lineRule="auto" w:before="80" w:after="0"/>
        <w:ind w:left="1000" w:right="0" w:hanging="339"/>
        <w:jc w:val="left"/>
        <w:rPr>
          <w:sz w:val="24"/>
        </w:rPr>
      </w:pPr>
      <w:r>
        <w:rPr>
          <w:position w:val="2"/>
          <w:sz w:val="24"/>
        </w:rPr>
        <w:t>SpO</w:t>
      </w:r>
      <w:r>
        <w:rPr>
          <w:sz w:val="16"/>
        </w:rPr>
        <w:t>2 </w:t>
      </w:r>
      <w:r>
        <w:rPr>
          <w:position w:val="2"/>
          <w:sz w:val="24"/>
        </w:rPr>
        <w:t>≤</w:t>
      </w:r>
      <w:r>
        <w:rPr>
          <w:spacing w:val="-19"/>
          <w:position w:val="2"/>
          <w:sz w:val="24"/>
        </w:rPr>
        <w:t> </w:t>
      </w:r>
      <w:r>
        <w:rPr>
          <w:position w:val="2"/>
          <w:sz w:val="24"/>
        </w:rPr>
        <w:t>93%</w:t>
      </w:r>
    </w:p>
    <w:p>
      <w:pPr>
        <w:pStyle w:val="ListParagraph"/>
        <w:numPr>
          <w:ilvl w:val="0"/>
          <w:numId w:val="6"/>
        </w:numPr>
        <w:tabs>
          <w:tab w:pos="1000" w:val="left" w:leader="none"/>
          <w:tab w:pos="1001" w:val="left" w:leader="none"/>
        </w:tabs>
        <w:spacing w:line="240" w:lineRule="auto" w:before="81" w:after="0"/>
        <w:ind w:left="1000" w:right="0" w:hanging="339"/>
        <w:jc w:val="left"/>
        <w:rPr>
          <w:sz w:val="24"/>
        </w:rPr>
      </w:pPr>
      <w:r>
        <w:rPr>
          <w:position w:val="2"/>
          <w:sz w:val="24"/>
        </w:rPr>
        <w:t>PaO</w:t>
      </w:r>
      <w:r>
        <w:rPr>
          <w:sz w:val="16"/>
        </w:rPr>
        <w:t>2 </w:t>
      </w:r>
      <w:r>
        <w:rPr>
          <w:position w:val="2"/>
          <w:sz w:val="24"/>
        </w:rPr>
        <w:t>/FiO</w:t>
      </w:r>
      <w:r>
        <w:rPr>
          <w:sz w:val="16"/>
        </w:rPr>
        <w:t>2 </w:t>
      </w:r>
      <w:r>
        <w:rPr>
          <w:position w:val="2"/>
          <w:sz w:val="24"/>
        </w:rPr>
        <w:t>≤ 300 мм</w:t>
      </w:r>
      <w:r>
        <w:rPr>
          <w:spacing w:val="-40"/>
          <w:position w:val="2"/>
          <w:sz w:val="24"/>
        </w:rPr>
        <w:t> </w:t>
      </w:r>
      <w:r>
        <w:rPr>
          <w:position w:val="2"/>
          <w:sz w:val="24"/>
        </w:rPr>
        <w:t>рт.ст.</w:t>
      </w:r>
    </w:p>
    <w:p>
      <w:pPr>
        <w:pStyle w:val="ListParagraph"/>
        <w:numPr>
          <w:ilvl w:val="0"/>
          <w:numId w:val="6"/>
        </w:numPr>
        <w:tabs>
          <w:tab w:pos="1000" w:val="left" w:leader="none"/>
          <w:tab w:pos="1001" w:val="left" w:leader="none"/>
        </w:tabs>
        <w:spacing w:line="240" w:lineRule="auto" w:before="81" w:after="0"/>
        <w:ind w:left="1000" w:right="0" w:hanging="339"/>
        <w:jc w:val="left"/>
        <w:rPr>
          <w:sz w:val="24"/>
        </w:rPr>
      </w:pPr>
      <w:r>
        <w:rPr>
          <w:sz w:val="24"/>
        </w:rPr>
        <w:t>Снижение уровня сознания,</w:t>
      </w:r>
      <w:r>
        <w:rPr>
          <w:spacing w:val="-1"/>
          <w:sz w:val="24"/>
        </w:rPr>
        <w:t> </w:t>
      </w:r>
      <w:r>
        <w:rPr>
          <w:sz w:val="24"/>
        </w:rPr>
        <w:t>ажитация</w:t>
      </w:r>
    </w:p>
    <w:p>
      <w:pPr>
        <w:pStyle w:val="ListParagraph"/>
        <w:numPr>
          <w:ilvl w:val="0"/>
          <w:numId w:val="6"/>
        </w:numPr>
        <w:tabs>
          <w:tab w:pos="1000" w:val="left" w:leader="none"/>
          <w:tab w:pos="1001" w:val="left" w:leader="none"/>
        </w:tabs>
        <w:spacing w:line="304" w:lineRule="auto" w:before="81" w:after="0"/>
        <w:ind w:left="1000" w:right="675" w:hanging="339"/>
        <w:jc w:val="left"/>
        <w:rPr>
          <w:sz w:val="24"/>
        </w:rPr>
      </w:pPr>
      <w:r>
        <w:rPr>
          <w:sz w:val="24"/>
        </w:rPr>
        <w:t>Нестабильная гемодинамика (систолическое АД менее 90 мм рт.ст. или диастолическое АД менее 60 мм рт.ст., диурез менее 20</w:t>
      </w:r>
      <w:r>
        <w:rPr>
          <w:spacing w:val="-5"/>
          <w:sz w:val="24"/>
        </w:rPr>
        <w:t> </w:t>
      </w:r>
      <w:r>
        <w:rPr>
          <w:sz w:val="24"/>
        </w:rPr>
        <w:t>мл/час)</w:t>
      </w:r>
    </w:p>
    <w:p>
      <w:pPr>
        <w:spacing w:after="0" w:line="304" w:lineRule="auto"/>
        <w:jc w:val="left"/>
        <w:rPr>
          <w:sz w:val="24"/>
        </w:rPr>
        <w:sectPr>
          <w:pgSz w:w="11920" w:h="16850"/>
          <w:pgMar w:header="0" w:footer="620" w:top="1060" w:bottom="880" w:left="1380" w:right="600"/>
        </w:sectPr>
      </w:pPr>
    </w:p>
    <w:p>
      <w:pPr>
        <w:pStyle w:val="ListParagraph"/>
        <w:numPr>
          <w:ilvl w:val="0"/>
          <w:numId w:val="6"/>
        </w:numPr>
        <w:tabs>
          <w:tab w:pos="1000" w:val="left" w:leader="none"/>
          <w:tab w:pos="1001" w:val="left" w:leader="none"/>
        </w:tabs>
        <w:spacing w:line="304" w:lineRule="auto" w:before="80" w:after="0"/>
        <w:ind w:left="1000" w:right="677" w:hanging="339"/>
        <w:jc w:val="left"/>
        <w:rPr>
          <w:sz w:val="24"/>
        </w:rPr>
      </w:pPr>
      <w:r>
        <w:rPr>
          <w:sz w:val="24"/>
        </w:rPr>
        <w:t>Изменения в легких при КТ (рентгенографии), типичные для вирусного поражения (объем поражения значительный или субтотальный; КТ</w:t>
      </w:r>
      <w:r>
        <w:rPr>
          <w:spacing w:val="-11"/>
          <w:sz w:val="24"/>
        </w:rPr>
        <w:t> </w:t>
      </w:r>
      <w:r>
        <w:rPr>
          <w:sz w:val="24"/>
        </w:rPr>
        <w:t>3-4)</w:t>
      </w:r>
    </w:p>
    <w:p>
      <w:pPr>
        <w:pStyle w:val="ListParagraph"/>
        <w:numPr>
          <w:ilvl w:val="0"/>
          <w:numId w:val="6"/>
        </w:numPr>
        <w:tabs>
          <w:tab w:pos="1000" w:val="left" w:leader="none"/>
          <w:tab w:pos="1001" w:val="left" w:leader="none"/>
        </w:tabs>
        <w:spacing w:line="240" w:lineRule="auto" w:before="11" w:after="0"/>
        <w:ind w:left="1000" w:right="0" w:hanging="339"/>
        <w:jc w:val="left"/>
        <w:rPr>
          <w:sz w:val="24"/>
        </w:rPr>
      </w:pPr>
      <w:r>
        <w:rPr>
          <w:sz w:val="24"/>
        </w:rPr>
        <w:t>Лактат артериальной крови &gt; 2</w:t>
      </w:r>
      <w:r>
        <w:rPr>
          <w:spacing w:val="-4"/>
          <w:sz w:val="24"/>
        </w:rPr>
        <w:t> </w:t>
      </w:r>
      <w:r>
        <w:rPr>
          <w:sz w:val="24"/>
        </w:rPr>
        <w:t>ммоль/л</w:t>
      </w:r>
    </w:p>
    <w:p>
      <w:pPr>
        <w:pStyle w:val="ListParagraph"/>
        <w:numPr>
          <w:ilvl w:val="0"/>
          <w:numId w:val="6"/>
        </w:numPr>
        <w:tabs>
          <w:tab w:pos="1000" w:val="left" w:leader="none"/>
          <w:tab w:pos="1001" w:val="left" w:leader="none"/>
        </w:tabs>
        <w:spacing w:line="240" w:lineRule="auto" w:before="82" w:after="0"/>
        <w:ind w:left="1000" w:right="0" w:hanging="339"/>
        <w:jc w:val="left"/>
        <w:rPr>
          <w:sz w:val="24"/>
        </w:rPr>
      </w:pPr>
      <w:r>
        <w:rPr>
          <w:sz w:val="24"/>
        </w:rPr>
        <w:t>qSOFA &gt; 2</w:t>
      </w:r>
      <w:r>
        <w:rPr>
          <w:spacing w:val="-3"/>
          <w:sz w:val="24"/>
        </w:rPr>
        <w:t> </w:t>
      </w:r>
      <w:r>
        <w:rPr>
          <w:sz w:val="24"/>
        </w:rPr>
        <w:t>балла</w:t>
      </w:r>
    </w:p>
    <w:p>
      <w:pPr>
        <w:pStyle w:val="BodyText"/>
        <w:ind w:left="0"/>
        <w:jc w:val="left"/>
        <w:rPr>
          <w:sz w:val="28"/>
        </w:rPr>
      </w:pPr>
    </w:p>
    <w:p>
      <w:pPr>
        <w:pStyle w:val="BodyText"/>
        <w:ind w:left="0"/>
        <w:jc w:val="left"/>
        <w:rPr>
          <w:sz w:val="31"/>
        </w:rPr>
      </w:pPr>
    </w:p>
    <w:p>
      <w:pPr>
        <w:pStyle w:val="Heading3"/>
      </w:pPr>
      <w:r>
        <w:rPr/>
        <w:t>Крайне тяжелое течение</w:t>
      </w:r>
    </w:p>
    <w:p>
      <w:pPr>
        <w:pStyle w:val="ListParagraph"/>
        <w:numPr>
          <w:ilvl w:val="0"/>
          <w:numId w:val="6"/>
        </w:numPr>
        <w:tabs>
          <w:tab w:pos="1000" w:val="left" w:leader="none"/>
          <w:tab w:pos="1001" w:val="left" w:leader="none"/>
        </w:tabs>
        <w:spacing w:line="240" w:lineRule="auto" w:before="204" w:after="0"/>
        <w:ind w:left="1000" w:right="0" w:hanging="339"/>
        <w:jc w:val="left"/>
        <w:rPr>
          <w:sz w:val="24"/>
        </w:rPr>
      </w:pPr>
      <w:r>
        <w:rPr>
          <w:sz w:val="24"/>
        </w:rPr>
        <w:t>Стойкая фебрильная</w:t>
      </w:r>
      <w:r>
        <w:rPr>
          <w:spacing w:val="-1"/>
          <w:sz w:val="24"/>
        </w:rPr>
        <w:t> </w:t>
      </w:r>
      <w:r>
        <w:rPr>
          <w:sz w:val="24"/>
        </w:rPr>
        <w:t>лихорадка</w:t>
      </w:r>
    </w:p>
    <w:p>
      <w:pPr>
        <w:pStyle w:val="ListParagraph"/>
        <w:numPr>
          <w:ilvl w:val="0"/>
          <w:numId w:val="6"/>
        </w:numPr>
        <w:tabs>
          <w:tab w:pos="1000" w:val="left" w:leader="none"/>
          <w:tab w:pos="1001" w:val="left" w:leader="none"/>
        </w:tabs>
        <w:spacing w:line="240" w:lineRule="auto" w:before="83" w:after="0"/>
        <w:ind w:left="1000" w:right="0" w:hanging="339"/>
        <w:jc w:val="left"/>
        <w:rPr>
          <w:sz w:val="24"/>
        </w:rPr>
      </w:pPr>
      <w:r>
        <w:rPr>
          <w:sz w:val="24"/>
        </w:rPr>
        <w:t>ОРДС</w:t>
      </w:r>
    </w:p>
    <w:p>
      <w:pPr>
        <w:pStyle w:val="ListParagraph"/>
        <w:numPr>
          <w:ilvl w:val="0"/>
          <w:numId w:val="6"/>
        </w:numPr>
        <w:tabs>
          <w:tab w:pos="1000" w:val="left" w:leader="none"/>
          <w:tab w:pos="1001" w:val="left" w:leader="none"/>
        </w:tabs>
        <w:spacing w:line="304" w:lineRule="auto" w:before="82" w:after="0"/>
        <w:ind w:left="1000" w:right="676" w:hanging="339"/>
        <w:jc w:val="left"/>
        <w:rPr>
          <w:sz w:val="24"/>
        </w:rPr>
      </w:pPr>
      <w:r>
        <w:rPr>
          <w:sz w:val="24"/>
        </w:rPr>
        <w:t>ОДН с необходимостью респираторной поддержки (инвазивная вентиляции легких)</w:t>
      </w:r>
    </w:p>
    <w:p>
      <w:pPr>
        <w:pStyle w:val="ListParagraph"/>
        <w:numPr>
          <w:ilvl w:val="0"/>
          <w:numId w:val="6"/>
        </w:numPr>
        <w:tabs>
          <w:tab w:pos="1000" w:val="left" w:leader="none"/>
          <w:tab w:pos="1001" w:val="left" w:leader="none"/>
        </w:tabs>
        <w:spacing w:line="240" w:lineRule="auto" w:before="11" w:after="0"/>
        <w:ind w:left="1000" w:right="0" w:hanging="339"/>
        <w:jc w:val="left"/>
        <w:rPr>
          <w:sz w:val="24"/>
        </w:rPr>
      </w:pPr>
      <w:r>
        <w:rPr>
          <w:sz w:val="24"/>
        </w:rPr>
        <w:t>Септический шок</w:t>
      </w:r>
    </w:p>
    <w:p>
      <w:pPr>
        <w:pStyle w:val="ListParagraph"/>
        <w:numPr>
          <w:ilvl w:val="0"/>
          <w:numId w:val="6"/>
        </w:numPr>
        <w:tabs>
          <w:tab w:pos="1000" w:val="left" w:leader="none"/>
          <w:tab w:pos="1001" w:val="left" w:leader="none"/>
        </w:tabs>
        <w:spacing w:line="240" w:lineRule="auto" w:before="83" w:after="0"/>
        <w:ind w:left="1000" w:right="0" w:hanging="339"/>
        <w:jc w:val="left"/>
        <w:rPr>
          <w:sz w:val="24"/>
        </w:rPr>
      </w:pPr>
      <w:r>
        <w:rPr>
          <w:sz w:val="24"/>
        </w:rPr>
        <w:t>Полиорганная</w:t>
      </w:r>
      <w:r>
        <w:rPr>
          <w:spacing w:val="-1"/>
          <w:sz w:val="24"/>
        </w:rPr>
        <w:t> </w:t>
      </w:r>
      <w:r>
        <w:rPr>
          <w:sz w:val="24"/>
        </w:rPr>
        <w:t>недостаточность</w:t>
      </w:r>
    </w:p>
    <w:p>
      <w:pPr>
        <w:pStyle w:val="ListParagraph"/>
        <w:numPr>
          <w:ilvl w:val="0"/>
          <w:numId w:val="6"/>
        </w:numPr>
        <w:tabs>
          <w:tab w:pos="1001" w:val="left" w:leader="none"/>
        </w:tabs>
        <w:spacing w:line="309" w:lineRule="auto" w:before="80" w:after="0"/>
        <w:ind w:left="1000" w:right="676" w:hanging="339"/>
        <w:jc w:val="both"/>
        <w:rPr>
          <w:sz w:val="24"/>
        </w:rPr>
      </w:pPr>
      <w:r>
        <w:rPr>
          <w:sz w:val="24"/>
        </w:rPr>
        <w:t>Изменения в легких при КТ (рентгенографии), типичные для вирусного поражения критической степени (объем поражения значительный или субтотальный; КТ 4) или картина</w:t>
      </w:r>
      <w:r>
        <w:rPr>
          <w:spacing w:val="-3"/>
          <w:sz w:val="24"/>
        </w:rPr>
        <w:t> </w:t>
      </w:r>
      <w:r>
        <w:rPr>
          <w:sz w:val="24"/>
        </w:rPr>
        <w:t>ОРДС.</w:t>
      </w:r>
    </w:p>
    <w:p>
      <w:pPr>
        <w:pStyle w:val="BodyText"/>
        <w:spacing w:line="312" w:lineRule="auto" w:before="16"/>
        <w:ind w:right="673" w:firstLine="708"/>
      </w:pPr>
      <w:r>
        <w:rPr/>
        <w:t>В</w:t>
      </w:r>
      <w:r>
        <w:rPr>
          <w:spacing w:val="-13"/>
        </w:rPr>
        <w:t> </w:t>
      </w:r>
      <w:r>
        <w:rPr/>
        <w:t>среднем</w:t>
      </w:r>
      <w:r>
        <w:rPr>
          <w:spacing w:val="-7"/>
        </w:rPr>
        <w:t> </w:t>
      </w:r>
      <w:r>
        <w:rPr/>
        <w:t>у</w:t>
      </w:r>
      <w:r>
        <w:rPr>
          <w:spacing w:val="-16"/>
        </w:rPr>
        <w:t> </w:t>
      </w:r>
      <w:r>
        <w:rPr/>
        <w:t>50%</w:t>
      </w:r>
      <w:r>
        <w:rPr>
          <w:spacing w:val="-12"/>
        </w:rPr>
        <w:t> </w:t>
      </w:r>
      <w:r>
        <w:rPr/>
        <w:t>инфицированных</w:t>
      </w:r>
      <w:r>
        <w:rPr>
          <w:spacing w:val="-9"/>
        </w:rPr>
        <w:t> </w:t>
      </w:r>
      <w:r>
        <w:rPr/>
        <w:t>заболевание</w:t>
      </w:r>
      <w:r>
        <w:rPr>
          <w:spacing w:val="-14"/>
        </w:rPr>
        <w:t> </w:t>
      </w:r>
      <w:r>
        <w:rPr/>
        <w:t>протекает</w:t>
      </w:r>
      <w:r>
        <w:rPr>
          <w:spacing w:val="-10"/>
        </w:rPr>
        <w:t> </w:t>
      </w:r>
      <w:r>
        <w:rPr/>
        <w:t>бессимптомно.</w:t>
      </w:r>
      <w:r>
        <w:rPr>
          <w:spacing w:val="-11"/>
        </w:rPr>
        <w:t> </w:t>
      </w:r>
      <w:r>
        <w:rPr/>
        <w:t>У</w:t>
      </w:r>
      <w:r>
        <w:rPr>
          <w:spacing w:val="-11"/>
        </w:rPr>
        <w:t> </w:t>
      </w:r>
      <w:r>
        <w:rPr/>
        <w:t>80% пациентов с наличием клинических симптомов заболевание протекает в легкой форме ОРВИ. Двадцать процентов подтвержденных случаев заболевания, зарегистрированных в КНР, были классифицированы органами здравоохранения КНР как тяжелые (15% тяжелых больных, 5% в критическом состоянии). Средний возраст пациентов в КНР составил 51 год, наиболее тяжелые формы развивались у пациентов пожилого возраста (60 и более лет), среди заболевших пациентов часто отмечаются такие сопутствующие заболевания, как сахарный диабет (в 20%), артериальная гипертензия (в 15%), другие сердечно-сосудистые заболевания</w:t>
      </w:r>
      <w:r>
        <w:rPr>
          <w:spacing w:val="-6"/>
        </w:rPr>
        <w:t> </w:t>
      </w:r>
      <w:r>
        <w:rPr/>
        <w:t>(15%).</w:t>
      </w:r>
    </w:p>
    <w:p>
      <w:pPr>
        <w:pStyle w:val="BodyText"/>
        <w:spacing w:before="8"/>
        <w:ind w:left="0"/>
        <w:jc w:val="left"/>
        <w:rPr>
          <w:sz w:val="20"/>
        </w:rPr>
      </w:pPr>
    </w:p>
    <w:p>
      <w:pPr>
        <w:pStyle w:val="Heading3"/>
        <w:spacing w:before="1"/>
      </w:pPr>
      <w:bookmarkStart w:name="Кожные сыпи при COVID-19" w:id="18"/>
      <w:bookmarkEnd w:id="18"/>
      <w:r>
        <w:rPr>
          <w:b w:val="0"/>
        </w:rPr>
      </w:r>
      <w:r>
        <w:rPr>
          <w:color w:val="1F487C"/>
        </w:rPr>
        <w:t>Кожные сыпи при COVID-19</w:t>
      </w:r>
    </w:p>
    <w:p>
      <w:pPr>
        <w:pStyle w:val="BodyText"/>
        <w:spacing w:line="312" w:lineRule="auto" w:before="141"/>
        <w:ind w:right="675" w:firstLine="708"/>
      </w:pPr>
      <w:r>
        <w:rPr/>
        <w:t>В настоящее время имеется ряд клинических наблюдений, описывающих кожные сыпи при COVID-19, в связи с чем основной задачей клиницистов является дифференциальная диагностика поражений кожи при COVID-19 от других инфекционных экзантем, а также целого ряда дерматозов.</w:t>
      </w:r>
    </w:p>
    <w:p>
      <w:pPr>
        <w:pStyle w:val="BodyText"/>
        <w:spacing w:line="312" w:lineRule="auto" w:before="15"/>
        <w:ind w:right="674" w:firstLine="708"/>
      </w:pPr>
      <w:r>
        <w:rPr/>
        <w:t>Анализ накапливающихся в литературе описаний клинических наблюдений кожных сыпей у больных COVID-19, а также собственный опыт продолжающегося динамического наблюдения наших соотечественников, страдающих этим вирусным заболеванием, позволяет прийти к выводу о том, что поражения кожи могут быть первыми признаками начала короновирусной инфекции. Кроме того, многообразие наблюдаемых  дерматозов  и   кожных   сыпей   можно   разделить   на   семь   групп   в зависимости от их этиологии и механизмов</w:t>
      </w:r>
      <w:r>
        <w:rPr>
          <w:spacing w:val="-1"/>
        </w:rPr>
        <w:t> </w:t>
      </w:r>
      <w:r>
        <w:rPr/>
        <w:t>развития:</w:t>
      </w:r>
    </w:p>
    <w:p>
      <w:pPr>
        <w:spacing w:after="0" w:line="312" w:lineRule="auto"/>
        <w:sectPr>
          <w:pgSz w:w="11920" w:h="16850"/>
          <w:pgMar w:header="0" w:footer="620" w:top="1060" w:bottom="880" w:left="1380" w:right="600"/>
        </w:sectPr>
      </w:pPr>
    </w:p>
    <w:p>
      <w:pPr>
        <w:pStyle w:val="ListParagraph"/>
        <w:numPr>
          <w:ilvl w:val="0"/>
          <w:numId w:val="8"/>
        </w:numPr>
        <w:tabs>
          <w:tab w:pos="1232" w:val="left" w:leader="none"/>
        </w:tabs>
        <w:spacing w:line="312" w:lineRule="auto" w:before="78" w:after="0"/>
        <w:ind w:left="321" w:right="674" w:firstLine="708"/>
        <w:jc w:val="both"/>
        <w:rPr>
          <w:sz w:val="24"/>
        </w:rPr>
      </w:pPr>
      <w:r>
        <w:rPr>
          <w:b/>
          <w:sz w:val="24"/>
        </w:rPr>
        <w:t>группа - Ангииты кожи. </w:t>
      </w:r>
      <w:r>
        <w:rPr>
          <w:sz w:val="24"/>
        </w:rPr>
        <w:t>Как правило, ангииты кожи имеют инфекционно- аллергический генез и возникают на фоне инфекционных процессов различной, в том числе вирусной этиологии. Классическим примером может служить острая узловатая эритема на фоне обычной ОРВИ. При короновирусной инфекции происходит поражение стенок мелких сосудов дермы циркулирующими иммунными комплексами в виде  депозитов  с  вирусными  антигенами.  К  особым  формам,  ассоциированным с COVID-19, можно отнести акроваскулиты. Акральная приуроченность сыпи, возможно, обусловлена сопутствующей заболеванию гипоксии.</w:t>
      </w:r>
    </w:p>
    <w:p>
      <w:pPr>
        <w:pStyle w:val="ListParagraph"/>
        <w:numPr>
          <w:ilvl w:val="0"/>
          <w:numId w:val="8"/>
        </w:numPr>
        <w:tabs>
          <w:tab w:pos="1212" w:val="left" w:leader="none"/>
        </w:tabs>
        <w:spacing w:line="312" w:lineRule="auto" w:before="15" w:after="0"/>
        <w:ind w:left="321" w:right="675" w:firstLine="708"/>
        <w:jc w:val="both"/>
        <w:rPr>
          <w:sz w:val="24"/>
        </w:rPr>
      </w:pPr>
      <w:r>
        <w:rPr>
          <w:b/>
          <w:sz w:val="24"/>
        </w:rPr>
        <w:t>группа - Папуло-сквамозные сыпи и розовый лишай. </w:t>
      </w:r>
      <w:r>
        <w:rPr>
          <w:sz w:val="24"/>
        </w:rPr>
        <w:t>Представляют собой характерные инфекционно-аллергические поражения кожи, также часто ассоциированные с COVID-19. Клинической особенностью розового лишая при короновирусной инфекции является отсутствие «материнской бляшки» (самого крупного элемента, возникающего первым при классическом течении</w:t>
      </w:r>
      <w:r>
        <w:rPr>
          <w:spacing w:val="-12"/>
          <w:sz w:val="24"/>
        </w:rPr>
        <w:t> </w:t>
      </w:r>
      <w:r>
        <w:rPr>
          <w:sz w:val="24"/>
        </w:rPr>
        <w:t>дерматоза).</w:t>
      </w:r>
    </w:p>
    <w:p>
      <w:pPr>
        <w:pStyle w:val="ListParagraph"/>
        <w:numPr>
          <w:ilvl w:val="0"/>
          <w:numId w:val="8"/>
        </w:numPr>
        <w:tabs>
          <w:tab w:pos="1239" w:val="left" w:leader="none"/>
        </w:tabs>
        <w:spacing w:line="312" w:lineRule="auto" w:before="13" w:after="0"/>
        <w:ind w:left="321" w:right="673" w:firstLine="708"/>
        <w:jc w:val="both"/>
        <w:rPr>
          <w:sz w:val="24"/>
        </w:rPr>
      </w:pPr>
      <w:r>
        <w:rPr>
          <w:b/>
          <w:sz w:val="24"/>
        </w:rPr>
        <w:t>группа - Кореподобные сыпи и инфекционные эритемы. </w:t>
      </w:r>
      <w:r>
        <w:rPr>
          <w:sz w:val="24"/>
        </w:rPr>
        <w:t>При COVID-19 эти сыпи напоминают по своим клиническим характеристикам таковые, характерные для кори или других вирусных инфекций и, тем самым, указывают на патогенетическую близость к классическим вирусным</w:t>
      </w:r>
      <w:r>
        <w:rPr>
          <w:spacing w:val="-4"/>
          <w:sz w:val="24"/>
        </w:rPr>
        <w:t> </w:t>
      </w:r>
      <w:r>
        <w:rPr>
          <w:sz w:val="24"/>
        </w:rPr>
        <w:t>экзантемам.</w:t>
      </w:r>
    </w:p>
    <w:p>
      <w:pPr>
        <w:pStyle w:val="ListParagraph"/>
        <w:numPr>
          <w:ilvl w:val="0"/>
          <w:numId w:val="8"/>
        </w:numPr>
        <w:tabs>
          <w:tab w:pos="1304" w:val="left" w:leader="none"/>
        </w:tabs>
        <w:spacing w:line="312" w:lineRule="auto" w:before="15" w:after="0"/>
        <w:ind w:left="321" w:right="674" w:firstLine="708"/>
        <w:jc w:val="both"/>
        <w:rPr>
          <w:sz w:val="24"/>
        </w:rPr>
      </w:pPr>
      <w:r>
        <w:rPr>
          <w:b/>
          <w:sz w:val="24"/>
        </w:rPr>
        <w:t>группа - Папуло-везикулезные высыпания (по типу милиарии или эккринной потницы). </w:t>
      </w:r>
      <w:r>
        <w:rPr>
          <w:sz w:val="24"/>
        </w:rPr>
        <w:t>Возникают на фоне субфебрилитета с многодневным повышенным потоотделением у пациентов. В отличие от классической милиарии, высыпания при COVID-19 характеризуются обширностью поражений кожных покровов.</w:t>
      </w:r>
    </w:p>
    <w:p>
      <w:pPr>
        <w:pStyle w:val="ListParagraph"/>
        <w:numPr>
          <w:ilvl w:val="0"/>
          <w:numId w:val="8"/>
        </w:numPr>
        <w:tabs>
          <w:tab w:pos="1220" w:val="left" w:leader="none"/>
        </w:tabs>
        <w:spacing w:line="312" w:lineRule="auto" w:before="13" w:after="0"/>
        <w:ind w:left="321" w:right="675" w:firstLine="708"/>
        <w:jc w:val="both"/>
        <w:rPr>
          <w:sz w:val="24"/>
        </w:rPr>
      </w:pPr>
      <w:r>
        <w:rPr>
          <w:b/>
          <w:sz w:val="24"/>
        </w:rPr>
        <w:t>группа – Токсидермии. </w:t>
      </w:r>
      <w:r>
        <w:rPr>
          <w:sz w:val="24"/>
        </w:rPr>
        <w:t>Напрямую не связаны с короновирусной инфекцией и являются следствием индивидуальной непереносимости пациентами определенных лекарственных       препаратов.       По        сравнению        с        антибактериальными  и комбинированными противовирусными препаратами, гидроксихлорохин реже вызывает аллергические реакции со стороны</w:t>
      </w:r>
      <w:r>
        <w:rPr>
          <w:spacing w:val="-2"/>
          <w:sz w:val="24"/>
        </w:rPr>
        <w:t> </w:t>
      </w:r>
      <w:r>
        <w:rPr>
          <w:sz w:val="24"/>
        </w:rPr>
        <w:t>кожи.</w:t>
      </w:r>
    </w:p>
    <w:p>
      <w:pPr>
        <w:pStyle w:val="ListParagraph"/>
        <w:numPr>
          <w:ilvl w:val="0"/>
          <w:numId w:val="8"/>
        </w:numPr>
        <w:tabs>
          <w:tab w:pos="1217" w:val="left" w:leader="none"/>
        </w:tabs>
        <w:spacing w:line="312" w:lineRule="auto" w:before="13" w:after="0"/>
        <w:ind w:left="321" w:right="674" w:firstLine="708"/>
        <w:jc w:val="both"/>
        <w:rPr>
          <w:sz w:val="24"/>
        </w:rPr>
      </w:pPr>
      <w:r>
        <w:rPr>
          <w:b/>
          <w:sz w:val="24"/>
        </w:rPr>
        <w:t>группа – Крапивница. </w:t>
      </w:r>
      <w:r>
        <w:rPr>
          <w:sz w:val="24"/>
        </w:rPr>
        <w:t>В зависимости от своего происхождения заболевание может иметь двоякий характер. С одной стороны, уртикарные высыпания могут быть предвестником начала COVID-19 или возникают вместе с ее первыми симптомами.    С другой стороны, крапивница нередко развивается вследствие лекарственной непереносимости и в таком случае является клинической формой токсидермии. Акральное  расположение  волдырей   на   фоне   COVID-19   также   можно   отнести к специфическим особенностям уртикарного поражения кожи при этом вирусном заболевании.</w:t>
      </w:r>
    </w:p>
    <w:p>
      <w:pPr>
        <w:pStyle w:val="ListParagraph"/>
        <w:numPr>
          <w:ilvl w:val="0"/>
          <w:numId w:val="8"/>
        </w:numPr>
        <w:tabs>
          <w:tab w:pos="1246" w:val="left" w:leader="none"/>
        </w:tabs>
        <w:spacing w:line="312" w:lineRule="auto" w:before="15" w:after="0"/>
        <w:ind w:left="321" w:right="671" w:firstLine="708"/>
        <w:jc w:val="both"/>
        <w:rPr>
          <w:sz w:val="24"/>
        </w:rPr>
      </w:pPr>
      <w:r>
        <w:rPr>
          <w:b/>
          <w:sz w:val="24"/>
        </w:rPr>
        <w:t>группа – Артифициальные поражения (трофические изменения тканей лица). </w:t>
      </w:r>
      <w:r>
        <w:rPr>
          <w:sz w:val="24"/>
        </w:rPr>
        <w:t>Являются следствием вынужденного длительного пребывания больных в прон- позиции с целью улучшения дыхательной</w:t>
      </w:r>
      <w:r>
        <w:rPr>
          <w:spacing w:val="-1"/>
          <w:sz w:val="24"/>
        </w:rPr>
        <w:t> </w:t>
      </w:r>
      <w:r>
        <w:rPr>
          <w:sz w:val="24"/>
        </w:rPr>
        <w:t>функции.</w:t>
      </w:r>
    </w:p>
    <w:p>
      <w:pPr>
        <w:spacing w:after="0" w:line="312" w:lineRule="auto"/>
        <w:jc w:val="both"/>
        <w:rPr>
          <w:sz w:val="24"/>
        </w:rPr>
        <w:sectPr>
          <w:pgSz w:w="11920" w:h="16850"/>
          <w:pgMar w:header="0" w:footer="620" w:top="1060" w:bottom="880" w:left="1380" w:right="600"/>
        </w:sectPr>
      </w:pPr>
    </w:p>
    <w:p>
      <w:pPr>
        <w:pStyle w:val="Heading3"/>
        <w:spacing w:line="259" w:lineRule="auto" w:before="78"/>
        <w:ind w:right="2141"/>
      </w:pPr>
      <w:bookmarkStart w:name="Особенности клинических проявлений у пац" w:id="19"/>
      <w:bookmarkEnd w:id="19"/>
      <w:r>
        <w:rPr>
          <w:b w:val="0"/>
        </w:rPr>
      </w:r>
      <w:r>
        <w:rPr>
          <w:color w:val="1F487C"/>
        </w:rPr>
        <w:t>Особенности клинических проявлений у пациентов пожилого и старческого возраста</w:t>
      </w:r>
    </w:p>
    <w:p>
      <w:pPr>
        <w:pStyle w:val="BodyText"/>
        <w:spacing w:line="312" w:lineRule="auto" w:before="119"/>
        <w:ind w:right="673" w:firstLine="708"/>
      </w:pPr>
      <w:r>
        <w:rPr>
          <w:color w:val="1B1B1B"/>
        </w:rPr>
        <w:t>У пациентов старческого возраста может наблюдаться атипичная картина заболевания</w:t>
      </w:r>
      <w:r>
        <w:rPr>
          <w:color w:val="1B1B1B"/>
          <w:spacing w:val="-8"/>
        </w:rPr>
        <w:t> </w:t>
      </w:r>
      <w:r>
        <w:rPr>
          <w:color w:val="1B1B1B"/>
        </w:rPr>
        <w:t>без</w:t>
      </w:r>
      <w:r>
        <w:rPr>
          <w:color w:val="1B1B1B"/>
          <w:spacing w:val="-7"/>
        </w:rPr>
        <w:t> </w:t>
      </w:r>
      <w:r>
        <w:rPr>
          <w:color w:val="1B1B1B"/>
        </w:rPr>
        <w:t>лихорадки,</w:t>
      </w:r>
      <w:r>
        <w:rPr>
          <w:color w:val="1B1B1B"/>
          <w:spacing w:val="-11"/>
        </w:rPr>
        <w:t> </w:t>
      </w:r>
      <w:r>
        <w:rPr>
          <w:color w:val="1B1B1B"/>
        </w:rPr>
        <w:t>кашля,</w:t>
      </w:r>
      <w:r>
        <w:rPr>
          <w:color w:val="1B1B1B"/>
          <w:spacing w:val="-7"/>
        </w:rPr>
        <w:t> </w:t>
      </w:r>
      <w:r>
        <w:rPr>
          <w:color w:val="1B1B1B"/>
        </w:rPr>
        <w:t>одышки.</w:t>
      </w:r>
      <w:r>
        <w:rPr>
          <w:color w:val="1B1B1B"/>
          <w:spacing w:val="-8"/>
        </w:rPr>
        <w:t> </w:t>
      </w:r>
      <w:r>
        <w:rPr>
          <w:color w:val="1B1B1B"/>
        </w:rPr>
        <w:t>Симптомы</w:t>
      </w:r>
      <w:r>
        <w:rPr>
          <w:color w:val="1B1B1B"/>
          <w:spacing w:val="-9"/>
        </w:rPr>
        <w:t> </w:t>
      </w:r>
      <w:r>
        <w:rPr>
          <w:color w:val="1B1B1B"/>
        </w:rPr>
        <w:t>COVID-19</w:t>
      </w:r>
      <w:r>
        <w:rPr>
          <w:color w:val="1B1B1B"/>
          <w:spacing w:val="-7"/>
        </w:rPr>
        <w:t> </w:t>
      </w:r>
      <w:r>
        <w:rPr>
          <w:color w:val="1B1B1B"/>
        </w:rPr>
        <w:t>могут</w:t>
      </w:r>
      <w:r>
        <w:rPr>
          <w:color w:val="1B1B1B"/>
          <w:spacing w:val="-8"/>
        </w:rPr>
        <w:t> </w:t>
      </w:r>
      <w:r>
        <w:rPr>
          <w:color w:val="1B1B1B"/>
        </w:rPr>
        <w:t>быть</w:t>
      </w:r>
      <w:r>
        <w:rPr>
          <w:color w:val="1B1B1B"/>
          <w:spacing w:val="-7"/>
        </w:rPr>
        <w:t> </w:t>
      </w:r>
      <w:r>
        <w:rPr>
          <w:color w:val="1B1B1B"/>
        </w:rPr>
        <w:t>легкими и не соответствовать тяжести заболевания и серьезности</w:t>
      </w:r>
      <w:r>
        <w:rPr>
          <w:color w:val="1B1B1B"/>
          <w:spacing w:val="-3"/>
        </w:rPr>
        <w:t> </w:t>
      </w:r>
      <w:r>
        <w:rPr>
          <w:color w:val="1B1B1B"/>
        </w:rPr>
        <w:t>прогноза.</w:t>
      </w:r>
    </w:p>
    <w:p>
      <w:pPr>
        <w:pStyle w:val="BodyText"/>
        <w:spacing w:line="312" w:lineRule="auto" w:before="13"/>
        <w:ind w:right="678" w:firstLine="708"/>
      </w:pPr>
      <w:r>
        <w:rPr>
          <w:color w:val="1B1B1B"/>
        </w:rPr>
        <w:t>Атипичные симптомы COVID-19 у пациентов пожилого и старческого возраста включают делирий, падения, функциональное снижение, конъюнктивит. Могут наблюдаться бред, тахикардия или снижение артериального давления.</w:t>
      </w:r>
    </w:p>
    <w:p>
      <w:pPr>
        <w:pStyle w:val="BodyText"/>
        <w:spacing w:line="312" w:lineRule="auto" w:before="16"/>
        <w:ind w:right="675" w:firstLine="708"/>
      </w:pPr>
      <w:r>
        <w:rPr/>
        <w:t>Для скрининга делирия рекомендуется использование краткой шкалы оценки спутанности сознания (таблица 1).</w:t>
      </w:r>
    </w:p>
    <w:p>
      <w:pPr>
        <w:pStyle w:val="BodyText"/>
        <w:spacing w:before="7"/>
        <w:ind w:left="0"/>
        <w:jc w:val="left"/>
        <w:rPr>
          <w:sz w:val="33"/>
        </w:rPr>
      </w:pPr>
    </w:p>
    <w:p>
      <w:pPr>
        <w:pStyle w:val="Heading3"/>
        <w:ind w:left="321"/>
        <w:jc w:val="left"/>
      </w:pPr>
      <w:r>
        <w:rPr/>
        <w:t>Таблица 1. Краткая шкала оценки спутанности сознания</w:t>
      </w:r>
    </w:p>
    <w:p>
      <w:pPr>
        <w:pStyle w:val="BodyText"/>
        <w:spacing w:before="11"/>
        <w:ind w:left="0"/>
        <w:jc w:val="left"/>
        <w:rPr>
          <w:b/>
          <w:sz w:val="15"/>
        </w:rPr>
      </w:pPr>
    </w:p>
    <w:tbl>
      <w:tblPr>
        <w:tblW w:w="0" w:type="auto"/>
        <w:jc w:val="left"/>
        <w:tblInd w:w="3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6374"/>
        <w:gridCol w:w="2551"/>
      </w:tblGrid>
      <w:tr>
        <w:trPr>
          <w:trHeight w:val="376" w:hRule="atLeast"/>
        </w:trPr>
        <w:tc>
          <w:tcPr>
            <w:tcW w:w="8925" w:type="dxa"/>
            <w:gridSpan w:val="2"/>
            <w:shd w:val="clear" w:color="auto" w:fill="D9D9D9"/>
          </w:tcPr>
          <w:p>
            <w:pPr>
              <w:pStyle w:val="TableParagraph"/>
              <w:spacing w:before="56"/>
              <w:ind w:left="55"/>
              <w:rPr>
                <w:b/>
                <w:sz w:val="22"/>
              </w:rPr>
            </w:pPr>
            <w:r>
              <w:rPr>
                <w:b/>
                <w:sz w:val="22"/>
              </w:rPr>
              <w:t>ЭТАП 1</w:t>
            </w:r>
          </w:p>
        </w:tc>
      </w:tr>
      <w:tr>
        <w:trPr>
          <w:trHeight w:val="1917" w:hRule="atLeast"/>
        </w:trPr>
        <w:tc>
          <w:tcPr>
            <w:tcW w:w="6374" w:type="dxa"/>
          </w:tcPr>
          <w:p>
            <w:pPr>
              <w:pStyle w:val="TableParagraph"/>
              <w:spacing w:line="247" w:lineRule="auto" w:before="56"/>
              <w:ind w:left="55"/>
              <w:rPr>
                <w:sz w:val="22"/>
              </w:rPr>
            </w:pPr>
            <w:r>
              <w:rPr>
                <w:b/>
                <w:sz w:val="22"/>
              </w:rPr>
              <w:t>Острота и волнообразность изменений психического статуса</w:t>
            </w:r>
            <w:r>
              <w:rPr>
                <w:sz w:val="22"/>
              </w:rPr>
              <w:t>: Имеются ли изменения психического статуса относительно исходного уровня?</w:t>
            </w:r>
          </w:p>
          <w:p>
            <w:pPr>
              <w:pStyle w:val="TableParagraph"/>
              <w:spacing w:before="5"/>
              <w:ind w:left="55"/>
              <w:rPr>
                <w:sz w:val="22"/>
              </w:rPr>
            </w:pPr>
            <w:r>
              <w:rPr>
                <w:sz w:val="22"/>
              </w:rPr>
              <w:t>ИЛИ</w:t>
            </w:r>
          </w:p>
          <w:p>
            <w:pPr>
              <w:pStyle w:val="TableParagraph"/>
              <w:spacing w:before="14"/>
              <w:ind w:left="55"/>
              <w:rPr>
                <w:sz w:val="22"/>
              </w:rPr>
            </w:pPr>
            <w:r>
              <w:rPr>
                <w:sz w:val="22"/>
              </w:rPr>
              <w:t>Отмечались ли волнообразные изменения психического статуса в течение последних 24 часов?</w:t>
            </w:r>
          </w:p>
        </w:tc>
        <w:tc>
          <w:tcPr>
            <w:tcW w:w="2551" w:type="dxa"/>
          </w:tcPr>
          <w:p>
            <w:pPr>
              <w:pStyle w:val="TableParagraph"/>
              <w:spacing w:before="53"/>
              <w:ind w:left="55" w:right="38"/>
              <w:jc w:val="both"/>
              <w:rPr>
                <w:b/>
                <w:sz w:val="22"/>
              </w:rPr>
            </w:pPr>
            <w:r>
              <w:rPr>
                <w:sz w:val="22"/>
              </w:rPr>
              <w:t>Если ответы на оба вопроса «НЕТ» → </w:t>
            </w:r>
            <w:r>
              <w:rPr>
                <w:b/>
                <w:sz w:val="22"/>
              </w:rPr>
              <w:t>ДЕЛИРИЯ НЕТ</w:t>
            </w:r>
          </w:p>
          <w:p>
            <w:pPr>
              <w:pStyle w:val="TableParagraph"/>
              <w:spacing w:before="9"/>
              <w:rPr>
                <w:b/>
                <w:sz w:val="24"/>
              </w:rPr>
            </w:pPr>
          </w:p>
          <w:p>
            <w:pPr>
              <w:pStyle w:val="TableParagraph"/>
              <w:ind w:left="55"/>
              <w:jc w:val="both"/>
              <w:rPr>
                <w:sz w:val="22"/>
              </w:rPr>
            </w:pPr>
            <w:r>
              <w:rPr>
                <w:sz w:val="22"/>
              </w:rPr>
              <w:t>На 1 вопрос «ДА» →</w:t>
            </w:r>
          </w:p>
          <w:p>
            <w:pPr>
              <w:pStyle w:val="TableParagraph"/>
              <w:spacing w:before="14"/>
              <w:ind w:left="55"/>
              <w:jc w:val="both"/>
              <w:rPr>
                <w:b/>
                <w:sz w:val="22"/>
              </w:rPr>
            </w:pPr>
            <w:r>
              <w:rPr>
                <w:b/>
                <w:sz w:val="22"/>
              </w:rPr>
              <w:t>этап 2</w:t>
            </w:r>
          </w:p>
        </w:tc>
      </w:tr>
      <w:tr>
        <w:trPr>
          <w:trHeight w:val="376" w:hRule="atLeast"/>
        </w:trPr>
        <w:tc>
          <w:tcPr>
            <w:tcW w:w="8925" w:type="dxa"/>
            <w:gridSpan w:val="2"/>
            <w:shd w:val="clear" w:color="auto" w:fill="D9D9D9"/>
          </w:tcPr>
          <w:p>
            <w:pPr>
              <w:pStyle w:val="TableParagraph"/>
              <w:spacing w:before="56"/>
              <w:ind w:left="55"/>
              <w:rPr>
                <w:b/>
                <w:sz w:val="22"/>
              </w:rPr>
            </w:pPr>
            <w:r>
              <w:rPr>
                <w:b/>
                <w:sz w:val="22"/>
              </w:rPr>
              <w:t>ЭТАП 2</w:t>
            </w:r>
          </w:p>
        </w:tc>
      </w:tr>
      <w:tr>
        <w:trPr>
          <w:trHeight w:val="1598" w:hRule="atLeast"/>
        </w:trPr>
        <w:tc>
          <w:tcPr>
            <w:tcW w:w="6374" w:type="dxa"/>
          </w:tcPr>
          <w:p>
            <w:pPr>
              <w:pStyle w:val="TableParagraph"/>
              <w:spacing w:before="58"/>
              <w:ind w:left="55"/>
              <w:rPr>
                <w:sz w:val="22"/>
              </w:rPr>
            </w:pPr>
            <w:r>
              <w:rPr>
                <w:b/>
                <w:sz w:val="22"/>
              </w:rPr>
              <w:t>Нарушение внимания</w:t>
            </w:r>
            <w:r>
              <w:rPr>
                <w:sz w:val="22"/>
              </w:rPr>
              <w:t>:</w:t>
            </w:r>
          </w:p>
          <w:p>
            <w:pPr>
              <w:pStyle w:val="TableParagraph"/>
              <w:spacing w:before="14"/>
              <w:ind w:left="55"/>
              <w:rPr>
                <w:sz w:val="22"/>
              </w:rPr>
            </w:pPr>
            <w:r>
              <w:rPr>
                <w:sz w:val="22"/>
              </w:rPr>
              <w:t>«Сжимайте мою руку каждый раз, когда я скажу букву А»</w:t>
            </w:r>
          </w:p>
          <w:p>
            <w:pPr>
              <w:pStyle w:val="TableParagraph"/>
              <w:spacing w:line="252" w:lineRule="auto" w:before="13"/>
              <w:ind w:left="55" w:right="1390"/>
              <w:rPr>
                <w:sz w:val="22"/>
              </w:rPr>
            </w:pPr>
            <w:r>
              <w:rPr>
                <w:sz w:val="22"/>
              </w:rPr>
              <w:t>«Прочитайте следующую последовательность букв: Л А М П А А Л А Д Д И Н А»</w:t>
            </w:r>
          </w:p>
          <w:p>
            <w:pPr>
              <w:pStyle w:val="TableParagraph"/>
              <w:spacing w:before="4"/>
              <w:ind w:left="55"/>
              <w:rPr>
                <w:sz w:val="22"/>
              </w:rPr>
            </w:pPr>
            <w:r>
              <w:rPr>
                <w:sz w:val="22"/>
              </w:rPr>
              <w:t>ОШИБКИ: не сжимает на букву А и сжимает на другие буквы</w:t>
            </w:r>
          </w:p>
        </w:tc>
        <w:tc>
          <w:tcPr>
            <w:tcW w:w="2551" w:type="dxa"/>
          </w:tcPr>
          <w:p>
            <w:pPr>
              <w:pStyle w:val="TableParagraph"/>
              <w:spacing w:before="58"/>
              <w:ind w:left="55"/>
              <w:rPr>
                <w:sz w:val="22"/>
              </w:rPr>
            </w:pPr>
            <w:r>
              <w:rPr>
                <w:sz w:val="22"/>
              </w:rPr>
              <w:t>0-2 ошибки →</w:t>
            </w:r>
          </w:p>
          <w:p>
            <w:pPr>
              <w:pStyle w:val="TableParagraph"/>
              <w:spacing w:before="14"/>
              <w:ind w:left="55"/>
              <w:rPr>
                <w:b/>
                <w:sz w:val="22"/>
              </w:rPr>
            </w:pPr>
            <w:r>
              <w:rPr>
                <w:b/>
                <w:sz w:val="22"/>
              </w:rPr>
              <w:t>ДЕЛИРИЯ НЕТ</w:t>
            </w:r>
          </w:p>
          <w:p>
            <w:pPr>
              <w:pStyle w:val="TableParagraph"/>
              <w:spacing w:before="3"/>
              <w:rPr>
                <w:b/>
                <w:sz w:val="24"/>
              </w:rPr>
            </w:pPr>
          </w:p>
          <w:p>
            <w:pPr>
              <w:pStyle w:val="TableParagraph"/>
              <w:spacing w:before="1"/>
              <w:ind w:left="110"/>
              <w:rPr>
                <w:b/>
                <w:sz w:val="22"/>
              </w:rPr>
            </w:pPr>
            <w:r>
              <w:rPr>
                <w:sz w:val="22"/>
              </w:rPr>
              <w:t>≥ 2 ошибок → </w:t>
            </w:r>
            <w:r>
              <w:rPr>
                <w:b/>
                <w:sz w:val="22"/>
              </w:rPr>
              <w:t>этап 3</w:t>
            </w:r>
          </w:p>
        </w:tc>
      </w:tr>
      <w:tr>
        <w:trPr>
          <w:trHeight w:val="376" w:hRule="atLeast"/>
        </w:trPr>
        <w:tc>
          <w:tcPr>
            <w:tcW w:w="8925" w:type="dxa"/>
            <w:gridSpan w:val="2"/>
            <w:shd w:val="clear" w:color="auto" w:fill="D9D9D9"/>
          </w:tcPr>
          <w:p>
            <w:pPr>
              <w:pStyle w:val="TableParagraph"/>
              <w:spacing w:before="56"/>
              <w:ind w:left="55"/>
              <w:rPr>
                <w:b/>
                <w:sz w:val="22"/>
              </w:rPr>
            </w:pPr>
            <w:r>
              <w:rPr>
                <w:b/>
                <w:sz w:val="22"/>
              </w:rPr>
              <w:t>ЭТАП 3</w:t>
            </w:r>
          </w:p>
        </w:tc>
      </w:tr>
      <w:tr>
        <w:trPr>
          <w:trHeight w:val="911" w:hRule="atLeast"/>
        </w:trPr>
        <w:tc>
          <w:tcPr>
            <w:tcW w:w="6374" w:type="dxa"/>
          </w:tcPr>
          <w:p>
            <w:pPr>
              <w:pStyle w:val="TableParagraph"/>
              <w:spacing w:before="56"/>
              <w:ind w:left="55"/>
              <w:rPr>
                <w:b/>
                <w:sz w:val="22"/>
              </w:rPr>
            </w:pPr>
            <w:r>
              <w:rPr>
                <w:b/>
                <w:sz w:val="22"/>
              </w:rPr>
              <w:t>Изменения уровня сознания</w:t>
            </w:r>
          </w:p>
          <w:p>
            <w:pPr>
              <w:pStyle w:val="TableParagraph"/>
              <w:spacing w:before="13"/>
              <w:ind w:left="55"/>
              <w:rPr>
                <w:sz w:val="22"/>
              </w:rPr>
            </w:pPr>
            <w:r>
              <w:rPr>
                <w:sz w:val="22"/>
              </w:rPr>
              <w:t>Уровень сознания на текущий момент</w:t>
            </w:r>
          </w:p>
        </w:tc>
        <w:tc>
          <w:tcPr>
            <w:tcW w:w="2551" w:type="dxa"/>
          </w:tcPr>
          <w:p>
            <w:pPr>
              <w:pStyle w:val="TableParagraph"/>
              <w:spacing w:before="56"/>
              <w:ind w:left="55"/>
              <w:rPr>
                <w:sz w:val="22"/>
              </w:rPr>
            </w:pPr>
            <w:r>
              <w:rPr>
                <w:sz w:val="22"/>
              </w:rPr>
              <w:t>RASS* не 0 →</w:t>
            </w:r>
          </w:p>
          <w:p>
            <w:pPr>
              <w:pStyle w:val="TableParagraph"/>
              <w:spacing w:before="13"/>
              <w:ind w:left="55"/>
              <w:rPr>
                <w:b/>
                <w:sz w:val="22"/>
              </w:rPr>
            </w:pPr>
            <w:r>
              <w:rPr>
                <w:b/>
                <w:sz w:val="22"/>
              </w:rPr>
              <w:t>ДЕЛИРИЙ ЕСТЬ</w:t>
            </w:r>
          </w:p>
          <w:p>
            <w:pPr>
              <w:pStyle w:val="TableParagraph"/>
              <w:spacing w:before="14"/>
              <w:ind w:left="55"/>
              <w:rPr>
                <w:b/>
                <w:sz w:val="22"/>
              </w:rPr>
            </w:pPr>
            <w:r>
              <w:rPr>
                <w:sz w:val="22"/>
              </w:rPr>
              <w:t>RASS* = 0 </w:t>
            </w:r>
            <w:r>
              <w:rPr>
                <w:b/>
                <w:sz w:val="22"/>
              </w:rPr>
              <w:t>→ этап 4</w:t>
            </w:r>
          </w:p>
        </w:tc>
      </w:tr>
      <w:tr>
        <w:trPr>
          <w:trHeight w:val="376" w:hRule="atLeast"/>
        </w:trPr>
        <w:tc>
          <w:tcPr>
            <w:tcW w:w="8925" w:type="dxa"/>
            <w:gridSpan w:val="2"/>
            <w:shd w:val="clear" w:color="auto" w:fill="D9D9D9"/>
          </w:tcPr>
          <w:p>
            <w:pPr>
              <w:pStyle w:val="TableParagraph"/>
              <w:spacing w:before="56"/>
              <w:ind w:left="55"/>
              <w:rPr>
                <w:b/>
                <w:sz w:val="22"/>
              </w:rPr>
            </w:pPr>
            <w:r>
              <w:rPr>
                <w:b/>
                <w:sz w:val="22"/>
              </w:rPr>
              <w:t>ЭТАП 4</w:t>
            </w:r>
          </w:p>
        </w:tc>
      </w:tr>
      <w:tr>
        <w:trPr>
          <w:trHeight w:val="3285" w:hRule="atLeast"/>
        </w:trPr>
        <w:tc>
          <w:tcPr>
            <w:tcW w:w="6374" w:type="dxa"/>
          </w:tcPr>
          <w:p>
            <w:pPr>
              <w:pStyle w:val="TableParagraph"/>
              <w:spacing w:before="56"/>
              <w:ind w:left="55"/>
              <w:rPr>
                <w:sz w:val="22"/>
              </w:rPr>
            </w:pPr>
            <w:r>
              <w:rPr>
                <w:b/>
                <w:sz w:val="22"/>
              </w:rPr>
              <w:t>Дезорганизованное мышление</w:t>
            </w:r>
            <w:r>
              <w:rPr>
                <w:sz w:val="22"/>
              </w:rPr>
              <w:t>:</w:t>
            </w:r>
          </w:p>
          <w:p>
            <w:pPr>
              <w:pStyle w:val="TableParagraph"/>
              <w:numPr>
                <w:ilvl w:val="0"/>
                <w:numId w:val="9"/>
              </w:numPr>
              <w:tabs>
                <w:tab w:pos="276" w:val="left" w:leader="none"/>
              </w:tabs>
              <w:spacing w:line="240" w:lineRule="auto" w:before="13" w:after="0"/>
              <w:ind w:left="275" w:right="0" w:hanging="221"/>
              <w:jc w:val="left"/>
              <w:rPr>
                <w:sz w:val="22"/>
              </w:rPr>
            </w:pPr>
            <w:r>
              <w:rPr>
                <w:sz w:val="22"/>
              </w:rPr>
              <w:t>Камень будет держаться на</w:t>
            </w:r>
            <w:r>
              <w:rPr>
                <w:spacing w:val="-5"/>
                <w:sz w:val="22"/>
              </w:rPr>
              <w:t> </w:t>
            </w:r>
            <w:r>
              <w:rPr>
                <w:sz w:val="22"/>
              </w:rPr>
              <w:t>воде?</w:t>
            </w:r>
          </w:p>
          <w:p>
            <w:pPr>
              <w:pStyle w:val="TableParagraph"/>
              <w:numPr>
                <w:ilvl w:val="0"/>
                <w:numId w:val="9"/>
              </w:numPr>
              <w:tabs>
                <w:tab w:pos="276" w:val="left" w:leader="none"/>
              </w:tabs>
              <w:spacing w:line="240" w:lineRule="auto" w:before="14" w:after="0"/>
              <w:ind w:left="275" w:right="0" w:hanging="221"/>
              <w:jc w:val="left"/>
              <w:rPr>
                <w:sz w:val="22"/>
              </w:rPr>
            </w:pPr>
            <w:r>
              <w:rPr>
                <w:sz w:val="22"/>
              </w:rPr>
              <w:t>Рыба живет в</w:t>
            </w:r>
            <w:r>
              <w:rPr>
                <w:spacing w:val="-5"/>
                <w:sz w:val="22"/>
              </w:rPr>
              <w:t> </w:t>
            </w:r>
            <w:r>
              <w:rPr>
                <w:sz w:val="22"/>
              </w:rPr>
              <w:t>море?</w:t>
            </w:r>
          </w:p>
          <w:p>
            <w:pPr>
              <w:pStyle w:val="TableParagraph"/>
              <w:numPr>
                <w:ilvl w:val="0"/>
                <w:numId w:val="9"/>
              </w:numPr>
              <w:tabs>
                <w:tab w:pos="276" w:val="left" w:leader="none"/>
              </w:tabs>
              <w:spacing w:line="240" w:lineRule="auto" w:before="15" w:after="0"/>
              <w:ind w:left="275" w:right="0" w:hanging="221"/>
              <w:jc w:val="left"/>
              <w:rPr>
                <w:sz w:val="22"/>
              </w:rPr>
            </w:pPr>
            <w:r>
              <w:rPr>
                <w:sz w:val="22"/>
              </w:rPr>
              <w:t>Один килограмм весит больше</w:t>
            </w:r>
            <w:r>
              <w:rPr>
                <w:spacing w:val="-4"/>
                <w:sz w:val="22"/>
              </w:rPr>
              <w:t> </w:t>
            </w:r>
            <w:r>
              <w:rPr>
                <w:sz w:val="22"/>
              </w:rPr>
              <w:t>двух?</w:t>
            </w:r>
          </w:p>
          <w:p>
            <w:pPr>
              <w:pStyle w:val="TableParagraph"/>
              <w:numPr>
                <w:ilvl w:val="0"/>
                <w:numId w:val="9"/>
              </w:numPr>
              <w:tabs>
                <w:tab w:pos="276" w:val="left" w:leader="none"/>
              </w:tabs>
              <w:spacing w:line="252" w:lineRule="auto" w:before="14" w:after="0"/>
              <w:ind w:left="54" w:right="3000" w:firstLine="0"/>
              <w:jc w:val="left"/>
              <w:rPr>
                <w:sz w:val="22"/>
              </w:rPr>
            </w:pPr>
            <w:r>
              <w:rPr>
                <w:sz w:val="22"/>
              </w:rPr>
              <w:t>Молотком можно забить гвоздь? Команда:</w:t>
            </w:r>
          </w:p>
          <w:p>
            <w:pPr>
              <w:pStyle w:val="TableParagraph"/>
              <w:spacing w:before="2"/>
              <w:ind w:left="54"/>
              <w:rPr>
                <w:sz w:val="22"/>
              </w:rPr>
            </w:pPr>
            <w:r>
              <w:rPr>
                <w:sz w:val="22"/>
              </w:rPr>
              <w:t>«Покажите столько пальцев» (покажите 2 пальца)</w:t>
            </w:r>
          </w:p>
          <w:p>
            <w:pPr>
              <w:pStyle w:val="TableParagraph"/>
              <w:spacing w:before="13"/>
              <w:ind w:left="282" w:right="2650" w:hanging="228"/>
              <w:rPr>
                <w:sz w:val="22"/>
              </w:rPr>
            </w:pPr>
            <w:r>
              <w:rPr>
                <w:sz w:val="22"/>
              </w:rPr>
              <w:t>«Теперь сделайте то же другой рукой» (не демонстрируйте)</w:t>
            </w:r>
          </w:p>
          <w:p>
            <w:pPr>
              <w:pStyle w:val="TableParagraph"/>
              <w:spacing w:before="15"/>
              <w:ind w:left="2931" w:right="2926"/>
              <w:jc w:val="center"/>
              <w:rPr>
                <w:sz w:val="22"/>
              </w:rPr>
            </w:pPr>
            <w:r>
              <w:rPr>
                <w:sz w:val="22"/>
              </w:rPr>
              <w:t>ИЛИ</w:t>
            </w:r>
          </w:p>
          <w:p>
            <w:pPr>
              <w:pStyle w:val="TableParagraph"/>
              <w:spacing w:before="13"/>
              <w:ind w:left="283" w:right="611" w:hanging="228"/>
              <w:rPr>
                <w:sz w:val="22"/>
              </w:rPr>
            </w:pPr>
            <w:r>
              <w:rPr>
                <w:sz w:val="22"/>
              </w:rPr>
              <w:t>«Добавьте еще один палец» (если пациент не может двигать обеими руками)</w:t>
            </w:r>
          </w:p>
        </w:tc>
        <w:tc>
          <w:tcPr>
            <w:tcW w:w="2551" w:type="dxa"/>
          </w:tcPr>
          <w:p>
            <w:pPr>
              <w:pStyle w:val="TableParagraph"/>
              <w:spacing w:before="56"/>
              <w:ind w:left="55"/>
              <w:rPr>
                <w:sz w:val="22"/>
              </w:rPr>
            </w:pPr>
            <w:r>
              <w:rPr>
                <w:sz w:val="22"/>
              </w:rPr>
              <w:t>≥ 2 ошибок →</w:t>
            </w:r>
          </w:p>
          <w:p>
            <w:pPr>
              <w:pStyle w:val="TableParagraph"/>
              <w:spacing w:before="13"/>
              <w:ind w:left="55"/>
              <w:rPr>
                <w:b/>
                <w:sz w:val="22"/>
              </w:rPr>
            </w:pPr>
            <w:r>
              <w:rPr>
                <w:b/>
                <w:sz w:val="22"/>
              </w:rPr>
              <w:t>ДЕЛИРИЙ ЕСТЬ</w:t>
            </w:r>
          </w:p>
          <w:p>
            <w:pPr>
              <w:pStyle w:val="TableParagraph"/>
              <w:spacing w:before="6"/>
              <w:rPr>
                <w:b/>
                <w:sz w:val="24"/>
              </w:rPr>
            </w:pPr>
          </w:p>
          <w:p>
            <w:pPr>
              <w:pStyle w:val="TableParagraph"/>
              <w:ind w:left="110"/>
              <w:rPr>
                <w:sz w:val="22"/>
              </w:rPr>
            </w:pPr>
            <w:r>
              <w:rPr>
                <w:sz w:val="22"/>
              </w:rPr>
              <w:t>0-1 ошибка →</w:t>
            </w:r>
          </w:p>
          <w:p>
            <w:pPr>
              <w:pStyle w:val="TableParagraph"/>
              <w:spacing w:before="14"/>
              <w:ind w:left="55"/>
              <w:rPr>
                <w:b/>
                <w:sz w:val="22"/>
              </w:rPr>
            </w:pPr>
            <w:r>
              <w:rPr>
                <w:b/>
                <w:sz w:val="22"/>
              </w:rPr>
              <w:t>ДЕЛИРИЯ НЕТ</w:t>
            </w:r>
          </w:p>
        </w:tc>
      </w:tr>
      <w:tr>
        <w:trPr>
          <w:trHeight w:val="376" w:hRule="atLeast"/>
        </w:trPr>
        <w:tc>
          <w:tcPr>
            <w:tcW w:w="8925" w:type="dxa"/>
            <w:gridSpan w:val="2"/>
            <w:shd w:val="clear" w:color="auto" w:fill="D9D9D9"/>
          </w:tcPr>
          <w:p>
            <w:pPr>
              <w:pStyle w:val="TableParagraph"/>
              <w:spacing w:before="56"/>
              <w:ind w:left="55"/>
              <w:rPr>
                <w:b/>
                <w:sz w:val="22"/>
              </w:rPr>
            </w:pPr>
            <w:r>
              <w:rPr>
                <w:b/>
                <w:sz w:val="22"/>
              </w:rPr>
              <w:t>Заключение</w:t>
            </w:r>
            <w:r>
              <w:rPr>
                <w:sz w:val="22"/>
              </w:rPr>
              <w:t>: </w:t>
            </w:r>
            <w:r>
              <w:rPr>
                <w:b/>
                <w:sz w:val="22"/>
              </w:rPr>
              <w:t>ДЕЛИРИЙ / делирия нет</w:t>
            </w:r>
          </w:p>
        </w:tc>
      </w:tr>
    </w:tbl>
    <w:p>
      <w:pPr>
        <w:spacing w:after="0"/>
        <w:rPr>
          <w:sz w:val="22"/>
        </w:rPr>
        <w:sectPr>
          <w:pgSz w:w="11920" w:h="16850"/>
          <w:pgMar w:header="0" w:footer="620" w:top="1060" w:bottom="880" w:left="1380" w:right="600"/>
        </w:sectPr>
      </w:pPr>
    </w:p>
    <w:p>
      <w:pPr>
        <w:spacing w:before="64"/>
        <w:ind w:left="321" w:right="0" w:firstLine="0"/>
        <w:jc w:val="left"/>
        <w:rPr>
          <w:b/>
          <w:sz w:val="20"/>
        </w:rPr>
      </w:pPr>
      <w:r>
        <w:rPr>
          <w:b/>
          <w:sz w:val="20"/>
        </w:rPr>
        <w:t>*Ричмондская шкала ажитации (The Richmond Agitation-Sedation Scale, RASS)</w:t>
      </w:r>
    </w:p>
    <w:p>
      <w:pPr>
        <w:spacing w:before="118"/>
        <w:ind w:left="321" w:right="615" w:firstLine="0"/>
        <w:jc w:val="left"/>
        <w:rPr>
          <w:sz w:val="20"/>
        </w:rPr>
      </w:pPr>
      <w:r>
        <w:rPr>
          <w:sz w:val="20"/>
        </w:rPr>
        <w:t>+4 ВОИНСТВЕННЫЙ: воинственен, агрессивен, опасен для окружающих (срочно сообщить врачу об этих явлениях)</w:t>
      </w:r>
    </w:p>
    <w:p>
      <w:pPr>
        <w:spacing w:before="16"/>
        <w:ind w:left="321" w:right="615" w:firstLine="0"/>
        <w:jc w:val="left"/>
        <w:rPr>
          <w:sz w:val="20"/>
        </w:rPr>
      </w:pPr>
      <w:r>
        <w:rPr>
          <w:sz w:val="20"/>
        </w:rPr>
        <w:t>+3 ОЧЕНЬ ВОЗБУЖДЕН: агрессивен, пытается вырвать трубки, капельницу или катетер (сообщить врачу)</w:t>
      </w:r>
    </w:p>
    <w:p>
      <w:pPr>
        <w:spacing w:before="12"/>
        <w:ind w:left="321" w:right="0" w:firstLine="0"/>
        <w:jc w:val="left"/>
        <w:rPr>
          <w:sz w:val="20"/>
        </w:rPr>
      </w:pPr>
      <w:r>
        <w:rPr>
          <w:sz w:val="20"/>
        </w:rPr>
        <w:t>+2 ВОЗБУЖДЕН: частые бесцельные движения, сопротивление процедурам</w:t>
      </w:r>
    </w:p>
    <w:p>
      <w:pPr>
        <w:spacing w:before="15"/>
        <w:ind w:left="321" w:right="0" w:firstLine="0"/>
        <w:jc w:val="left"/>
        <w:rPr>
          <w:sz w:val="20"/>
        </w:rPr>
      </w:pPr>
      <w:r>
        <w:rPr>
          <w:sz w:val="20"/>
        </w:rPr>
        <w:t>+1 НЕСПОКОЕН: тревожен, неагрессивные движения</w:t>
      </w:r>
    </w:p>
    <w:p>
      <w:pPr>
        <w:spacing w:before="15"/>
        <w:ind w:left="421" w:right="0" w:firstLine="0"/>
        <w:jc w:val="left"/>
        <w:rPr>
          <w:sz w:val="20"/>
        </w:rPr>
      </w:pPr>
      <w:r>
        <w:rPr>
          <w:sz w:val="20"/>
        </w:rPr>
        <w:t>0 СПОКОЕН И ВНИМАТЕЛЕН</w:t>
      </w:r>
    </w:p>
    <w:p>
      <w:pPr>
        <w:spacing w:before="13"/>
        <w:ind w:left="321" w:right="0" w:firstLine="0"/>
        <w:jc w:val="left"/>
        <w:rPr>
          <w:sz w:val="20"/>
        </w:rPr>
      </w:pPr>
      <w:r>
        <w:rPr>
          <w:sz w:val="20"/>
        </w:rPr>
        <w:t>-1  СОНЛИВ: невнимателен, сонлив, но реагирует всегда на</w:t>
      </w:r>
      <w:r>
        <w:rPr>
          <w:spacing w:val="-28"/>
          <w:sz w:val="20"/>
        </w:rPr>
        <w:t> </w:t>
      </w:r>
      <w:r>
        <w:rPr>
          <w:sz w:val="20"/>
        </w:rPr>
        <w:t>голос</w:t>
      </w:r>
    </w:p>
    <w:p>
      <w:pPr>
        <w:spacing w:before="14"/>
        <w:ind w:left="321" w:right="0" w:firstLine="0"/>
        <w:jc w:val="left"/>
        <w:rPr>
          <w:sz w:val="20"/>
        </w:rPr>
      </w:pPr>
      <w:r>
        <w:rPr>
          <w:sz w:val="20"/>
        </w:rPr>
        <w:t>-2  ЛЕГКАЯ СЕДАЦИЯ: просыпается на короткое время на</w:t>
      </w:r>
      <w:r>
        <w:rPr>
          <w:spacing w:val="-15"/>
          <w:sz w:val="20"/>
        </w:rPr>
        <w:t> </w:t>
      </w:r>
      <w:r>
        <w:rPr>
          <w:sz w:val="20"/>
        </w:rPr>
        <w:t>голос</w:t>
      </w:r>
    </w:p>
    <w:p>
      <w:pPr>
        <w:spacing w:before="15"/>
        <w:ind w:left="321" w:right="0" w:firstLine="0"/>
        <w:jc w:val="left"/>
        <w:rPr>
          <w:sz w:val="20"/>
        </w:rPr>
      </w:pPr>
      <w:r>
        <w:rPr>
          <w:sz w:val="20"/>
        </w:rPr>
        <w:t>-3 СРЕДНЯЯ СЕДАЦИЯ: движение или открытие</w:t>
      </w:r>
    </w:p>
    <w:p>
      <w:pPr>
        <w:pStyle w:val="BodyText"/>
        <w:spacing w:before="1"/>
        <w:ind w:left="0"/>
        <w:jc w:val="left"/>
        <w:rPr>
          <w:sz w:val="31"/>
        </w:rPr>
      </w:pPr>
    </w:p>
    <w:p>
      <w:pPr>
        <w:pStyle w:val="Heading2"/>
        <w:numPr>
          <w:ilvl w:val="0"/>
          <w:numId w:val="7"/>
        </w:numPr>
        <w:tabs>
          <w:tab w:pos="1311" w:val="left" w:leader="none"/>
        </w:tabs>
        <w:spacing w:line="240" w:lineRule="auto" w:before="0" w:after="0"/>
        <w:ind w:left="1310" w:right="0" w:hanging="282"/>
        <w:jc w:val="left"/>
        <w:rPr>
          <w:color w:val="1F487C"/>
        </w:rPr>
      </w:pPr>
      <w:bookmarkStart w:name="4. ДИАГНОСТИКА КОРОНАВИРУСНОЙ ИНФЕКЦИИ" w:id="20"/>
      <w:bookmarkEnd w:id="20"/>
      <w:r>
        <w:rPr>
          <w:b w:val="0"/>
        </w:rPr>
      </w:r>
      <w:bookmarkStart w:name="_bookmark4" w:id="21"/>
      <w:bookmarkEnd w:id="21"/>
      <w:r>
        <w:rPr>
          <w:b w:val="0"/>
        </w:rPr>
      </w:r>
      <w:bookmarkStart w:name="_bookmark4" w:id="22"/>
      <w:bookmarkEnd w:id="22"/>
      <w:r>
        <w:rPr>
          <w:color w:val="1F487C"/>
        </w:rPr>
        <w:t>Д</w:t>
      </w:r>
      <w:r>
        <w:rPr>
          <w:color w:val="1F487C"/>
        </w:rPr>
        <w:t>ИАГНОСТИКА КОРОНАВИРУСНОЙ</w:t>
      </w:r>
      <w:r>
        <w:rPr>
          <w:color w:val="1F487C"/>
          <w:spacing w:val="-5"/>
        </w:rPr>
        <w:t> </w:t>
      </w:r>
      <w:r>
        <w:rPr>
          <w:color w:val="1F487C"/>
        </w:rPr>
        <w:t>ИНФЕКЦИИ</w:t>
      </w:r>
    </w:p>
    <w:p>
      <w:pPr>
        <w:pStyle w:val="BodyText"/>
        <w:spacing w:before="11"/>
        <w:ind w:left="0"/>
        <w:jc w:val="left"/>
        <w:rPr>
          <w:b/>
          <w:sz w:val="27"/>
        </w:rPr>
      </w:pPr>
    </w:p>
    <w:p>
      <w:pPr>
        <w:pStyle w:val="ListParagraph"/>
        <w:numPr>
          <w:ilvl w:val="1"/>
          <w:numId w:val="7"/>
        </w:numPr>
        <w:tabs>
          <w:tab w:pos="1522" w:val="left" w:leader="none"/>
        </w:tabs>
        <w:spacing w:line="259" w:lineRule="auto" w:before="0" w:after="0"/>
        <w:ind w:left="1029" w:right="2532" w:firstLine="0"/>
        <w:jc w:val="left"/>
        <w:rPr>
          <w:b/>
          <w:color w:val="1F487C"/>
          <w:sz w:val="28"/>
        </w:rPr>
      </w:pPr>
      <w:bookmarkStart w:name="4.1. АЛГОРИТМ ОБСЛЕДОВАНИЯ ПАЦИЕНТА С ПО" w:id="23"/>
      <w:bookmarkEnd w:id="23"/>
      <w:r>
        <w:rPr/>
      </w:r>
      <w:bookmarkStart w:name="_bookmark5" w:id="24"/>
      <w:bookmarkEnd w:id="24"/>
      <w:r>
        <w:rPr/>
      </w:r>
      <w:bookmarkStart w:name="_bookmark5" w:id="25"/>
      <w:bookmarkEnd w:id="25"/>
      <w:r>
        <w:rPr>
          <w:b/>
          <w:color w:val="1F487C"/>
          <w:sz w:val="28"/>
        </w:rPr>
        <w:t>А</w:t>
      </w:r>
      <w:r>
        <w:rPr>
          <w:b/>
          <w:color w:val="1F487C"/>
          <w:sz w:val="28"/>
        </w:rPr>
        <w:t>ЛГОРИТМ ОБСЛЕДОВАНИЯ ПАЦИЕНТА С ПОДОЗРЕНИЕМ НА</w:t>
      </w:r>
      <w:r>
        <w:rPr>
          <w:b/>
          <w:color w:val="1F487C"/>
          <w:spacing w:val="-6"/>
          <w:sz w:val="28"/>
        </w:rPr>
        <w:t> </w:t>
      </w:r>
      <w:r>
        <w:rPr>
          <w:b/>
          <w:color w:val="1F487C"/>
          <w:sz w:val="28"/>
        </w:rPr>
        <w:t>COVID-19</w:t>
      </w:r>
    </w:p>
    <w:p>
      <w:pPr>
        <w:pStyle w:val="BodyText"/>
        <w:spacing w:line="312" w:lineRule="auto" w:before="119"/>
        <w:ind w:right="675" w:firstLine="708"/>
      </w:pPr>
      <w:r>
        <w:rPr/>
        <w:t>При наличии факторов, свидетельствующих о случае, подозрительном на COVID-19, пациентам вне зависимости от вида оказания медицинской помощи проводится комплекс клинического обследования для определения степени тяжести состояния, включающий сбор анамнеза, физикальное обследование, исследование диагностического материала с применением МАНК, пульсоксиметрию.</w:t>
      </w:r>
    </w:p>
    <w:p>
      <w:pPr>
        <w:pStyle w:val="BodyText"/>
        <w:spacing w:line="312" w:lineRule="auto" w:before="14"/>
        <w:ind w:right="677" w:firstLine="708"/>
      </w:pPr>
      <w:r>
        <w:rPr/>
        <w:t>По результатам проведенного комплекса клинического обследования решается вопрос</w:t>
      </w:r>
      <w:r>
        <w:rPr>
          <w:spacing w:val="-15"/>
        </w:rPr>
        <w:t> </w:t>
      </w:r>
      <w:r>
        <w:rPr/>
        <w:t>о</w:t>
      </w:r>
      <w:r>
        <w:rPr>
          <w:spacing w:val="-14"/>
        </w:rPr>
        <w:t> </w:t>
      </w:r>
      <w:r>
        <w:rPr/>
        <w:t>виде</w:t>
      </w:r>
      <w:r>
        <w:rPr>
          <w:spacing w:val="-15"/>
        </w:rPr>
        <w:t> </w:t>
      </w:r>
      <w:r>
        <w:rPr/>
        <w:t>оказания</w:t>
      </w:r>
      <w:r>
        <w:rPr>
          <w:spacing w:val="-19"/>
        </w:rPr>
        <w:t> </w:t>
      </w:r>
      <w:r>
        <w:rPr/>
        <w:t>медицинской</w:t>
      </w:r>
      <w:r>
        <w:rPr>
          <w:spacing w:val="-16"/>
        </w:rPr>
        <w:t> </w:t>
      </w:r>
      <w:r>
        <w:rPr/>
        <w:t>помощи</w:t>
      </w:r>
      <w:r>
        <w:rPr>
          <w:spacing w:val="-16"/>
        </w:rPr>
        <w:t> </w:t>
      </w:r>
      <w:r>
        <w:rPr/>
        <w:t>и</w:t>
      </w:r>
      <w:r>
        <w:rPr>
          <w:spacing w:val="-15"/>
        </w:rPr>
        <w:t> </w:t>
      </w:r>
      <w:r>
        <w:rPr/>
        <w:t>объеме</w:t>
      </w:r>
      <w:r>
        <w:rPr>
          <w:spacing w:val="-15"/>
        </w:rPr>
        <w:t> </w:t>
      </w:r>
      <w:r>
        <w:rPr/>
        <w:t>дополнительного</w:t>
      </w:r>
      <w:r>
        <w:rPr>
          <w:spacing w:val="-14"/>
        </w:rPr>
        <w:t> </w:t>
      </w:r>
      <w:r>
        <w:rPr/>
        <w:t>обследования. Диагноз устанавливается на основании клинического обследования, данных эпидемиологического анамнеза и результатов лабораторных исследований.</w:t>
      </w:r>
    </w:p>
    <w:p>
      <w:pPr>
        <w:pStyle w:val="Heading3"/>
        <w:numPr>
          <w:ilvl w:val="0"/>
          <w:numId w:val="10"/>
        </w:numPr>
        <w:tabs>
          <w:tab w:pos="1738" w:val="left" w:leader="none"/>
        </w:tabs>
        <w:spacing w:line="295" w:lineRule="auto" w:before="121" w:after="0"/>
        <w:ind w:left="321" w:right="674" w:firstLine="708"/>
        <w:jc w:val="both"/>
      </w:pPr>
      <w:r>
        <w:rPr>
          <w:color w:val="1F487C"/>
        </w:rPr>
        <w:t>Подробная оценка всех жалоб, анамнеза заболевания, эпидемиологического</w:t>
      </w:r>
      <w:r>
        <w:rPr>
          <w:color w:val="1F487C"/>
          <w:spacing w:val="1"/>
        </w:rPr>
        <w:t> </w:t>
      </w:r>
      <w:r>
        <w:rPr>
          <w:color w:val="1F487C"/>
        </w:rPr>
        <w:t>анамнеза.</w:t>
      </w:r>
    </w:p>
    <w:p>
      <w:pPr>
        <w:pStyle w:val="BodyText"/>
        <w:spacing w:line="312" w:lineRule="auto" w:before="139"/>
        <w:ind w:right="673" w:firstLine="708"/>
      </w:pPr>
      <w:r>
        <w:rPr/>
        <w:t>При</w:t>
      </w:r>
      <w:r>
        <w:rPr>
          <w:spacing w:val="-14"/>
        </w:rPr>
        <w:t> </w:t>
      </w:r>
      <w:r>
        <w:rPr/>
        <w:t>сборе</w:t>
      </w:r>
      <w:r>
        <w:rPr>
          <w:spacing w:val="-16"/>
        </w:rPr>
        <w:t> </w:t>
      </w:r>
      <w:r>
        <w:rPr/>
        <w:t>эпидемиологического</w:t>
      </w:r>
      <w:r>
        <w:rPr>
          <w:spacing w:val="-14"/>
        </w:rPr>
        <w:t> </w:t>
      </w:r>
      <w:r>
        <w:rPr/>
        <w:t>анамнеза</w:t>
      </w:r>
      <w:r>
        <w:rPr>
          <w:spacing w:val="-14"/>
        </w:rPr>
        <w:t> </w:t>
      </w:r>
      <w:r>
        <w:rPr/>
        <w:t>устанавливается</w:t>
      </w:r>
      <w:r>
        <w:rPr>
          <w:spacing w:val="-14"/>
        </w:rPr>
        <w:t> </w:t>
      </w:r>
      <w:r>
        <w:rPr/>
        <w:t>наличие</w:t>
      </w:r>
      <w:r>
        <w:rPr>
          <w:spacing w:val="-16"/>
        </w:rPr>
        <w:t> </w:t>
      </w:r>
      <w:r>
        <w:rPr/>
        <w:t>зарубежных поездок за 14 дней до первых симптомов, а также наличие тесных контактов за последние 14 дней с лицами, подозрительными на инфицирование SARS-CoV-2, или лицами, у которых диагноз COVID-19 подтвержден</w:t>
      </w:r>
      <w:r>
        <w:rPr>
          <w:spacing w:val="-4"/>
        </w:rPr>
        <w:t> </w:t>
      </w:r>
      <w:r>
        <w:rPr/>
        <w:t>лабораторно.</w:t>
      </w:r>
    </w:p>
    <w:p>
      <w:pPr>
        <w:pStyle w:val="Heading3"/>
        <w:numPr>
          <w:ilvl w:val="0"/>
          <w:numId w:val="10"/>
        </w:numPr>
        <w:tabs>
          <w:tab w:pos="1738" w:val="left" w:leader="none"/>
        </w:tabs>
        <w:spacing w:line="295" w:lineRule="auto" w:before="119" w:after="0"/>
        <w:ind w:left="321" w:right="675" w:firstLine="708"/>
        <w:jc w:val="both"/>
      </w:pPr>
      <w:r>
        <w:rPr>
          <w:color w:val="1F487C"/>
        </w:rPr>
        <w:t>Физикальное обследование с установлением степени тяжести состояния пациента, обязательно</w:t>
      </w:r>
      <w:r>
        <w:rPr>
          <w:color w:val="1F487C"/>
          <w:spacing w:val="-2"/>
        </w:rPr>
        <w:t> </w:t>
      </w:r>
      <w:r>
        <w:rPr>
          <w:color w:val="1F487C"/>
        </w:rPr>
        <w:t>включающее:</w:t>
      </w:r>
    </w:p>
    <w:p>
      <w:pPr>
        <w:pStyle w:val="ListParagraph"/>
        <w:numPr>
          <w:ilvl w:val="0"/>
          <w:numId w:val="11"/>
        </w:numPr>
        <w:tabs>
          <w:tab w:pos="1000" w:val="left" w:leader="none"/>
          <w:tab w:pos="1001" w:val="left" w:leader="none"/>
        </w:tabs>
        <w:spacing w:line="240" w:lineRule="auto" w:before="142" w:after="0"/>
        <w:ind w:left="1000" w:right="0" w:hanging="339"/>
        <w:jc w:val="left"/>
        <w:rPr>
          <w:sz w:val="24"/>
        </w:rPr>
      </w:pPr>
      <w:r>
        <w:rPr>
          <w:sz w:val="24"/>
        </w:rPr>
        <w:t>Оценку видимых слизистых оболочек верхних дыхательных</w:t>
      </w:r>
      <w:r>
        <w:rPr>
          <w:spacing w:val="-6"/>
          <w:sz w:val="24"/>
        </w:rPr>
        <w:t> </w:t>
      </w:r>
      <w:r>
        <w:rPr>
          <w:sz w:val="24"/>
        </w:rPr>
        <w:t>путей;</w:t>
      </w:r>
    </w:p>
    <w:p>
      <w:pPr>
        <w:pStyle w:val="ListParagraph"/>
        <w:numPr>
          <w:ilvl w:val="0"/>
          <w:numId w:val="11"/>
        </w:numPr>
        <w:tabs>
          <w:tab w:pos="1000" w:val="left" w:leader="none"/>
          <w:tab w:pos="1001" w:val="left" w:leader="none"/>
        </w:tabs>
        <w:spacing w:line="240" w:lineRule="auto" w:before="82" w:after="0"/>
        <w:ind w:left="1000" w:right="0" w:hanging="339"/>
        <w:jc w:val="left"/>
        <w:rPr>
          <w:sz w:val="24"/>
        </w:rPr>
      </w:pPr>
      <w:r>
        <w:rPr>
          <w:sz w:val="24"/>
        </w:rPr>
        <w:t>Аускультацию и перкуссию легких;</w:t>
      </w:r>
    </w:p>
    <w:p>
      <w:pPr>
        <w:pStyle w:val="ListParagraph"/>
        <w:numPr>
          <w:ilvl w:val="0"/>
          <w:numId w:val="11"/>
        </w:numPr>
        <w:tabs>
          <w:tab w:pos="1000" w:val="left" w:leader="none"/>
          <w:tab w:pos="1001" w:val="left" w:leader="none"/>
        </w:tabs>
        <w:spacing w:line="240" w:lineRule="auto" w:before="81" w:after="0"/>
        <w:ind w:left="1000" w:right="0" w:hanging="339"/>
        <w:jc w:val="left"/>
        <w:rPr>
          <w:sz w:val="24"/>
        </w:rPr>
      </w:pPr>
      <w:r>
        <w:rPr>
          <w:sz w:val="24"/>
        </w:rPr>
        <w:t>Пальпацию лимфатических</w:t>
      </w:r>
      <w:r>
        <w:rPr>
          <w:spacing w:val="3"/>
          <w:sz w:val="24"/>
        </w:rPr>
        <w:t> </w:t>
      </w:r>
      <w:r>
        <w:rPr>
          <w:sz w:val="24"/>
        </w:rPr>
        <w:t>узлов;</w:t>
      </w:r>
    </w:p>
    <w:p>
      <w:pPr>
        <w:pStyle w:val="ListParagraph"/>
        <w:numPr>
          <w:ilvl w:val="0"/>
          <w:numId w:val="11"/>
        </w:numPr>
        <w:tabs>
          <w:tab w:pos="1000" w:val="left" w:leader="none"/>
          <w:tab w:pos="1001" w:val="left" w:leader="none"/>
        </w:tabs>
        <w:spacing w:line="304" w:lineRule="auto" w:before="83" w:after="0"/>
        <w:ind w:left="1000" w:right="678" w:hanging="339"/>
        <w:jc w:val="left"/>
        <w:rPr>
          <w:sz w:val="24"/>
        </w:rPr>
      </w:pPr>
      <w:r>
        <w:rPr>
          <w:sz w:val="24"/>
        </w:rPr>
        <w:t>Исследование органов  брюшной  полости  с  определением  размеров  печени  и</w:t>
      </w:r>
      <w:r>
        <w:rPr>
          <w:spacing w:val="1"/>
          <w:sz w:val="24"/>
        </w:rPr>
        <w:t> </w:t>
      </w:r>
      <w:r>
        <w:rPr>
          <w:sz w:val="24"/>
        </w:rPr>
        <w:t>селезенки;</w:t>
      </w:r>
    </w:p>
    <w:p>
      <w:pPr>
        <w:pStyle w:val="ListParagraph"/>
        <w:numPr>
          <w:ilvl w:val="0"/>
          <w:numId w:val="11"/>
        </w:numPr>
        <w:tabs>
          <w:tab w:pos="1000" w:val="left" w:leader="none"/>
          <w:tab w:pos="1001" w:val="left" w:leader="none"/>
        </w:tabs>
        <w:spacing w:line="240" w:lineRule="auto" w:before="10" w:after="0"/>
        <w:ind w:left="1000" w:right="0" w:hanging="339"/>
        <w:jc w:val="left"/>
        <w:rPr>
          <w:sz w:val="24"/>
        </w:rPr>
      </w:pPr>
      <w:r>
        <w:rPr>
          <w:sz w:val="24"/>
        </w:rPr>
        <w:t>Термометрию;</w:t>
      </w:r>
    </w:p>
    <w:p>
      <w:pPr>
        <w:pStyle w:val="ListParagraph"/>
        <w:numPr>
          <w:ilvl w:val="0"/>
          <w:numId w:val="11"/>
        </w:numPr>
        <w:tabs>
          <w:tab w:pos="1000" w:val="left" w:leader="none"/>
          <w:tab w:pos="1001" w:val="left" w:leader="none"/>
        </w:tabs>
        <w:spacing w:line="240" w:lineRule="auto" w:before="83" w:after="0"/>
        <w:ind w:left="1000" w:right="0" w:hanging="339"/>
        <w:jc w:val="left"/>
        <w:rPr>
          <w:sz w:val="24"/>
        </w:rPr>
      </w:pPr>
      <w:r>
        <w:rPr>
          <w:sz w:val="24"/>
        </w:rPr>
        <w:t>Оценку уровня</w:t>
      </w:r>
      <w:r>
        <w:rPr>
          <w:spacing w:val="-3"/>
          <w:sz w:val="24"/>
        </w:rPr>
        <w:t> </w:t>
      </w:r>
      <w:r>
        <w:rPr>
          <w:sz w:val="24"/>
        </w:rPr>
        <w:t>сознания;</w:t>
      </w:r>
    </w:p>
    <w:p>
      <w:pPr>
        <w:spacing w:after="0" w:line="240" w:lineRule="auto"/>
        <w:jc w:val="left"/>
        <w:rPr>
          <w:sz w:val="24"/>
        </w:rPr>
        <w:sectPr>
          <w:pgSz w:w="11920" w:h="16850"/>
          <w:pgMar w:header="0" w:footer="620" w:top="1320" w:bottom="880" w:left="1380" w:right="600"/>
        </w:sectPr>
      </w:pPr>
    </w:p>
    <w:p>
      <w:pPr>
        <w:pStyle w:val="ListParagraph"/>
        <w:numPr>
          <w:ilvl w:val="0"/>
          <w:numId w:val="11"/>
        </w:numPr>
        <w:tabs>
          <w:tab w:pos="1000" w:val="left" w:leader="none"/>
          <w:tab w:pos="1001" w:val="left" w:leader="none"/>
        </w:tabs>
        <w:spacing w:line="304" w:lineRule="auto" w:before="80" w:after="0"/>
        <w:ind w:left="1000" w:right="679" w:hanging="339"/>
        <w:jc w:val="left"/>
        <w:rPr>
          <w:sz w:val="24"/>
        </w:rPr>
      </w:pPr>
      <w:r>
        <w:rPr>
          <w:sz w:val="24"/>
        </w:rPr>
        <w:t>Измерение частоты сердечных сокращений, артериального давления, частоты дыхательных</w:t>
      </w:r>
      <w:r>
        <w:rPr>
          <w:spacing w:val="1"/>
          <w:sz w:val="24"/>
        </w:rPr>
        <w:t> </w:t>
      </w:r>
      <w:r>
        <w:rPr>
          <w:sz w:val="24"/>
        </w:rPr>
        <w:t>движений;</w:t>
      </w:r>
    </w:p>
    <w:p>
      <w:pPr>
        <w:pStyle w:val="ListParagraph"/>
        <w:numPr>
          <w:ilvl w:val="0"/>
          <w:numId w:val="11"/>
        </w:numPr>
        <w:tabs>
          <w:tab w:pos="1000" w:val="left" w:leader="none"/>
          <w:tab w:pos="1001" w:val="left" w:leader="none"/>
          <w:tab w:pos="3184" w:val="left" w:leader="none"/>
          <w:tab w:pos="3583" w:val="left" w:leader="none"/>
          <w:tab w:pos="5100" w:val="left" w:leader="none"/>
          <w:tab w:pos="5896" w:val="left" w:leader="none"/>
          <w:tab w:pos="6542" w:val="left" w:leader="none"/>
          <w:tab w:pos="7924" w:val="left" w:leader="none"/>
        </w:tabs>
        <w:spacing w:line="304" w:lineRule="auto" w:before="10" w:after="0"/>
        <w:ind w:left="1000" w:right="678" w:hanging="339"/>
        <w:jc w:val="left"/>
        <w:rPr>
          <w:sz w:val="24"/>
        </w:rPr>
      </w:pPr>
      <w:r>
        <w:rPr>
          <w:position w:val="2"/>
          <w:sz w:val="24"/>
        </w:rPr>
        <w:t>Пульсоксиметрию</w:t>
        <w:tab/>
        <w:t>с</w:t>
        <w:tab/>
        <w:t>измерением</w:t>
        <w:tab/>
        <w:t>SpO</w:t>
      </w:r>
      <w:r>
        <w:rPr>
          <w:sz w:val="16"/>
        </w:rPr>
        <w:t>2</w:t>
        <w:tab/>
      </w:r>
      <w:r>
        <w:rPr>
          <w:position w:val="2"/>
          <w:sz w:val="24"/>
        </w:rPr>
        <w:t>для</w:t>
        <w:tab/>
        <w:t>выявления</w:t>
        <w:tab/>
      </w:r>
      <w:r>
        <w:rPr>
          <w:spacing w:val="-3"/>
          <w:position w:val="2"/>
          <w:sz w:val="24"/>
        </w:rPr>
        <w:t>дыхательной</w:t>
      </w:r>
      <w:r>
        <w:rPr>
          <w:spacing w:val="-3"/>
          <w:sz w:val="24"/>
        </w:rPr>
        <w:t> </w:t>
      </w:r>
      <w:r>
        <w:rPr>
          <w:sz w:val="24"/>
        </w:rPr>
        <w:t>недостаточности и оценки выраженности</w:t>
      </w:r>
      <w:r>
        <w:rPr>
          <w:spacing w:val="2"/>
          <w:sz w:val="24"/>
        </w:rPr>
        <w:t> </w:t>
      </w:r>
      <w:r>
        <w:rPr>
          <w:sz w:val="24"/>
        </w:rPr>
        <w:t>гипоксемии.</w:t>
      </w:r>
    </w:p>
    <w:p>
      <w:pPr>
        <w:pStyle w:val="Heading3"/>
        <w:numPr>
          <w:ilvl w:val="0"/>
          <w:numId w:val="10"/>
        </w:numPr>
        <w:tabs>
          <w:tab w:pos="1737" w:val="left" w:leader="none"/>
          <w:tab w:pos="1738" w:val="left" w:leader="none"/>
        </w:tabs>
        <w:spacing w:line="240" w:lineRule="auto" w:before="128" w:after="0"/>
        <w:ind w:left="1737" w:right="0" w:hanging="709"/>
        <w:jc w:val="left"/>
      </w:pPr>
      <w:r>
        <w:rPr>
          <w:color w:val="1F487C"/>
        </w:rPr>
        <w:t>Лабораторная диагностика</w:t>
      </w:r>
      <w:r>
        <w:rPr>
          <w:color w:val="1F487C"/>
          <w:spacing w:val="-4"/>
        </w:rPr>
        <w:t> </w:t>
      </w:r>
      <w:r>
        <w:rPr>
          <w:color w:val="1F487C"/>
        </w:rPr>
        <w:t>этиологическая:</w:t>
      </w:r>
    </w:p>
    <w:p>
      <w:pPr>
        <w:pStyle w:val="ListParagraph"/>
        <w:numPr>
          <w:ilvl w:val="0"/>
          <w:numId w:val="11"/>
        </w:numPr>
        <w:tabs>
          <w:tab w:pos="1001" w:val="left" w:leader="none"/>
        </w:tabs>
        <w:spacing w:line="309" w:lineRule="auto" w:before="195" w:after="0"/>
        <w:ind w:left="1000" w:right="674" w:hanging="339"/>
        <w:jc w:val="both"/>
        <w:rPr>
          <w:sz w:val="24"/>
        </w:rPr>
      </w:pPr>
      <w:r>
        <w:rPr>
          <w:sz w:val="24"/>
        </w:rPr>
        <w:t>Выявление</w:t>
      </w:r>
      <w:r>
        <w:rPr>
          <w:spacing w:val="-11"/>
          <w:sz w:val="24"/>
        </w:rPr>
        <w:t> </w:t>
      </w:r>
      <w:r>
        <w:rPr>
          <w:sz w:val="24"/>
        </w:rPr>
        <w:t>РНК</w:t>
      </w:r>
      <w:r>
        <w:rPr>
          <w:spacing w:val="-9"/>
          <w:sz w:val="24"/>
        </w:rPr>
        <w:t> </w:t>
      </w:r>
      <w:r>
        <w:rPr>
          <w:sz w:val="24"/>
        </w:rPr>
        <w:t>SARS-CoV-2</w:t>
      </w:r>
      <w:r>
        <w:rPr>
          <w:spacing w:val="-9"/>
          <w:sz w:val="24"/>
        </w:rPr>
        <w:t> </w:t>
      </w:r>
      <w:r>
        <w:rPr>
          <w:sz w:val="24"/>
        </w:rPr>
        <w:t>с</w:t>
      </w:r>
      <w:r>
        <w:rPr>
          <w:spacing w:val="-11"/>
          <w:sz w:val="24"/>
        </w:rPr>
        <w:t> </w:t>
      </w:r>
      <w:r>
        <w:rPr>
          <w:sz w:val="24"/>
        </w:rPr>
        <w:t>применением</w:t>
      </w:r>
      <w:r>
        <w:rPr>
          <w:spacing w:val="-7"/>
          <w:sz w:val="24"/>
        </w:rPr>
        <w:t> </w:t>
      </w:r>
      <w:r>
        <w:rPr>
          <w:sz w:val="24"/>
        </w:rPr>
        <w:t>МАНК</w:t>
      </w:r>
      <w:r>
        <w:rPr>
          <w:spacing w:val="-9"/>
          <w:sz w:val="24"/>
        </w:rPr>
        <w:t> </w:t>
      </w:r>
      <w:r>
        <w:rPr>
          <w:sz w:val="24"/>
        </w:rPr>
        <w:t>(информация</w:t>
      </w:r>
      <w:r>
        <w:rPr>
          <w:spacing w:val="-9"/>
          <w:sz w:val="24"/>
        </w:rPr>
        <w:t> </w:t>
      </w:r>
      <w:r>
        <w:rPr>
          <w:sz w:val="24"/>
        </w:rPr>
        <w:t>представлена в разделе 4.2). Инструкция по проведению диагностики COVID-19 с примением МАНК представлена в</w:t>
      </w:r>
      <w:r>
        <w:rPr>
          <w:color w:val="0562C1"/>
          <w:sz w:val="24"/>
        </w:rPr>
        <w:t> </w:t>
      </w:r>
      <w:hyperlink w:history="true" w:anchor="_bookmark47">
        <w:r>
          <w:rPr>
            <w:color w:val="0562C1"/>
            <w:sz w:val="24"/>
            <w:u w:val="single" w:color="0562C1"/>
          </w:rPr>
          <w:t>Приложении 3-1</w:t>
        </w:r>
      </w:hyperlink>
      <w:r>
        <w:rPr>
          <w:sz w:val="24"/>
        </w:rPr>
        <w:t>.</w:t>
      </w:r>
    </w:p>
    <w:p>
      <w:pPr>
        <w:pStyle w:val="ListParagraph"/>
        <w:numPr>
          <w:ilvl w:val="0"/>
          <w:numId w:val="11"/>
        </w:numPr>
        <w:tabs>
          <w:tab w:pos="1001" w:val="left" w:leader="none"/>
        </w:tabs>
        <w:spacing w:line="304" w:lineRule="auto" w:before="3" w:after="0"/>
        <w:ind w:left="1000" w:right="677" w:hanging="339"/>
        <w:jc w:val="both"/>
        <w:rPr>
          <w:sz w:val="24"/>
        </w:rPr>
      </w:pPr>
      <w:r>
        <w:rPr>
          <w:sz w:val="24"/>
        </w:rPr>
        <w:t>Выявление антигена SARS-CoV-2 c применением иммунохроматографических методов.</w:t>
      </w:r>
    </w:p>
    <w:p>
      <w:pPr>
        <w:pStyle w:val="ListParagraph"/>
        <w:numPr>
          <w:ilvl w:val="0"/>
          <w:numId w:val="11"/>
        </w:numPr>
        <w:tabs>
          <w:tab w:pos="1001" w:val="left" w:leader="none"/>
        </w:tabs>
        <w:spacing w:line="309" w:lineRule="auto" w:before="11" w:after="0"/>
        <w:ind w:left="1000" w:right="673" w:hanging="339"/>
        <w:jc w:val="both"/>
        <w:rPr>
          <w:sz w:val="24"/>
        </w:rPr>
      </w:pPr>
      <w:r>
        <w:rPr>
          <w:sz w:val="24"/>
        </w:rPr>
        <w:t>Выявление иммуноглобулинов классов А, M, G (IgА, IgM и IgG) к SARS-CoV-2 (в том числе к рецептор-связывающему домену поверхностного гликопротеина S). Инструкция по проведению диагностики COVID-19 с примением иммунохимических методов представлена в</w:t>
      </w:r>
      <w:r>
        <w:rPr>
          <w:color w:val="0562C1"/>
          <w:sz w:val="24"/>
        </w:rPr>
        <w:t> </w:t>
      </w:r>
      <w:hyperlink w:history="true" w:anchor="_bookmark48">
        <w:r>
          <w:rPr>
            <w:color w:val="0562C1"/>
            <w:sz w:val="24"/>
            <w:u w:val="single" w:color="0562C1"/>
          </w:rPr>
          <w:t>Приложении</w:t>
        </w:r>
        <w:r>
          <w:rPr>
            <w:color w:val="0562C1"/>
            <w:spacing w:val="-2"/>
            <w:sz w:val="24"/>
            <w:u w:val="single" w:color="0562C1"/>
          </w:rPr>
          <w:t> </w:t>
        </w:r>
        <w:r>
          <w:rPr>
            <w:color w:val="0562C1"/>
            <w:sz w:val="24"/>
            <w:u w:val="single" w:color="0562C1"/>
          </w:rPr>
          <w:t>3-2</w:t>
        </w:r>
      </w:hyperlink>
      <w:r>
        <w:rPr>
          <w:sz w:val="24"/>
        </w:rPr>
        <w:t>.</w:t>
      </w:r>
    </w:p>
    <w:p>
      <w:pPr>
        <w:pStyle w:val="BodyText"/>
        <w:spacing w:before="1"/>
        <w:ind w:left="0"/>
        <w:jc w:val="left"/>
        <w:rPr>
          <w:sz w:val="25"/>
        </w:rPr>
      </w:pPr>
    </w:p>
    <w:p>
      <w:pPr>
        <w:pStyle w:val="Heading3"/>
        <w:numPr>
          <w:ilvl w:val="0"/>
          <w:numId w:val="10"/>
        </w:numPr>
        <w:tabs>
          <w:tab w:pos="1737" w:val="left" w:leader="none"/>
          <w:tab w:pos="1738" w:val="left" w:leader="none"/>
        </w:tabs>
        <w:spacing w:line="240" w:lineRule="auto" w:before="89" w:after="0"/>
        <w:ind w:left="1737" w:right="0" w:hanging="709"/>
        <w:jc w:val="left"/>
      </w:pPr>
      <w:r>
        <w:rPr>
          <w:color w:val="1F487C"/>
        </w:rPr>
        <w:t>Лабораторная диагностика общая</w:t>
      </w:r>
      <w:r>
        <w:rPr>
          <w:color w:val="1F487C"/>
          <w:spacing w:val="-3"/>
        </w:rPr>
        <w:t> </w:t>
      </w:r>
      <w:r>
        <w:rPr>
          <w:color w:val="1F487C"/>
        </w:rPr>
        <w:t>(дополнительная):</w:t>
      </w:r>
    </w:p>
    <w:p>
      <w:pPr>
        <w:pStyle w:val="BodyText"/>
        <w:spacing w:line="312" w:lineRule="auto" w:before="193"/>
        <w:ind w:right="673" w:firstLine="708"/>
      </w:pPr>
      <w:r>
        <w:rPr/>
        <w:t>Объем, сроки и кратность лабораторных исследований зависят от степени тяжести   заболевания.   Легкое   течение   заболевания   с   наблюдением   пациента    в амбулаторных условиях не требует дополнительных  лабораторных исследований.  В случае госпитализации по поводу среднетяжелого, тяжелого и крайне тяжелого течения необходимо выполнить следующие</w:t>
      </w:r>
      <w:r>
        <w:rPr>
          <w:spacing w:val="-2"/>
        </w:rPr>
        <w:t> </w:t>
      </w:r>
      <w:r>
        <w:rPr/>
        <w:t>исследования:</w:t>
      </w:r>
    </w:p>
    <w:p>
      <w:pPr>
        <w:spacing w:line="312" w:lineRule="auto" w:before="0"/>
        <w:ind w:left="321" w:right="677" w:firstLine="708"/>
        <w:jc w:val="both"/>
        <w:rPr>
          <w:sz w:val="24"/>
        </w:rPr>
      </w:pPr>
      <w:r>
        <w:rPr>
          <w:b/>
          <w:sz w:val="24"/>
        </w:rPr>
        <w:t>Общий (клинический) анализ крови </w:t>
      </w:r>
      <w:r>
        <w:rPr>
          <w:sz w:val="24"/>
        </w:rPr>
        <w:t>с определением уровня эритроцитов, гемоглобина, гематокрита, лейкоцитов, тромбоцитов, лейкоцитарной формулы.</w:t>
      </w:r>
    </w:p>
    <w:p>
      <w:pPr>
        <w:pStyle w:val="BodyText"/>
        <w:spacing w:line="312" w:lineRule="auto"/>
        <w:ind w:right="672" w:firstLine="708"/>
      </w:pPr>
      <w:r>
        <w:rPr>
          <w:b/>
        </w:rPr>
        <w:t>Биохимический анализ крови </w:t>
      </w:r>
      <w:r>
        <w:rPr/>
        <w:t>(мочевина, креатинин, электролиты, глюкоза, аланинаминотрансфераза, аспартатаминотрансфераза, билирубин, альбумин, лактат, лактатдегидрогеназа</w:t>
      </w:r>
      <w:r>
        <w:rPr>
          <w:spacing w:val="-13"/>
        </w:rPr>
        <w:t> </w:t>
      </w:r>
      <w:r>
        <w:rPr/>
        <w:t>тропонин,</w:t>
      </w:r>
      <w:r>
        <w:rPr>
          <w:spacing w:val="-14"/>
        </w:rPr>
        <w:t> </w:t>
      </w:r>
      <w:r>
        <w:rPr/>
        <w:t>ферритин).</w:t>
      </w:r>
      <w:r>
        <w:rPr>
          <w:spacing w:val="-12"/>
        </w:rPr>
        <w:t> </w:t>
      </w:r>
      <w:r>
        <w:rPr/>
        <w:t>Биохимический</w:t>
      </w:r>
      <w:r>
        <w:rPr>
          <w:spacing w:val="-11"/>
        </w:rPr>
        <w:t> </w:t>
      </w:r>
      <w:r>
        <w:rPr/>
        <w:t>анализ</w:t>
      </w:r>
      <w:r>
        <w:rPr>
          <w:spacing w:val="-13"/>
        </w:rPr>
        <w:t> </w:t>
      </w:r>
      <w:r>
        <w:rPr/>
        <w:t>крови</w:t>
      </w:r>
      <w:r>
        <w:rPr>
          <w:spacing w:val="-11"/>
        </w:rPr>
        <w:t> </w:t>
      </w:r>
      <w:r>
        <w:rPr/>
        <w:t>не</w:t>
      </w:r>
      <w:r>
        <w:rPr>
          <w:spacing w:val="-13"/>
        </w:rPr>
        <w:t> </w:t>
      </w:r>
      <w:r>
        <w:rPr/>
        <w:t>дает</w:t>
      </w:r>
      <w:r>
        <w:rPr>
          <w:spacing w:val="-14"/>
        </w:rPr>
        <w:t> </w:t>
      </w:r>
      <w:r>
        <w:rPr/>
        <w:t>какой- либо</w:t>
      </w:r>
      <w:r>
        <w:rPr>
          <w:spacing w:val="-7"/>
        </w:rPr>
        <w:t> </w:t>
      </w:r>
      <w:r>
        <w:rPr/>
        <w:t>специфической</w:t>
      </w:r>
      <w:r>
        <w:rPr>
          <w:spacing w:val="-6"/>
        </w:rPr>
        <w:t> </w:t>
      </w:r>
      <w:r>
        <w:rPr/>
        <w:t>информации,</w:t>
      </w:r>
      <w:r>
        <w:rPr>
          <w:spacing w:val="-6"/>
        </w:rPr>
        <w:t> </w:t>
      </w:r>
      <w:r>
        <w:rPr/>
        <w:t>но</w:t>
      </w:r>
      <w:r>
        <w:rPr>
          <w:spacing w:val="-7"/>
        </w:rPr>
        <w:t> </w:t>
      </w:r>
      <w:r>
        <w:rPr/>
        <w:t>обнаруживаемые</w:t>
      </w:r>
      <w:r>
        <w:rPr>
          <w:spacing w:val="-6"/>
        </w:rPr>
        <w:t> </w:t>
      </w:r>
      <w:r>
        <w:rPr/>
        <w:t>отклонения</w:t>
      </w:r>
      <w:r>
        <w:rPr>
          <w:spacing w:val="-6"/>
        </w:rPr>
        <w:t> </w:t>
      </w:r>
      <w:r>
        <w:rPr/>
        <w:t>могут</w:t>
      </w:r>
      <w:r>
        <w:rPr>
          <w:spacing w:val="-2"/>
        </w:rPr>
        <w:t> </w:t>
      </w:r>
      <w:r>
        <w:rPr/>
        <w:t>указывать</w:t>
      </w:r>
      <w:r>
        <w:rPr>
          <w:spacing w:val="-6"/>
        </w:rPr>
        <w:t> </w:t>
      </w:r>
      <w:r>
        <w:rPr/>
        <w:t>на наличие   органной   дисфункции,    декомпенсацию    сопутствующих    заболеваний  и развитие осложнений, имеют определенное прогностическое значение, оказывают влияние на выбор лекарственных средств и/или режим их</w:t>
      </w:r>
      <w:r>
        <w:rPr>
          <w:spacing w:val="-2"/>
        </w:rPr>
        <w:t> </w:t>
      </w:r>
      <w:r>
        <w:rPr/>
        <w:t>дозирования.</w:t>
      </w:r>
    </w:p>
    <w:p>
      <w:pPr>
        <w:pStyle w:val="BodyText"/>
        <w:spacing w:line="312" w:lineRule="auto"/>
        <w:ind w:right="677" w:firstLine="708"/>
      </w:pPr>
      <w:r>
        <w:rPr>
          <w:b/>
        </w:rPr>
        <w:t>С-реактивный белок (СРБ) </w:t>
      </w:r>
      <w:r>
        <w:rPr/>
        <w:t>является основным лабораторным маркером активности процесса в легких. Его повышение коррелирует с объемом поражения легочной ткани и является основанием для начала противовоспалительной терапии.</w:t>
      </w:r>
    </w:p>
    <w:p>
      <w:pPr>
        <w:pStyle w:val="BodyText"/>
        <w:spacing w:line="312" w:lineRule="auto"/>
        <w:ind w:right="675" w:firstLine="708"/>
      </w:pPr>
      <w:r>
        <w:rPr>
          <w:b/>
        </w:rPr>
        <w:t>Гормональное исследование: </w:t>
      </w:r>
      <w:r>
        <w:rPr/>
        <w:t>прокальцитонин, мозговой натрий-уретический пептид   –   NT-proBNP/BNP.   </w:t>
      </w:r>
      <w:r>
        <w:rPr>
          <w:b/>
        </w:rPr>
        <w:t>Прокальцитонин   </w:t>
      </w:r>
      <w:r>
        <w:rPr/>
        <w:t>при   коронавирусной   инфекции   с поражением респираторных отделов легких находится в пределах референсных значений. Повышение прокальцитонина свидетельствует о</w:t>
      </w:r>
      <w:r>
        <w:rPr>
          <w:spacing w:val="16"/>
        </w:rPr>
        <w:t> </w:t>
      </w:r>
      <w:r>
        <w:rPr/>
        <w:t>присоединении</w:t>
      </w:r>
    </w:p>
    <w:p>
      <w:pPr>
        <w:spacing w:after="0" w:line="312" w:lineRule="auto"/>
        <w:sectPr>
          <w:pgSz w:w="11920" w:h="16850"/>
          <w:pgMar w:header="0" w:footer="620" w:top="1060" w:bottom="880" w:left="1380" w:right="600"/>
        </w:sectPr>
      </w:pPr>
    </w:p>
    <w:p>
      <w:pPr>
        <w:pStyle w:val="BodyText"/>
        <w:spacing w:line="312" w:lineRule="auto" w:before="78"/>
        <w:ind w:right="675"/>
      </w:pPr>
      <w:r>
        <w:rPr/>
        <w:t>бактериальной инфекции и коррелирует с тяжестью течения, распространенностью воспалительной инфильтрации и прогнозом при бактериальных осложнениях.</w:t>
      </w:r>
    </w:p>
    <w:p>
      <w:pPr>
        <w:pStyle w:val="BodyText"/>
        <w:spacing w:line="312" w:lineRule="auto"/>
        <w:ind w:right="678" w:firstLine="708"/>
      </w:pPr>
      <w:r>
        <w:rPr>
          <w:b/>
        </w:rPr>
        <w:t>Коагулограмма</w:t>
      </w:r>
      <w:r>
        <w:rPr>
          <w:b/>
          <w:spacing w:val="-13"/>
        </w:rPr>
        <w:t> </w:t>
      </w:r>
      <w:r>
        <w:rPr/>
        <w:t>в</w:t>
      </w:r>
      <w:r>
        <w:rPr>
          <w:spacing w:val="-14"/>
        </w:rPr>
        <w:t> </w:t>
      </w:r>
      <w:r>
        <w:rPr/>
        <w:t>объеме:</w:t>
      </w:r>
      <w:r>
        <w:rPr>
          <w:spacing w:val="-13"/>
        </w:rPr>
        <w:t> </w:t>
      </w:r>
      <w:r>
        <w:rPr/>
        <w:t>активированное</w:t>
      </w:r>
      <w:r>
        <w:rPr>
          <w:spacing w:val="-13"/>
        </w:rPr>
        <w:t> </w:t>
      </w:r>
      <w:r>
        <w:rPr/>
        <w:t>частичное</w:t>
      </w:r>
      <w:r>
        <w:rPr>
          <w:spacing w:val="-14"/>
        </w:rPr>
        <w:t> </w:t>
      </w:r>
      <w:r>
        <w:rPr/>
        <w:t>тромбопластиновое</w:t>
      </w:r>
      <w:r>
        <w:rPr>
          <w:spacing w:val="-14"/>
        </w:rPr>
        <w:t> </w:t>
      </w:r>
      <w:r>
        <w:rPr/>
        <w:t>время (АЧТВ), протромбиновое время, протромбиновое отношение, фибриноген, D-димер (количественным</w:t>
      </w:r>
      <w:r>
        <w:rPr>
          <w:spacing w:val="-2"/>
        </w:rPr>
        <w:t> </w:t>
      </w:r>
      <w:r>
        <w:rPr/>
        <w:t>методом).</w:t>
      </w:r>
    </w:p>
    <w:p>
      <w:pPr>
        <w:pStyle w:val="BodyText"/>
        <w:spacing w:before="9"/>
        <w:ind w:left="0"/>
        <w:jc w:val="left"/>
        <w:rPr>
          <w:sz w:val="20"/>
        </w:rPr>
      </w:pPr>
    </w:p>
    <w:p>
      <w:pPr>
        <w:pStyle w:val="Heading3"/>
      </w:pPr>
      <w:r>
        <w:rPr>
          <w:color w:val="1F487C"/>
        </w:rPr>
        <w:t>Прогностические лабораторные маркеры</w:t>
      </w:r>
    </w:p>
    <w:p>
      <w:pPr>
        <w:pStyle w:val="BodyText"/>
        <w:spacing w:line="312" w:lineRule="auto" w:before="84"/>
        <w:ind w:right="673" w:firstLine="708"/>
      </w:pPr>
      <w:r>
        <w:rPr/>
        <w:t>У большинства пациентов с COVID-19 наблюдается нормальное число лейкоцитов, у одной  трети  обнаруживается  лейкопения,  лимфопения  присутствует у 83,2% пациентов. Тромбоцитопения носит умеренный характер, но более отчетлива при тяжелом течении и у лиц, умерших от</w:t>
      </w:r>
      <w:r>
        <w:rPr>
          <w:spacing w:val="-5"/>
        </w:rPr>
        <w:t> </w:t>
      </w:r>
      <w:r>
        <w:rPr/>
        <w:t>COVID-19.</w:t>
      </w:r>
    </w:p>
    <w:p>
      <w:pPr>
        <w:pStyle w:val="BodyText"/>
        <w:spacing w:line="312" w:lineRule="auto"/>
        <w:ind w:right="673" w:firstLine="708"/>
      </w:pPr>
      <w:r>
        <w:rPr/>
        <w:t>Возрастание D-димера в 3-4 раза более возрастной нормы и удлинение протромбинового</w:t>
      </w:r>
      <w:r>
        <w:rPr>
          <w:spacing w:val="-12"/>
        </w:rPr>
        <w:t> </w:t>
      </w:r>
      <w:r>
        <w:rPr/>
        <w:t>времени,</w:t>
      </w:r>
      <w:r>
        <w:rPr>
          <w:spacing w:val="-11"/>
        </w:rPr>
        <w:t> </w:t>
      </w:r>
      <w:r>
        <w:rPr/>
        <w:t>особенно</w:t>
      </w:r>
      <w:r>
        <w:rPr>
          <w:spacing w:val="-14"/>
        </w:rPr>
        <w:t> </w:t>
      </w:r>
      <w:r>
        <w:rPr/>
        <w:t>при</w:t>
      </w:r>
      <w:r>
        <w:rPr>
          <w:spacing w:val="-12"/>
        </w:rPr>
        <w:t> </w:t>
      </w:r>
      <w:r>
        <w:rPr/>
        <w:t>тяжелом</w:t>
      </w:r>
      <w:r>
        <w:rPr>
          <w:spacing w:val="-12"/>
        </w:rPr>
        <w:t> </w:t>
      </w:r>
      <w:r>
        <w:rPr/>
        <w:t>течении</w:t>
      </w:r>
      <w:r>
        <w:rPr>
          <w:spacing w:val="-11"/>
        </w:rPr>
        <w:t> </w:t>
      </w:r>
      <w:r>
        <w:rPr/>
        <w:t>(снижение</w:t>
      </w:r>
      <w:r>
        <w:rPr>
          <w:spacing w:val="-14"/>
        </w:rPr>
        <w:t> </w:t>
      </w:r>
      <w:r>
        <w:rPr/>
        <w:t>%</w:t>
      </w:r>
      <w:r>
        <w:rPr>
          <w:spacing w:val="-13"/>
        </w:rPr>
        <w:t> </w:t>
      </w:r>
      <w:r>
        <w:rPr/>
        <w:t>протромбина), увеличение фибриногена имеет клиническое значение. Необходимо учитывать возрастные особенности: D-димер повышается после 50 лет в связи с накоплением хронических заболеваний. Расчет возрастного уровня верхней границы референтного интервала может быть выполнен по формуле:  возраст х  0,01 мкг/мл (при измерении  в единицах FEU). Также с осторожностью нужно подходить к исследованию D-димера у беременных. Для беременности, даже физиологически протекающей, характерно повышение D-димера с существенным разбросом значений в этой группе. Вне инфекции SARS-CoV-2 D-димер не является определяющим в тактике и при назначении низкомолекулярных гепаринов. Клиническое значение его повышения при COVID-19 у беременных окончательно не</w:t>
      </w:r>
      <w:r>
        <w:rPr>
          <w:spacing w:val="-4"/>
        </w:rPr>
        <w:t> </w:t>
      </w:r>
      <w:r>
        <w:rPr/>
        <w:t>определено.</w:t>
      </w:r>
    </w:p>
    <w:p>
      <w:pPr>
        <w:pStyle w:val="BodyText"/>
        <w:spacing w:line="312" w:lineRule="auto" w:before="1"/>
        <w:ind w:right="675" w:firstLine="708"/>
      </w:pPr>
      <w:r>
        <w:rPr/>
        <w:t>Наличие органной дисфункции, декомпенсации сопутствующих заболеваний   и развитие осложнений, выявленные биохимическим анализом крови, имеют прогностическое</w:t>
      </w:r>
      <w:r>
        <w:rPr>
          <w:spacing w:val="-13"/>
        </w:rPr>
        <w:t> </w:t>
      </w:r>
      <w:r>
        <w:rPr/>
        <w:t>значение</w:t>
      </w:r>
      <w:r>
        <w:rPr>
          <w:spacing w:val="-13"/>
        </w:rPr>
        <w:t> </w:t>
      </w:r>
      <w:r>
        <w:rPr/>
        <w:t>и</w:t>
      </w:r>
      <w:r>
        <w:rPr>
          <w:spacing w:val="-11"/>
        </w:rPr>
        <w:t> </w:t>
      </w:r>
      <w:r>
        <w:rPr/>
        <w:t>оказывают</w:t>
      </w:r>
      <w:r>
        <w:rPr>
          <w:spacing w:val="-11"/>
        </w:rPr>
        <w:t> </w:t>
      </w:r>
      <w:r>
        <w:rPr/>
        <w:t>влияние</w:t>
      </w:r>
      <w:r>
        <w:rPr>
          <w:spacing w:val="-13"/>
        </w:rPr>
        <w:t> </w:t>
      </w:r>
      <w:r>
        <w:rPr/>
        <w:t>на</w:t>
      </w:r>
      <w:r>
        <w:rPr>
          <w:spacing w:val="-13"/>
        </w:rPr>
        <w:t> </w:t>
      </w:r>
      <w:r>
        <w:rPr/>
        <w:t>выбор</w:t>
      </w:r>
      <w:r>
        <w:rPr>
          <w:spacing w:val="-12"/>
        </w:rPr>
        <w:t> </w:t>
      </w:r>
      <w:r>
        <w:rPr/>
        <w:t>лекарственных</w:t>
      </w:r>
      <w:r>
        <w:rPr>
          <w:spacing w:val="-10"/>
        </w:rPr>
        <w:t> </w:t>
      </w:r>
      <w:r>
        <w:rPr/>
        <w:t>средств</w:t>
      </w:r>
      <w:r>
        <w:rPr>
          <w:spacing w:val="-13"/>
        </w:rPr>
        <w:t> </w:t>
      </w:r>
      <w:r>
        <w:rPr/>
        <w:t>и/или режим   их   дозирования.    Возможно    повышение    активности    аминотрансфераз и креатинкиназы, концентрации тропонина, креатинина или</w:t>
      </w:r>
      <w:r>
        <w:rPr>
          <w:spacing w:val="-3"/>
        </w:rPr>
        <w:t> </w:t>
      </w:r>
      <w:r>
        <w:rPr/>
        <w:t>мочевины.</w:t>
      </w:r>
    </w:p>
    <w:p>
      <w:pPr>
        <w:pStyle w:val="BodyText"/>
        <w:spacing w:line="312" w:lineRule="auto"/>
        <w:ind w:right="674" w:firstLine="708"/>
      </w:pPr>
      <w:r>
        <w:rPr/>
        <w:t>Уровень СРБ коррелирует с тяжестью течения, распространенностью воспалительной̆ инфильтрации и прогнозом при пневмонии. Концентрация СРБ увеличивалась у большинства пациентов, одновременно с увеличением интерлейкина- 6 (ИЛ-6) и СОЭ в разной степени. ИЛ-6, ИЛ-10 и TNF-α возрастают во время болезни и снижаются при выздоровлении. Пациенты, нуждающиеся в госпитализации, имеют значительно</w:t>
      </w:r>
      <w:r>
        <w:rPr>
          <w:spacing w:val="-7"/>
        </w:rPr>
        <w:t> </w:t>
      </w:r>
      <w:r>
        <w:rPr/>
        <w:t>более</w:t>
      </w:r>
      <w:r>
        <w:rPr>
          <w:spacing w:val="-7"/>
        </w:rPr>
        <w:t> </w:t>
      </w:r>
      <w:r>
        <w:rPr/>
        <w:t>высокие</w:t>
      </w:r>
      <w:r>
        <w:rPr>
          <w:spacing w:val="-5"/>
        </w:rPr>
        <w:t> </w:t>
      </w:r>
      <w:r>
        <w:rPr/>
        <w:t>уровни</w:t>
      </w:r>
      <w:r>
        <w:rPr>
          <w:spacing w:val="-6"/>
        </w:rPr>
        <w:t> </w:t>
      </w:r>
      <w:r>
        <w:rPr/>
        <w:t>ИЛ-6,</w:t>
      </w:r>
      <w:r>
        <w:rPr>
          <w:spacing w:val="-6"/>
        </w:rPr>
        <w:t> </w:t>
      </w:r>
      <w:r>
        <w:rPr/>
        <w:t>ИЛ-10</w:t>
      </w:r>
      <w:r>
        <w:rPr>
          <w:spacing w:val="-6"/>
        </w:rPr>
        <w:t> </w:t>
      </w:r>
      <w:r>
        <w:rPr/>
        <w:t>и</w:t>
      </w:r>
      <w:r>
        <w:rPr>
          <w:spacing w:val="-6"/>
        </w:rPr>
        <w:t> </w:t>
      </w:r>
      <w:r>
        <w:rPr/>
        <w:t>TNF-α</w:t>
      </w:r>
      <w:r>
        <w:rPr>
          <w:spacing w:val="-7"/>
        </w:rPr>
        <w:t> </w:t>
      </w:r>
      <w:r>
        <w:rPr/>
        <w:t>и</w:t>
      </w:r>
      <w:r>
        <w:rPr>
          <w:spacing w:val="-5"/>
        </w:rPr>
        <w:t> </w:t>
      </w:r>
      <w:r>
        <w:rPr/>
        <w:t>сниженное</w:t>
      </w:r>
      <w:r>
        <w:rPr>
          <w:spacing w:val="-7"/>
        </w:rPr>
        <w:t> </w:t>
      </w:r>
      <w:r>
        <w:rPr/>
        <w:t>количество</w:t>
      </w:r>
      <w:r>
        <w:rPr>
          <w:spacing w:val="-7"/>
        </w:rPr>
        <w:t> </w:t>
      </w:r>
      <w:r>
        <w:rPr/>
        <w:t>CD4 и CD8 T-клеток. Уровень ИЛ-6, ИЛ-10 и фактора некроза опухоли-α обратно коррелирует с количеством CD4 и CD8, ассоциированных с лимфопенией. Отмечено увеличение острофазового белка ферритина при неблагоприятном течении заболевания.</w:t>
      </w:r>
    </w:p>
    <w:p>
      <w:pPr>
        <w:pStyle w:val="BodyText"/>
        <w:spacing w:line="312" w:lineRule="auto"/>
        <w:ind w:right="673" w:firstLine="708"/>
      </w:pPr>
      <w:r>
        <w:rPr/>
        <w:t>Лабораторные признаки цитокинового шторма: лейкопения, выраженная лимфопения, снижение числа моноцитов, эозинофилов и базофилов крови, снижение</w:t>
      </w:r>
    </w:p>
    <w:p>
      <w:pPr>
        <w:spacing w:after="0" w:line="312" w:lineRule="auto"/>
        <w:sectPr>
          <w:pgSz w:w="11920" w:h="16850"/>
          <w:pgMar w:header="0" w:footer="620" w:top="1060" w:bottom="880" w:left="1380" w:right="600"/>
        </w:sectPr>
      </w:pPr>
    </w:p>
    <w:p>
      <w:pPr>
        <w:pStyle w:val="BodyText"/>
        <w:spacing w:line="312" w:lineRule="auto" w:before="78"/>
        <w:ind w:right="674"/>
      </w:pPr>
      <w:r>
        <w:rPr/>
        <w:t>количества Т‑ и В‑лимфоцитов, высокие уровни интерлейкина‑6 (&gt; 40 пг/мл), повышение уровня С‑реактивного белка более 75 мг/л, ферритина, АЛТ, АСТ, ЛДГ сывороткикрови, значительное повышение уровня D‑димера (в 4 раза и более по сравнению с референтным значением) или его быстрое нарастание, повышение уровня продуктов деградации фибрина, гиперфибриногенемия, нормальное или укороченное протромбиновое и активированное частичное тромбопластиновое время, нормальный уровень антитромбина III. При развитии ОРДС каждые 48‑72 часа до стойкого получения отрицательных уровней необходимо определять: ИЛ‑6, D‑димер, ферритин, фибриноген, C‑реактивный белок, триглицериды, ЛДГ.</w:t>
      </w:r>
    </w:p>
    <w:p>
      <w:pPr>
        <w:pStyle w:val="BodyText"/>
        <w:spacing w:line="312" w:lineRule="auto"/>
        <w:ind w:right="674" w:firstLine="708"/>
      </w:pPr>
      <w:r>
        <w:rPr/>
        <w:t>Лабораторные показатели прогрессирующего синдрома активации макрофагов: дву-трехростковая цитопения, нарастание уровня ферритина, СРБ, АЛТ, АСТ, ЛДГ, гипонатремия, гипофибриногенемия, снижение уровня антитромбина III, пролонгирование протромбинового времени и активированного частичного тромбопластинового времени.</w:t>
      </w:r>
    </w:p>
    <w:p>
      <w:pPr>
        <w:pStyle w:val="BodyText"/>
        <w:spacing w:line="312" w:lineRule="auto"/>
        <w:ind w:right="673" w:firstLine="708"/>
      </w:pPr>
      <w:r>
        <w:rPr/>
        <w:t>Гипервоспаление при COVID-19 может манифестировать цитопенией (торомбоцитопения и лимфопения), коагулопатией (тормбоцитопения, гипофибриногенемия и повышение D-димера крови), повреждением тканей/гепатитом (повышение уровня ЛДГ и аминтрансфераз сыворотки крови) и активацией макрофагов/гепатоцитов (повышение уровня ферритина сыворотки крови).</w:t>
      </w:r>
    </w:p>
    <w:p>
      <w:pPr>
        <w:pStyle w:val="BodyText"/>
        <w:spacing w:line="312" w:lineRule="auto"/>
        <w:ind w:right="673" w:firstLine="708"/>
      </w:pPr>
      <w:r>
        <w:rPr/>
        <w:t>В диагностике и прогнозе течения сепсиса имеет значение уровень прокальцитонина:   &lt;    0.5    мкг/л    –    низкий    риск    бактериальной    коинфекции и неблагоприятного исхода; &gt; 0.5 мкг/л – пациенты с высоким риском, вероятна бактериальная коинфекция. Анализ на прокальцитонин при поступлении является дополнительной информацией для ранней оценки риска и исключения бактериальной коинфекции у пациентов с</w:t>
      </w:r>
      <w:r>
        <w:rPr>
          <w:spacing w:val="-8"/>
        </w:rPr>
        <w:t> </w:t>
      </w:r>
      <w:r>
        <w:rPr/>
        <w:t>COVID-19.</w:t>
      </w:r>
    </w:p>
    <w:p>
      <w:pPr>
        <w:pStyle w:val="BodyText"/>
        <w:spacing w:line="312" w:lineRule="auto"/>
        <w:ind w:right="674" w:firstLine="708"/>
      </w:pPr>
      <w:r>
        <w:rPr/>
        <w:t>Развитие сердечно-сосудистых осложнений при COVID-19 также сопровождается лимфопенией, тромбоцитопенией, повышением СРБ, МВ-фракции креатинкиназы, высокочувствительного тропонина и мозгового натрий-уретического пептида (NT pro-BNP). Для выявления пациентов группы риска необходимо рассмотреть  регулярный  контроль  тропонина  (ежедневно  в  ОРИТ,  через  день  –   у стационарных пациентов), контроль NT-proBNP как маркера миокардиального стресса. У пациентов с нарастающей одышкой и NT-proBNP ≥2000 пг/мл отмечен наивысший риск и приоритет для очного осмотра и госпитализации в ОРИТ, при значениях   400   ≤   NT-proBNP   &lt;   2000   пг/мл   пациенты   относятся   к   группе      с промежуточным</w:t>
      </w:r>
      <w:r>
        <w:rPr>
          <w:spacing w:val="-3"/>
        </w:rPr>
        <w:t> </w:t>
      </w:r>
      <w:r>
        <w:rPr/>
        <w:t>риском.</w:t>
      </w:r>
    </w:p>
    <w:p>
      <w:pPr>
        <w:pStyle w:val="BodyText"/>
        <w:spacing w:line="312" w:lineRule="auto"/>
        <w:ind w:right="674" w:firstLine="708"/>
      </w:pPr>
      <w:r>
        <w:rPr/>
        <w:t>Необходимый объем лабораторного и инструментального обследования в зависимости от клинических проявлений заболевания представлен в </w:t>
      </w:r>
      <w:hyperlink w:history="true" w:anchor="_bookmark45">
        <w:r>
          <w:rPr>
            <w:color w:val="0562C1"/>
            <w:u w:val="single" w:color="0562C1"/>
          </w:rPr>
          <w:t>Приложении 2-1</w:t>
        </w:r>
      </w:hyperlink>
      <w:r>
        <w:rPr/>
        <w:t>. Лабораторный мониторинг  пациентов с COVID-19  или  с подозрением на COVID-19 в зависимости от тяжести состояния представлен в </w:t>
      </w:r>
      <w:hyperlink w:history="true" w:anchor="_bookmark46">
        <w:r>
          <w:rPr>
            <w:color w:val="0562C1"/>
            <w:u w:val="single" w:color="0562C1"/>
          </w:rPr>
          <w:t>Приложении</w:t>
        </w:r>
        <w:r>
          <w:rPr>
            <w:color w:val="0562C1"/>
            <w:spacing w:val="-3"/>
            <w:u w:val="single" w:color="0562C1"/>
          </w:rPr>
          <w:t> </w:t>
        </w:r>
        <w:r>
          <w:rPr>
            <w:color w:val="0562C1"/>
            <w:u w:val="single" w:color="0562C1"/>
          </w:rPr>
          <w:t>2-2</w:t>
        </w:r>
      </w:hyperlink>
      <w:r>
        <w:rPr/>
        <w:t>.</w:t>
      </w:r>
    </w:p>
    <w:p>
      <w:pPr>
        <w:spacing w:after="0" w:line="312" w:lineRule="auto"/>
        <w:sectPr>
          <w:pgSz w:w="11920" w:h="16850"/>
          <w:pgMar w:header="0" w:footer="620" w:top="1060" w:bottom="880" w:left="1380" w:right="600"/>
        </w:sectPr>
      </w:pPr>
    </w:p>
    <w:p>
      <w:pPr>
        <w:pStyle w:val="Heading3"/>
        <w:numPr>
          <w:ilvl w:val="0"/>
          <w:numId w:val="10"/>
        </w:numPr>
        <w:tabs>
          <w:tab w:pos="1737" w:val="left" w:leader="none"/>
          <w:tab w:pos="1738" w:val="left" w:leader="none"/>
        </w:tabs>
        <w:spacing w:line="240" w:lineRule="auto" w:before="59" w:after="0"/>
        <w:ind w:left="1737" w:right="0" w:hanging="709"/>
        <w:jc w:val="left"/>
      </w:pPr>
      <w:r>
        <w:rPr>
          <w:color w:val="1F487C"/>
        </w:rPr>
        <w:t>Инструментальная диагностика</w:t>
      </w:r>
      <w:r>
        <w:rPr>
          <w:color w:val="1F487C"/>
          <w:spacing w:val="-2"/>
        </w:rPr>
        <w:t> </w:t>
      </w:r>
      <w:r>
        <w:rPr>
          <w:color w:val="1F487C"/>
        </w:rPr>
        <w:t>общая:</w:t>
      </w:r>
    </w:p>
    <w:p>
      <w:pPr>
        <w:pStyle w:val="BodyText"/>
        <w:spacing w:line="312" w:lineRule="auto" w:before="192"/>
        <w:ind w:right="674" w:firstLine="708"/>
      </w:pPr>
      <w:r>
        <w:rPr>
          <w:b/>
          <w:position w:val="2"/>
        </w:rPr>
        <w:t>Пульсоксиметрия </w:t>
      </w:r>
      <w:r>
        <w:rPr>
          <w:position w:val="2"/>
        </w:rPr>
        <w:t>с измерением SpO</w:t>
      </w:r>
      <w:r>
        <w:rPr>
          <w:sz w:val="16"/>
        </w:rPr>
        <w:t>2 </w:t>
      </w:r>
      <w:r>
        <w:rPr>
          <w:position w:val="2"/>
        </w:rPr>
        <w:t>для выявления дыхательной </w:t>
      </w:r>
      <w:r>
        <w:rPr/>
        <w:t>недостаточности и оценки выраженности гипоксемии является простым и надежным скрининговым методом, позволяющим выявлять пациентов с гипоксемией, нуждающихся в респираторной поддержке, и оценивать ее эффективность. Пациентам </w:t>
      </w:r>
      <w:r>
        <w:rPr>
          <w:position w:val="2"/>
        </w:rPr>
        <w:t>с признаками острой дыхательной недостаточности (ОДН) (SрO</w:t>
      </w:r>
      <w:r>
        <w:rPr>
          <w:sz w:val="16"/>
        </w:rPr>
        <w:t>2 </w:t>
      </w:r>
      <w:r>
        <w:rPr>
          <w:position w:val="2"/>
        </w:rPr>
        <w:t>менее 90%) рекомендуется исследование газов артериальной крови с определением PaO</w:t>
      </w:r>
      <w:r>
        <w:rPr>
          <w:sz w:val="16"/>
        </w:rPr>
        <w:t>2</w:t>
      </w:r>
      <w:r>
        <w:rPr>
          <w:position w:val="2"/>
        </w:rPr>
        <w:t>, PaCO</w:t>
      </w:r>
      <w:r>
        <w:rPr>
          <w:sz w:val="16"/>
        </w:rPr>
        <w:t>2, </w:t>
      </w:r>
      <w:r>
        <w:rPr/>
        <w:t>pH, бикарбонатов, лактата.</w:t>
      </w:r>
    </w:p>
    <w:p>
      <w:pPr>
        <w:pStyle w:val="BodyText"/>
        <w:spacing w:line="312" w:lineRule="auto"/>
        <w:ind w:right="675" w:firstLine="708"/>
      </w:pPr>
      <w:r>
        <w:rPr>
          <w:b/>
        </w:rPr>
        <w:t>Методы лучевой диагностики </w:t>
      </w:r>
      <w:r>
        <w:rPr/>
        <w:t>применяют для выявления COVID-19 пневмоний,</w:t>
      </w:r>
      <w:r>
        <w:rPr>
          <w:spacing w:val="-8"/>
        </w:rPr>
        <w:t> </w:t>
      </w:r>
      <w:r>
        <w:rPr/>
        <w:t>их</w:t>
      </w:r>
      <w:r>
        <w:rPr>
          <w:spacing w:val="-8"/>
        </w:rPr>
        <w:t> </w:t>
      </w:r>
      <w:r>
        <w:rPr/>
        <w:t>осложнений,</w:t>
      </w:r>
      <w:r>
        <w:rPr>
          <w:spacing w:val="-11"/>
        </w:rPr>
        <w:t> </w:t>
      </w:r>
      <w:r>
        <w:rPr/>
        <w:t>дифференциальной</w:t>
      </w:r>
      <w:r>
        <w:rPr>
          <w:spacing w:val="-6"/>
        </w:rPr>
        <w:t> </w:t>
      </w:r>
      <w:r>
        <w:rPr/>
        <w:t>диагностики</w:t>
      </w:r>
      <w:r>
        <w:rPr>
          <w:spacing w:val="-7"/>
        </w:rPr>
        <w:t> </w:t>
      </w:r>
      <w:r>
        <w:rPr/>
        <w:t>с</w:t>
      </w:r>
      <w:r>
        <w:rPr>
          <w:spacing w:val="-9"/>
        </w:rPr>
        <w:t> </w:t>
      </w:r>
      <w:r>
        <w:rPr/>
        <w:t>другими</w:t>
      </w:r>
      <w:r>
        <w:rPr>
          <w:spacing w:val="-7"/>
        </w:rPr>
        <w:t> </w:t>
      </w:r>
      <w:r>
        <w:rPr/>
        <w:t>заболеваниями легких,</w:t>
      </w:r>
      <w:r>
        <w:rPr>
          <w:spacing w:val="-12"/>
        </w:rPr>
        <w:t> </w:t>
      </w:r>
      <w:r>
        <w:rPr/>
        <w:t>а</w:t>
      </w:r>
      <w:r>
        <w:rPr>
          <w:spacing w:val="-13"/>
        </w:rPr>
        <w:t> </w:t>
      </w:r>
      <w:r>
        <w:rPr/>
        <w:t>также</w:t>
      </w:r>
      <w:r>
        <w:rPr>
          <w:spacing w:val="-13"/>
        </w:rPr>
        <w:t> </w:t>
      </w:r>
      <w:r>
        <w:rPr/>
        <w:t>для</w:t>
      </w:r>
      <w:r>
        <w:rPr>
          <w:spacing w:val="-15"/>
        </w:rPr>
        <w:t> </w:t>
      </w:r>
      <w:r>
        <w:rPr/>
        <w:t>определения</w:t>
      </w:r>
      <w:r>
        <w:rPr>
          <w:spacing w:val="-12"/>
        </w:rPr>
        <w:t> </w:t>
      </w:r>
      <w:r>
        <w:rPr/>
        <w:t>степени</w:t>
      </w:r>
      <w:r>
        <w:rPr>
          <w:spacing w:val="-11"/>
        </w:rPr>
        <w:t> </w:t>
      </w:r>
      <w:r>
        <w:rPr/>
        <w:t>выраженности</w:t>
      </w:r>
      <w:r>
        <w:rPr>
          <w:spacing w:val="-13"/>
        </w:rPr>
        <w:t> </w:t>
      </w:r>
      <w:r>
        <w:rPr/>
        <w:t>и</w:t>
      </w:r>
      <w:r>
        <w:rPr>
          <w:spacing w:val="-10"/>
        </w:rPr>
        <w:t> </w:t>
      </w:r>
      <w:r>
        <w:rPr/>
        <w:t>динамики</w:t>
      </w:r>
      <w:r>
        <w:rPr>
          <w:spacing w:val="-13"/>
        </w:rPr>
        <w:t> </w:t>
      </w:r>
      <w:r>
        <w:rPr/>
        <w:t>изменений,</w:t>
      </w:r>
      <w:r>
        <w:rPr>
          <w:spacing w:val="-14"/>
        </w:rPr>
        <w:t> </w:t>
      </w:r>
      <w:r>
        <w:rPr/>
        <w:t>оценки эффективности проводимой</w:t>
      </w:r>
      <w:r>
        <w:rPr>
          <w:spacing w:val="1"/>
        </w:rPr>
        <w:t> </w:t>
      </w:r>
      <w:r>
        <w:rPr/>
        <w:t>терапии.</w:t>
      </w:r>
    </w:p>
    <w:p>
      <w:pPr>
        <w:pStyle w:val="BodyText"/>
        <w:spacing w:line="312" w:lineRule="auto"/>
        <w:ind w:right="673" w:firstLine="708"/>
      </w:pPr>
      <w:r>
        <w:rPr/>
        <w:t>Лучевые методы также необходимы для выявления и оценки характера патологических изменений в других анатомических областях и как средства контроля для инвазивных (интервенционных) медицинских вмешательств.</w:t>
      </w:r>
    </w:p>
    <w:p>
      <w:pPr>
        <w:pStyle w:val="BodyText"/>
        <w:spacing w:line="312" w:lineRule="auto"/>
        <w:ind w:right="674" w:firstLine="708"/>
      </w:pPr>
      <w:r>
        <w:rPr/>
        <w:t>К     методам      лучевой      диагностики      патологии      ОГК      пациентов     с предполагаемой/установленной COVID-19 пневмонией</w:t>
      </w:r>
      <w:r>
        <w:rPr>
          <w:spacing w:val="-4"/>
        </w:rPr>
        <w:t> </w:t>
      </w:r>
      <w:r>
        <w:rPr/>
        <w:t>относят:</w:t>
      </w:r>
    </w:p>
    <w:p>
      <w:pPr>
        <w:pStyle w:val="BodyText"/>
        <w:spacing w:before="8"/>
        <w:ind w:left="0"/>
        <w:jc w:val="left"/>
        <w:rPr>
          <w:sz w:val="30"/>
        </w:rPr>
      </w:pPr>
    </w:p>
    <w:p>
      <w:pPr>
        <w:pStyle w:val="ListParagraph"/>
        <w:numPr>
          <w:ilvl w:val="0"/>
          <w:numId w:val="11"/>
        </w:numPr>
        <w:tabs>
          <w:tab w:pos="1000" w:val="left" w:leader="none"/>
          <w:tab w:pos="1001" w:val="left" w:leader="none"/>
        </w:tabs>
        <w:spacing w:line="240" w:lineRule="auto" w:before="0" w:after="0"/>
        <w:ind w:left="1000" w:right="0" w:hanging="339"/>
        <w:jc w:val="left"/>
        <w:rPr>
          <w:sz w:val="24"/>
        </w:rPr>
      </w:pPr>
      <w:r>
        <w:rPr>
          <w:sz w:val="24"/>
        </w:rPr>
        <w:t>Обзорную рентгенографию легких</w:t>
      </w:r>
      <w:r>
        <w:rPr>
          <w:spacing w:val="1"/>
          <w:sz w:val="24"/>
        </w:rPr>
        <w:t> </w:t>
      </w:r>
      <w:r>
        <w:rPr>
          <w:sz w:val="24"/>
        </w:rPr>
        <w:t>(РГ),</w:t>
      </w:r>
    </w:p>
    <w:p>
      <w:pPr>
        <w:pStyle w:val="ListParagraph"/>
        <w:numPr>
          <w:ilvl w:val="0"/>
          <w:numId w:val="11"/>
        </w:numPr>
        <w:tabs>
          <w:tab w:pos="1000" w:val="left" w:leader="none"/>
          <w:tab w:pos="1001" w:val="left" w:leader="none"/>
        </w:tabs>
        <w:spacing w:line="240" w:lineRule="auto" w:before="83" w:after="0"/>
        <w:ind w:left="1000" w:right="0" w:hanging="339"/>
        <w:jc w:val="left"/>
        <w:rPr>
          <w:sz w:val="24"/>
        </w:rPr>
      </w:pPr>
      <w:r>
        <w:rPr>
          <w:sz w:val="24"/>
        </w:rPr>
        <w:t>Компьютерную томографию легких</w:t>
      </w:r>
      <w:r>
        <w:rPr>
          <w:spacing w:val="1"/>
          <w:sz w:val="24"/>
        </w:rPr>
        <w:t> </w:t>
      </w:r>
      <w:r>
        <w:rPr>
          <w:sz w:val="24"/>
        </w:rPr>
        <w:t>(КТ),</w:t>
      </w:r>
    </w:p>
    <w:p>
      <w:pPr>
        <w:pStyle w:val="ListParagraph"/>
        <w:numPr>
          <w:ilvl w:val="0"/>
          <w:numId w:val="11"/>
        </w:numPr>
        <w:tabs>
          <w:tab w:pos="1000" w:val="left" w:leader="none"/>
          <w:tab w:pos="1001" w:val="left" w:leader="none"/>
        </w:tabs>
        <w:spacing w:line="240" w:lineRule="auto" w:before="83" w:after="0"/>
        <w:ind w:left="1000" w:right="0" w:hanging="339"/>
        <w:jc w:val="left"/>
        <w:rPr>
          <w:sz w:val="24"/>
        </w:rPr>
      </w:pPr>
      <w:r>
        <w:rPr>
          <w:sz w:val="24"/>
        </w:rPr>
        <w:t>Ультразвуковое исследование легких и плевральных полостей (УЗИ).</w:t>
      </w:r>
    </w:p>
    <w:p>
      <w:pPr>
        <w:pStyle w:val="BodyText"/>
        <w:spacing w:before="4"/>
        <w:ind w:left="0"/>
        <w:jc w:val="left"/>
        <w:rPr>
          <w:sz w:val="39"/>
        </w:rPr>
      </w:pPr>
    </w:p>
    <w:p>
      <w:pPr>
        <w:pStyle w:val="BodyText"/>
        <w:spacing w:line="312" w:lineRule="auto"/>
        <w:ind w:right="674" w:firstLine="708"/>
      </w:pPr>
      <w:r>
        <w:rPr>
          <w:b/>
        </w:rPr>
        <w:t>Стандартная РГ </w:t>
      </w:r>
      <w:r>
        <w:rPr/>
        <w:t>имеет низкую чувствительность в выявлении начальных изменений</w:t>
      </w:r>
      <w:r>
        <w:rPr>
          <w:spacing w:val="-6"/>
        </w:rPr>
        <w:t> </w:t>
      </w:r>
      <w:r>
        <w:rPr/>
        <w:t>в</w:t>
      </w:r>
      <w:r>
        <w:rPr>
          <w:spacing w:val="-7"/>
        </w:rPr>
        <w:t> </w:t>
      </w:r>
      <w:r>
        <w:rPr/>
        <w:t>первые</w:t>
      </w:r>
      <w:r>
        <w:rPr>
          <w:spacing w:val="-8"/>
        </w:rPr>
        <w:t> </w:t>
      </w:r>
      <w:r>
        <w:rPr/>
        <w:t>дни</w:t>
      </w:r>
      <w:r>
        <w:rPr>
          <w:spacing w:val="-5"/>
        </w:rPr>
        <w:t> </w:t>
      </w:r>
      <w:r>
        <w:rPr/>
        <w:t>заболевания</w:t>
      </w:r>
      <w:r>
        <w:rPr>
          <w:spacing w:val="-6"/>
        </w:rPr>
        <w:t> </w:t>
      </w:r>
      <w:r>
        <w:rPr/>
        <w:t>и</w:t>
      </w:r>
      <w:r>
        <w:rPr>
          <w:spacing w:val="-9"/>
        </w:rPr>
        <w:t> </w:t>
      </w:r>
      <w:r>
        <w:rPr/>
        <w:t>не</w:t>
      </w:r>
      <w:r>
        <w:rPr>
          <w:spacing w:val="-7"/>
        </w:rPr>
        <w:t> </w:t>
      </w:r>
      <w:r>
        <w:rPr/>
        <w:t>может</w:t>
      </w:r>
      <w:r>
        <w:rPr>
          <w:spacing w:val="-6"/>
        </w:rPr>
        <w:t> </w:t>
      </w:r>
      <w:r>
        <w:rPr/>
        <w:t>применяться</w:t>
      </w:r>
      <w:r>
        <w:rPr>
          <w:spacing w:val="-7"/>
        </w:rPr>
        <w:t> </w:t>
      </w:r>
      <w:r>
        <w:rPr/>
        <w:t>для</w:t>
      </w:r>
      <w:r>
        <w:rPr>
          <w:spacing w:val="-6"/>
        </w:rPr>
        <w:t> </w:t>
      </w:r>
      <w:r>
        <w:rPr/>
        <w:t>ранней</w:t>
      </w:r>
      <w:r>
        <w:rPr>
          <w:spacing w:val="-6"/>
        </w:rPr>
        <w:t> </w:t>
      </w:r>
      <w:r>
        <w:rPr/>
        <w:t>диагностики. Информативность РГ повышается с увеличением длительности течения пневмонии. Рентгенография с использованием передвижных (палатных) аппаратов является основным методом лучевой диагностики патологии  ОГК  в отделениях  реанимации  и интенсивной терапии (ОРИТ). Применение передвижного (палатного) аппарата оправдано и  для проведения обычных  РГ исследований  в рентгеновском кабинете.  В стационарных условиях относительным преимуществом РГ в сравнении с КТ являются большая пропускная способность. Метод позволяет уверенно выявлять тяжелые формы пневмоний и отек легких различной природы, которые требуют госпитализации, в том числе направления в</w:t>
      </w:r>
      <w:r>
        <w:rPr>
          <w:spacing w:val="-5"/>
        </w:rPr>
        <w:t> </w:t>
      </w:r>
      <w:r>
        <w:rPr/>
        <w:t>ОРИТ.</w:t>
      </w:r>
    </w:p>
    <w:p>
      <w:pPr>
        <w:pStyle w:val="BodyText"/>
        <w:spacing w:line="312" w:lineRule="auto"/>
        <w:ind w:right="675" w:firstLine="708"/>
      </w:pPr>
      <w:r>
        <w:rPr>
          <w:b/>
        </w:rPr>
        <w:t>КТ </w:t>
      </w:r>
      <w:r>
        <w:rPr/>
        <w:t>имеет высокую чувствительность в выявлении изменений в легких, характерных для COVID-19. Применение КТ целесообразно для первичной оценки состояния ОГК  у пациентов с тяжелыми прогрессирующими формами заболевания,   а также для дифференциальной диагностики выявленных изменений и оценки динамики  процесса.  КТ   позволяет   выявить   характерные   изменения   в   легких   у пациентов с COVID-19 еще до появления положительных лабораторных</w:t>
      </w:r>
      <w:r>
        <w:rPr>
          <w:spacing w:val="22"/>
        </w:rPr>
        <w:t> </w:t>
      </w:r>
      <w:r>
        <w:rPr/>
        <w:t>тестов на</w:t>
      </w:r>
    </w:p>
    <w:p>
      <w:pPr>
        <w:spacing w:after="0" w:line="312" w:lineRule="auto"/>
        <w:sectPr>
          <w:pgSz w:w="11920" w:h="16850"/>
          <w:pgMar w:header="0" w:footer="620" w:top="1080" w:bottom="880" w:left="1380" w:right="600"/>
        </w:sectPr>
      </w:pPr>
    </w:p>
    <w:p>
      <w:pPr>
        <w:pStyle w:val="BodyText"/>
        <w:spacing w:line="312" w:lineRule="auto" w:before="78"/>
        <w:ind w:right="673"/>
      </w:pPr>
      <w:r>
        <w:rPr/>
        <w:t>инфекцию  с  помощью  МАНК.  В  то  же  время,  КТ  выявляет   изменения  легких   у значительного числа пациентов с бессимптомной и легкой формами заболевания, которым не требуется госпитализация. Результаты КТ в этих случаях не влияют на тактику лечения и прогноз заболевания при наличии лабораторного подтверждения COVID-19. Поэтому массовое применение КТ для скрининга асимптомных и легких форм болезни не</w:t>
      </w:r>
      <w:r>
        <w:rPr>
          <w:spacing w:val="-5"/>
        </w:rPr>
        <w:t> </w:t>
      </w:r>
      <w:r>
        <w:rPr/>
        <w:t>рекомендуется.</w:t>
      </w:r>
    </w:p>
    <w:p>
      <w:pPr>
        <w:pStyle w:val="BodyText"/>
        <w:spacing w:line="312" w:lineRule="auto"/>
        <w:ind w:right="675" w:firstLine="708"/>
      </w:pPr>
      <w:r>
        <w:rPr/>
        <w:t>Ограничениями</w:t>
      </w:r>
      <w:r>
        <w:rPr>
          <w:spacing w:val="-13"/>
        </w:rPr>
        <w:t> </w:t>
      </w:r>
      <w:r>
        <w:rPr/>
        <w:t>КТ</w:t>
      </w:r>
      <w:r>
        <w:rPr>
          <w:spacing w:val="-15"/>
        </w:rPr>
        <w:t> </w:t>
      </w:r>
      <w:r>
        <w:rPr/>
        <w:t>в</w:t>
      </w:r>
      <w:r>
        <w:rPr>
          <w:spacing w:val="-15"/>
        </w:rPr>
        <w:t> </w:t>
      </w:r>
      <w:r>
        <w:rPr/>
        <w:t>сравнении</w:t>
      </w:r>
      <w:r>
        <w:rPr>
          <w:spacing w:val="-13"/>
        </w:rPr>
        <w:t> </w:t>
      </w:r>
      <w:r>
        <w:rPr/>
        <w:t>с</w:t>
      </w:r>
      <w:r>
        <w:rPr>
          <w:spacing w:val="-15"/>
        </w:rPr>
        <w:t> </w:t>
      </w:r>
      <w:r>
        <w:rPr/>
        <w:t>РГ</w:t>
      </w:r>
      <w:r>
        <w:rPr>
          <w:spacing w:val="-14"/>
        </w:rPr>
        <w:t> </w:t>
      </w:r>
      <w:r>
        <w:rPr/>
        <w:t>являются</w:t>
      </w:r>
      <w:r>
        <w:rPr>
          <w:spacing w:val="-16"/>
        </w:rPr>
        <w:t> </w:t>
      </w:r>
      <w:r>
        <w:rPr/>
        <w:t>меньшая</w:t>
      </w:r>
      <w:r>
        <w:rPr>
          <w:spacing w:val="-14"/>
        </w:rPr>
        <w:t> </w:t>
      </w:r>
      <w:r>
        <w:rPr/>
        <w:t>доступность</w:t>
      </w:r>
      <w:r>
        <w:rPr>
          <w:spacing w:val="-14"/>
        </w:rPr>
        <w:t> </w:t>
      </w:r>
      <w:r>
        <w:rPr/>
        <w:t>технологии в отдельных медицинских организациях, городах и регионах; недоступность исследования  для  части  пациентов,  находящихся  на  ИВЛ;  высокая  потребность   в КТ-исследованиях для диагностики других</w:t>
      </w:r>
      <w:r>
        <w:rPr>
          <w:spacing w:val="2"/>
        </w:rPr>
        <w:t> </w:t>
      </w:r>
      <w:r>
        <w:rPr/>
        <w:t>заболеваний.</w:t>
      </w:r>
    </w:p>
    <w:p>
      <w:pPr>
        <w:pStyle w:val="BodyText"/>
        <w:spacing w:line="312" w:lineRule="auto"/>
        <w:ind w:right="676" w:firstLine="708"/>
      </w:pPr>
      <w:r>
        <w:rPr/>
        <w:t>Вместе    с    тем,    комплексная     оценка     анамнестических,     клинических и рентгенологических данных позволяет определить клинически подтвержденный случай COVID-19, маршрутизировать пациента и начать противовирусную</w:t>
      </w:r>
      <w:r>
        <w:rPr>
          <w:spacing w:val="-12"/>
        </w:rPr>
        <w:t> </w:t>
      </w:r>
      <w:r>
        <w:rPr/>
        <w:t>терапию.</w:t>
      </w:r>
    </w:p>
    <w:p>
      <w:pPr>
        <w:pStyle w:val="BodyText"/>
        <w:spacing w:line="312" w:lineRule="auto"/>
        <w:ind w:right="674" w:firstLine="708"/>
      </w:pPr>
      <w:r>
        <w:rPr/>
        <w:t>В связи с этим КТ может быть исследованием «первой линии» в тех медицинских организациях/территориях, в которых имеется достаточное количество аппаратов и кадровое обеспечение для выполнения требуемого объема исследований без ущерба для своевременной диагностики других болезней (онкологических, неврологических и т.д.) у наиболее нуждающихся в этом исследовании пациентов.</w:t>
      </w:r>
    </w:p>
    <w:p>
      <w:pPr>
        <w:pStyle w:val="BodyText"/>
        <w:spacing w:line="312" w:lineRule="auto" w:before="1"/>
        <w:ind w:right="675" w:firstLine="708"/>
      </w:pPr>
      <w:r>
        <w:rPr>
          <w:b/>
        </w:rPr>
        <w:t>УЗИ </w:t>
      </w:r>
      <w:r>
        <w:rPr/>
        <w:t>легких у пациентов с предполагаемой/известной COVID-19 пневмонией является</w:t>
      </w:r>
      <w:r>
        <w:rPr>
          <w:spacing w:val="-7"/>
        </w:rPr>
        <w:t> </w:t>
      </w:r>
      <w:r>
        <w:rPr/>
        <w:t>дополнительным</w:t>
      </w:r>
      <w:r>
        <w:rPr>
          <w:spacing w:val="-7"/>
        </w:rPr>
        <w:t> </w:t>
      </w:r>
      <w:r>
        <w:rPr/>
        <w:t>методом</w:t>
      </w:r>
      <w:r>
        <w:rPr>
          <w:spacing w:val="-8"/>
        </w:rPr>
        <w:t> </w:t>
      </w:r>
      <w:r>
        <w:rPr/>
        <w:t>визуализации,</w:t>
      </w:r>
      <w:r>
        <w:rPr>
          <w:spacing w:val="-6"/>
        </w:rPr>
        <w:t> </w:t>
      </w:r>
      <w:r>
        <w:rPr/>
        <w:t>который</w:t>
      </w:r>
      <w:r>
        <w:rPr>
          <w:spacing w:val="-8"/>
        </w:rPr>
        <w:t> </w:t>
      </w:r>
      <w:r>
        <w:rPr/>
        <w:t>не</w:t>
      </w:r>
      <w:r>
        <w:rPr>
          <w:spacing w:val="-8"/>
        </w:rPr>
        <w:t> </w:t>
      </w:r>
      <w:r>
        <w:rPr/>
        <w:t>заменяет</w:t>
      </w:r>
      <w:r>
        <w:rPr>
          <w:spacing w:val="-6"/>
        </w:rPr>
        <w:t> </w:t>
      </w:r>
      <w:r>
        <w:rPr/>
        <w:t>и</w:t>
      </w:r>
      <w:r>
        <w:rPr>
          <w:spacing w:val="-5"/>
        </w:rPr>
        <w:t> </w:t>
      </w:r>
      <w:r>
        <w:rPr/>
        <w:t>не</w:t>
      </w:r>
      <w:r>
        <w:rPr>
          <w:spacing w:val="-11"/>
        </w:rPr>
        <w:t> </w:t>
      </w:r>
      <w:r>
        <w:rPr/>
        <w:t>исключает проведение РГ и КТ. При соблюдении правильной методики, выборе правильных показаний и наличии подготовленного врачебного персонала это исследование отличается высокой  чувствительностью в выявлении интерстициальных  изменений  и консолидаций в легочной ткани, но только при субплевральном их расположении. Данные УЗИ не позволяют однозначно определить причину возникновения и/или действительную распространенность изменений в легочной</w:t>
      </w:r>
      <w:r>
        <w:rPr>
          <w:spacing w:val="-1"/>
        </w:rPr>
        <w:t> </w:t>
      </w:r>
      <w:r>
        <w:rPr/>
        <w:t>ткани.</w:t>
      </w:r>
    </w:p>
    <w:p>
      <w:pPr>
        <w:pStyle w:val="BodyText"/>
        <w:spacing w:line="312" w:lineRule="auto"/>
        <w:ind w:right="673" w:firstLine="708"/>
      </w:pPr>
      <w:r>
        <w:rPr/>
        <w:t>Следует</w:t>
      </w:r>
      <w:r>
        <w:rPr>
          <w:spacing w:val="-8"/>
        </w:rPr>
        <w:t> </w:t>
      </w:r>
      <w:r>
        <w:rPr/>
        <w:t>учитывать,</w:t>
      </w:r>
      <w:r>
        <w:rPr>
          <w:spacing w:val="-12"/>
        </w:rPr>
        <w:t> </w:t>
      </w:r>
      <w:r>
        <w:rPr/>
        <w:t>что</w:t>
      </w:r>
      <w:r>
        <w:rPr>
          <w:spacing w:val="-10"/>
        </w:rPr>
        <w:t> </w:t>
      </w:r>
      <w:r>
        <w:rPr/>
        <w:t>УЗИ</w:t>
      </w:r>
      <w:r>
        <w:rPr>
          <w:spacing w:val="-13"/>
        </w:rPr>
        <w:t> </w:t>
      </w:r>
      <w:r>
        <w:rPr/>
        <w:t>не</w:t>
      </w:r>
      <w:r>
        <w:rPr>
          <w:spacing w:val="-13"/>
        </w:rPr>
        <w:t> </w:t>
      </w:r>
      <w:r>
        <w:rPr/>
        <w:t>является</w:t>
      </w:r>
      <w:r>
        <w:rPr>
          <w:spacing w:val="-12"/>
        </w:rPr>
        <w:t> </w:t>
      </w:r>
      <w:r>
        <w:rPr/>
        <w:t>стандартной</w:t>
      </w:r>
      <w:r>
        <w:rPr>
          <w:spacing w:val="-11"/>
        </w:rPr>
        <w:t> </w:t>
      </w:r>
      <w:r>
        <w:rPr/>
        <w:t>процедурой</w:t>
      </w:r>
      <w:r>
        <w:rPr>
          <w:spacing w:val="-11"/>
        </w:rPr>
        <w:t> </w:t>
      </w:r>
      <w:r>
        <w:rPr/>
        <w:t>в</w:t>
      </w:r>
      <w:r>
        <w:rPr>
          <w:spacing w:val="-13"/>
        </w:rPr>
        <w:t> </w:t>
      </w:r>
      <w:r>
        <w:rPr/>
        <w:t>диагностике пневмоний, оно не включено в клинические рекомендации и стандарты оказания медицинской помощи по диагностике и лечению внебольничной пневмонии. В связи  с</w:t>
      </w:r>
      <w:r>
        <w:rPr>
          <w:spacing w:val="-4"/>
        </w:rPr>
        <w:t> </w:t>
      </w:r>
      <w:r>
        <w:rPr/>
        <w:t>этим</w:t>
      </w:r>
      <w:r>
        <w:rPr>
          <w:spacing w:val="-8"/>
        </w:rPr>
        <w:t> </w:t>
      </w:r>
      <w:r>
        <w:rPr/>
        <w:t>результативность</w:t>
      </w:r>
      <w:r>
        <w:rPr>
          <w:spacing w:val="-6"/>
        </w:rPr>
        <w:t> </w:t>
      </w:r>
      <w:r>
        <w:rPr/>
        <w:t>исследований</w:t>
      </w:r>
      <w:r>
        <w:rPr>
          <w:spacing w:val="-7"/>
        </w:rPr>
        <w:t> </w:t>
      </w:r>
      <w:r>
        <w:rPr/>
        <w:t>в</w:t>
      </w:r>
      <w:r>
        <w:rPr>
          <w:spacing w:val="-8"/>
        </w:rPr>
        <w:t> </w:t>
      </w:r>
      <w:r>
        <w:rPr/>
        <w:t>значительной</w:t>
      </w:r>
      <w:r>
        <w:rPr>
          <w:spacing w:val="-6"/>
        </w:rPr>
        <w:t> </w:t>
      </w:r>
      <w:r>
        <w:rPr/>
        <w:t>степени</w:t>
      </w:r>
      <w:r>
        <w:rPr>
          <w:spacing w:val="-6"/>
        </w:rPr>
        <w:t> </w:t>
      </w:r>
      <w:r>
        <w:rPr/>
        <w:t>зависит</w:t>
      </w:r>
      <w:r>
        <w:rPr>
          <w:spacing w:val="-8"/>
        </w:rPr>
        <w:t> </w:t>
      </w:r>
      <w:r>
        <w:rPr/>
        <w:t>от</w:t>
      </w:r>
      <w:r>
        <w:rPr>
          <w:spacing w:val="-7"/>
        </w:rPr>
        <w:t> </w:t>
      </w:r>
      <w:r>
        <w:rPr/>
        <w:t>имеющегося опыта и квалификации врача, проводящего</w:t>
      </w:r>
      <w:r>
        <w:rPr>
          <w:spacing w:val="-4"/>
        </w:rPr>
        <w:t> </w:t>
      </w:r>
      <w:r>
        <w:rPr/>
        <w:t>исследование.</w:t>
      </w:r>
    </w:p>
    <w:p>
      <w:pPr>
        <w:pStyle w:val="Heading3"/>
        <w:spacing w:before="119"/>
        <w:jc w:val="left"/>
      </w:pPr>
      <w:r>
        <w:rPr/>
        <w:t>Рекомендации</w:t>
      </w:r>
    </w:p>
    <w:p>
      <w:pPr>
        <w:pStyle w:val="ListParagraph"/>
        <w:numPr>
          <w:ilvl w:val="0"/>
          <w:numId w:val="12"/>
        </w:numPr>
        <w:tabs>
          <w:tab w:pos="1520" w:val="left" w:leader="none"/>
        </w:tabs>
        <w:spacing w:line="312" w:lineRule="auto" w:before="204" w:after="0"/>
        <w:ind w:left="321" w:right="673" w:firstLine="708"/>
        <w:jc w:val="both"/>
        <w:rPr>
          <w:sz w:val="24"/>
        </w:rPr>
      </w:pPr>
      <w:r>
        <w:rPr>
          <w:sz w:val="24"/>
        </w:rPr>
        <w:t>Рекомендовано выбирать методы визуализации при известной/ предполагаемой    COVID-19    инфекции     дифференцированно,     в     соответствии с имеющимися оборудованием  и  кадровыми  ресурсами  медицинской  организации, а также структурой и количеством обследуемых</w:t>
      </w:r>
      <w:r>
        <w:rPr>
          <w:spacing w:val="-1"/>
          <w:sz w:val="24"/>
        </w:rPr>
        <w:t> </w:t>
      </w:r>
      <w:r>
        <w:rPr>
          <w:sz w:val="24"/>
        </w:rPr>
        <w:t>пациентов.</w:t>
      </w:r>
    </w:p>
    <w:p>
      <w:pPr>
        <w:pStyle w:val="BodyText"/>
        <w:spacing w:before="10"/>
        <w:ind w:left="0"/>
        <w:jc w:val="left"/>
        <w:rPr>
          <w:sz w:val="20"/>
        </w:rPr>
      </w:pPr>
    </w:p>
    <w:p>
      <w:pPr>
        <w:pStyle w:val="ListParagraph"/>
        <w:numPr>
          <w:ilvl w:val="0"/>
          <w:numId w:val="12"/>
        </w:numPr>
        <w:tabs>
          <w:tab w:pos="1272" w:val="left" w:leader="none"/>
        </w:tabs>
        <w:spacing w:line="312" w:lineRule="auto" w:before="0" w:after="0"/>
        <w:ind w:left="321" w:right="674" w:firstLine="708"/>
        <w:jc w:val="both"/>
        <w:rPr>
          <w:sz w:val="24"/>
        </w:rPr>
      </w:pPr>
      <w:r>
        <w:rPr>
          <w:sz w:val="24"/>
        </w:rPr>
        <w:t>Не рекомендовано применение методов лучевой диагностики при отсутствии симптомов ОРИ у пациентов с положительными результатами на РНК</w:t>
      </w:r>
      <w:r>
        <w:rPr>
          <w:spacing w:val="31"/>
          <w:sz w:val="24"/>
        </w:rPr>
        <w:t> </w:t>
      </w:r>
      <w:r>
        <w:rPr>
          <w:sz w:val="24"/>
        </w:rPr>
        <w:t>SARS-CoV-2,</w:t>
      </w:r>
    </w:p>
    <w:p>
      <w:pPr>
        <w:spacing w:after="0" w:line="312" w:lineRule="auto"/>
        <w:jc w:val="both"/>
        <w:rPr>
          <w:sz w:val="24"/>
        </w:rPr>
        <w:sectPr>
          <w:pgSz w:w="11920" w:h="16850"/>
          <w:pgMar w:header="0" w:footer="620" w:top="1060" w:bottom="880" w:left="1380" w:right="600"/>
        </w:sectPr>
      </w:pPr>
    </w:p>
    <w:p>
      <w:pPr>
        <w:pStyle w:val="BodyText"/>
        <w:spacing w:line="312" w:lineRule="auto" w:before="78"/>
        <w:ind w:right="676"/>
      </w:pPr>
      <w:r>
        <w:rPr/>
        <w:t>а также при наличии эпидемиологических данных, указывающих на возможность инфицирования.</w:t>
      </w:r>
    </w:p>
    <w:p>
      <w:pPr>
        <w:spacing w:line="312" w:lineRule="auto" w:before="0"/>
        <w:ind w:left="321" w:right="675" w:firstLine="708"/>
        <w:jc w:val="both"/>
        <w:rPr>
          <w:i/>
          <w:sz w:val="24"/>
        </w:rPr>
      </w:pPr>
      <w:r>
        <w:rPr>
          <w:i/>
          <w:sz w:val="24"/>
        </w:rPr>
        <w:t>Комментарии. В доступных на данный период времени клинических </w:t>
      </w:r>
      <w:r>
        <w:rPr>
          <w:i/>
          <w:sz w:val="24"/>
        </w:rPr>
        <w:t>рекомендациях указано, что применение РГ, КТ и УЗИ для скрининга (выявления патологии</w:t>
      </w:r>
      <w:r>
        <w:rPr>
          <w:i/>
          <w:spacing w:val="-17"/>
          <w:sz w:val="24"/>
        </w:rPr>
        <w:t> </w:t>
      </w:r>
      <w:r>
        <w:rPr>
          <w:i/>
          <w:sz w:val="24"/>
        </w:rPr>
        <w:t>при</w:t>
      </w:r>
      <w:r>
        <w:rPr>
          <w:i/>
          <w:spacing w:val="-16"/>
          <w:sz w:val="24"/>
        </w:rPr>
        <w:t> </w:t>
      </w:r>
      <w:r>
        <w:rPr>
          <w:i/>
          <w:sz w:val="24"/>
        </w:rPr>
        <w:t>отсутствии</w:t>
      </w:r>
      <w:r>
        <w:rPr>
          <w:i/>
          <w:spacing w:val="-16"/>
          <w:sz w:val="24"/>
        </w:rPr>
        <w:t> </w:t>
      </w:r>
      <w:r>
        <w:rPr>
          <w:i/>
          <w:sz w:val="24"/>
        </w:rPr>
        <w:t>клинических</w:t>
      </w:r>
      <w:r>
        <w:rPr>
          <w:i/>
          <w:spacing w:val="-17"/>
          <w:sz w:val="24"/>
        </w:rPr>
        <w:t> </w:t>
      </w:r>
      <w:r>
        <w:rPr>
          <w:i/>
          <w:sz w:val="24"/>
        </w:rPr>
        <w:t>симптомов)</w:t>
      </w:r>
      <w:r>
        <w:rPr>
          <w:i/>
          <w:spacing w:val="-19"/>
          <w:sz w:val="24"/>
        </w:rPr>
        <w:t> </w:t>
      </w:r>
      <w:r>
        <w:rPr>
          <w:i/>
          <w:sz w:val="24"/>
        </w:rPr>
        <w:t>внебольничных</w:t>
      </w:r>
      <w:r>
        <w:rPr>
          <w:i/>
          <w:spacing w:val="-17"/>
          <w:sz w:val="24"/>
        </w:rPr>
        <w:t> </w:t>
      </w:r>
      <w:r>
        <w:rPr>
          <w:i/>
          <w:sz w:val="24"/>
        </w:rPr>
        <w:t>пневмоний</w:t>
      </w:r>
      <w:r>
        <w:rPr>
          <w:i/>
          <w:spacing w:val="-16"/>
          <w:sz w:val="24"/>
        </w:rPr>
        <w:t> </w:t>
      </w:r>
      <w:r>
        <w:rPr>
          <w:i/>
          <w:sz w:val="24"/>
        </w:rPr>
        <w:t>в</w:t>
      </w:r>
      <w:r>
        <w:rPr>
          <w:i/>
          <w:spacing w:val="-18"/>
          <w:sz w:val="24"/>
        </w:rPr>
        <w:t> </w:t>
      </w:r>
      <w:r>
        <w:rPr>
          <w:i/>
          <w:sz w:val="24"/>
        </w:rPr>
        <w:t>целом и при COVID-19 в частности</w:t>
      </w:r>
      <w:r>
        <w:rPr>
          <w:i/>
          <w:spacing w:val="-2"/>
          <w:sz w:val="24"/>
        </w:rPr>
        <w:t> </w:t>
      </w:r>
      <w:r>
        <w:rPr>
          <w:i/>
          <w:sz w:val="24"/>
        </w:rPr>
        <w:t>нецелесообразно.</w:t>
      </w:r>
    </w:p>
    <w:p>
      <w:pPr>
        <w:pStyle w:val="BodyText"/>
        <w:spacing w:before="10"/>
        <w:ind w:left="0"/>
        <w:jc w:val="left"/>
        <w:rPr>
          <w:i/>
          <w:sz w:val="20"/>
        </w:rPr>
      </w:pPr>
    </w:p>
    <w:p>
      <w:pPr>
        <w:pStyle w:val="ListParagraph"/>
        <w:numPr>
          <w:ilvl w:val="0"/>
          <w:numId w:val="12"/>
        </w:numPr>
        <w:tabs>
          <w:tab w:pos="1340" w:val="left" w:leader="none"/>
        </w:tabs>
        <w:spacing w:line="312" w:lineRule="auto" w:before="0" w:after="0"/>
        <w:ind w:left="321" w:right="674" w:firstLine="708"/>
        <w:jc w:val="both"/>
        <w:rPr>
          <w:sz w:val="24"/>
        </w:rPr>
      </w:pPr>
      <w:r>
        <w:rPr>
          <w:sz w:val="24"/>
        </w:rPr>
        <w:t>Применение лучевых методов у пациентов с симптомами ОРВИ легкой степени тяжести и стабильном состоянии пациента, возможно только по конкретным клиническим показаниям, в том числе при наличии факторов риска, при условии достаточных технических и организационных возможностей. Методом выбора в этом случае является КТ легких по стандартному протоколу без внутривенного контрастирования  или РГ при ограниченной доступности  КТ.  Использование УЗИ   в этих случаях нецелесообразно. Применение КТ исследования в сроки ранее 3-5 дней с момента появления симптомов заболевания яляется</w:t>
      </w:r>
      <w:r>
        <w:rPr>
          <w:spacing w:val="-8"/>
          <w:sz w:val="24"/>
        </w:rPr>
        <w:t> </w:t>
      </w:r>
      <w:r>
        <w:rPr>
          <w:sz w:val="24"/>
        </w:rPr>
        <w:t>нецелесообразным.</w:t>
      </w:r>
    </w:p>
    <w:p>
      <w:pPr>
        <w:pStyle w:val="ListParagraph"/>
        <w:numPr>
          <w:ilvl w:val="0"/>
          <w:numId w:val="12"/>
        </w:numPr>
        <w:tabs>
          <w:tab w:pos="1464" w:val="left" w:leader="none"/>
        </w:tabs>
        <w:spacing w:line="276" w:lineRule="auto" w:before="0" w:after="0"/>
        <w:ind w:left="321" w:right="673" w:firstLine="708"/>
        <w:jc w:val="both"/>
        <w:rPr>
          <w:sz w:val="24"/>
        </w:rPr>
      </w:pPr>
      <w:r>
        <w:rPr>
          <w:sz w:val="24"/>
        </w:rPr>
        <w:t>Все выявляемые при лучевых исследованиях признаки, включая КТ-симптомы, не являются специфичными для какого-либо вида инфекции и не позволяют установить этиологический диагноз. Вне клинической (эпидемической) ситуации они не позволяют отнести  выявленные изменения к пневмонии COVID-19  и</w:t>
      </w:r>
      <w:r>
        <w:rPr>
          <w:spacing w:val="-1"/>
          <w:sz w:val="24"/>
        </w:rPr>
        <w:t> </w:t>
      </w:r>
      <w:r>
        <w:rPr>
          <w:sz w:val="24"/>
        </w:rPr>
        <w:t>дифференцировать</w:t>
      </w:r>
      <w:r>
        <w:rPr>
          <w:spacing w:val="-9"/>
          <w:sz w:val="24"/>
        </w:rPr>
        <w:t> </w:t>
      </w:r>
      <w:r>
        <w:rPr>
          <w:sz w:val="24"/>
        </w:rPr>
        <w:t>их</w:t>
      </w:r>
      <w:r>
        <w:rPr>
          <w:spacing w:val="-10"/>
          <w:sz w:val="24"/>
        </w:rPr>
        <w:t> </w:t>
      </w:r>
      <w:r>
        <w:rPr>
          <w:sz w:val="24"/>
        </w:rPr>
        <w:t>с</w:t>
      </w:r>
      <w:r>
        <w:rPr>
          <w:spacing w:val="-11"/>
          <w:sz w:val="24"/>
        </w:rPr>
        <w:t> </w:t>
      </w:r>
      <w:r>
        <w:rPr>
          <w:sz w:val="24"/>
        </w:rPr>
        <w:t>другими</w:t>
      </w:r>
      <w:r>
        <w:rPr>
          <w:spacing w:val="-8"/>
          <w:sz w:val="24"/>
        </w:rPr>
        <w:t> </w:t>
      </w:r>
      <w:r>
        <w:rPr>
          <w:sz w:val="24"/>
        </w:rPr>
        <w:t>пневмониями</w:t>
      </w:r>
      <w:r>
        <w:rPr>
          <w:spacing w:val="-9"/>
          <w:sz w:val="24"/>
        </w:rPr>
        <w:t> </w:t>
      </w:r>
      <w:r>
        <w:rPr>
          <w:sz w:val="24"/>
        </w:rPr>
        <w:t>и</w:t>
      </w:r>
      <w:r>
        <w:rPr>
          <w:spacing w:val="-9"/>
          <w:sz w:val="24"/>
        </w:rPr>
        <w:t> </w:t>
      </w:r>
      <w:r>
        <w:rPr>
          <w:sz w:val="24"/>
        </w:rPr>
        <w:t>невоспалительными</w:t>
      </w:r>
      <w:r>
        <w:rPr>
          <w:spacing w:val="-10"/>
          <w:sz w:val="24"/>
        </w:rPr>
        <w:t> </w:t>
      </w:r>
      <w:r>
        <w:rPr>
          <w:sz w:val="24"/>
        </w:rPr>
        <w:t>заболеваниями. Данные лучевого исследования не заменяют результаты обследования на РНК SARS-CoV-2.  Отсутствие  изменений  при  КТ  не  исключают  наличие  COVID-19    и возможность развития пневмонии после проведения</w:t>
      </w:r>
      <w:r>
        <w:rPr>
          <w:spacing w:val="-2"/>
          <w:sz w:val="24"/>
        </w:rPr>
        <w:t> </w:t>
      </w:r>
      <w:r>
        <w:rPr>
          <w:sz w:val="24"/>
        </w:rPr>
        <w:t>исследования.</w:t>
      </w:r>
    </w:p>
    <w:p>
      <w:pPr>
        <w:pStyle w:val="ListParagraph"/>
        <w:numPr>
          <w:ilvl w:val="0"/>
          <w:numId w:val="12"/>
        </w:numPr>
        <w:tabs>
          <w:tab w:pos="1462" w:val="left" w:leader="none"/>
        </w:tabs>
        <w:spacing w:line="276" w:lineRule="auto" w:before="1" w:after="0"/>
        <w:ind w:left="321" w:right="673" w:firstLine="708"/>
        <w:jc w:val="both"/>
        <w:rPr>
          <w:sz w:val="24"/>
        </w:rPr>
      </w:pPr>
      <w:r>
        <w:rPr>
          <w:sz w:val="24"/>
        </w:rPr>
        <w:t>Рекомендовано проведение лучевого исследования пациентам при среднетяжелом, тяжелом и крайне тяжелом течении ОРИ с целью медицинской сортировки, оценки характера изменений в грудной полости и определения прогноза заболевания:</w:t>
      </w:r>
    </w:p>
    <w:p>
      <w:pPr>
        <w:pStyle w:val="ListParagraph"/>
        <w:numPr>
          <w:ilvl w:val="1"/>
          <w:numId w:val="11"/>
        </w:numPr>
        <w:tabs>
          <w:tab w:pos="1186" w:val="left" w:leader="none"/>
        </w:tabs>
        <w:spacing w:line="276" w:lineRule="auto" w:before="0" w:after="0"/>
        <w:ind w:left="321" w:right="677" w:firstLine="708"/>
        <w:jc w:val="both"/>
        <w:rPr>
          <w:sz w:val="24"/>
        </w:rPr>
      </w:pPr>
      <w:r>
        <w:rPr>
          <w:sz w:val="24"/>
        </w:rPr>
        <w:t>выполнение КТ легких без внутривенного контрастирования в стационарных условиях или в амбулаторных – при показаниях к</w:t>
      </w:r>
      <w:r>
        <w:rPr>
          <w:spacing w:val="-1"/>
          <w:sz w:val="24"/>
        </w:rPr>
        <w:t> </w:t>
      </w:r>
      <w:r>
        <w:rPr>
          <w:sz w:val="24"/>
        </w:rPr>
        <w:t>госпитализации;</w:t>
      </w:r>
    </w:p>
    <w:p>
      <w:pPr>
        <w:pStyle w:val="ListParagraph"/>
        <w:numPr>
          <w:ilvl w:val="1"/>
          <w:numId w:val="11"/>
        </w:numPr>
        <w:tabs>
          <w:tab w:pos="1239" w:val="left" w:leader="none"/>
        </w:tabs>
        <w:spacing w:line="276" w:lineRule="auto" w:before="0" w:after="0"/>
        <w:ind w:left="321" w:right="676" w:firstLine="708"/>
        <w:jc w:val="both"/>
        <w:rPr>
          <w:sz w:val="24"/>
        </w:rPr>
      </w:pPr>
      <w:r>
        <w:rPr>
          <w:sz w:val="24"/>
        </w:rPr>
        <w:t>выполнение РГ легких в двух проекциях, если проведение КТ в данной медицинской организации/клинической ситуации</w:t>
      </w:r>
      <w:r>
        <w:rPr>
          <w:spacing w:val="-1"/>
          <w:sz w:val="24"/>
        </w:rPr>
        <w:t> </w:t>
      </w:r>
      <w:r>
        <w:rPr>
          <w:sz w:val="24"/>
        </w:rPr>
        <w:t>невозможно.</w:t>
      </w:r>
    </w:p>
    <w:p>
      <w:pPr>
        <w:pStyle w:val="ListParagraph"/>
        <w:numPr>
          <w:ilvl w:val="0"/>
          <w:numId w:val="12"/>
        </w:numPr>
        <w:tabs>
          <w:tab w:pos="1685" w:val="left" w:leader="none"/>
        </w:tabs>
        <w:spacing w:line="276" w:lineRule="auto" w:before="0" w:after="0"/>
        <w:ind w:left="321" w:right="673" w:firstLine="708"/>
        <w:jc w:val="both"/>
        <w:rPr>
          <w:sz w:val="24"/>
        </w:rPr>
      </w:pPr>
      <w:r>
        <w:rPr>
          <w:sz w:val="24"/>
        </w:rPr>
        <w:t>Внутривенное       контрастирование        при        КТ        у       пациентов с известной/предполагаемой вирусной (COVID-19) пневмонией проводится при подозрении на заболевания и патологические состояния, диагностика которых невозможна без использования контрастных средств (ТЭЛА, онкологические заболевания  др.).  Внезапный   рост   концентрации   Д-димера   в   анализах   крови   и клиническое подозрение на ТЭЛА являются важными критериями для выполнения КТ-ангиопульмонографии при условии, что ее положительный результат может оказать влияние на лечение и ведение</w:t>
      </w:r>
      <w:r>
        <w:rPr>
          <w:spacing w:val="-4"/>
          <w:sz w:val="24"/>
        </w:rPr>
        <w:t> </w:t>
      </w:r>
      <w:r>
        <w:rPr>
          <w:sz w:val="24"/>
        </w:rPr>
        <w:t>пациента.</w:t>
      </w:r>
    </w:p>
    <w:p>
      <w:pPr>
        <w:pStyle w:val="ListParagraph"/>
        <w:numPr>
          <w:ilvl w:val="0"/>
          <w:numId w:val="12"/>
        </w:numPr>
        <w:tabs>
          <w:tab w:pos="1342" w:val="left" w:leader="none"/>
        </w:tabs>
        <w:spacing w:line="276" w:lineRule="auto" w:before="0" w:after="0"/>
        <w:ind w:left="321" w:right="674" w:firstLine="708"/>
        <w:jc w:val="both"/>
        <w:rPr>
          <w:sz w:val="24"/>
        </w:rPr>
      </w:pPr>
      <w:r>
        <w:rPr>
          <w:sz w:val="24"/>
        </w:rPr>
        <w:t>Решение о внутривенном контрастировании принимает врач-рентгенолог совместно с врачом, направляющим пациента на КТ. Введение контрастного средства выполняется в соответствии с общими правилами проведения рентгеноконтрастных исследований.</w:t>
      </w:r>
    </w:p>
    <w:p>
      <w:pPr>
        <w:spacing w:after="0" w:line="276" w:lineRule="auto"/>
        <w:jc w:val="both"/>
        <w:rPr>
          <w:sz w:val="24"/>
        </w:rPr>
        <w:sectPr>
          <w:pgSz w:w="11920" w:h="16850"/>
          <w:pgMar w:header="0" w:footer="620" w:top="1060" w:bottom="880" w:left="1380" w:right="600"/>
        </w:sectPr>
      </w:pPr>
    </w:p>
    <w:p>
      <w:pPr>
        <w:pStyle w:val="ListParagraph"/>
        <w:numPr>
          <w:ilvl w:val="0"/>
          <w:numId w:val="12"/>
        </w:numPr>
        <w:tabs>
          <w:tab w:pos="1332" w:val="left" w:leader="none"/>
        </w:tabs>
        <w:spacing w:line="276" w:lineRule="auto" w:before="78" w:after="0"/>
        <w:ind w:left="321" w:right="678" w:firstLine="708"/>
        <w:jc w:val="both"/>
        <w:rPr>
          <w:sz w:val="24"/>
        </w:rPr>
      </w:pPr>
      <w:r>
        <w:rPr>
          <w:sz w:val="24"/>
        </w:rPr>
        <w:t>Рекомендовано проведение лучевого  исследования  пациентам  с  тяжелым и крайне тяжелым течением ОРИ, требующим лечения в условиях</w:t>
      </w:r>
      <w:r>
        <w:rPr>
          <w:spacing w:val="-4"/>
          <w:sz w:val="24"/>
        </w:rPr>
        <w:t> </w:t>
      </w:r>
      <w:r>
        <w:rPr>
          <w:sz w:val="24"/>
        </w:rPr>
        <w:t>ОРИТ:</w:t>
      </w:r>
    </w:p>
    <w:p>
      <w:pPr>
        <w:pStyle w:val="ListParagraph"/>
        <w:numPr>
          <w:ilvl w:val="1"/>
          <w:numId w:val="11"/>
        </w:numPr>
        <w:tabs>
          <w:tab w:pos="1354" w:val="left" w:leader="none"/>
        </w:tabs>
        <w:spacing w:line="276" w:lineRule="auto" w:before="0" w:after="0"/>
        <w:ind w:left="321" w:right="676" w:firstLine="708"/>
        <w:jc w:val="both"/>
        <w:rPr>
          <w:sz w:val="24"/>
        </w:rPr>
      </w:pPr>
      <w:r>
        <w:rPr>
          <w:sz w:val="24"/>
        </w:rPr>
        <w:t>оптимально: выполнение экстренного КТ исследования легких по стандартному протоколу без внутривенного контрастирования, если возможна транспортировка пациента в кабинет КТ до</w:t>
      </w:r>
      <w:r>
        <w:rPr>
          <w:spacing w:val="-8"/>
          <w:sz w:val="24"/>
        </w:rPr>
        <w:t> </w:t>
      </w:r>
      <w:r>
        <w:rPr>
          <w:sz w:val="24"/>
        </w:rPr>
        <w:t>ОРИТ;</w:t>
      </w:r>
    </w:p>
    <w:p>
      <w:pPr>
        <w:pStyle w:val="ListParagraph"/>
        <w:numPr>
          <w:ilvl w:val="1"/>
          <w:numId w:val="11"/>
        </w:numPr>
        <w:tabs>
          <w:tab w:pos="1217" w:val="left" w:leader="none"/>
        </w:tabs>
        <w:spacing w:line="276" w:lineRule="auto" w:before="0" w:after="0"/>
        <w:ind w:left="321" w:right="674" w:firstLine="708"/>
        <w:jc w:val="both"/>
        <w:rPr>
          <w:sz w:val="24"/>
        </w:rPr>
      </w:pPr>
      <w:r>
        <w:rPr>
          <w:sz w:val="24"/>
        </w:rPr>
        <w:t>оптимально: выполнение экстренной РГ легких в ОРИТ с использованием передвижного (палатного)</w:t>
      </w:r>
      <w:r>
        <w:rPr>
          <w:spacing w:val="-2"/>
          <w:sz w:val="24"/>
        </w:rPr>
        <w:t> </w:t>
      </w:r>
      <w:r>
        <w:rPr>
          <w:sz w:val="24"/>
        </w:rPr>
        <w:t>аппарата;</w:t>
      </w:r>
    </w:p>
    <w:p>
      <w:pPr>
        <w:pStyle w:val="ListParagraph"/>
        <w:numPr>
          <w:ilvl w:val="1"/>
          <w:numId w:val="11"/>
        </w:numPr>
        <w:tabs>
          <w:tab w:pos="1184" w:val="left" w:leader="none"/>
        </w:tabs>
        <w:spacing w:line="276" w:lineRule="auto" w:before="1" w:after="0"/>
        <w:ind w:left="321" w:right="673" w:firstLine="708"/>
        <w:jc w:val="both"/>
        <w:rPr>
          <w:sz w:val="24"/>
        </w:rPr>
      </w:pPr>
      <w:r>
        <w:rPr>
          <w:sz w:val="24"/>
        </w:rPr>
        <w:t>возможно: выполнение УЗИ легких и плевральных полостей по клиническим показаниям в дополнении к РГ или</w:t>
      </w:r>
      <w:r>
        <w:rPr>
          <w:spacing w:val="-3"/>
          <w:sz w:val="24"/>
        </w:rPr>
        <w:t> </w:t>
      </w:r>
      <w:r>
        <w:rPr>
          <w:sz w:val="24"/>
        </w:rPr>
        <w:t>КТ.</w:t>
      </w:r>
    </w:p>
    <w:p>
      <w:pPr>
        <w:spacing w:line="275" w:lineRule="exact" w:before="0"/>
        <w:ind w:left="1029" w:right="0" w:firstLine="0"/>
        <w:jc w:val="left"/>
        <w:rPr>
          <w:i/>
          <w:sz w:val="24"/>
        </w:rPr>
      </w:pPr>
      <w:r>
        <w:rPr>
          <w:i/>
          <w:sz w:val="24"/>
        </w:rPr>
        <w:t>Комментарии.</w:t>
      </w:r>
    </w:p>
    <w:p>
      <w:pPr>
        <w:pStyle w:val="ListParagraph"/>
        <w:numPr>
          <w:ilvl w:val="0"/>
          <w:numId w:val="13"/>
        </w:numPr>
        <w:tabs>
          <w:tab w:pos="1211" w:val="left" w:leader="none"/>
        </w:tabs>
        <w:spacing w:line="276" w:lineRule="auto" w:before="41" w:after="0"/>
        <w:ind w:left="321" w:right="674" w:firstLine="708"/>
        <w:jc w:val="both"/>
        <w:rPr>
          <w:i/>
          <w:sz w:val="24"/>
        </w:rPr>
      </w:pPr>
      <w:r>
        <w:rPr>
          <w:i/>
          <w:sz w:val="24"/>
        </w:rPr>
        <w:t>Применение УЗИ легких как дополнительного исследования возможно только </w:t>
      </w:r>
      <w:r>
        <w:rPr>
          <w:i/>
          <w:sz w:val="24"/>
        </w:rPr>
        <w:t>при наличии технических возможностей и подготовленного персонала, имеющего опыт проведения исследований легких. Данные УЗИ дополняют, но не заменяют РГ    и КТ легких. Подробная информация о применении УЗИ легких при COVID-19 пневмонии размещена на сайте </w:t>
      </w:r>
      <w:hyperlink r:id="rId8">
        <w:r>
          <w:rPr>
            <w:i/>
            <w:sz w:val="24"/>
          </w:rPr>
          <w:t>http://www.rasudm.org</w:t>
        </w:r>
      </w:hyperlink>
      <w:r>
        <w:rPr>
          <w:i/>
          <w:sz w:val="24"/>
        </w:rPr>
        <w:t> и в</w:t>
      </w:r>
      <w:hyperlink w:history="true" w:anchor="_bookmark44">
        <w:r>
          <w:rPr>
            <w:i/>
            <w:color w:val="0562C1"/>
            <w:sz w:val="24"/>
          </w:rPr>
          <w:t> </w:t>
        </w:r>
        <w:r>
          <w:rPr>
            <w:i/>
            <w:color w:val="0562C1"/>
            <w:sz w:val="24"/>
            <w:u w:val="single" w:color="0562C1"/>
          </w:rPr>
          <w:t>Приложении</w:t>
        </w:r>
        <w:r>
          <w:rPr>
            <w:i/>
            <w:color w:val="0562C1"/>
            <w:spacing w:val="-6"/>
            <w:sz w:val="24"/>
            <w:u w:val="single" w:color="0562C1"/>
          </w:rPr>
          <w:t> </w:t>
        </w:r>
        <w:r>
          <w:rPr>
            <w:i/>
            <w:color w:val="0562C1"/>
            <w:sz w:val="24"/>
            <w:u w:val="single" w:color="0562C1"/>
          </w:rPr>
          <w:t>1</w:t>
        </w:r>
        <w:r>
          <w:rPr>
            <w:i/>
            <w:sz w:val="24"/>
          </w:rPr>
          <w:t>.</w:t>
        </w:r>
      </w:hyperlink>
    </w:p>
    <w:p>
      <w:pPr>
        <w:pStyle w:val="ListParagraph"/>
        <w:numPr>
          <w:ilvl w:val="0"/>
          <w:numId w:val="13"/>
        </w:numPr>
        <w:tabs>
          <w:tab w:pos="1211" w:val="left" w:leader="none"/>
        </w:tabs>
        <w:spacing w:line="276" w:lineRule="auto" w:before="2" w:after="0"/>
        <w:ind w:left="321" w:right="673" w:firstLine="708"/>
        <w:jc w:val="both"/>
        <w:rPr>
          <w:i/>
          <w:sz w:val="24"/>
        </w:rPr>
      </w:pPr>
      <w:r>
        <w:rPr>
          <w:i/>
          <w:sz w:val="24"/>
        </w:rPr>
        <w:t>Применение МРТ легких для диагностики пневмоний, вызванных COVID-19, </w:t>
      </w:r>
      <w:r>
        <w:rPr>
          <w:i/>
          <w:sz w:val="24"/>
        </w:rPr>
        <w:t>не рекомендуется для практического здравоохранения. Этот метод может применяться в исключительных случаях для оценки состояния легких при недоступности КТ (поломка единственного прибора) и неопределенных результатах РГ, а также при наличии врачей, обладающих опытом выполнения и интерпретации подобных исследований. Применение МРТ для исследований других органов и систем (головной</w:t>
      </w:r>
      <w:r>
        <w:rPr>
          <w:i/>
          <w:spacing w:val="-6"/>
          <w:sz w:val="24"/>
        </w:rPr>
        <w:t> </w:t>
      </w:r>
      <w:r>
        <w:rPr>
          <w:i/>
          <w:sz w:val="24"/>
        </w:rPr>
        <w:t>мозг,</w:t>
      </w:r>
      <w:r>
        <w:rPr>
          <w:i/>
          <w:spacing w:val="-5"/>
          <w:sz w:val="24"/>
        </w:rPr>
        <w:t> </w:t>
      </w:r>
      <w:r>
        <w:rPr>
          <w:i/>
          <w:sz w:val="24"/>
        </w:rPr>
        <w:t>позвоночник</w:t>
      </w:r>
      <w:r>
        <w:rPr>
          <w:i/>
          <w:spacing w:val="-4"/>
          <w:sz w:val="24"/>
        </w:rPr>
        <w:t> </w:t>
      </w:r>
      <w:r>
        <w:rPr>
          <w:i/>
          <w:sz w:val="24"/>
        </w:rPr>
        <w:t>и</w:t>
      </w:r>
      <w:r>
        <w:rPr>
          <w:i/>
          <w:spacing w:val="-6"/>
          <w:sz w:val="24"/>
        </w:rPr>
        <w:t> </w:t>
      </w:r>
      <w:r>
        <w:rPr>
          <w:i/>
          <w:sz w:val="24"/>
        </w:rPr>
        <w:t>т.д.)</w:t>
      </w:r>
      <w:r>
        <w:rPr>
          <w:i/>
          <w:spacing w:val="-8"/>
          <w:sz w:val="24"/>
        </w:rPr>
        <w:t> </w:t>
      </w:r>
      <w:r>
        <w:rPr>
          <w:i/>
          <w:sz w:val="24"/>
        </w:rPr>
        <w:t>у</w:t>
      </w:r>
      <w:r>
        <w:rPr>
          <w:i/>
          <w:spacing w:val="-6"/>
          <w:sz w:val="24"/>
        </w:rPr>
        <w:t> </w:t>
      </w:r>
      <w:r>
        <w:rPr>
          <w:i/>
          <w:sz w:val="24"/>
        </w:rPr>
        <w:t>больных</w:t>
      </w:r>
      <w:r>
        <w:rPr>
          <w:i/>
          <w:spacing w:val="-6"/>
          <w:sz w:val="24"/>
        </w:rPr>
        <w:t> </w:t>
      </w:r>
      <w:r>
        <w:rPr>
          <w:i/>
          <w:sz w:val="24"/>
        </w:rPr>
        <w:t>COVID-19</w:t>
      </w:r>
      <w:r>
        <w:rPr>
          <w:i/>
          <w:spacing w:val="-5"/>
          <w:sz w:val="24"/>
        </w:rPr>
        <w:t> </w:t>
      </w:r>
      <w:r>
        <w:rPr>
          <w:i/>
          <w:sz w:val="24"/>
        </w:rPr>
        <w:t>осуществляется</w:t>
      </w:r>
      <w:r>
        <w:rPr>
          <w:i/>
          <w:spacing w:val="-7"/>
          <w:sz w:val="24"/>
        </w:rPr>
        <w:t> </w:t>
      </w:r>
      <w:r>
        <w:rPr>
          <w:i/>
          <w:sz w:val="24"/>
        </w:rPr>
        <w:t>по</w:t>
      </w:r>
      <w:r>
        <w:rPr>
          <w:i/>
          <w:spacing w:val="-5"/>
          <w:sz w:val="24"/>
        </w:rPr>
        <w:t> </w:t>
      </w:r>
      <w:r>
        <w:rPr>
          <w:i/>
          <w:sz w:val="24"/>
        </w:rPr>
        <w:t>жизненно важным</w:t>
      </w:r>
      <w:r>
        <w:rPr>
          <w:i/>
          <w:spacing w:val="-14"/>
          <w:sz w:val="24"/>
        </w:rPr>
        <w:t> </w:t>
      </w:r>
      <w:r>
        <w:rPr>
          <w:i/>
          <w:sz w:val="24"/>
        </w:rPr>
        <w:t>показаниям,</w:t>
      </w:r>
      <w:r>
        <w:rPr>
          <w:i/>
          <w:spacing w:val="-13"/>
          <w:sz w:val="24"/>
        </w:rPr>
        <w:t> </w:t>
      </w:r>
      <w:r>
        <w:rPr>
          <w:i/>
          <w:sz w:val="24"/>
        </w:rPr>
        <w:t>в</w:t>
      </w:r>
      <w:r>
        <w:rPr>
          <w:i/>
          <w:spacing w:val="-18"/>
          <w:sz w:val="24"/>
        </w:rPr>
        <w:t> </w:t>
      </w:r>
      <w:r>
        <w:rPr>
          <w:i/>
          <w:sz w:val="24"/>
        </w:rPr>
        <w:t>специально</w:t>
      </w:r>
      <w:r>
        <w:rPr>
          <w:i/>
          <w:spacing w:val="-13"/>
          <w:sz w:val="24"/>
        </w:rPr>
        <w:t> </w:t>
      </w:r>
      <w:r>
        <w:rPr>
          <w:i/>
          <w:sz w:val="24"/>
        </w:rPr>
        <w:t>выделенных</w:t>
      </w:r>
      <w:r>
        <w:rPr>
          <w:i/>
          <w:spacing w:val="-14"/>
          <w:sz w:val="24"/>
        </w:rPr>
        <w:t> </w:t>
      </w:r>
      <w:r>
        <w:rPr>
          <w:i/>
          <w:sz w:val="24"/>
        </w:rPr>
        <w:t>для</w:t>
      </w:r>
      <w:r>
        <w:rPr>
          <w:i/>
          <w:spacing w:val="-16"/>
          <w:sz w:val="24"/>
        </w:rPr>
        <w:t> </w:t>
      </w:r>
      <w:r>
        <w:rPr>
          <w:i/>
          <w:sz w:val="24"/>
        </w:rPr>
        <w:t>этой</w:t>
      </w:r>
      <w:r>
        <w:rPr>
          <w:i/>
          <w:spacing w:val="-13"/>
          <w:sz w:val="24"/>
        </w:rPr>
        <w:t> </w:t>
      </w:r>
      <w:r>
        <w:rPr>
          <w:i/>
          <w:sz w:val="24"/>
        </w:rPr>
        <w:t>цели</w:t>
      </w:r>
      <w:r>
        <w:rPr>
          <w:i/>
          <w:spacing w:val="-14"/>
          <w:sz w:val="24"/>
        </w:rPr>
        <w:t> </w:t>
      </w:r>
      <w:r>
        <w:rPr>
          <w:i/>
          <w:sz w:val="24"/>
        </w:rPr>
        <w:t>кабинетах</w:t>
      </w:r>
      <w:r>
        <w:rPr>
          <w:i/>
          <w:spacing w:val="-14"/>
          <w:sz w:val="24"/>
        </w:rPr>
        <w:t> </w:t>
      </w:r>
      <w:r>
        <w:rPr>
          <w:i/>
          <w:sz w:val="24"/>
        </w:rPr>
        <w:t>с</w:t>
      </w:r>
      <w:r>
        <w:rPr>
          <w:i/>
          <w:spacing w:val="-14"/>
          <w:sz w:val="24"/>
        </w:rPr>
        <w:t> </w:t>
      </w:r>
      <w:r>
        <w:rPr>
          <w:i/>
          <w:sz w:val="24"/>
        </w:rPr>
        <w:t>соблюдением всех методов защиты персонала отделений лучевой диагностики. Возможно также разделение</w:t>
      </w:r>
      <w:r>
        <w:rPr>
          <w:i/>
          <w:spacing w:val="-11"/>
          <w:sz w:val="24"/>
        </w:rPr>
        <w:t> </w:t>
      </w:r>
      <w:r>
        <w:rPr>
          <w:i/>
          <w:sz w:val="24"/>
        </w:rPr>
        <w:t>времени</w:t>
      </w:r>
      <w:r>
        <w:rPr>
          <w:i/>
          <w:spacing w:val="-11"/>
          <w:sz w:val="24"/>
        </w:rPr>
        <w:t> </w:t>
      </w:r>
      <w:r>
        <w:rPr>
          <w:i/>
          <w:sz w:val="24"/>
        </w:rPr>
        <w:t>работы</w:t>
      </w:r>
      <w:r>
        <w:rPr>
          <w:i/>
          <w:spacing w:val="-9"/>
          <w:sz w:val="24"/>
        </w:rPr>
        <w:t> </w:t>
      </w:r>
      <w:r>
        <w:rPr>
          <w:i/>
          <w:sz w:val="24"/>
        </w:rPr>
        <w:t>МРТ,</w:t>
      </w:r>
      <w:r>
        <w:rPr>
          <w:i/>
          <w:spacing w:val="-10"/>
          <w:sz w:val="24"/>
        </w:rPr>
        <w:t> </w:t>
      </w:r>
      <w:r>
        <w:rPr>
          <w:i/>
          <w:sz w:val="24"/>
        </w:rPr>
        <w:t>когда</w:t>
      </w:r>
      <w:r>
        <w:rPr>
          <w:i/>
          <w:spacing w:val="-10"/>
          <w:sz w:val="24"/>
        </w:rPr>
        <w:t> </w:t>
      </w:r>
      <w:r>
        <w:rPr>
          <w:i/>
          <w:sz w:val="24"/>
        </w:rPr>
        <w:t>выделяется</w:t>
      </w:r>
      <w:r>
        <w:rPr>
          <w:i/>
          <w:spacing w:val="-8"/>
          <w:sz w:val="24"/>
        </w:rPr>
        <w:t> </w:t>
      </w:r>
      <w:r>
        <w:rPr>
          <w:i/>
          <w:sz w:val="24"/>
        </w:rPr>
        <w:t>смены</w:t>
      </w:r>
      <w:r>
        <w:rPr>
          <w:i/>
          <w:spacing w:val="-7"/>
          <w:sz w:val="24"/>
        </w:rPr>
        <w:t> </w:t>
      </w:r>
      <w:r>
        <w:rPr>
          <w:i/>
          <w:sz w:val="24"/>
        </w:rPr>
        <w:t>(временные</w:t>
      </w:r>
      <w:r>
        <w:rPr>
          <w:i/>
          <w:spacing w:val="-11"/>
          <w:sz w:val="24"/>
        </w:rPr>
        <w:t> </w:t>
      </w:r>
      <w:r>
        <w:rPr>
          <w:i/>
          <w:sz w:val="24"/>
        </w:rPr>
        <w:t>интервалы)</w:t>
      </w:r>
      <w:r>
        <w:rPr>
          <w:i/>
          <w:spacing w:val="-13"/>
          <w:sz w:val="24"/>
        </w:rPr>
        <w:t> </w:t>
      </w:r>
      <w:r>
        <w:rPr>
          <w:i/>
          <w:sz w:val="24"/>
        </w:rPr>
        <w:t>для раздельного обследования инфицированных и неинфицированных пациентов. Для такого</w:t>
      </w:r>
      <w:r>
        <w:rPr>
          <w:i/>
          <w:spacing w:val="-17"/>
          <w:sz w:val="24"/>
        </w:rPr>
        <w:t> </w:t>
      </w:r>
      <w:r>
        <w:rPr>
          <w:i/>
          <w:sz w:val="24"/>
        </w:rPr>
        <w:t>режима</w:t>
      </w:r>
      <w:r>
        <w:rPr>
          <w:i/>
          <w:spacing w:val="-17"/>
          <w:sz w:val="24"/>
        </w:rPr>
        <w:t> </w:t>
      </w:r>
      <w:r>
        <w:rPr>
          <w:i/>
          <w:sz w:val="24"/>
        </w:rPr>
        <w:t>работы</w:t>
      </w:r>
      <w:r>
        <w:rPr>
          <w:i/>
          <w:spacing w:val="-16"/>
          <w:sz w:val="24"/>
        </w:rPr>
        <w:t> </w:t>
      </w:r>
      <w:r>
        <w:rPr>
          <w:i/>
          <w:sz w:val="24"/>
        </w:rPr>
        <w:t>требуется</w:t>
      </w:r>
      <w:r>
        <w:rPr>
          <w:i/>
          <w:spacing w:val="-17"/>
          <w:sz w:val="24"/>
        </w:rPr>
        <w:t> </w:t>
      </w:r>
      <w:r>
        <w:rPr>
          <w:i/>
          <w:sz w:val="24"/>
        </w:rPr>
        <w:t>тщательная</w:t>
      </w:r>
      <w:r>
        <w:rPr>
          <w:i/>
          <w:spacing w:val="-18"/>
          <w:sz w:val="24"/>
        </w:rPr>
        <w:t> </w:t>
      </w:r>
      <w:r>
        <w:rPr>
          <w:i/>
          <w:sz w:val="24"/>
        </w:rPr>
        <w:t>дезинфекция</w:t>
      </w:r>
      <w:r>
        <w:rPr>
          <w:i/>
          <w:spacing w:val="-18"/>
          <w:sz w:val="24"/>
        </w:rPr>
        <w:t> </w:t>
      </w:r>
      <w:r>
        <w:rPr>
          <w:i/>
          <w:sz w:val="24"/>
        </w:rPr>
        <w:t>кабинета</w:t>
      </w:r>
      <w:r>
        <w:rPr>
          <w:i/>
          <w:spacing w:val="-16"/>
          <w:sz w:val="24"/>
        </w:rPr>
        <w:t> </w:t>
      </w:r>
      <w:r>
        <w:rPr>
          <w:i/>
          <w:sz w:val="24"/>
        </w:rPr>
        <w:t>перед</w:t>
      </w:r>
      <w:r>
        <w:rPr>
          <w:i/>
          <w:spacing w:val="-16"/>
          <w:sz w:val="24"/>
        </w:rPr>
        <w:t> </w:t>
      </w:r>
      <w:r>
        <w:rPr>
          <w:i/>
          <w:sz w:val="24"/>
        </w:rPr>
        <w:t>началом обследования неинфицированных пациентов согласно установленным</w:t>
      </w:r>
      <w:r>
        <w:rPr>
          <w:i/>
          <w:spacing w:val="-11"/>
          <w:sz w:val="24"/>
        </w:rPr>
        <w:t> </w:t>
      </w:r>
      <w:r>
        <w:rPr>
          <w:i/>
          <w:sz w:val="24"/>
        </w:rPr>
        <w:t>правилам.</w:t>
      </w:r>
    </w:p>
    <w:p>
      <w:pPr>
        <w:pStyle w:val="ListParagraph"/>
        <w:numPr>
          <w:ilvl w:val="0"/>
          <w:numId w:val="14"/>
        </w:numPr>
        <w:tabs>
          <w:tab w:pos="1284" w:val="left" w:leader="none"/>
        </w:tabs>
        <w:spacing w:line="276" w:lineRule="auto" w:before="0" w:after="0"/>
        <w:ind w:left="321" w:right="674" w:firstLine="708"/>
        <w:jc w:val="both"/>
        <w:rPr>
          <w:sz w:val="24"/>
        </w:rPr>
      </w:pPr>
      <w:r>
        <w:rPr>
          <w:sz w:val="24"/>
        </w:rPr>
        <w:t>Оценка динамики течения выявленной пневмонии COVID-19 проводится по клиническим показаниям с применением следующих методов</w:t>
      </w:r>
      <w:r>
        <w:rPr>
          <w:spacing w:val="-6"/>
          <w:sz w:val="24"/>
        </w:rPr>
        <w:t> </w:t>
      </w:r>
      <w:r>
        <w:rPr>
          <w:sz w:val="24"/>
        </w:rPr>
        <w:t>визуализации:</w:t>
      </w:r>
    </w:p>
    <w:p>
      <w:pPr>
        <w:pStyle w:val="ListParagraph"/>
        <w:numPr>
          <w:ilvl w:val="1"/>
          <w:numId w:val="11"/>
        </w:numPr>
        <w:tabs>
          <w:tab w:pos="1390" w:val="left" w:leader="none"/>
        </w:tabs>
        <w:spacing w:line="264" w:lineRule="auto" w:before="0" w:after="0"/>
        <w:ind w:left="1389" w:right="673" w:hanging="360"/>
        <w:jc w:val="both"/>
        <w:rPr>
          <w:sz w:val="28"/>
        </w:rPr>
      </w:pPr>
      <w:r>
        <w:rPr>
          <w:sz w:val="24"/>
        </w:rPr>
        <w:t>оптимально: выполнение КТ исследования легких по стандартному протоколу без внутривенного</w:t>
      </w:r>
      <w:r>
        <w:rPr>
          <w:spacing w:val="-8"/>
          <w:sz w:val="24"/>
        </w:rPr>
        <w:t> </w:t>
      </w:r>
      <w:r>
        <w:rPr>
          <w:sz w:val="24"/>
        </w:rPr>
        <w:t>контрастирования;</w:t>
      </w:r>
    </w:p>
    <w:p>
      <w:pPr>
        <w:pStyle w:val="ListParagraph"/>
        <w:numPr>
          <w:ilvl w:val="1"/>
          <w:numId w:val="11"/>
        </w:numPr>
        <w:tabs>
          <w:tab w:pos="1390" w:val="left" w:leader="none"/>
        </w:tabs>
        <w:spacing w:line="240" w:lineRule="auto" w:before="14" w:after="0"/>
        <w:ind w:left="1389" w:right="0" w:hanging="361"/>
        <w:jc w:val="both"/>
        <w:rPr>
          <w:sz w:val="28"/>
        </w:rPr>
      </w:pPr>
      <w:r>
        <w:rPr>
          <w:sz w:val="24"/>
        </w:rPr>
        <w:t>возможно: РГ в двух проекциях в рентгеновском</w:t>
      </w:r>
      <w:r>
        <w:rPr>
          <w:spacing w:val="-1"/>
          <w:sz w:val="24"/>
        </w:rPr>
        <w:t> </w:t>
      </w:r>
      <w:r>
        <w:rPr>
          <w:sz w:val="24"/>
        </w:rPr>
        <w:t>кабинете;</w:t>
      </w:r>
    </w:p>
    <w:p>
      <w:pPr>
        <w:pStyle w:val="ListParagraph"/>
        <w:numPr>
          <w:ilvl w:val="1"/>
          <w:numId w:val="11"/>
        </w:numPr>
        <w:tabs>
          <w:tab w:pos="1390" w:val="left" w:leader="none"/>
        </w:tabs>
        <w:spacing w:line="271" w:lineRule="auto" w:before="33" w:after="0"/>
        <w:ind w:left="1389" w:right="674" w:hanging="360"/>
        <w:jc w:val="both"/>
        <w:rPr>
          <w:sz w:val="28"/>
        </w:rPr>
      </w:pPr>
      <w:r>
        <w:rPr>
          <w:sz w:val="24"/>
        </w:rPr>
        <w:t>возможно: выполнение УЗИ легких (как дополнительное исследование) при невозможности оценки динамики с помощью КТ и РГ при условии наличия первоначальной информации об истинном объеме и причине поражения легких и подготовленного врачебного</w:t>
      </w:r>
      <w:r>
        <w:rPr>
          <w:spacing w:val="-1"/>
          <w:sz w:val="24"/>
        </w:rPr>
        <w:t> </w:t>
      </w:r>
      <w:r>
        <w:rPr>
          <w:sz w:val="24"/>
        </w:rPr>
        <w:t>персонала.</w:t>
      </w:r>
    </w:p>
    <w:p>
      <w:pPr>
        <w:spacing w:line="276" w:lineRule="auto" w:before="7"/>
        <w:ind w:left="321" w:right="676" w:firstLine="708"/>
        <w:jc w:val="both"/>
        <w:rPr>
          <w:sz w:val="24"/>
        </w:rPr>
      </w:pPr>
      <w:r>
        <w:rPr>
          <w:i/>
          <w:sz w:val="24"/>
        </w:rPr>
        <w:t>Комментарии.</w:t>
      </w:r>
      <w:r>
        <w:rPr>
          <w:i/>
          <w:spacing w:val="-10"/>
          <w:sz w:val="24"/>
        </w:rPr>
        <w:t> </w:t>
      </w:r>
      <w:r>
        <w:rPr>
          <w:i/>
          <w:sz w:val="24"/>
        </w:rPr>
        <w:t>Кратность</w:t>
      </w:r>
      <w:r>
        <w:rPr>
          <w:i/>
          <w:spacing w:val="-9"/>
          <w:sz w:val="24"/>
        </w:rPr>
        <w:t> </w:t>
      </w:r>
      <w:r>
        <w:rPr>
          <w:i/>
          <w:sz w:val="24"/>
        </w:rPr>
        <w:t>повторения</w:t>
      </w:r>
      <w:r>
        <w:rPr>
          <w:i/>
          <w:spacing w:val="-8"/>
          <w:sz w:val="24"/>
        </w:rPr>
        <w:t> </w:t>
      </w:r>
      <w:r>
        <w:rPr>
          <w:i/>
          <w:sz w:val="24"/>
        </w:rPr>
        <w:t>КТ,</w:t>
      </w:r>
      <w:r>
        <w:rPr>
          <w:i/>
          <w:spacing w:val="-9"/>
          <w:sz w:val="24"/>
        </w:rPr>
        <w:t> </w:t>
      </w:r>
      <w:r>
        <w:rPr>
          <w:i/>
          <w:sz w:val="24"/>
        </w:rPr>
        <w:t>РГ</w:t>
      </w:r>
      <w:r>
        <w:rPr>
          <w:i/>
          <w:spacing w:val="-9"/>
          <w:sz w:val="24"/>
        </w:rPr>
        <w:t> </w:t>
      </w:r>
      <w:r>
        <w:rPr>
          <w:i/>
          <w:sz w:val="24"/>
        </w:rPr>
        <w:t>или</w:t>
      </w:r>
      <w:r>
        <w:rPr>
          <w:i/>
          <w:spacing w:val="-10"/>
          <w:sz w:val="24"/>
        </w:rPr>
        <w:t> </w:t>
      </w:r>
      <w:r>
        <w:rPr>
          <w:i/>
          <w:sz w:val="24"/>
        </w:rPr>
        <w:t>УЗИ</w:t>
      </w:r>
      <w:r>
        <w:rPr>
          <w:i/>
          <w:spacing w:val="-9"/>
          <w:sz w:val="24"/>
        </w:rPr>
        <w:t> </w:t>
      </w:r>
      <w:r>
        <w:rPr>
          <w:i/>
          <w:sz w:val="24"/>
        </w:rPr>
        <w:t>зависит</w:t>
      </w:r>
      <w:r>
        <w:rPr>
          <w:i/>
          <w:spacing w:val="-10"/>
          <w:sz w:val="24"/>
        </w:rPr>
        <w:t> </w:t>
      </w:r>
      <w:r>
        <w:rPr>
          <w:i/>
          <w:sz w:val="24"/>
        </w:rPr>
        <w:t>от</w:t>
      </w:r>
      <w:r>
        <w:rPr>
          <w:i/>
          <w:spacing w:val="-9"/>
          <w:sz w:val="24"/>
        </w:rPr>
        <w:t> </w:t>
      </w:r>
      <w:r>
        <w:rPr>
          <w:i/>
          <w:sz w:val="24"/>
        </w:rPr>
        <w:t>клинических </w:t>
      </w:r>
      <w:r>
        <w:rPr>
          <w:i/>
          <w:sz w:val="24"/>
        </w:rPr>
        <w:t>показаний, диктующих необходимость оценки динамики. Рекомендуемая кратность повторения для КТ и РГ – не реже, чем один раз в 7</w:t>
      </w:r>
      <w:r>
        <w:rPr>
          <w:i/>
          <w:spacing w:val="-8"/>
          <w:sz w:val="24"/>
        </w:rPr>
        <w:t> </w:t>
      </w:r>
      <w:r>
        <w:rPr>
          <w:i/>
          <w:sz w:val="24"/>
        </w:rPr>
        <w:t>дней</w:t>
      </w:r>
      <w:r>
        <w:rPr>
          <w:sz w:val="24"/>
        </w:rPr>
        <w:t>.</w:t>
      </w:r>
    </w:p>
    <w:p>
      <w:pPr>
        <w:spacing w:line="276" w:lineRule="auto" w:before="0"/>
        <w:ind w:left="321" w:right="673" w:firstLine="708"/>
        <w:jc w:val="both"/>
        <w:rPr>
          <w:i/>
          <w:sz w:val="24"/>
        </w:rPr>
      </w:pPr>
      <w:r>
        <w:rPr>
          <w:i/>
          <w:sz w:val="24"/>
        </w:rPr>
        <w:t>Объективная оценка динамики возможна только при сопоставлении данных </w:t>
      </w:r>
      <w:r>
        <w:rPr>
          <w:i/>
          <w:sz w:val="24"/>
        </w:rPr>
        <w:t>одного вида исследования, например, КТ или РГ. Сравнение визуальной картины пневмонии при использовании различных методов визуализации затруднено и, как правило, субъективно. Возможно использование УЗИ легких, но только при условии</w:t>
      </w:r>
    </w:p>
    <w:p>
      <w:pPr>
        <w:spacing w:after="0" w:line="276" w:lineRule="auto"/>
        <w:jc w:val="both"/>
        <w:rPr>
          <w:sz w:val="24"/>
        </w:rPr>
        <w:sectPr>
          <w:pgSz w:w="11920" w:h="16850"/>
          <w:pgMar w:header="0" w:footer="620" w:top="1060" w:bottom="880" w:left="1380" w:right="600"/>
        </w:sectPr>
      </w:pPr>
    </w:p>
    <w:p>
      <w:pPr>
        <w:spacing w:line="276" w:lineRule="auto" w:before="78"/>
        <w:ind w:left="321" w:right="675" w:firstLine="0"/>
        <w:jc w:val="both"/>
        <w:rPr>
          <w:i/>
          <w:sz w:val="24"/>
        </w:rPr>
      </w:pPr>
      <w:r>
        <w:rPr>
          <w:i/>
          <w:sz w:val="24"/>
        </w:rPr>
        <w:t>наличия (1) первоначальной информации об истинном объеме и причине поражения </w:t>
      </w:r>
      <w:r>
        <w:rPr>
          <w:i/>
          <w:sz w:val="24"/>
        </w:rPr>
        <w:t>легких и (2) подготовленного врачебного персонала.</w:t>
      </w:r>
    </w:p>
    <w:p>
      <w:pPr>
        <w:pStyle w:val="ListParagraph"/>
        <w:numPr>
          <w:ilvl w:val="0"/>
          <w:numId w:val="14"/>
        </w:numPr>
        <w:tabs>
          <w:tab w:pos="1378" w:val="left" w:leader="none"/>
        </w:tabs>
        <w:spacing w:line="278" w:lineRule="auto" w:before="0" w:after="0"/>
        <w:ind w:left="321" w:right="673" w:firstLine="708"/>
        <w:jc w:val="both"/>
        <w:rPr>
          <w:sz w:val="24"/>
        </w:rPr>
      </w:pPr>
      <w:r>
        <w:rPr>
          <w:sz w:val="24"/>
        </w:rPr>
        <w:t>Оценка</w:t>
      </w:r>
      <w:r>
        <w:rPr>
          <w:spacing w:val="-15"/>
          <w:sz w:val="24"/>
        </w:rPr>
        <w:t> </w:t>
      </w:r>
      <w:r>
        <w:rPr>
          <w:sz w:val="24"/>
        </w:rPr>
        <w:t>динамики</w:t>
      </w:r>
      <w:r>
        <w:rPr>
          <w:spacing w:val="-15"/>
          <w:sz w:val="24"/>
        </w:rPr>
        <w:t> </w:t>
      </w:r>
      <w:r>
        <w:rPr>
          <w:sz w:val="24"/>
        </w:rPr>
        <w:t>пневмонии</w:t>
      </w:r>
      <w:r>
        <w:rPr>
          <w:spacing w:val="-16"/>
          <w:sz w:val="24"/>
        </w:rPr>
        <w:t> </w:t>
      </w:r>
      <w:r>
        <w:rPr>
          <w:sz w:val="24"/>
        </w:rPr>
        <w:t>COVID-19</w:t>
      </w:r>
      <w:r>
        <w:rPr>
          <w:spacing w:val="-13"/>
          <w:sz w:val="24"/>
        </w:rPr>
        <w:t> </w:t>
      </w:r>
      <w:r>
        <w:rPr>
          <w:sz w:val="24"/>
        </w:rPr>
        <w:t>в</w:t>
      </w:r>
      <w:r>
        <w:rPr>
          <w:spacing w:val="-14"/>
          <w:sz w:val="24"/>
        </w:rPr>
        <w:t> </w:t>
      </w:r>
      <w:r>
        <w:rPr>
          <w:sz w:val="24"/>
        </w:rPr>
        <w:t>ОРИТ</w:t>
      </w:r>
      <w:r>
        <w:rPr>
          <w:spacing w:val="-15"/>
          <w:sz w:val="24"/>
        </w:rPr>
        <w:t> </w:t>
      </w:r>
      <w:r>
        <w:rPr>
          <w:sz w:val="24"/>
        </w:rPr>
        <w:t>проводится</w:t>
      </w:r>
      <w:r>
        <w:rPr>
          <w:spacing w:val="-16"/>
          <w:sz w:val="24"/>
        </w:rPr>
        <w:t> </w:t>
      </w:r>
      <w:r>
        <w:rPr>
          <w:sz w:val="24"/>
        </w:rPr>
        <w:t>по</w:t>
      </w:r>
      <w:r>
        <w:rPr>
          <w:spacing w:val="-17"/>
          <w:sz w:val="24"/>
        </w:rPr>
        <w:t> </w:t>
      </w:r>
      <w:r>
        <w:rPr>
          <w:sz w:val="24"/>
        </w:rPr>
        <w:t>клиническим показаниям:</w:t>
      </w:r>
    </w:p>
    <w:p>
      <w:pPr>
        <w:pStyle w:val="ListParagraph"/>
        <w:numPr>
          <w:ilvl w:val="1"/>
          <w:numId w:val="11"/>
        </w:numPr>
        <w:tabs>
          <w:tab w:pos="1390" w:val="left" w:leader="none"/>
        </w:tabs>
        <w:spacing w:line="264" w:lineRule="auto" w:before="0" w:after="0"/>
        <w:ind w:left="1389" w:right="678" w:hanging="360"/>
        <w:jc w:val="both"/>
        <w:rPr>
          <w:sz w:val="28"/>
        </w:rPr>
      </w:pPr>
      <w:r>
        <w:rPr>
          <w:sz w:val="24"/>
        </w:rPr>
        <w:t>оптимально: выполнение КТ легких при возможности транспортировки пациентов в кабинет КТ или с помощью мобильного</w:t>
      </w:r>
      <w:r>
        <w:rPr>
          <w:spacing w:val="-7"/>
          <w:sz w:val="24"/>
        </w:rPr>
        <w:t> </w:t>
      </w:r>
      <w:r>
        <w:rPr>
          <w:sz w:val="24"/>
        </w:rPr>
        <w:t>КТ-аппарата;</w:t>
      </w:r>
    </w:p>
    <w:p>
      <w:pPr>
        <w:pStyle w:val="ListParagraph"/>
        <w:numPr>
          <w:ilvl w:val="1"/>
          <w:numId w:val="11"/>
        </w:numPr>
        <w:tabs>
          <w:tab w:pos="1390" w:val="left" w:leader="none"/>
        </w:tabs>
        <w:spacing w:line="264" w:lineRule="auto" w:before="10" w:after="0"/>
        <w:ind w:left="1389" w:right="676" w:hanging="360"/>
        <w:jc w:val="both"/>
        <w:rPr>
          <w:sz w:val="28"/>
        </w:rPr>
      </w:pPr>
      <w:r>
        <w:rPr>
          <w:sz w:val="24"/>
        </w:rPr>
        <w:t>оптимально: выполнение РГ легких при возможности транспортировки пациентов в рентгеновский</w:t>
      </w:r>
      <w:r>
        <w:rPr>
          <w:spacing w:val="-5"/>
          <w:sz w:val="24"/>
        </w:rPr>
        <w:t> </w:t>
      </w:r>
      <w:r>
        <w:rPr>
          <w:sz w:val="24"/>
        </w:rPr>
        <w:t>кабинет;</w:t>
      </w:r>
    </w:p>
    <w:p>
      <w:pPr>
        <w:pStyle w:val="ListParagraph"/>
        <w:numPr>
          <w:ilvl w:val="1"/>
          <w:numId w:val="11"/>
        </w:numPr>
        <w:tabs>
          <w:tab w:pos="1390" w:val="left" w:leader="none"/>
        </w:tabs>
        <w:spacing w:line="264" w:lineRule="auto" w:before="14" w:after="0"/>
        <w:ind w:left="1389" w:right="676" w:hanging="360"/>
        <w:jc w:val="both"/>
        <w:rPr>
          <w:sz w:val="28"/>
        </w:rPr>
      </w:pPr>
      <w:r>
        <w:rPr>
          <w:sz w:val="24"/>
        </w:rPr>
        <w:t>возможно: выполнение РГ с помощью передвижного (палатного) рентгеновского</w:t>
      </w:r>
      <w:r>
        <w:rPr>
          <w:spacing w:val="-1"/>
          <w:sz w:val="24"/>
        </w:rPr>
        <w:t> </w:t>
      </w:r>
      <w:r>
        <w:rPr>
          <w:sz w:val="24"/>
        </w:rPr>
        <w:t>аппарата;</w:t>
      </w:r>
    </w:p>
    <w:p>
      <w:pPr>
        <w:pStyle w:val="ListParagraph"/>
        <w:numPr>
          <w:ilvl w:val="1"/>
          <w:numId w:val="11"/>
        </w:numPr>
        <w:tabs>
          <w:tab w:pos="1390" w:val="left" w:leader="none"/>
        </w:tabs>
        <w:spacing w:line="271" w:lineRule="auto" w:before="14" w:after="0"/>
        <w:ind w:left="1389" w:right="674" w:hanging="360"/>
        <w:jc w:val="both"/>
        <w:rPr>
          <w:sz w:val="28"/>
        </w:rPr>
      </w:pPr>
      <w:r>
        <w:rPr>
          <w:sz w:val="24"/>
        </w:rPr>
        <w:t>возможно:</w:t>
      </w:r>
      <w:r>
        <w:rPr>
          <w:spacing w:val="-14"/>
          <w:sz w:val="24"/>
        </w:rPr>
        <w:t> </w:t>
      </w:r>
      <w:r>
        <w:rPr>
          <w:sz w:val="24"/>
        </w:rPr>
        <w:t>выполнение</w:t>
      </w:r>
      <w:r>
        <w:rPr>
          <w:spacing w:val="-15"/>
          <w:sz w:val="24"/>
        </w:rPr>
        <w:t> </w:t>
      </w:r>
      <w:r>
        <w:rPr>
          <w:sz w:val="24"/>
        </w:rPr>
        <w:t>УЗИ</w:t>
      </w:r>
      <w:r>
        <w:rPr>
          <w:spacing w:val="-15"/>
          <w:sz w:val="24"/>
        </w:rPr>
        <w:t> </w:t>
      </w:r>
      <w:r>
        <w:rPr>
          <w:sz w:val="24"/>
        </w:rPr>
        <w:t>легких</w:t>
      </w:r>
      <w:r>
        <w:rPr>
          <w:spacing w:val="-11"/>
          <w:sz w:val="24"/>
        </w:rPr>
        <w:t> </w:t>
      </w:r>
      <w:r>
        <w:rPr>
          <w:sz w:val="24"/>
        </w:rPr>
        <w:t>(как</w:t>
      </w:r>
      <w:r>
        <w:rPr>
          <w:spacing w:val="-13"/>
          <w:sz w:val="24"/>
        </w:rPr>
        <w:t> </w:t>
      </w:r>
      <w:r>
        <w:rPr>
          <w:sz w:val="24"/>
        </w:rPr>
        <w:t>дополнительного</w:t>
      </w:r>
      <w:r>
        <w:rPr>
          <w:spacing w:val="-14"/>
          <w:sz w:val="24"/>
        </w:rPr>
        <w:t> </w:t>
      </w:r>
      <w:r>
        <w:rPr>
          <w:sz w:val="24"/>
        </w:rPr>
        <w:t>исследования)</w:t>
      </w:r>
      <w:r>
        <w:rPr>
          <w:spacing w:val="-14"/>
          <w:sz w:val="24"/>
        </w:rPr>
        <w:t> </w:t>
      </w:r>
      <w:r>
        <w:rPr>
          <w:sz w:val="24"/>
        </w:rPr>
        <w:t>при невозможности оценки динамики с помощью КТ и РГ при условии наличия первоначальной информации об истинном объеме и причине поражения легких и подготовленного врачебного</w:t>
      </w:r>
      <w:r>
        <w:rPr>
          <w:spacing w:val="-1"/>
          <w:sz w:val="24"/>
        </w:rPr>
        <w:t> </w:t>
      </w:r>
      <w:r>
        <w:rPr>
          <w:sz w:val="24"/>
        </w:rPr>
        <w:t>персонала.</w:t>
      </w:r>
    </w:p>
    <w:p>
      <w:pPr>
        <w:spacing w:line="276" w:lineRule="auto" w:before="8"/>
        <w:ind w:left="321" w:right="674" w:firstLine="708"/>
        <w:jc w:val="both"/>
        <w:rPr>
          <w:i/>
          <w:sz w:val="24"/>
        </w:rPr>
      </w:pPr>
      <w:r>
        <w:rPr>
          <w:i/>
          <w:sz w:val="24"/>
        </w:rPr>
        <w:t>Комментарии:  следует   учитывать   ограниченную   информативность   РГ  </w:t>
      </w:r>
      <w:r>
        <w:rPr>
          <w:i/>
          <w:sz w:val="24"/>
        </w:rPr>
        <w:t>в</w:t>
      </w:r>
      <w:r>
        <w:rPr>
          <w:i/>
          <w:spacing w:val="-3"/>
          <w:sz w:val="24"/>
        </w:rPr>
        <w:t> </w:t>
      </w:r>
      <w:r>
        <w:rPr>
          <w:i/>
          <w:sz w:val="24"/>
        </w:rPr>
        <w:t>ОРИТ</w:t>
      </w:r>
      <w:r>
        <w:rPr>
          <w:i/>
          <w:spacing w:val="-4"/>
          <w:sz w:val="24"/>
        </w:rPr>
        <w:t> </w:t>
      </w:r>
      <w:r>
        <w:rPr>
          <w:i/>
          <w:sz w:val="24"/>
        </w:rPr>
        <w:t>с</w:t>
      </w:r>
      <w:r>
        <w:rPr>
          <w:i/>
          <w:spacing w:val="-6"/>
          <w:sz w:val="24"/>
        </w:rPr>
        <w:t> </w:t>
      </w:r>
      <w:r>
        <w:rPr>
          <w:i/>
          <w:sz w:val="24"/>
        </w:rPr>
        <w:t>использованием</w:t>
      </w:r>
      <w:r>
        <w:rPr>
          <w:i/>
          <w:spacing w:val="-4"/>
          <w:sz w:val="24"/>
        </w:rPr>
        <w:t> </w:t>
      </w:r>
      <w:r>
        <w:rPr>
          <w:i/>
          <w:sz w:val="24"/>
        </w:rPr>
        <w:t>передвижного</w:t>
      </w:r>
      <w:r>
        <w:rPr>
          <w:i/>
          <w:spacing w:val="-5"/>
          <w:sz w:val="24"/>
        </w:rPr>
        <w:t> </w:t>
      </w:r>
      <w:r>
        <w:rPr>
          <w:i/>
          <w:sz w:val="24"/>
        </w:rPr>
        <w:t>(палатного)</w:t>
      </w:r>
      <w:r>
        <w:rPr>
          <w:i/>
          <w:spacing w:val="-8"/>
          <w:sz w:val="24"/>
        </w:rPr>
        <w:t> </w:t>
      </w:r>
      <w:r>
        <w:rPr>
          <w:i/>
          <w:sz w:val="24"/>
        </w:rPr>
        <w:t>рентгеновского</w:t>
      </w:r>
      <w:r>
        <w:rPr>
          <w:i/>
          <w:spacing w:val="-5"/>
          <w:sz w:val="24"/>
        </w:rPr>
        <w:t> </w:t>
      </w:r>
      <w:r>
        <w:rPr>
          <w:i/>
          <w:sz w:val="24"/>
        </w:rPr>
        <w:t>аппарата,</w:t>
      </w:r>
      <w:r>
        <w:rPr>
          <w:i/>
          <w:spacing w:val="-5"/>
          <w:sz w:val="24"/>
        </w:rPr>
        <w:t> </w:t>
      </w:r>
      <w:r>
        <w:rPr>
          <w:i/>
          <w:sz w:val="24"/>
        </w:rPr>
        <w:t>в</w:t>
      </w:r>
      <w:r>
        <w:rPr>
          <w:i/>
          <w:spacing w:val="-5"/>
          <w:sz w:val="24"/>
        </w:rPr>
        <w:t> </w:t>
      </w:r>
      <w:r>
        <w:rPr>
          <w:i/>
          <w:sz w:val="24"/>
        </w:rPr>
        <w:t>том числе</w:t>
      </w:r>
      <w:r>
        <w:rPr>
          <w:i/>
          <w:spacing w:val="-12"/>
          <w:sz w:val="24"/>
        </w:rPr>
        <w:t> </w:t>
      </w:r>
      <w:r>
        <w:rPr>
          <w:i/>
          <w:sz w:val="24"/>
        </w:rPr>
        <w:t>из-за</w:t>
      </w:r>
      <w:r>
        <w:rPr>
          <w:i/>
          <w:spacing w:val="-11"/>
          <w:sz w:val="24"/>
        </w:rPr>
        <w:t> </w:t>
      </w:r>
      <w:r>
        <w:rPr>
          <w:i/>
          <w:sz w:val="24"/>
        </w:rPr>
        <w:t>обычной</w:t>
      </w:r>
      <w:r>
        <w:rPr>
          <w:i/>
          <w:spacing w:val="-11"/>
          <w:sz w:val="24"/>
        </w:rPr>
        <w:t> </w:t>
      </w:r>
      <w:r>
        <w:rPr>
          <w:i/>
          <w:sz w:val="24"/>
        </w:rPr>
        <w:t>практики</w:t>
      </w:r>
      <w:r>
        <w:rPr>
          <w:i/>
          <w:spacing w:val="-10"/>
          <w:sz w:val="24"/>
        </w:rPr>
        <w:t> </w:t>
      </w:r>
      <w:r>
        <w:rPr>
          <w:i/>
          <w:sz w:val="24"/>
        </w:rPr>
        <w:t>исследования</w:t>
      </w:r>
      <w:r>
        <w:rPr>
          <w:i/>
          <w:spacing w:val="-10"/>
          <w:sz w:val="24"/>
        </w:rPr>
        <w:t> </w:t>
      </w:r>
      <w:r>
        <w:rPr>
          <w:i/>
          <w:sz w:val="24"/>
        </w:rPr>
        <w:t>в</w:t>
      </w:r>
      <w:r>
        <w:rPr>
          <w:i/>
          <w:spacing w:val="-12"/>
          <w:sz w:val="24"/>
        </w:rPr>
        <w:t> </w:t>
      </w:r>
      <w:r>
        <w:rPr>
          <w:i/>
          <w:sz w:val="24"/>
        </w:rPr>
        <w:t>одной</w:t>
      </w:r>
      <w:r>
        <w:rPr>
          <w:i/>
          <w:spacing w:val="-11"/>
          <w:sz w:val="24"/>
        </w:rPr>
        <w:t> </w:t>
      </w:r>
      <w:r>
        <w:rPr>
          <w:i/>
          <w:sz w:val="24"/>
        </w:rPr>
        <w:t>прямой</w:t>
      </w:r>
      <w:r>
        <w:rPr>
          <w:i/>
          <w:spacing w:val="-10"/>
          <w:sz w:val="24"/>
        </w:rPr>
        <w:t> </w:t>
      </w:r>
      <w:r>
        <w:rPr>
          <w:i/>
          <w:sz w:val="24"/>
        </w:rPr>
        <w:t>проекции.</w:t>
      </w:r>
      <w:r>
        <w:rPr>
          <w:i/>
          <w:spacing w:val="-11"/>
          <w:sz w:val="24"/>
        </w:rPr>
        <w:t> </w:t>
      </w:r>
      <w:r>
        <w:rPr>
          <w:i/>
          <w:sz w:val="24"/>
        </w:rPr>
        <w:t>Выполнение</w:t>
      </w:r>
      <w:r>
        <w:rPr>
          <w:i/>
          <w:spacing w:val="-12"/>
          <w:sz w:val="24"/>
        </w:rPr>
        <w:t> </w:t>
      </w:r>
      <w:r>
        <w:rPr>
          <w:i/>
          <w:sz w:val="24"/>
        </w:rPr>
        <w:t>УЗИ легких и плевральных полостей может быть дополнительным исследованием при невозможности проведения КТ, которое  выполняется по  клиническим  показаниям, и при наличии персонала, имеющего опыт проведения и интерпретации таких исследований.</w:t>
      </w:r>
    </w:p>
    <w:p>
      <w:pPr>
        <w:pStyle w:val="ListParagraph"/>
        <w:numPr>
          <w:ilvl w:val="0"/>
          <w:numId w:val="14"/>
        </w:numPr>
        <w:tabs>
          <w:tab w:pos="1496" w:val="left" w:leader="none"/>
        </w:tabs>
        <w:spacing w:line="276" w:lineRule="auto" w:before="0" w:after="0"/>
        <w:ind w:left="321" w:right="676" w:firstLine="708"/>
        <w:jc w:val="both"/>
        <w:rPr>
          <w:sz w:val="24"/>
        </w:rPr>
      </w:pPr>
      <w:r>
        <w:rPr>
          <w:sz w:val="24"/>
        </w:rPr>
        <w:t>Рекомендовано использовать специальные меры по ограничению доз облучения при обследовании беременных, новорожденных и детей младшего возраста при возможности развития у них COVID-19</w:t>
      </w:r>
      <w:r>
        <w:rPr>
          <w:spacing w:val="-3"/>
          <w:sz w:val="24"/>
        </w:rPr>
        <w:t> </w:t>
      </w:r>
      <w:r>
        <w:rPr>
          <w:sz w:val="24"/>
        </w:rPr>
        <w:t>пневмонии.</w:t>
      </w:r>
    </w:p>
    <w:p>
      <w:pPr>
        <w:spacing w:line="276" w:lineRule="auto" w:before="0"/>
        <w:ind w:left="321" w:right="674" w:firstLine="708"/>
        <w:jc w:val="both"/>
        <w:rPr>
          <w:i/>
          <w:sz w:val="24"/>
        </w:rPr>
      </w:pPr>
      <w:r>
        <w:rPr>
          <w:i/>
          <w:sz w:val="24"/>
        </w:rPr>
        <w:t>Комментарии. Обследование беременных женщин с известной/предполагаемой </w:t>
      </w:r>
      <w:r>
        <w:rPr>
          <w:i/>
          <w:sz w:val="24"/>
        </w:rPr>
        <w:t>пневмонией COVID-19 осуществляется с использованием стандартных методик РГ, КТ. Необходимо использовать предустановленные программы по ограничению доз облучения, нужна защита радиочувствительных органов и плода (области живота и таза) с применением стандартных защитных средств (фартуки, воротники), имеющихся в кабинетах. При невозможности и отказе от проведения КТ и РГ применяется УЗИ легких при наличии подготовленного врачебного персонала.</w:t>
      </w:r>
    </w:p>
    <w:p>
      <w:pPr>
        <w:spacing w:line="276" w:lineRule="auto" w:before="0"/>
        <w:ind w:left="321" w:right="674" w:firstLine="708"/>
        <w:jc w:val="both"/>
        <w:rPr>
          <w:i/>
          <w:sz w:val="24"/>
        </w:rPr>
      </w:pPr>
      <w:r>
        <w:rPr>
          <w:i/>
          <w:sz w:val="24"/>
        </w:rPr>
        <w:t>Обследование       новорожденных        и        детей        младшего        возраста </w:t>
      </w:r>
      <w:r>
        <w:rPr>
          <w:i/>
          <w:sz w:val="24"/>
        </w:rPr>
        <w:t>с известной/предполагаемой  пневмонией  COVID-19  по  возможности  начинается   с применения УЗИ легких, плевральных полостей и средостения, при наличии клинических показаний продолжается с использованием РГ и/или КТ</w:t>
      </w:r>
      <w:r>
        <w:rPr>
          <w:i/>
          <w:spacing w:val="-11"/>
          <w:sz w:val="24"/>
        </w:rPr>
        <w:t> </w:t>
      </w:r>
      <w:r>
        <w:rPr>
          <w:i/>
          <w:sz w:val="24"/>
        </w:rPr>
        <w:t>ОГК.</w:t>
      </w:r>
    </w:p>
    <w:p>
      <w:pPr>
        <w:pStyle w:val="ListParagraph"/>
        <w:numPr>
          <w:ilvl w:val="0"/>
          <w:numId w:val="14"/>
        </w:numPr>
        <w:tabs>
          <w:tab w:pos="1488" w:val="left" w:leader="none"/>
        </w:tabs>
        <w:spacing w:line="276" w:lineRule="auto" w:before="0" w:after="0"/>
        <w:ind w:left="321" w:right="675" w:firstLine="708"/>
        <w:jc w:val="both"/>
        <w:rPr>
          <w:sz w:val="24"/>
        </w:rPr>
      </w:pPr>
      <w:r>
        <w:rPr>
          <w:sz w:val="24"/>
        </w:rPr>
        <w:t>При наличии клинических показаний все указанные методы лучевой диагностики могут применяться для оценки состояния других анатомических</w:t>
      </w:r>
      <w:r>
        <w:rPr>
          <w:spacing w:val="-43"/>
          <w:sz w:val="24"/>
        </w:rPr>
        <w:t> </w:t>
      </w:r>
      <w:r>
        <w:rPr>
          <w:sz w:val="24"/>
        </w:rPr>
        <w:t>областей и отдельных органов с целью выявление патологических изменений и оценки их динамики.</w:t>
      </w:r>
    </w:p>
    <w:p>
      <w:pPr>
        <w:pStyle w:val="ListParagraph"/>
        <w:numPr>
          <w:ilvl w:val="0"/>
          <w:numId w:val="14"/>
        </w:numPr>
        <w:tabs>
          <w:tab w:pos="1407" w:val="left" w:leader="none"/>
        </w:tabs>
        <w:spacing w:line="276" w:lineRule="auto" w:before="0" w:after="0"/>
        <w:ind w:left="321" w:right="676" w:firstLine="708"/>
        <w:jc w:val="both"/>
        <w:rPr>
          <w:sz w:val="24"/>
        </w:rPr>
      </w:pPr>
      <w:r>
        <w:rPr>
          <w:sz w:val="24"/>
        </w:rPr>
        <w:t>При всех лучевых исследованиях должны быть обеспечены эпидемическая безопасность и защита персонала и пациентов согласно временным рекомендациям Минздрава России для работы медицинских учреждений в условиях эпидемии COVID-19.</w:t>
      </w:r>
    </w:p>
    <w:p>
      <w:pPr>
        <w:spacing w:after="0" w:line="276" w:lineRule="auto"/>
        <w:jc w:val="both"/>
        <w:rPr>
          <w:sz w:val="24"/>
        </w:rPr>
        <w:sectPr>
          <w:pgSz w:w="11920" w:h="16850"/>
          <w:pgMar w:header="0" w:footer="620" w:top="1060" w:bottom="880" w:left="1380" w:right="600"/>
        </w:sectPr>
      </w:pPr>
    </w:p>
    <w:p>
      <w:pPr>
        <w:spacing w:line="276" w:lineRule="auto" w:before="78"/>
        <w:ind w:left="321" w:right="676" w:firstLine="708"/>
        <w:jc w:val="both"/>
        <w:rPr>
          <w:i/>
          <w:sz w:val="24"/>
        </w:rPr>
      </w:pPr>
      <w:r>
        <w:rPr>
          <w:i/>
          <w:sz w:val="24"/>
        </w:rPr>
        <w:t>Коментарии. Основными компонентами защиты персонала являются </w:t>
      </w:r>
      <w:r>
        <w:rPr>
          <w:i/>
          <w:sz w:val="24"/>
        </w:rPr>
        <w:t>зонирование кабинетов лучевой диагностики, ограничение контактов между потоками потенциально инфицированных и неинфицированных пациентов, ограничение контактов персонала отделения/кабинетов лучевой диагностики, сменная работа персонала, обязательное применение средств индивидуальной защиты.</w:t>
      </w:r>
    </w:p>
    <w:p>
      <w:pPr>
        <w:spacing w:line="276" w:lineRule="auto" w:before="0"/>
        <w:ind w:left="321" w:right="674" w:firstLine="708"/>
        <w:jc w:val="both"/>
        <w:rPr>
          <w:i/>
          <w:sz w:val="24"/>
        </w:rPr>
      </w:pPr>
      <w:r>
        <w:rPr>
          <w:i/>
          <w:sz w:val="24"/>
        </w:rPr>
        <w:t>Уборка и дезинфекция помещений кабинетов РГ, КТ и УЗИ, стерилизация </w:t>
      </w:r>
      <w:r>
        <w:rPr>
          <w:i/>
          <w:sz w:val="24"/>
        </w:rPr>
        <w:t>оборудования и мебели кабинетов выполняются согласно настоящим временным методическим рекомендациям.</w:t>
      </w:r>
    </w:p>
    <w:p>
      <w:pPr>
        <w:pStyle w:val="ListParagraph"/>
        <w:numPr>
          <w:ilvl w:val="0"/>
          <w:numId w:val="14"/>
        </w:numPr>
        <w:tabs>
          <w:tab w:pos="1647" w:val="left" w:leader="none"/>
        </w:tabs>
        <w:spacing w:line="276" w:lineRule="auto" w:before="0" w:after="0"/>
        <w:ind w:left="321" w:right="675" w:firstLine="708"/>
        <w:jc w:val="both"/>
        <w:rPr>
          <w:sz w:val="24"/>
        </w:rPr>
      </w:pPr>
      <w:r>
        <w:rPr>
          <w:sz w:val="24"/>
        </w:rPr>
        <w:t>Работа    кабинетов/отделений     лучевой     диагностики     организуется в круглосуточном режиме (смены по 6, 12 или 24 ч в сутки в зависимости от штатного расписания и загрузки конкретного лечебного учреждения). Рекомендуется создание  в медицинских организациях системы дистанционного описания изображений дежурными врачами-рентгенологами</w:t>
      </w:r>
      <w:r>
        <w:rPr>
          <w:color w:val="FF0000"/>
          <w:sz w:val="24"/>
        </w:rPr>
        <w:t>.</w:t>
      </w:r>
    </w:p>
    <w:p>
      <w:pPr>
        <w:pStyle w:val="ListParagraph"/>
        <w:numPr>
          <w:ilvl w:val="0"/>
          <w:numId w:val="14"/>
        </w:numPr>
        <w:tabs>
          <w:tab w:pos="1431" w:val="left" w:leader="none"/>
        </w:tabs>
        <w:spacing w:line="276" w:lineRule="auto" w:before="0" w:after="0"/>
        <w:ind w:left="321" w:right="676" w:firstLine="708"/>
        <w:jc w:val="both"/>
        <w:rPr>
          <w:sz w:val="24"/>
        </w:rPr>
      </w:pPr>
      <w:r>
        <w:rPr>
          <w:sz w:val="24"/>
        </w:rPr>
        <w:t>Рекомендации по формированию описаний и оценке изменений в легких    и ОГК    при    имеющейся/подозреваемой    пневмонии     COVID-19     представлены в</w:t>
      </w:r>
      <w:r>
        <w:rPr>
          <w:color w:val="0562C1"/>
          <w:sz w:val="24"/>
        </w:rPr>
        <w:t> </w:t>
      </w:r>
      <w:hyperlink w:history="true" w:anchor="_bookmark44">
        <w:r>
          <w:rPr>
            <w:color w:val="0562C1"/>
            <w:sz w:val="24"/>
            <w:u w:val="single" w:color="0562C1"/>
          </w:rPr>
          <w:t>Приложении 1</w:t>
        </w:r>
      </w:hyperlink>
      <w:r>
        <w:rPr>
          <w:sz w:val="24"/>
        </w:rPr>
        <w:t>.</w:t>
      </w:r>
    </w:p>
    <w:p>
      <w:pPr>
        <w:pStyle w:val="ListParagraph"/>
        <w:numPr>
          <w:ilvl w:val="0"/>
          <w:numId w:val="14"/>
        </w:numPr>
        <w:tabs>
          <w:tab w:pos="1419" w:val="left" w:leader="none"/>
        </w:tabs>
        <w:spacing w:line="276" w:lineRule="auto" w:before="0" w:after="0"/>
        <w:ind w:left="321" w:right="676" w:firstLine="708"/>
        <w:jc w:val="both"/>
        <w:rPr>
          <w:sz w:val="24"/>
        </w:rPr>
      </w:pPr>
      <w:r>
        <w:rPr>
          <w:sz w:val="24"/>
        </w:rPr>
        <w:t>Для диагностики тромбозов глубоких вен рекомендуется проведение УЗИ сосудов нижних конечностей с допплерографией.</w:t>
      </w:r>
    </w:p>
    <w:p>
      <w:pPr>
        <w:pStyle w:val="BodyText"/>
        <w:spacing w:before="7"/>
        <w:ind w:left="0"/>
        <w:jc w:val="left"/>
        <w:rPr>
          <w:sz w:val="27"/>
        </w:rPr>
      </w:pPr>
    </w:p>
    <w:p>
      <w:pPr>
        <w:pStyle w:val="BodyText"/>
        <w:spacing w:line="312" w:lineRule="auto"/>
        <w:ind w:right="674" w:firstLine="708"/>
      </w:pPr>
      <w:r>
        <w:rPr>
          <w:b/>
        </w:rPr>
        <w:t>Электрокардиография </w:t>
      </w:r>
      <w:r>
        <w:rPr/>
        <w:t>(ЭКГ) в стандартных отведениях рекомендуется всем пациентам.</w:t>
      </w:r>
      <w:r>
        <w:rPr>
          <w:spacing w:val="-14"/>
        </w:rPr>
        <w:t> </w:t>
      </w:r>
      <w:r>
        <w:rPr/>
        <w:t>Данное</w:t>
      </w:r>
      <w:r>
        <w:rPr>
          <w:spacing w:val="-14"/>
        </w:rPr>
        <w:t> </w:t>
      </w:r>
      <w:r>
        <w:rPr/>
        <w:t>исследование</w:t>
      </w:r>
      <w:r>
        <w:rPr>
          <w:spacing w:val="-15"/>
        </w:rPr>
        <w:t> </w:t>
      </w:r>
      <w:r>
        <w:rPr/>
        <w:t>не</w:t>
      </w:r>
      <w:r>
        <w:rPr>
          <w:spacing w:val="-15"/>
        </w:rPr>
        <w:t> </w:t>
      </w:r>
      <w:r>
        <w:rPr/>
        <w:t>содержит</w:t>
      </w:r>
      <w:r>
        <w:rPr>
          <w:spacing w:val="-15"/>
        </w:rPr>
        <w:t> </w:t>
      </w:r>
      <w:r>
        <w:rPr/>
        <w:t>какой-либо</w:t>
      </w:r>
      <w:r>
        <w:rPr>
          <w:spacing w:val="-16"/>
        </w:rPr>
        <w:t> </w:t>
      </w:r>
      <w:r>
        <w:rPr/>
        <w:t>специфической</w:t>
      </w:r>
      <w:r>
        <w:rPr>
          <w:spacing w:val="-16"/>
        </w:rPr>
        <w:t> </w:t>
      </w:r>
      <w:r>
        <w:rPr/>
        <w:t>информации, однако в настоящее время известно, что вирусная инфекция и пневмония увеличивают риск развития нарушений ритма и острого коронарного синдрома, своевременное выявление которых значимо влияет на прогноз. Кроме того, определенные изменения на ЭКГ (например, удлинение интервала QT) требуют внимания при оценке кардиотоксичности ряда антибактериальных препаратов (респираторные фторхинолоны, макролиды), противомалярийных</w:t>
      </w:r>
      <w:r>
        <w:rPr>
          <w:spacing w:val="1"/>
        </w:rPr>
        <w:t> </w:t>
      </w:r>
      <w:r>
        <w:rPr/>
        <w:t>препаратов.</w:t>
      </w:r>
    </w:p>
    <w:p>
      <w:pPr>
        <w:pStyle w:val="BodyText"/>
        <w:spacing w:line="312" w:lineRule="auto" w:before="1"/>
        <w:ind w:right="674" w:firstLine="708"/>
      </w:pPr>
      <w:r>
        <w:rPr/>
        <w:t>Решение о необходимости госпитализации пациента принимается врачом на основании комплекса клинико-эпидемиологических данных с учетом тяжести состояния пациента (среднетяжелое/тяжелое течение заболевания) и требований, предусмотренных приказом Минздрава России от 19.03.2020 № 198н «О временном порядке организации работы медицинских организаций в целях реализации мер по профилактике и снижению рисков распространения новой коронавирусной инфекции COVID-19».</w:t>
      </w:r>
    </w:p>
    <w:p>
      <w:pPr>
        <w:pStyle w:val="BodyText"/>
        <w:spacing w:before="9"/>
        <w:ind w:left="0"/>
        <w:jc w:val="left"/>
        <w:rPr>
          <w:sz w:val="20"/>
        </w:rPr>
      </w:pPr>
    </w:p>
    <w:p>
      <w:pPr>
        <w:pStyle w:val="Heading3"/>
        <w:numPr>
          <w:ilvl w:val="1"/>
          <w:numId w:val="7"/>
        </w:numPr>
        <w:tabs>
          <w:tab w:pos="1450" w:val="left" w:leader="none"/>
        </w:tabs>
        <w:spacing w:line="240" w:lineRule="auto" w:before="0" w:after="0"/>
        <w:ind w:left="1449" w:right="0" w:hanging="421"/>
        <w:jc w:val="left"/>
        <w:rPr>
          <w:color w:val="1F487C"/>
        </w:rPr>
      </w:pPr>
      <w:bookmarkStart w:name="4.2. ЛАБОРАТОРНАЯ ДИАГНОСТИКА COVID-19" w:id="26"/>
      <w:bookmarkEnd w:id="26"/>
      <w:r>
        <w:rPr>
          <w:b w:val="0"/>
        </w:rPr>
      </w:r>
      <w:bookmarkStart w:name="_bookmark6" w:id="27"/>
      <w:bookmarkEnd w:id="27"/>
      <w:r>
        <w:rPr>
          <w:b w:val="0"/>
        </w:rPr>
      </w:r>
      <w:bookmarkStart w:name="_bookmark6" w:id="28"/>
      <w:bookmarkEnd w:id="28"/>
      <w:r>
        <w:rPr>
          <w:color w:val="1F487C"/>
        </w:rPr>
        <w:t>Л</w:t>
      </w:r>
      <w:r>
        <w:rPr>
          <w:color w:val="1F487C"/>
        </w:rPr>
        <w:t>АБОРАТОРНАЯ ДИАГНОСТИКА</w:t>
      </w:r>
      <w:r>
        <w:rPr>
          <w:color w:val="1F487C"/>
          <w:spacing w:val="-3"/>
        </w:rPr>
        <w:t> </w:t>
      </w:r>
      <w:r>
        <w:rPr>
          <w:color w:val="1F487C"/>
        </w:rPr>
        <w:t>COVID-19</w:t>
      </w:r>
    </w:p>
    <w:p>
      <w:pPr>
        <w:pStyle w:val="BodyText"/>
        <w:spacing w:line="360" w:lineRule="auto" w:before="204"/>
        <w:ind w:right="672" w:firstLine="708"/>
      </w:pPr>
      <w:r>
        <w:rPr/>
        <w:t>Основное значение для этиологической лабораторной диагностики COVID-19 имеет выявление РНК SARS-CoV-2 с помощью МАНК. Перечень зарегистрированных в Российской Федерации диагностических наборов реагентов для выявления РНК</w:t>
      </w:r>
    </w:p>
    <w:p>
      <w:pPr>
        <w:spacing w:after="0" w:line="360" w:lineRule="auto"/>
        <w:sectPr>
          <w:pgSz w:w="11920" w:h="16850"/>
          <w:pgMar w:header="0" w:footer="620" w:top="1060" w:bottom="880" w:left="1380" w:right="600"/>
        </w:sectPr>
      </w:pPr>
    </w:p>
    <w:p>
      <w:pPr>
        <w:pStyle w:val="BodyText"/>
        <w:spacing w:line="360" w:lineRule="auto" w:before="78"/>
        <w:ind w:right="674"/>
      </w:pPr>
      <w:r>
        <w:rPr/>
        <w:t>SARS-CoV-2 (</w:t>
      </w:r>
      <w:hyperlink w:history="true" w:anchor="_bookmark49">
        <w:r>
          <w:rPr>
            <w:color w:val="0562C1"/>
            <w:u w:val="single" w:color="0562C1"/>
          </w:rPr>
          <w:t>Приложение 4</w:t>
        </w:r>
      </w:hyperlink>
      <w:r>
        <w:rPr/>
        <w:t>) представлен в </w:t>
      </w:r>
      <w:hyperlink r:id="rId9">
        <w:r>
          <w:rPr>
            <w:color w:val="0562C1"/>
            <w:u w:val="single" w:color="0562C1"/>
          </w:rPr>
          <w:t>Государственном реестре медицинских</w:t>
        </w:r>
      </w:hyperlink>
      <w:r>
        <w:rPr>
          <w:color w:val="0562C1"/>
        </w:rPr>
        <w:t> </w:t>
      </w:r>
      <w:hyperlink r:id="rId9">
        <w:r>
          <w:rPr>
            <w:color w:val="0562C1"/>
            <w:u w:val="single" w:color="0562C1"/>
          </w:rPr>
          <w:t>изделий</w:t>
        </w:r>
      </w:hyperlink>
      <w:r>
        <w:rPr/>
        <w:t>.</w:t>
      </w:r>
    </w:p>
    <w:p>
      <w:pPr>
        <w:pStyle w:val="BodyText"/>
        <w:spacing w:line="360" w:lineRule="auto"/>
        <w:ind w:right="672" w:firstLine="708"/>
      </w:pPr>
      <w:r>
        <w:rPr/>
        <w:t>Лабораторное обследование на РНК SARS-CoV-2 рекомендуется проводить всем лицам с признаками ОРИ. В качестве предварительного скринингового обследования рекомендуется использовать тест на определение антигена SARS-CoV-2 в мазках носо/ротоглотки методом иммуннохроматографии.</w:t>
      </w:r>
    </w:p>
    <w:p>
      <w:pPr>
        <w:pStyle w:val="BodyText"/>
        <w:spacing w:line="360" w:lineRule="auto"/>
        <w:ind w:right="672" w:firstLine="708"/>
      </w:pPr>
      <w:r>
        <w:rPr/>
        <w:t>В    обязательном    порядке    лабораторное    обследование    на    COVID-19    с применением МАНК проводится следующим категориям</w:t>
      </w:r>
      <w:r>
        <w:rPr>
          <w:spacing w:val="-5"/>
        </w:rPr>
        <w:t> </w:t>
      </w:r>
      <w:r>
        <w:rPr/>
        <w:t>лиц</w:t>
      </w:r>
      <w:hyperlink w:history="true" w:anchor="_bookmark7">
        <w:r>
          <w:rPr>
            <w:vertAlign w:val="superscript"/>
          </w:rPr>
          <w:t>1</w:t>
        </w:r>
      </w:hyperlink>
      <w:r>
        <w:rPr>
          <w:vertAlign w:val="baseline"/>
        </w:rPr>
        <w:t>:</w:t>
      </w:r>
    </w:p>
    <w:p>
      <w:pPr>
        <w:pStyle w:val="ListParagraph"/>
        <w:numPr>
          <w:ilvl w:val="0"/>
          <w:numId w:val="11"/>
        </w:numPr>
        <w:tabs>
          <w:tab w:pos="1001" w:val="left" w:leader="none"/>
        </w:tabs>
        <w:spacing w:line="309" w:lineRule="auto" w:before="2" w:after="0"/>
        <w:ind w:left="1000" w:right="677" w:hanging="339"/>
        <w:jc w:val="both"/>
        <w:rPr>
          <w:sz w:val="24"/>
        </w:rPr>
      </w:pPr>
      <w:r>
        <w:rPr>
          <w:sz w:val="24"/>
        </w:rPr>
        <w:t>прибывшие на территорию Российской Федерации с наличием симптомов инфекционного заболевания (или при появлении симптомов в течение периода медицинского</w:t>
      </w:r>
      <w:r>
        <w:rPr>
          <w:spacing w:val="-4"/>
          <w:sz w:val="24"/>
        </w:rPr>
        <w:t> </w:t>
      </w:r>
      <w:r>
        <w:rPr>
          <w:sz w:val="24"/>
        </w:rPr>
        <w:t>наблюдения);</w:t>
      </w:r>
    </w:p>
    <w:p>
      <w:pPr>
        <w:pStyle w:val="ListParagraph"/>
        <w:numPr>
          <w:ilvl w:val="0"/>
          <w:numId w:val="11"/>
        </w:numPr>
        <w:tabs>
          <w:tab w:pos="1001" w:val="left" w:leader="none"/>
        </w:tabs>
        <w:spacing w:line="309" w:lineRule="auto" w:before="3" w:after="0"/>
        <w:ind w:left="1000" w:right="673" w:hanging="339"/>
        <w:jc w:val="both"/>
        <w:rPr>
          <w:sz w:val="24"/>
        </w:rPr>
      </w:pPr>
      <w:r>
        <w:rPr>
          <w:sz w:val="24"/>
        </w:rPr>
        <w:t>контактировавшие с больным COVID-19, при появлении симптомов, не исключающих COVID-19, в ходе медицинского наблюдения и при отсутствии клинических проявлений на 8-10 календарный день медицинского наблюдения со дня контакта с больным</w:t>
      </w:r>
      <w:r>
        <w:rPr>
          <w:spacing w:val="-4"/>
          <w:sz w:val="24"/>
        </w:rPr>
        <w:t> </w:t>
      </w:r>
      <w:r>
        <w:rPr>
          <w:sz w:val="24"/>
        </w:rPr>
        <w:t>COVID-19;</w:t>
      </w:r>
    </w:p>
    <w:p>
      <w:pPr>
        <w:pStyle w:val="ListParagraph"/>
        <w:numPr>
          <w:ilvl w:val="0"/>
          <w:numId w:val="11"/>
        </w:numPr>
        <w:tabs>
          <w:tab w:pos="1001" w:val="left" w:leader="none"/>
        </w:tabs>
        <w:spacing w:line="240" w:lineRule="auto" w:before="5" w:after="0"/>
        <w:ind w:left="1000" w:right="0" w:hanging="339"/>
        <w:jc w:val="both"/>
        <w:rPr>
          <w:sz w:val="24"/>
        </w:rPr>
      </w:pPr>
      <w:r>
        <w:rPr>
          <w:sz w:val="24"/>
        </w:rPr>
        <w:t>Пациенты с диагнозом "внебольничная</w:t>
      </w:r>
      <w:r>
        <w:rPr>
          <w:spacing w:val="-7"/>
          <w:sz w:val="24"/>
        </w:rPr>
        <w:t> </w:t>
      </w:r>
      <w:r>
        <w:rPr>
          <w:sz w:val="24"/>
        </w:rPr>
        <w:t>пневмония";</w:t>
      </w:r>
    </w:p>
    <w:p>
      <w:pPr>
        <w:pStyle w:val="ListParagraph"/>
        <w:numPr>
          <w:ilvl w:val="0"/>
          <w:numId w:val="11"/>
        </w:numPr>
        <w:tabs>
          <w:tab w:pos="1001" w:val="left" w:leader="none"/>
        </w:tabs>
        <w:spacing w:line="304" w:lineRule="auto" w:before="80" w:after="0"/>
        <w:ind w:left="1000" w:right="676" w:hanging="339"/>
        <w:jc w:val="both"/>
        <w:rPr>
          <w:sz w:val="24"/>
        </w:rPr>
      </w:pPr>
      <w:r>
        <w:rPr>
          <w:sz w:val="24"/>
        </w:rPr>
        <w:t>Работники медицинских организаций, имеющих риск инфицирования при профессиональной деятельности,</w:t>
      </w:r>
    </w:p>
    <w:p>
      <w:pPr>
        <w:pStyle w:val="ListParagraph"/>
        <w:numPr>
          <w:ilvl w:val="0"/>
          <w:numId w:val="15"/>
        </w:numPr>
        <w:tabs>
          <w:tab w:pos="1762" w:val="left" w:leader="none"/>
        </w:tabs>
        <w:spacing w:line="240" w:lineRule="auto" w:before="23" w:after="0"/>
        <w:ind w:left="1761" w:right="0" w:hanging="361"/>
        <w:jc w:val="both"/>
        <w:rPr>
          <w:sz w:val="24"/>
        </w:rPr>
      </w:pPr>
      <w:r>
        <w:rPr>
          <w:sz w:val="24"/>
        </w:rPr>
        <w:t>до появления </w:t>
      </w:r>
      <w:r>
        <w:rPr>
          <w:spacing w:val="-3"/>
          <w:sz w:val="24"/>
        </w:rPr>
        <w:t>IgG </w:t>
      </w:r>
      <w:r>
        <w:rPr>
          <w:sz w:val="24"/>
        </w:rPr>
        <w:t>– 1 раз в</w:t>
      </w:r>
      <w:r>
        <w:rPr>
          <w:spacing w:val="4"/>
          <w:sz w:val="24"/>
        </w:rPr>
        <w:t> </w:t>
      </w:r>
      <w:r>
        <w:rPr>
          <w:sz w:val="24"/>
        </w:rPr>
        <w:t>неделю;</w:t>
      </w:r>
    </w:p>
    <w:p>
      <w:pPr>
        <w:pStyle w:val="ListParagraph"/>
        <w:numPr>
          <w:ilvl w:val="0"/>
          <w:numId w:val="15"/>
        </w:numPr>
        <w:tabs>
          <w:tab w:pos="1762" w:val="left" w:leader="none"/>
        </w:tabs>
        <w:spacing w:line="240" w:lineRule="auto" w:before="64" w:after="0"/>
        <w:ind w:left="1761" w:right="0" w:hanging="361"/>
        <w:jc w:val="both"/>
        <w:rPr>
          <w:sz w:val="24"/>
        </w:rPr>
      </w:pPr>
      <w:r>
        <w:rPr>
          <w:sz w:val="24"/>
        </w:rPr>
        <w:t>при появлении симптомов, не исключающих COVID-19, –</w:t>
      </w:r>
      <w:r>
        <w:rPr>
          <w:spacing w:val="-5"/>
          <w:sz w:val="24"/>
        </w:rPr>
        <w:t> </w:t>
      </w:r>
      <w:r>
        <w:rPr>
          <w:sz w:val="24"/>
        </w:rPr>
        <w:t>немедленно;</w:t>
      </w:r>
    </w:p>
    <w:p>
      <w:pPr>
        <w:pStyle w:val="ListParagraph"/>
        <w:numPr>
          <w:ilvl w:val="0"/>
          <w:numId w:val="11"/>
        </w:numPr>
        <w:tabs>
          <w:tab w:pos="1001" w:val="left" w:leader="none"/>
        </w:tabs>
        <w:spacing w:line="309" w:lineRule="auto" w:before="64" w:after="0"/>
        <w:ind w:left="1000" w:right="677" w:hanging="339"/>
        <w:jc w:val="both"/>
        <w:rPr>
          <w:sz w:val="24"/>
        </w:rPr>
      </w:pPr>
      <w:r>
        <w:rPr>
          <w:sz w:val="24"/>
        </w:rPr>
        <w:t>Лица, находящиеся в интернатах, детских домах, детских лагерях, пансионатах для пожилых и других стационарных организациях социального обслуживания, учреждениях уголовно-исполнительной системы при появлении респираторных симптомов;</w:t>
      </w:r>
    </w:p>
    <w:p>
      <w:pPr>
        <w:pStyle w:val="ListParagraph"/>
        <w:numPr>
          <w:ilvl w:val="0"/>
          <w:numId w:val="11"/>
        </w:numPr>
        <w:tabs>
          <w:tab w:pos="1001" w:val="left" w:leader="none"/>
        </w:tabs>
        <w:spacing w:line="304" w:lineRule="auto" w:before="4" w:after="0"/>
        <w:ind w:left="1000" w:right="678" w:hanging="339"/>
        <w:jc w:val="both"/>
        <w:rPr>
          <w:sz w:val="24"/>
        </w:rPr>
      </w:pPr>
      <w:r>
        <w:rPr>
          <w:sz w:val="24"/>
        </w:rPr>
        <w:t>Лица</w:t>
      </w:r>
      <w:r>
        <w:rPr>
          <w:spacing w:val="-6"/>
          <w:sz w:val="24"/>
        </w:rPr>
        <w:t> </w:t>
      </w:r>
      <w:r>
        <w:rPr>
          <w:sz w:val="24"/>
        </w:rPr>
        <w:t>старше</w:t>
      </w:r>
      <w:r>
        <w:rPr>
          <w:spacing w:val="-6"/>
          <w:sz w:val="24"/>
        </w:rPr>
        <w:t> </w:t>
      </w:r>
      <w:r>
        <w:rPr>
          <w:sz w:val="24"/>
        </w:rPr>
        <w:t>65</w:t>
      </w:r>
      <w:r>
        <w:rPr>
          <w:spacing w:val="-5"/>
          <w:sz w:val="24"/>
        </w:rPr>
        <w:t> </w:t>
      </w:r>
      <w:r>
        <w:rPr>
          <w:sz w:val="24"/>
        </w:rPr>
        <w:t>лет,</w:t>
      </w:r>
      <w:r>
        <w:rPr>
          <w:spacing w:val="-5"/>
          <w:sz w:val="24"/>
        </w:rPr>
        <w:t> </w:t>
      </w:r>
      <w:r>
        <w:rPr>
          <w:sz w:val="24"/>
        </w:rPr>
        <w:t>обратившиеся</w:t>
      </w:r>
      <w:r>
        <w:rPr>
          <w:spacing w:val="-4"/>
          <w:sz w:val="24"/>
        </w:rPr>
        <w:t> </w:t>
      </w:r>
      <w:r>
        <w:rPr>
          <w:sz w:val="24"/>
        </w:rPr>
        <w:t>за</w:t>
      </w:r>
      <w:r>
        <w:rPr>
          <w:spacing w:val="-6"/>
          <w:sz w:val="24"/>
        </w:rPr>
        <w:t> </w:t>
      </w:r>
      <w:r>
        <w:rPr>
          <w:sz w:val="24"/>
        </w:rPr>
        <w:t>медицинской</w:t>
      </w:r>
      <w:r>
        <w:rPr>
          <w:spacing w:val="-4"/>
          <w:sz w:val="24"/>
        </w:rPr>
        <w:t> </w:t>
      </w:r>
      <w:r>
        <w:rPr>
          <w:sz w:val="24"/>
        </w:rPr>
        <w:t>помощью</w:t>
      </w:r>
      <w:r>
        <w:rPr>
          <w:spacing w:val="-4"/>
          <w:sz w:val="24"/>
        </w:rPr>
        <w:t> </w:t>
      </w:r>
      <w:r>
        <w:rPr>
          <w:sz w:val="24"/>
        </w:rPr>
        <w:t>с</w:t>
      </w:r>
      <w:r>
        <w:rPr>
          <w:spacing w:val="-6"/>
          <w:sz w:val="24"/>
        </w:rPr>
        <w:t> </w:t>
      </w:r>
      <w:r>
        <w:rPr>
          <w:sz w:val="24"/>
        </w:rPr>
        <w:t>респираторными симптомами;</w:t>
      </w:r>
    </w:p>
    <w:p>
      <w:pPr>
        <w:pStyle w:val="ListParagraph"/>
        <w:numPr>
          <w:ilvl w:val="0"/>
          <w:numId w:val="11"/>
        </w:numPr>
        <w:tabs>
          <w:tab w:pos="1001" w:val="left" w:leader="none"/>
        </w:tabs>
        <w:spacing w:line="309" w:lineRule="auto" w:before="13" w:after="0"/>
        <w:ind w:left="1000" w:right="674" w:hanging="339"/>
        <w:jc w:val="both"/>
        <w:rPr>
          <w:sz w:val="24"/>
        </w:rPr>
      </w:pPr>
      <w:r>
        <w:rPr>
          <w:sz w:val="24"/>
        </w:rPr>
        <w:t>Работники стационарных организаций социального обслуживания населения, учреждений уголовно-исполнительной системы и работники при вахтовом методе работы до начала работы в организации с целью предупреждения заноса COVID-19;</w:t>
      </w:r>
    </w:p>
    <w:p>
      <w:pPr>
        <w:pStyle w:val="ListParagraph"/>
        <w:numPr>
          <w:ilvl w:val="0"/>
          <w:numId w:val="11"/>
        </w:numPr>
        <w:tabs>
          <w:tab w:pos="1001" w:val="left" w:leader="none"/>
        </w:tabs>
        <w:spacing w:line="309" w:lineRule="auto" w:before="5" w:after="0"/>
        <w:ind w:left="1000" w:right="677" w:hanging="339"/>
        <w:jc w:val="both"/>
        <w:rPr>
          <w:sz w:val="24"/>
        </w:rPr>
      </w:pPr>
      <w:r>
        <w:rPr>
          <w:sz w:val="24"/>
        </w:rPr>
        <w:t>Дети из организованных коллективов при возникновении 3-х и более случаев заболеваний, не исключающих CОVID-19 (обследуются как при вспышечной заболеваемости).</w:t>
      </w:r>
    </w:p>
    <w:p>
      <w:pPr>
        <w:pStyle w:val="BodyText"/>
        <w:ind w:left="0"/>
        <w:jc w:val="left"/>
        <w:rPr>
          <w:sz w:val="20"/>
        </w:rPr>
      </w:pPr>
    </w:p>
    <w:p>
      <w:pPr>
        <w:pStyle w:val="BodyText"/>
        <w:ind w:left="0"/>
        <w:jc w:val="left"/>
        <w:rPr>
          <w:sz w:val="17"/>
        </w:rPr>
      </w:pPr>
      <w:r>
        <w:rPr/>
        <w:pict>
          <v:rect style="position:absolute;margin-left:85.080002pt;margin-top:11.77168pt;width:144pt;height:.72pt;mso-position-horizontal-relative:page;mso-position-vertical-relative:paragraph;z-index:-15727104;mso-wrap-distance-left:0;mso-wrap-distance-right:0" filled="true" fillcolor="#000000" stroked="false">
            <v:fill type="solid"/>
            <w10:wrap type="topAndBottom"/>
          </v:rect>
        </w:pict>
      </w:r>
    </w:p>
    <w:p>
      <w:pPr>
        <w:pStyle w:val="BodyText"/>
        <w:spacing w:before="5"/>
        <w:ind w:left="0"/>
        <w:jc w:val="left"/>
        <w:rPr>
          <w:sz w:val="6"/>
        </w:rPr>
      </w:pPr>
    </w:p>
    <w:p>
      <w:pPr>
        <w:spacing w:line="229" w:lineRule="exact" w:before="99"/>
        <w:ind w:left="321" w:right="0" w:firstLine="0"/>
        <w:jc w:val="both"/>
        <w:rPr>
          <w:sz w:val="20"/>
        </w:rPr>
      </w:pPr>
      <w:bookmarkStart w:name="_bookmark7" w:id="29"/>
      <w:bookmarkEnd w:id="29"/>
      <w:r>
        <w:rPr/>
      </w:r>
      <w:r>
        <w:rPr>
          <w:sz w:val="20"/>
          <w:vertAlign w:val="superscript"/>
        </w:rPr>
        <w:t>1</w:t>
      </w:r>
      <w:r>
        <w:rPr>
          <w:sz w:val="20"/>
          <w:vertAlign w:val="baseline"/>
        </w:rPr>
        <w:t> Постановление Главного государственного санитарного врача РФ от 30 марта 2020 г. N 9</w:t>
      </w:r>
    </w:p>
    <w:p>
      <w:pPr>
        <w:spacing w:before="0"/>
        <w:ind w:left="321" w:right="677" w:firstLine="0"/>
        <w:jc w:val="both"/>
        <w:rPr>
          <w:sz w:val="20"/>
        </w:rPr>
      </w:pPr>
      <w:r>
        <w:rPr>
          <w:sz w:val="20"/>
        </w:rPr>
        <w:t>«О дополнительных мерах по недопущению распространения COVID-2019»; постановление Главного государственного санитарного врача РФ от 22 мая 2020 г. № 15 «Об утверждении санитарно- эпидемиологических правил СП 3.1.3597-20 "Профилактика новой коронавирусной инфекции (COVID-19)»</w:t>
      </w:r>
    </w:p>
    <w:p>
      <w:pPr>
        <w:spacing w:after="0"/>
        <w:jc w:val="both"/>
        <w:rPr>
          <w:sz w:val="20"/>
        </w:rPr>
        <w:sectPr>
          <w:pgSz w:w="11920" w:h="16850"/>
          <w:pgMar w:header="0" w:footer="620" w:top="1060" w:bottom="880" w:left="1380" w:right="600"/>
        </w:sectPr>
      </w:pPr>
    </w:p>
    <w:p>
      <w:pPr>
        <w:pStyle w:val="BodyText"/>
        <w:spacing w:line="312" w:lineRule="auto" w:before="70"/>
        <w:ind w:right="673" w:firstLine="708"/>
      </w:pPr>
      <w:r>
        <w:rPr/>
        <w:t>При обращении в медицинские организации лабораторному обследованию на РНК SARS-CoV-2 подлежат пациенты без признаков ОРИ при наличии следующих данных эпидемиологического анамнеза:</w:t>
      </w:r>
    </w:p>
    <w:p>
      <w:pPr>
        <w:pStyle w:val="BodyText"/>
        <w:spacing w:before="10"/>
        <w:ind w:left="0"/>
        <w:jc w:val="left"/>
        <w:rPr>
          <w:sz w:val="33"/>
        </w:rPr>
      </w:pPr>
    </w:p>
    <w:p>
      <w:pPr>
        <w:pStyle w:val="ListParagraph"/>
        <w:numPr>
          <w:ilvl w:val="0"/>
          <w:numId w:val="11"/>
        </w:numPr>
        <w:tabs>
          <w:tab w:pos="1001" w:val="left" w:leader="none"/>
        </w:tabs>
        <w:spacing w:line="240" w:lineRule="auto" w:before="0" w:after="0"/>
        <w:ind w:left="1000" w:right="0" w:hanging="339"/>
        <w:jc w:val="both"/>
        <w:rPr>
          <w:sz w:val="24"/>
        </w:rPr>
      </w:pPr>
      <w:r>
        <w:rPr>
          <w:sz w:val="24"/>
        </w:rPr>
        <w:t>Возвращение из зарубежной поездки за 14 дней до</w:t>
      </w:r>
      <w:r>
        <w:rPr>
          <w:spacing w:val="-3"/>
          <w:sz w:val="24"/>
        </w:rPr>
        <w:t> </w:t>
      </w:r>
      <w:r>
        <w:rPr>
          <w:sz w:val="24"/>
        </w:rPr>
        <w:t>обращения;</w:t>
      </w:r>
    </w:p>
    <w:p>
      <w:pPr>
        <w:pStyle w:val="ListParagraph"/>
        <w:numPr>
          <w:ilvl w:val="0"/>
          <w:numId w:val="11"/>
        </w:numPr>
        <w:tabs>
          <w:tab w:pos="1001" w:val="left" w:leader="none"/>
        </w:tabs>
        <w:spacing w:line="309" w:lineRule="auto" w:before="83" w:after="0"/>
        <w:ind w:left="1000" w:right="676" w:hanging="339"/>
        <w:jc w:val="both"/>
        <w:rPr>
          <w:sz w:val="24"/>
        </w:rPr>
      </w:pPr>
      <w:r>
        <w:rPr>
          <w:sz w:val="24"/>
        </w:rPr>
        <w:t>Наличие тесных контактов за последние 14 дней с лицами, находящимися под наблюдением по инфекции, вызванной SARS-CoV-2, которые в последующем заболели;</w:t>
      </w:r>
    </w:p>
    <w:p>
      <w:pPr>
        <w:pStyle w:val="ListParagraph"/>
        <w:numPr>
          <w:ilvl w:val="0"/>
          <w:numId w:val="11"/>
        </w:numPr>
        <w:tabs>
          <w:tab w:pos="1001" w:val="left" w:leader="none"/>
        </w:tabs>
        <w:spacing w:line="304" w:lineRule="auto" w:before="1" w:after="0"/>
        <w:ind w:left="1000" w:right="677" w:hanging="339"/>
        <w:jc w:val="both"/>
        <w:rPr>
          <w:sz w:val="24"/>
        </w:rPr>
      </w:pPr>
      <w:r>
        <w:rPr>
          <w:sz w:val="24"/>
        </w:rPr>
        <w:t>Наличие тесных контактов за последние 14 дней с лицами, у которых лабораторно подтвержден диагноз</w:t>
      </w:r>
      <w:r>
        <w:rPr>
          <w:spacing w:val="-2"/>
          <w:sz w:val="24"/>
        </w:rPr>
        <w:t> </w:t>
      </w:r>
      <w:r>
        <w:rPr>
          <w:sz w:val="24"/>
        </w:rPr>
        <w:t>COVID-19;</w:t>
      </w:r>
    </w:p>
    <w:p>
      <w:pPr>
        <w:pStyle w:val="ListParagraph"/>
        <w:numPr>
          <w:ilvl w:val="0"/>
          <w:numId w:val="11"/>
        </w:numPr>
        <w:tabs>
          <w:tab w:pos="1001" w:val="left" w:leader="none"/>
        </w:tabs>
        <w:spacing w:line="309" w:lineRule="auto" w:before="10" w:after="0"/>
        <w:ind w:left="1000" w:right="673" w:hanging="339"/>
        <w:jc w:val="both"/>
        <w:rPr>
          <w:sz w:val="24"/>
        </w:rPr>
      </w:pPr>
      <w:r>
        <w:rPr>
          <w:sz w:val="24"/>
        </w:rPr>
        <w:t>Наличие   профессиональных   контактов   с   биоматериалом   от    пациентов   с COVID-19 и  лиц  с подозрением на данное заболевание (врачи,  специалисты с высшим  профессиональным   (не   медицинским)   образованием,   средний   и младший медицинский</w:t>
      </w:r>
      <w:r>
        <w:rPr>
          <w:spacing w:val="2"/>
          <w:sz w:val="24"/>
        </w:rPr>
        <w:t> </w:t>
      </w:r>
      <w:r>
        <w:rPr>
          <w:sz w:val="24"/>
        </w:rPr>
        <w:t>персонал);</w:t>
      </w:r>
    </w:p>
    <w:p>
      <w:pPr>
        <w:pStyle w:val="ListParagraph"/>
        <w:numPr>
          <w:ilvl w:val="0"/>
          <w:numId w:val="11"/>
        </w:numPr>
        <w:tabs>
          <w:tab w:pos="1001" w:val="left" w:leader="none"/>
        </w:tabs>
        <w:spacing w:line="304" w:lineRule="auto" w:before="7" w:after="0"/>
        <w:ind w:left="1000" w:right="675" w:hanging="339"/>
        <w:jc w:val="both"/>
        <w:rPr>
          <w:sz w:val="24"/>
        </w:rPr>
      </w:pPr>
      <w:r>
        <w:rPr>
          <w:sz w:val="24"/>
        </w:rPr>
        <w:t>Рождение</w:t>
      </w:r>
      <w:r>
        <w:rPr>
          <w:spacing w:val="-14"/>
          <w:sz w:val="24"/>
        </w:rPr>
        <w:t> </w:t>
      </w:r>
      <w:r>
        <w:rPr>
          <w:sz w:val="24"/>
        </w:rPr>
        <w:t>от</w:t>
      </w:r>
      <w:r>
        <w:rPr>
          <w:spacing w:val="-13"/>
          <w:sz w:val="24"/>
        </w:rPr>
        <w:t> </w:t>
      </w:r>
      <w:r>
        <w:rPr>
          <w:sz w:val="24"/>
        </w:rPr>
        <w:t>матери,</w:t>
      </w:r>
      <w:r>
        <w:rPr>
          <w:spacing w:val="-11"/>
          <w:sz w:val="24"/>
        </w:rPr>
        <w:t> </w:t>
      </w:r>
      <w:r>
        <w:rPr>
          <w:sz w:val="24"/>
        </w:rPr>
        <w:t>у</w:t>
      </w:r>
      <w:r>
        <w:rPr>
          <w:spacing w:val="-21"/>
          <w:sz w:val="24"/>
        </w:rPr>
        <w:t> </w:t>
      </w:r>
      <w:r>
        <w:rPr>
          <w:sz w:val="24"/>
        </w:rPr>
        <w:t>которой</w:t>
      </w:r>
      <w:r>
        <w:rPr>
          <w:spacing w:val="-12"/>
          <w:sz w:val="24"/>
        </w:rPr>
        <w:t> </w:t>
      </w:r>
      <w:r>
        <w:rPr>
          <w:sz w:val="24"/>
        </w:rPr>
        <w:t>за</w:t>
      </w:r>
      <w:r>
        <w:rPr>
          <w:spacing w:val="-14"/>
          <w:sz w:val="24"/>
        </w:rPr>
        <w:t> </w:t>
      </w:r>
      <w:r>
        <w:rPr>
          <w:sz w:val="24"/>
        </w:rPr>
        <w:t>14</w:t>
      </w:r>
      <w:r>
        <w:rPr>
          <w:spacing w:val="-13"/>
          <w:sz w:val="24"/>
        </w:rPr>
        <w:t> </w:t>
      </w:r>
      <w:r>
        <w:rPr>
          <w:sz w:val="24"/>
        </w:rPr>
        <w:t>дней</w:t>
      </w:r>
      <w:r>
        <w:rPr>
          <w:spacing w:val="-12"/>
          <w:sz w:val="24"/>
        </w:rPr>
        <w:t> </w:t>
      </w:r>
      <w:r>
        <w:rPr>
          <w:sz w:val="24"/>
        </w:rPr>
        <w:t>до</w:t>
      </w:r>
      <w:r>
        <w:rPr>
          <w:spacing w:val="-13"/>
          <w:sz w:val="24"/>
        </w:rPr>
        <w:t> </w:t>
      </w:r>
      <w:r>
        <w:rPr>
          <w:sz w:val="24"/>
        </w:rPr>
        <w:t>родов</w:t>
      </w:r>
      <w:r>
        <w:rPr>
          <w:spacing w:val="-14"/>
          <w:sz w:val="24"/>
        </w:rPr>
        <w:t> </w:t>
      </w:r>
      <w:r>
        <w:rPr>
          <w:sz w:val="24"/>
        </w:rPr>
        <w:t>был</w:t>
      </w:r>
      <w:r>
        <w:rPr>
          <w:spacing w:val="-13"/>
          <w:sz w:val="24"/>
        </w:rPr>
        <w:t> </w:t>
      </w:r>
      <w:r>
        <w:rPr>
          <w:sz w:val="24"/>
        </w:rPr>
        <w:t>выявлен</w:t>
      </w:r>
      <w:r>
        <w:rPr>
          <w:spacing w:val="-12"/>
          <w:sz w:val="24"/>
        </w:rPr>
        <w:t> </w:t>
      </w:r>
      <w:r>
        <w:rPr>
          <w:sz w:val="24"/>
        </w:rPr>
        <w:t>подозрительный или подтвержденный случай</w:t>
      </w:r>
      <w:r>
        <w:rPr>
          <w:spacing w:val="-1"/>
          <w:sz w:val="24"/>
        </w:rPr>
        <w:t> </w:t>
      </w:r>
      <w:r>
        <w:rPr>
          <w:sz w:val="24"/>
        </w:rPr>
        <w:t>COVID-19.</w:t>
      </w:r>
    </w:p>
    <w:p>
      <w:pPr>
        <w:pStyle w:val="BodyText"/>
        <w:spacing w:before="1"/>
        <w:ind w:left="0"/>
        <w:jc w:val="left"/>
        <w:rPr>
          <w:sz w:val="33"/>
        </w:rPr>
      </w:pPr>
    </w:p>
    <w:p>
      <w:pPr>
        <w:pStyle w:val="BodyText"/>
        <w:spacing w:line="360" w:lineRule="auto"/>
        <w:ind w:right="673" w:firstLine="708"/>
      </w:pPr>
      <w:r>
        <w:rPr/>
        <w:t>Основным видом биоматериала для лабораторного исследования на РНК SARS-CoV-2 является материал, полученный при заборе мазка из носоглотки (из двух носовых ходов) и ротоглотки. Мазки со слизистой оболочки носоглотки и ротоглотки собираются в одну пробирку для большей концентрации вируса.</w:t>
      </w:r>
    </w:p>
    <w:p>
      <w:pPr>
        <w:pStyle w:val="BodyText"/>
        <w:spacing w:line="360" w:lineRule="auto"/>
        <w:ind w:right="671" w:firstLine="708"/>
      </w:pPr>
      <w:r>
        <w:rPr/>
        <w:t>При признаках заболевания нижних дыхательных путей в случае получения отрицательного результата в мазках со слизистой носо- и ротоглотки дополнительно исследуются мокрота (при наличии) или промывные воды бронхов, полученные при фибробронхоскопии (бронхоальвеолярный лаваж), (эндо)трахеальный, назофарингеальный</w:t>
      </w:r>
      <w:r>
        <w:rPr>
          <w:spacing w:val="-8"/>
        </w:rPr>
        <w:t> </w:t>
      </w:r>
      <w:r>
        <w:rPr/>
        <w:t>аспират.</w:t>
      </w:r>
      <w:r>
        <w:rPr>
          <w:spacing w:val="-9"/>
        </w:rPr>
        <w:t> </w:t>
      </w:r>
      <w:r>
        <w:rPr/>
        <w:t>У</w:t>
      </w:r>
      <w:r>
        <w:rPr>
          <w:spacing w:val="-8"/>
        </w:rPr>
        <w:t> </w:t>
      </w:r>
      <w:r>
        <w:rPr/>
        <w:t>интубированных</w:t>
      </w:r>
      <w:r>
        <w:rPr>
          <w:spacing w:val="-6"/>
        </w:rPr>
        <w:t> </w:t>
      </w:r>
      <w:r>
        <w:rPr/>
        <w:t>пациентов</w:t>
      </w:r>
      <w:r>
        <w:rPr>
          <w:spacing w:val="-9"/>
        </w:rPr>
        <w:t> </w:t>
      </w:r>
      <w:r>
        <w:rPr/>
        <w:t>(у</w:t>
      </w:r>
      <w:r>
        <w:rPr>
          <w:spacing w:val="-14"/>
        </w:rPr>
        <w:t> </w:t>
      </w:r>
      <w:r>
        <w:rPr/>
        <w:t>пациентов,</w:t>
      </w:r>
      <w:r>
        <w:rPr>
          <w:spacing w:val="-9"/>
        </w:rPr>
        <w:t> </w:t>
      </w:r>
      <w:r>
        <w:rPr/>
        <w:t>находящихся на ИВЛ) с целью выявления SARS-CoV-2 рекомендуется получение и исследование аспирата содержимого трахеи.</w:t>
      </w:r>
    </w:p>
    <w:p>
      <w:pPr>
        <w:pStyle w:val="BodyText"/>
        <w:spacing w:line="360" w:lineRule="auto"/>
        <w:ind w:right="675" w:firstLine="708"/>
      </w:pPr>
      <w:r>
        <w:rPr/>
        <w:t>В качестве дополнительного материала для исследования могут использоваться биопсийный или аутопсийный материал легких, цельная кровь, сыворотка, фекалии.</w:t>
      </w:r>
    </w:p>
    <w:p>
      <w:pPr>
        <w:pStyle w:val="BodyText"/>
        <w:spacing w:line="360" w:lineRule="auto"/>
        <w:ind w:right="671" w:firstLine="708"/>
      </w:pPr>
      <w:r>
        <w:rPr/>
        <w:t>Все образцы, полученные для лабораторного исследования, следует считать потенциально инфицированными, и при работе с ними должны учитываться требования СП 1.3.3118-13 «Безопасность работы с микроорганизмами I - II групп патогенности (опасности)». Медицинские работники, которые собирают или транспортируют</w:t>
      </w:r>
      <w:r>
        <w:rPr>
          <w:spacing w:val="-7"/>
        </w:rPr>
        <w:t> </w:t>
      </w:r>
      <w:r>
        <w:rPr/>
        <w:t>клинические</w:t>
      </w:r>
      <w:r>
        <w:rPr>
          <w:spacing w:val="-8"/>
        </w:rPr>
        <w:t> </w:t>
      </w:r>
      <w:r>
        <w:rPr/>
        <w:t>образцы</w:t>
      </w:r>
      <w:r>
        <w:rPr>
          <w:spacing w:val="-8"/>
        </w:rPr>
        <w:t> </w:t>
      </w:r>
      <w:r>
        <w:rPr/>
        <w:t>в</w:t>
      </w:r>
      <w:r>
        <w:rPr>
          <w:spacing w:val="-8"/>
        </w:rPr>
        <w:t> </w:t>
      </w:r>
      <w:r>
        <w:rPr/>
        <w:t>лабораторию,</w:t>
      </w:r>
      <w:r>
        <w:rPr>
          <w:spacing w:val="-7"/>
        </w:rPr>
        <w:t> </w:t>
      </w:r>
      <w:r>
        <w:rPr/>
        <w:t>должны</w:t>
      </w:r>
      <w:r>
        <w:rPr>
          <w:spacing w:val="-8"/>
        </w:rPr>
        <w:t> </w:t>
      </w:r>
      <w:r>
        <w:rPr/>
        <w:t>быть</w:t>
      </w:r>
      <w:r>
        <w:rPr>
          <w:spacing w:val="-6"/>
        </w:rPr>
        <w:t> </w:t>
      </w:r>
      <w:r>
        <w:rPr/>
        <w:t>обучены</w:t>
      </w:r>
      <w:r>
        <w:rPr>
          <w:spacing w:val="-7"/>
        </w:rPr>
        <w:t> </w:t>
      </w:r>
      <w:r>
        <w:rPr/>
        <w:t>практике</w:t>
      </w:r>
    </w:p>
    <w:p>
      <w:pPr>
        <w:spacing w:after="0" w:line="360" w:lineRule="auto"/>
        <w:sectPr>
          <w:pgSz w:w="11920" w:h="16850"/>
          <w:pgMar w:header="0" w:footer="620" w:top="1440" w:bottom="880" w:left="1380" w:right="600"/>
        </w:sectPr>
      </w:pPr>
    </w:p>
    <w:p>
      <w:pPr>
        <w:pStyle w:val="BodyText"/>
        <w:spacing w:line="360" w:lineRule="auto" w:before="78"/>
        <w:ind w:right="673"/>
      </w:pPr>
      <w:r>
        <w:rPr/>
        <w:t>безопасного обращения с биоматериалом, строго соблюдать меры предосторожности и использовать средства индивидуальной защиты</w:t>
      </w:r>
      <w:r>
        <w:rPr>
          <w:spacing w:val="-2"/>
        </w:rPr>
        <w:t> </w:t>
      </w:r>
      <w:r>
        <w:rPr/>
        <w:t>(СИЗ).</w:t>
      </w:r>
    </w:p>
    <w:p>
      <w:pPr>
        <w:pStyle w:val="BodyText"/>
        <w:spacing w:line="360" w:lineRule="auto"/>
        <w:ind w:right="671" w:firstLine="708"/>
      </w:pPr>
      <w:r>
        <w:rPr/>
        <w:t>Транспортировка образцов осуществляется с соблюдением требований СП 1.2.036-95</w:t>
      </w:r>
      <w:r>
        <w:rPr>
          <w:spacing w:val="-4"/>
        </w:rPr>
        <w:t> </w:t>
      </w:r>
      <w:r>
        <w:rPr/>
        <w:t>«Порядок</w:t>
      </w:r>
      <w:r>
        <w:rPr>
          <w:spacing w:val="-4"/>
        </w:rPr>
        <w:t> </w:t>
      </w:r>
      <w:r>
        <w:rPr/>
        <w:t>учета,</w:t>
      </w:r>
      <w:r>
        <w:rPr>
          <w:spacing w:val="-8"/>
        </w:rPr>
        <w:t> </w:t>
      </w:r>
      <w:r>
        <w:rPr/>
        <w:t>хранения,</w:t>
      </w:r>
      <w:r>
        <w:rPr>
          <w:spacing w:val="-11"/>
        </w:rPr>
        <w:t> </w:t>
      </w:r>
      <w:r>
        <w:rPr/>
        <w:t>передачи</w:t>
      </w:r>
      <w:r>
        <w:rPr>
          <w:spacing w:val="-7"/>
        </w:rPr>
        <w:t> </w:t>
      </w:r>
      <w:r>
        <w:rPr/>
        <w:t>и</w:t>
      </w:r>
      <w:r>
        <w:rPr>
          <w:spacing w:val="-8"/>
        </w:rPr>
        <w:t> </w:t>
      </w:r>
      <w:r>
        <w:rPr/>
        <w:t>транспортирования</w:t>
      </w:r>
      <w:r>
        <w:rPr>
          <w:spacing w:val="-8"/>
        </w:rPr>
        <w:t> </w:t>
      </w:r>
      <w:r>
        <w:rPr/>
        <w:t>микроорганизмов I-IV групп патогенности». На сопровождающем формуляре необходимо указать наименование подозреваемой ОРИ, предварительно уведомив лабораторию о том, какой образец транспортируется. Транспортировка возможна на</w:t>
      </w:r>
      <w:r>
        <w:rPr>
          <w:spacing w:val="-6"/>
        </w:rPr>
        <w:t> </w:t>
      </w:r>
      <w:r>
        <w:rPr/>
        <w:t>льду.</w:t>
      </w:r>
    </w:p>
    <w:p>
      <w:pPr>
        <w:pStyle w:val="BodyText"/>
        <w:tabs>
          <w:tab w:pos="2524" w:val="left" w:leader="none"/>
          <w:tab w:pos="4518" w:val="left" w:leader="none"/>
        </w:tabs>
        <w:spacing w:line="360" w:lineRule="auto"/>
        <w:ind w:right="671" w:firstLine="708"/>
      </w:pPr>
      <w:r>
        <w:rPr/>
        <w:t>Лабораторная диагностика COVID-19 в субъектах Российской Федерации проводится в  лабораториях  Центров  гигиены  и  эпидемиологии  Роспотребнадзора, в</w:t>
      </w:r>
      <w:r>
        <w:rPr>
          <w:spacing w:val="-2"/>
        </w:rPr>
        <w:t> </w:t>
      </w:r>
      <w:r>
        <w:rPr/>
        <w:t>лабораториях</w:t>
        <w:tab/>
        <w:t>медицинских</w:t>
        <w:tab/>
        <w:t>организаций (клинико-диагностических, бактериологических, молекулярно-генетических (ПЦР-лаборатории)) и лабораториях других организаций, имеющих санитарно-эпидемиологическое заключение на работу с возбудителями III-IV группы патогенности с использованием методов диагностики, не  предполагающих  накопление  возбудителя,   соответствующие   условия   работы и обученный    персонал.    Срок    выполнения    исследования    на    выявление    РНК SARS-CoV-2 МАНК в лабораториях медицинских организаций не должен превышать</w:t>
      </w:r>
      <w:r>
        <w:rPr>
          <w:spacing w:val="-9"/>
        </w:rPr>
        <w:t> </w:t>
      </w:r>
      <w:r>
        <w:rPr/>
        <w:t>48</w:t>
      </w:r>
      <w:r>
        <w:rPr>
          <w:spacing w:val="-9"/>
        </w:rPr>
        <w:t> </w:t>
      </w:r>
      <w:r>
        <w:rPr/>
        <w:t>ч</w:t>
      </w:r>
      <w:r>
        <w:rPr>
          <w:spacing w:val="-9"/>
        </w:rPr>
        <w:t> </w:t>
      </w:r>
      <w:r>
        <w:rPr/>
        <w:t>с</w:t>
      </w:r>
      <w:r>
        <w:rPr>
          <w:spacing w:val="-2"/>
        </w:rPr>
        <w:t> </w:t>
      </w:r>
      <w:r>
        <w:rPr/>
        <w:t>момента</w:t>
      </w:r>
      <w:r>
        <w:rPr>
          <w:spacing w:val="-10"/>
        </w:rPr>
        <w:t> </w:t>
      </w:r>
      <w:r>
        <w:rPr/>
        <w:t>получения</w:t>
      </w:r>
      <w:r>
        <w:rPr>
          <w:spacing w:val="-9"/>
        </w:rPr>
        <w:t> </w:t>
      </w:r>
      <w:r>
        <w:rPr/>
        <w:t>биологического</w:t>
      </w:r>
      <w:r>
        <w:rPr>
          <w:spacing w:val="-9"/>
        </w:rPr>
        <w:t> </w:t>
      </w:r>
      <w:r>
        <w:rPr/>
        <w:t>материала.</w:t>
      </w:r>
      <w:r>
        <w:rPr>
          <w:spacing w:val="-9"/>
        </w:rPr>
        <w:t> </w:t>
      </w:r>
      <w:r>
        <w:rPr/>
        <w:t>Лаборатории</w:t>
      </w:r>
      <w:r>
        <w:rPr>
          <w:spacing w:val="-8"/>
        </w:rPr>
        <w:t> </w:t>
      </w:r>
      <w:r>
        <w:rPr/>
        <w:t>должны выдавать заключения по результатам исследований немедленно по их</w:t>
      </w:r>
      <w:r>
        <w:rPr>
          <w:spacing w:val="-12"/>
        </w:rPr>
        <w:t> </w:t>
      </w:r>
      <w:r>
        <w:rPr/>
        <w:t>получению.</w:t>
      </w:r>
    </w:p>
    <w:p>
      <w:pPr>
        <w:pStyle w:val="BodyText"/>
        <w:spacing w:line="360" w:lineRule="auto" w:before="1"/>
        <w:ind w:right="672" w:firstLine="708"/>
      </w:pPr>
      <w:r>
        <w:rPr/>
        <w:t>Положительный или сомнительный результат, полученный в лаборатории медицинской организации, передается лечащему врачу и в ближайший территориальный орган Роспотребнадзора для незамедлительного осуществления лечебных  и  противоэпидемических  мероприятий.  Срок  получения  результата  –   не более 48 часов с момента доставки образца в</w:t>
      </w:r>
      <w:r>
        <w:rPr>
          <w:spacing w:val="-10"/>
        </w:rPr>
        <w:t> </w:t>
      </w:r>
      <w:r>
        <w:rPr/>
        <w:t>лабораторию.</w:t>
      </w:r>
    </w:p>
    <w:p>
      <w:pPr>
        <w:pStyle w:val="BodyText"/>
        <w:spacing w:line="360" w:lineRule="auto"/>
        <w:ind w:right="671" w:firstLine="708"/>
      </w:pPr>
      <w:r>
        <w:rPr/>
        <w:t>Этот  же  материал  может   быть   направлен   для   повторного   тестирования в лаборатории Центров гигигены и эпидемиологии, научно-исследовательских организаций Роспотребнадзора или лаборатории медицинских организаций, определенные  совместным  решением  территориального  органа  Роспотребнадзора  и управления здравоохранением субъекта Федерации (Регионального межведомственного   штаба)   как   референтные.   Срок   выполнения   исследований  в референтной лаборатории – не более 48 часов с момента доставки</w:t>
      </w:r>
      <w:r>
        <w:rPr>
          <w:spacing w:val="-5"/>
        </w:rPr>
        <w:t> </w:t>
      </w:r>
      <w:r>
        <w:rPr/>
        <w:t>образца.</w:t>
      </w:r>
    </w:p>
    <w:p>
      <w:pPr>
        <w:pStyle w:val="BodyText"/>
        <w:spacing w:line="360" w:lineRule="auto"/>
        <w:ind w:right="671" w:firstLine="708"/>
      </w:pPr>
      <w:r>
        <w:rPr/>
        <w:t>Результаты, полученные в лабораториях медицинских организаций, демонстрирующих</w:t>
      </w:r>
      <w:r>
        <w:rPr>
          <w:spacing w:val="-13"/>
        </w:rPr>
        <w:t> </w:t>
      </w:r>
      <w:r>
        <w:rPr/>
        <w:t>стабильное</w:t>
      </w:r>
      <w:r>
        <w:rPr>
          <w:spacing w:val="-15"/>
        </w:rPr>
        <w:t> </w:t>
      </w:r>
      <w:r>
        <w:rPr/>
        <w:t>совпадение</w:t>
      </w:r>
      <w:r>
        <w:rPr>
          <w:spacing w:val="-15"/>
        </w:rPr>
        <w:t> </w:t>
      </w:r>
      <w:r>
        <w:rPr/>
        <w:t>с</w:t>
      </w:r>
      <w:r>
        <w:rPr>
          <w:spacing w:val="-15"/>
        </w:rPr>
        <w:t> </w:t>
      </w:r>
      <w:r>
        <w:rPr/>
        <w:t>результатами</w:t>
      </w:r>
      <w:r>
        <w:rPr>
          <w:spacing w:val="-13"/>
        </w:rPr>
        <w:t> </w:t>
      </w:r>
      <w:r>
        <w:rPr/>
        <w:t>исследований</w:t>
      </w:r>
      <w:r>
        <w:rPr>
          <w:spacing w:val="-13"/>
        </w:rPr>
        <w:t> </w:t>
      </w:r>
      <w:r>
        <w:rPr/>
        <w:t>в</w:t>
      </w:r>
      <w:r>
        <w:rPr>
          <w:spacing w:val="-15"/>
        </w:rPr>
        <w:t> </w:t>
      </w:r>
      <w:r>
        <w:rPr/>
        <w:t>референтной лаборатории, не требуют повторного тестирования. Стабильность совпадения определяется</w:t>
      </w:r>
      <w:r>
        <w:rPr>
          <w:spacing w:val="18"/>
        </w:rPr>
        <w:t> </w:t>
      </w:r>
      <w:r>
        <w:rPr/>
        <w:t>как</w:t>
      </w:r>
      <w:r>
        <w:rPr>
          <w:spacing w:val="19"/>
        </w:rPr>
        <w:t> </w:t>
      </w:r>
      <w:r>
        <w:rPr/>
        <w:t>получение</w:t>
      </w:r>
      <w:r>
        <w:rPr>
          <w:spacing w:val="17"/>
        </w:rPr>
        <w:t> </w:t>
      </w:r>
      <w:r>
        <w:rPr/>
        <w:t>в</w:t>
      </w:r>
      <w:r>
        <w:rPr>
          <w:spacing w:val="18"/>
        </w:rPr>
        <w:t> </w:t>
      </w:r>
      <w:r>
        <w:rPr/>
        <w:t>динамике</w:t>
      </w:r>
      <w:r>
        <w:rPr>
          <w:spacing w:val="17"/>
        </w:rPr>
        <w:t> </w:t>
      </w:r>
      <w:r>
        <w:rPr/>
        <w:t>сходимости</w:t>
      </w:r>
      <w:r>
        <w:rPr>
          <w:spacing w:val="19"/>
        </w:rPr>
        <w:t> </w:t>
      </w:r>
      <w:r>
        <w:rPr/>
        <w:t>результатов</w:t>
      </w:r>
      <w:r>
        <w:rPr>
          <w:spacing w:val="18"/>
        </w:rPr>
        <w:t> </w:t>
      </w:r>
      <w:r>
        <w:rPr/>
        <w:t>положительных</w:t>
      </w:r>
    </w:p>
    <w:p>
      <w:pPr>
        <w:spacing w:after="0" w:line="360" w:lineRule="auto"/>
        <w:sectPr>
          <w:pgSz w:w="11920" w:h="16850"/>
          <w:pgMar w:header="0" w:footer="620" w:top="1060" w:bottom="880" w:left="1380" w:right="600"/>
        </w:sectPr>
      </w:pPr>
    </w:p>
    <w:p>
      <w:pPr>
        <w:pStyle w:val="BodyText"/>
        <w:spacing w:line="360" w:lineRule="auto" w:before="78"/>
        <w:ind w:right="672"/>
      </w:pPr>
      <w:r>
        <w:rPr/>
        <w:t>(сомнительных)</w:t>
      </w:r>
      <w:r>
        <w:rPr>
          <w:spacing w:val="-7"/>
        </w:rPr>
        <w:t> </w:t>
      </w:r>
      <w:r>
        <w:rPr/>
        <w:t>проб</w:t>
      </w:r>
      <w:r>
        <w:rPr>
          <w:spacing w:val="-5"/>
        </w:rPr>
        <w:t> </w:t>
      </w:r>
      <w:r>
        <w:rPr/>
        <w:t>(85%</w:t>
      </w:r>
      <w:r>
        <w:rPr>
          <w:spacing w:val="-6"/>
        </w:rPr>
        <w:t> </w:t>
      </w:r>
      <w:r>
        <w:rPr/>
        <w:t>и</w:t>
      </w:r>
      <w:r>
        <w:rPr>
          <w:spacing w:val="-5"/>
        </w:rPr>
        <w:t> </w:t>
      </w:r>
      <w:r>
        <w:rPr/>
        <w:t>более</w:t>
      </w:r>
      <w:r>
        <w:rPr>
          <w:spacing w:val="-6"/>
        </w:rPr>
        <w:t> </w:t>
      </w:r>
      <w:r>
        <w:rPr/>
        <w:t>в</w:t>
      </w:r>
      <w:r>
        <w:rPr>
          <w:spacing w:val="-6"/>
        </w:rPr>
        <w:t> </w:t>
      </w:r>
      <w:r>
        <w:rPr/>
        <w:t>течение</w:t>
      </w:r>
      <w:r>
        <w:rPr>
          <w:spacing w:val="-7"/>
        </w:rPr>
        <w:t> </w:t>
      </w:r>
      <w:r>
        <w:rPr/>
        <w:t>10</w:t>
      </w:r>
      <w:r>
        <w:rPr>
          <w:spacing w:val="-5"/>
        </w:rPr>
        <w:t> </w:t>
      </w:r>
      <w:r>
        <w:rPr/>
        <w:t>дней),</w:t>
      </w:r>
      <w:r>
        <w:rPr>
          <w:spacing w:val="-5"/>
        </w:rPr>
        <w:t> </w:t>
      </w:r>
      <w:r>
        <w:rPr/>
        <w:t>а</w:t>
      </w:r>
      <w:r>
        <w:rPr>
          <w:spacing w:val="-7"/>
        </w:rPr>
        <w:t> </w:t>
      </w:r>
      <w:r>
        <w:rPr/>
        <w:t>также</w:t>
      </w:r>
      <w:r>
        <w:rPr>
          <w:spacing w:val="-6"/>
        </w:rPr>
        <w:t> </w:t>
      </w:r>
      <w:r>
        <w:rPr/>
        <w:t>выполнение</w:t>
      </w:r>
      <w:r>
        <w:rPr>
          <w:spacing w:val="-6"/>
        </w:rPr>
        <w:t> </w:t>
      </w:r>
      <w:r>
        <w:rPr/>
        <w:t>требований по  обеспечению   биологической   безопасности   в   лабораториях   в   соответствии   с имеющимся    санитарно-эпидемиологическим    заключением     (в     соответствии  с Методическими рекомендациями MP 3.1.0169-20 в редакции МР</w:t>
      </w:r>
      <w:r>
        <w:rPr>
          <w:spacing w:val="33"/>
        </w:rPr>
        <w:t> </w:t>
      </w:r>
      <w:r>
        <w:rPr/>
        <w:t>3.1.0174-20</w:t>
      </w:r>
    </w:p>
    <w:p>
      <w:pPr>
        <w:pStyle w:val="BodyText"/>
        <w:spacing w:line="360" w:lineRule="auto"/>
        <w:ind w:right="684"/>
      </w:pPr>
      <w:r>
        <w:rPr/>
        <w:t>«Изменения No 1 в МР 3.1.0170-20 «Лабораторная диагностика COVID-19», утвержденных Роспотребнадзором 30.04.2020).</w:t>
      </w:r>
    </w:p>
    <w:p>
      <w:pPr>
        <w:pStyle w:val="BodyText"/>
        <w:spacing w:line="360" w:lineRule="auto"/>
        <w:ind w:right="667" w:firstLine="708"/>
      </w:pPr>
      <w:r>
        <w:rPr/>
        <w:t>Медицинские организации, в соответствии с действующим санитарным законодательством, направляют экстренное извещение (список, заверенный медицинской организацией) в территориальные органы Роспотребнадзора. Учет больных COVID-19 и внесение в отчетные формы Роспотребнадзора проводится территориальными органами Роспотребнадзора только по полученным экстренным извещениям (спискам, заверенным медицинской организацией).</w:t>
      </w:r>
    </w:p>
    <w:p>
      <w:pPr>
        <w:pStyle w:val="Heading3"/>
        <w:spacing w:line="360" w:lineRule="auto"/>
        <w:ind w:left="321" w:right="673" w:firstLine="708"/>
      </w:pPr>
      <w:r>
        <w:rPr/>
        <w:t>Медицинские организации, выявившие  случай  заболевания  COVID-19  (в т.ч. подозрительный), вносят  информацию о нем в информационный  ресурс  в соответствии   с   постановлением   Правительства    Российской    Федерации от 31</w:t>
      </w:r>
      <w:r>
        <w:rPr>
          <w:spacing w:val="-1"/>
        </w:rPr>
        <w:t> </w:t>
      </w:r>
      <w:r>
        <w:rPr/>
        <w:t>марта</w:t>
      </w:r>
      <w:r>
        <w:rPr>
          <w:spacing w:val="-4"/>
        </w:rPr>
        <w:t> </w:t>
      </w:r>
      <w:r>
        <w:rPr/>
        <w:t>2020</w:t>
      </w:r>
      <w:r>
        <w:rPr>
          <w:spacing w:val="-4"/>
        </w:rPr>
        <w:t> </w:t>
      </w:r>
      <w:r>
        <w:rPr/>
        <w:t>г.</w:t>
      </w:r>
      <w:r>
        <w:rPr>
          <w:spacing w:val="-4"/>
        </w:rPr>
        <w:t> </w:t>
      </w:r>
      <w:r>
        <w:rPr/>
        <w:t>№</w:t>
      </w:r>
      <w:r>
        <w:rPr>
          <w:spacing w:val="-7"/>
        </w:rPr>
        <w:t> </w:t>
      </w:r>
      <w:r>
        <w:rPr/>
        <w:t>373</w:t>
      </w:r>
      <w:r>
        <w:rPr>
          <w:spacing w:val="-4"/>
        </w:rPr>
        <w:t> </w:t>
      </w:r>
      <w:r>
        <w:rPr/>
        <w:t>(ред.</w:t>
      </w:r>
      <w:r>
        <w:rPr>
          <w:spacing w:val="-4"/>
        </w:rPr>
        <w:t> </w:t>
      </w:r>
      <w:r>
        <w:rPr/>
        <w:t>от</w:t>
      </w:r>
      <w:r>
        <w:rPr>
          <w:spacing w:val="-2"/>
        </w:rPr>
        <w:t> </w:t>
      </w:r>
      <w:r>
        <w:rPr/>
        <w:t>05.06.2020)</w:t>
      </w:r>
      <w:r>
        <w:rPr>
          <w:spacing w:val="-7"/>
        </w:rPr>
        <w:t> </w:t>
      </w:r>
      <w:r>
        <w:rPr/>
        <w:t>«Об</w:t>
      </w:r>
      <w:r>
        <w:rPr>
          <w:spacing w:val="-4"/>
        </w:rPr>
        <w:t> </w:t>
      </w:r>
      <w:r>
        <w:rPr/>
        <w:t>утверждении</w:t>
      </w:r>
      <w:r>
        <w:rPr>
          <w:spacing w:val="-3"/>
        </w:rPr>
        <w:t> </w:t>
      </w:r>
      <w:r>
        <w:rPr/>
        <w:t>Временных</w:t>
      </w:r>
      <w:r>
        <w:rPr>
          <w:spacing w:val="-4"/>
        </w:rPr>
        <w:t> </w:t>
      </w:r>
      <w:r>
        <w:rPr/>
        <w:t>правил учета информации в целях предотвращения распространения новой коронавирусной инфекции</w:t>
      </w:r>
      <w:r>
        <w:rPr>
          <w:spacing w:val="-3"/>
        </w:rPr>
        <w:t> </w:t>
      </w:r>
      <w:r>
        <w:rPr/>
        <w:t>(COVID-19)».</w:t>
      </w:r>
    </w:p>
    <w:p>
      <w:pPr>
        <w:pStyle w:val="BodyText"/>
        <w:spacing w:line="360" w:lineRule="auto" w:before="1"/>
        <w:ind w:right="671" w:firstLine="708"/>
      </w:pPr>
      <w:r>
        <w:rPr/>
        <w:t>Для проведения дифференциальной диагностики у всех заболевших проводят исследования</w:t>
      </w:r>
      <w:r>
        <w:rPr>
          <w:spacing w:val="-13"/>
        </w:rPr>
        <w:t> </w:t>
      </w:r>
      <w:r>
        <w:rPr/>
        <w:t>с</w:t>
      </w:r>
      <w:r>
        <w:rPr>
          <w:spacing w:val="-13"/>
        </w:rPr>
        <w:t> </w:t>
      </w:r>
      <w:r>
        <w:rPr/>
        <w:t>применением</w:t>
      </w:r>
      <w:r>
        <w:rPr>
          <w:spacing w:val="-12"/>
        </w:rPr>
        <w:t> </w:t>
      </w:r>
      <w:r>
        <w:rPr/>
        <w:t>МАНК</w:t>
      </w:r>
      <w:r>
        <w:rPr>
          <w:spacing w:val="-12"/>
        </w:rPr>
        <w:t> </w:t>
      </w:r>
      <w:r>
        <w:rPr/>
        <w:t>на</w:t>
      </w:r>
      <w:r>
        <w:rPr>
          <w:spacing w:val="-13"/>
        </w:rPr>
        <w:t> </w:t>
      </w:r>
      <w:r>
        <w:rPr/>
        <w:t>возбудители</w:t>
      </w:r>
      <w:r>
        <w:rPr>
          <w:spacing w:val="-11"/>
        </w:rPr>
        <w:t> </w:t>
      </w:r>
      <w:r>
        <w:rPr/>
        <w:t>респираторных</w:t>
      </w:r>
      <w:r>
        <w:rPr>
          <w:spacing w:val="-13"/>
        </w:rPr>
        <w:t> </w:t>
      </w:r>
      <w:r>
        <w:rPr/>
        <w:t>инфекций:</w:t>
      </w:r>
      <w:r>
        <w:rPr>
          <w:spacing w:val="-12"/>
        </w:rPr>
        <w:t> </w:t>
      </w:r>
      <w:r>
        <w:rPr/>
        <w:t>вирусы гриппа типа А и В, респираторно-синцитиальный вирус, вирусы парагриппа, риновирусы, аденовирусы, человеческие метапневмовирусы, MERS-CoV. Рекомендуется проведение микробиологической диагностики (культуральное исследование) и/или ПЦР-диагностики на </w:t>
      </w:r>
      <w:r>
        <w:rPr>
          <w:i/>
        </w:rPr>
        <w:t>Streptococcus pneumoniae, Haemophilus </w:t>
      </w:r>
      <w:r>
        <w:rPr>
          <w:i/>
        </w:rPr>
        <w:t>influenzae type </w:t>
      </w:r>
      <w:r>
        <w:rPr/>
        <w:t>B, </w:t>
      </w:r>
      <w:r>
        <w:rPr>
          <w:i/>
        </w:rPr>
        <w:t>Legionella pneumophila</w:t>
      </w:r>
      <w:r>
        <w:rPr/>
        <w:t>, а также иных возбудителей бактериальных респираторных инфекций нижних дыхательных путей. Для экспресс-диагностики могут   использоваться   экспресс-тесты    с    целью    выявления    пневмококковой    и легионеллезной</w:t>
      </w:r>
      <w:r>
        <w:rPr>
          <w:spacing w:val="1"/>
        </w:rPr>
        <w:t> </w:t>
      </w:r>
      <w:r>
        <w:rPr/>
        <w:t>антигенурии.</w:t>
      </w:r>
    </w:p>
    <w:p>
      <w:pPr>
        <w:pStyle w:val="BodyText"/>
        <w:spacing w:line="360" w:lineRule="auto"/>
        <w:ind w:right="671" w:firstLine="708"/>
      </w:pPr>
      <w:r>
        <w:rPr/>
        <w:t>Выявление антител к SARS-CoV-2 имеет вспомогательное значение для диагностики текущей инфекции и основное для оценки иммунного ответа на текущую или перенесенную инфекцию.  Антитела  класса  А  (IgA)  начинают  формироваться  и доступны для детекции примерно со 2 дня от начала заболевания, достигают пика через 2 недели и сохраняются длительное время. Антитела класса М (IgM) начинают выявляться примерно на 7-е сутки от начала заражения, достигают пика через</w:t>
      </w:r>
      <w:r>
        <w:rPr>
          <w:spacing w:val="10"/>
        </w:rPr>
        <w:t> </w:t>
      </w:r>
      <w:r>
        <w:rPr/>
        <w:t>неделю</w:t>
      </w:r>
    </w:p>
    <w:p>
      <w:pPr>
        <w:spacing w:after="0" w:line="360" w:lineRule="auto"/>
        <w:sectPr>
          <w:pgSz w:w="11920" w:h="16850"/>
          <w:pgMar w:header="0" w:footer="620" w:top="1060" w:bottom="880" w:left="1380" w:right="600"/>
        </w:sectPr>
      </w:pPr>
    </w:p>
    <w:p>
      <w:pPr>
        <w:pStyle w:val="BodyText"/>
        <w:spacing w:line="360" w:lineRule="auto" w:before="78"/>
        <w:ind w:right="673"/>
      </w:pPr>
      <w:r>
        <w:rPr/>
        <w:t>и могут сохраняться в течение 2-х месяцев и более. Примерно с 3-й недели или ранее определяются антитела класса G (IgG) к SARS-CoV-2. Особенностью иммунного антительного ответа на инфекцию SARS-CoV-2 является небольшой временной промежуток между появлением антител </w:t>
      </w:r>
      <w:r>
        <w:rPr>
          <w:spacing w:val="-3"/>
        </w:rPr>
        <w:t>IgM </w:t>
      </w:r>
      <w:r>
        <w:rPr/>
        <w:t>и IgG, а иногда и одновременное их формирование.</w:t>
      </w:r>
    </w:p>
    <w:p>
      <w:pPr>
        <w:pStyle w:val="BodyText"/>
        <w:spacing w:line="360" w:lineRule="auto"/>
        <w:ind w:right="672" w:firstLine="708"/>
      </w:pPr>
      <w:r>
        <w:rPr/>
        <w:t>С целью диагностики COVID-19 рекомендуется проведение раздельного тестирования</w:t>
      </w:r>
      <w:r>
        <w:rPr>
          <w:spacing w:val="-14"/>
        </w:rPr>
        <w:t> </w:t>
      </w:r>
      <w:r>
        <w:rPr/>
        <w:t>на</w:t>
      </w:r>
      <w:r>
        <w:rPr>
          <w:spacing w:val="-14"/>
        </w:rPr>
        <w:t> </w:t>
      </w:r>
      <w:r>
        <w:rPr/>
        <w:t>антитела</w:t>
      </w:r>
      <w:r>
        <w:rPr>
          <w:spacing w:val="-14"/>
        </w:rPr>
        <w:t> </w:t>
      </w:r>
      <w:r>
        <w:rPr/>
        <w:t>класса</w:t>
      </w:r>
      <w:r>
        <w:rPr>
          <w:spacing w:val="-12"/>
        </w:rPr>
        <w:t> </w:t>
      </w:r>
      <w:r>
        <w:rPr/>
        <w:t>IgM/IgA</w:t>
      </w:r>
      <w:r>
        <w:rPr>
          <w:spacing w:val="-12"/>
        </w:rPr>
        <w:t> </w:t>
      </w:r>
      <w:r>
        <w:rPr/>
        <w:t>и</w:t>
      </w:r>
      <w:r>
        <w:rPr>
          <w:spacing w:val="-10"/>
        </w:rPr>
        <w:t> </w:t>
      </w:r>
      <w:r>
        <w:rPr/>
        <w:t>IgG,</w:t>
      </w:r>
      <w:r>
        <w:rPr>
          <w:spacing w:val="-14"/>
        </w:rPr>
        <w:t> </w:t>
      </w:r>
      <w:r>
        <w:rPr/>
        <w:t>а</w:t>
      </w:r>
      <w:r>
        <w:rPr>
          <w:spacing w:val="-14"/>
        </w:rPr>
        <w:t> </w:t>
      </w:r>
      <w:r>
        <w:rPr/>
        <w:t>также</w:t>
      </w:r>
      <w:r>
        <w:rPr>
          <w:spacing w:val="-12"/>
        </w:rPr>
        <w:t> </w:t>
      </w:r>
      <w:r>
        <w:rPr/>
        <w:t>мониторинг</w:t>
      </w:r>
      <w:r>
        <w:rPr>
          <w:spacing w:val="-16"/>
        </w:rPr>
        <w:t> </w:t>
      </w:r>
      <w:r>
        <w:rPr/>
        <w:t>появления</w:t>
      </w:r>
      <w:r>
        <w:rPr>
          <w:spacing w:val="-14"/>
        </w:rPr>
        <w:t> </w:t>
      </w:r>
      <w:r>
        <w:rPr/>
        <w:t>антител в динамике (детекция сероконверсии) — повторное тестирование в неясных случаях через 5-7 дней.</w:t>
      </w:r>
    </w:p>
    <w:p>
      <w:pPr>
        <w:pStyle w:val="BodyText"/>
        <w:spacing w:line="360" w:lineRule="auto"/>
        <w:ind w:right="672" w:firstLine="708"/>
      </w:pPr>
      <w:r>
        <w:rPr/>
        <w:t>Для определения наличия </w:t>
      </w:r>
      <w:r>
        <w:rPr>
          <w:spacing w:val="-3"/>
        </w:rPr>
        <w:t>IgG  </w:t>
      </w:r>
      <w:r>
        <w:rPr/>
        <w:t>рекомендуется использовать наборы реагентов  с количественным определением титра антител, что позволит оценивать напряженность иммунитета в динамике и проводить отбор потенциальных доноров иммунокомпетентной</w:t>
      </w:r>
      <w:r>
        <w:rPr>
          <w:spacing w:val="-3"/>
        </w:rPr>
        <w:t> </w:t>
      </w:r>
      <w:r>
        <w:rPr/>
        <w:t>плазмы.</w:t>
      </w:r>
    </w:p>
    <w:p>
      <w:pPr>
        <w:pStyle w:val="BodyText"/>
        <w:spacing w:line="360" w:lineRule="auto"/>
        <w:ind w:right="669" w:firstLine="708"/>
      </w:pPr>
      <w:r>
        <w:rPr/>
        <w:t>Для минимизации ложноположительных результатов рекомендуется ввести алгоритм последовательного тестирования пациентов, у которых получены первоначальные положительные результаты на антитела классов  IgM/IgA или  IgG,    с использованием другого теста. С этой целью необходимо использовать тест-систему с максимальными чувствительностью и специфичностью, а также с одновременным выявлением антител классов A, M, G, которая будет играть роль референтной (верифицирующей) тест-системы. В качестве такой тест-системы может использоваться тест-система для выявления рецептор-связывающего домена поверхностного гликопротеинта S SARS-CoV-2. Использование такого алгоритма позволит выполнять надежную</w:t>
      </w:r>
      <w:r>
        <w:rPr>
          <w:spacing w:val="-1"/>
        </w:rPr>
        <w:t> </w:t>
      </w:r>
      <w:r>
        <w:rPr/>
        <w:t>диагностику.</w:t>
      </w:r>
    </w:p>
    <w:p>
      <w:pPr>
        <w:pStyle w:val="BodyText"/>
        <w:spacing w:line="360" w:lineRule="auto"/>
        <w:ind w:right="673" w:firstLine="708"/>
      </w:pPr>
      <w:r>
        <w:rPr/>
        <w:t>Тестирование на антитела к вирусу SARS-Cov-2 рекомендуется использовать   в следующих случаях:</w:t>
      </w:r>
    </w:p>
    <w:p>
      <w:pPr>
        <w:pStyle w:val="ListParagraph"/>
        <w:numPr>
          <w:ilvl w:val="0"/>
          <w:numId w:val="16"/>
        </w:numPr>
        <w:tabs>
          <w:tab w:pos="1316" w:val="left" w:leader="none"/>
        </w:tabs>
        <w:spacing w:line="360" w:lineRule="auto" w:before="0" w:after="0"/>
        <w:ind w:left="321" w:right="672" w:firstLine="708"/>
        <w:jc w:val="both"/>
        <w:rPr>
          <w:sz w:val="24"/>
        </w:rPr>
      </w:pPr>
      <w:r>
        <w:rPr>
          <w:sz w:val="24"/>
        </w:rPr>
        <w:t>в качестве дополнительного метода диагностики острой инфекции (с учетом сероненгативного периода) или при невозможности исследования мазков методом амплификации нуклеиновых кислот, в том числе при госпитализации в стационар по поводу соматической</w:t>
      </w:r>
      <w:r>
        <w:rPr>
          <w:spacing w:val="-4"/>
          <w:sz w:val="24"/>
        </w:rPr>
        <w:t> </w:t>
      </w:r>
      <w:r>
        <w:rPr>
          <w:sz w:val="24"/>
        </w:rPr>
        <w:t>патологии;</w:t>
      </w:r>
    </w:p>
    <w:p>
      <w:pPr>
        <w:pStyle w:val="ListParagraph"/>
        <w:numPr>
          <w:ilvl w:val="0"/>
          <w:numId w:val="16"/>
        </w:numPr>
        <w:tabs>
          <w:tab w:pos="1316" w:val="left" w:leader="none"/>
        </w:tabs>
        <w:spacing w:line="240" w:lineRule="auto" w:before="0" w:after="0"/>
        <w:ind w:left="1315" w:right="0" w:hanging="287"/>
        <w:jc w:val="both"/>
        <w:rPr>
          <w:sz w:val="24"/>
        </w:rPr>
      </w:pPr>
      <w:r>
        <w:rPr>
          <w:sz w:val="24"/>
        </w:rPr>
        <w:t>для выявления лиц с бессимптомной формой</w:t>
      </w:r>
      <w:r>
        <w:rPr>
          <w:spacing w:val="-2"/>
          <w:sz w:val="24"/>
        </w:rPr>
        <w:t> </w:t>
      </w:r>
      <w:r>
        <w:rPr>
          <w:sz w:val="24"/>
        </w:rPr>
        <w:t>инфекции;</w:t>
      </w:r>
    </w:p>
    <w:p>
      <w:pPr>
        <w:pStyle w:val="ListParagraph"/>
        <w:numPr>
          <w:ilvl w:val="0"/>
          <w:numId w:val="16"/>
        </w:numPr>
        <w:tabs>
          <w:tab w:pos="1316" w:val="left" w:leader="none"/>
        </w:tabs>
        <w:spacing w:line="360" w:lineRule="auto" w:before="139" w:after="0"/>
        <w:ind w:left="321" w:right="672" w:firstLine="708"/>
        <w:jc w:val="both"/>
        <w:rPr>
          <w:sz w:val="24"/>
        </w:rPr>
      </w:pPr>
      <w:r>
        <w:rPr>
          <w:sz w:val="24"/>
        </w:rPr>
        <w:t>для установления факта перенесенной ранее инфекции при обследовании групп риска и проведении массового обследования населения для оценки уровня популяционного</w:t>
      </w:r>
      <w:r>
        <w:rPr>
          <w:spacing w:val="-1"/>
          <w:sz w:val="24"/>
        </w:rPr>
        <w:t> </w:t>
      </w:r>
      <w:r>
        <w:rPr>
          <w:sz w:val="24"/>
        </w:rPr>
        <w:t>иммунитета;</w:t>
      </w:r>
    </w:p>
    <w:p>
      <w:pPr>
        <w:pStyle w:val="ListParagraph"/>
        <w:numPr>
          <w:ilvl w:val="0"/>
          <w:numId w:val="16"/>
        </w:numPr>
        <w:tabs>
          <w:tab w:pos="1224" w:val="left" w:leader="none"/>
        </w:tabs>
        <w:spacing w:line="275" w:lineRule="exact" w:before="0" w:after="0"/>
        <w:ind w:left="1224" w:right="0" w:hanging="195"/>
        <w:jc w:val="both"/>
        <w:rPr>
          <w:sz w:val="24"/>
        </w:rPr>
      </w:pPr>
      <w:r>
        <w:rPr>
          <w:sz w:val="24"/>
        </w:rPr>
        <w:t>для отбора потенциальных доноров иммунокомпетентной</w:t>
      </w:r>
      <w:r>
        <w:rPr>
          <w:spacing w:val="-6"/>
          <w:sz w:val="24"/>
        </w:rPr>
        <w:t> </w:t>
      </w:r>
      <w:r>
        <w:rPr>
          <w:sz w:val="24"/>
        </w:rPr>
        <w:t>плазмы.</w:t>
      </w:r>
    </w:p>
    <w:p>
      <w:pPr>
        <w:spacing w:after="0" w:line="275" w:lineRule="exact"/>
        <w:jc w:val="both"/>
        <w:rPr>
          <w:sz w:val="24"/>
        </w:rPr>
        <w:sectPr>
          <w:pgSz w:w="11920" w:h="16850"/>
          <w:pgMar w:header="0" w:footer="620" w:top="1060" w:bottom="880" w:left="1380" w:right="600"/>
        </w:sectPr>
      </w:pPr>
    </w:p>
    <w:p>
      <w:pPr>
        <w:pStyle w:val="BodyText"/>
        <w:spacing w:line="360" w:lineRule="auto" w:before="78"/>
        <w:ind w:right="671" w:firstLine="708"/>
      </w:pPr>
      <w:r>
        <w:rPr/>
        <w:t>Лабораторное обследование на IgА, IgM и/или IgG (в отдельных исследованиях или</w:t>
      </w:r>
      <w:r>
        <w:rPr>
          <w:spacing w:val="-11"/>
        </w:rPr>
        <w:t> </w:t>
      </w:r>
      <w:r>
        <w:rPr/>
        <w:t>суммарно)</w:t>
      </w:r>
      <w:r>
        <w:rPr>
          <w:spacing w:val="-10"/>
        </w:rPr>
        <w:t> </w:t>
      </w:r>
      <w:r>
        <w:rPr/>
        <w:t>к</w:t>
      </w:r>
      <w:r>
        <w:rPr>
          <w:spacing w:val="-10"/>
        </w:rPr>
        <w:t> </w:t>
      </w:r>
      <w:r>
        <w:rPr/>
        <w:t>SARS-CoV-2</w:t>
      </w:r>
      <w:r>
        <w:rPr>
          <w:spacing w:val="-11"/>
        </w:rPr>
        <w:t> </w:t>
      </w:r>
      <w:r>
        <w:rPr/>
        <w:t>рекомендуется</w:t>
      </w:r>
      <w:r>
        <w:rPr>
          <w:spacing w:val="-11"/>
        </w:rPr>
        <w:t> </w:t>
      </w:r>
      <w:r>
        <w:rPr/>
        <w:t>проводить</w:t>
      </w:r>
      <w:r>
        <w:rPr>
          <w:spacing w:val="-10"/>
        </w:rPr>
        <w:t> </w:t>
      </w:r>
      <w:r>
        <w:rPr/>
        <w:t>всем</w:t>
      </w:r>
      <w:r>
        <w:rPr>
          <w:spacing w:val="-11"/>
        </w:rPr>
        <w:t> </w:t>
      </w:r>
      <w:r>
        <w:rPr/>
        <w:t>медработникам,</w:t>
      </w:r>
      <w:r>
        <w:rPr>
          <w:spacing w:val="-11"/>
        </w:rPr>
        <w:t> </w:t>
      </w:r>
      <w:r>
        <w:rPr/>
        <w:t>которым не проводилось такое исследование ранее или если был получен отрицательный результат. Кратность обследования 1 раз в 7</w:t>
      </w:r>
      <w:r>
        <w:rPr>
          <w:spacing w:val="7"/>
        </w:rPr>
        <w:t> </w:t>
      </w:r>
      <w:r>
        <w:rPr/>
        <w:t>дней.</w:t>
      </w:r>
    </w:p>
    <w:p>
      <w:pPr>
        <w:pStyle w:val="BodyText"/>
        <w:spacing w:line="360" w:lineRule="auto"/>
        <w:ind w:right="672" w:firstLine="708"/>
      </w:pPr>
      <w:r>
        <w:rPr/>
        <w:t>Рекомендуется   проводить    тестирование    всех    пациентов,    поступающих в медицинские организации для оказания плановой медицинской помощи, на наличие IgА,  IgM  и/или  </w:t>
      </w:r>
      <w:r>
        <w:rPr>
          <w:spacing w:val="-3"/>
        </w:rPr>
        <w:t>IgG  </w:t>
      </w:r>
      <w:r>
        <w:rPr/>
        <w:t>(в  отдельных  исследованиях  или  суммарно)  к  SARS-CoV-2   c помощью иммунохимических методов диагностики (иммуноферментный анализ, иммунохемилюминесцентный анализа, иммунохроматографический</w:t>
      </w:r>
      <w:r>
        <w:rPr>
          <w:spacing w:val="-1"/>
        </w:rPr>
        <w:t> </w:t>
      </w:r>
      <w:r>
        <w:rPr/>
        <w:t>анализ).</w:t>
      </w:r>
    </w:p>
    <w:p>
      <w:pPr>
        <w:pStyle w:val="BodyText"/>
        <w:spacing w:line="360" w:lineRule="auto"/>
        <w:ind w:right="669" w:firstLine="708"/>
      </w:pPr>
      <w:r>
        <w:rPr/>
        <w:t>При оценке напряженности поствакцинального протективного иммунитета методом</w:t>
      </w:r>
      <w:r>
        <w:rPr>
          <w:spacing w:val="-8"/>
        </w:rPr>
        <w:t> </w:t>
      </w:r>
      <w:r>
        <w:rPr/>
        <w:t>иммуноферментного</w:t>
      </w:r>
      <w:r>
        <w:rPr>
          <w:spacing w:val="-10"/>
        </w:rPr>
        <w:t> </w:t>
      </w:r>
      <w:r>
        <w:rPr/>
        <w:t>анализа</w:t>
      </w:r>
      <w:r>
        <w:rPr>
          <w:spacing w:val="-8"/>
        </w:rPr>
        <w:t> </w:t>
      </w:r>
      <w:r>
        <w:rPr/>
        <w:t>рекомендуется</w:t>
      </w:r>
      <w:r>
        <w:rPr>
          <w:spacing w:val="-7"/>
        </w:rPr>
        <w:t> </w:t>
      </w:r>
      <w:r>
        <w:rPr/>
        <w:t>определение</w:t>
      </w:r>
      <w:r>
        <w:rPr>
          <w:spacing w:val="-8"/>
        </w:rPr>
        <w:t> </w:t>
      </w:r>
      <w:r>
        <w:rPr/>
        <w:t>антител</w:t>
      </w:r>
      <w:r>
        <w:rPr>
          <w:spacing w:val="-7"/>
        </w:rPr>
        <w:t> </w:t>
      </w:r>
      <w:r>
        <w:rPr/>
        <w:t>к</w:t>
      </w:r>
      <w:r>
        <w:rPr>
          <w:spacing w:val="-8"/>
        </w:rPr>
        <w:t> </w:t>
      </w:r>
      <w:r>
        <w:rPr/>
        <w:t>рецептор- связывающему домену (анти-RBD</w:t>
      </w:r>
      <w:r>
        <w:rPr>
          <w:spacing w:val="-10"/>
        </w:rPr>
        <w:t> </w:t>
      </w:r>
      <w:r>
        <w:rPr/>
        <w:t>антител).</w:t>
      </w:r>
    </w:p>
    <w:p>
      <w:pPr>
        <w:pStyle w:val="BodyText"/>
        <w:spacing w:line="360" w:lineRule="auto"/>
        <w:ind w:right="671" w:firstLine="708"/>
      </w:pPr>
      <w:r>
        <w:rPr/>
        <w:t>В качестве материала для проведения лабораторных исследований на наличие IgА, IgM и/или IgG (в отдельных исследованиях или суммарно) к SARS-CoV-2 используется кровь или другие виды биоматериала в соответствии с инструкцией применяемого набора реагентов.</w:t>
      </w:r>
    </w:p>
    <w:p>
      <w:pPr>
        <w:pStyle w:val="BodyText"/>
        <w:spacing w:line="360" w:lineRule="auto" w:before="1"/>
        <w:ind w:right="672" w:firstLine="708"/>
      </w:pPr>
      <w:r>
        <w:rPr/>
        <w:t>Перечень зарегистрированных в Российской Федерации диагностических наборов реагентов для выявления иммуноглобулинов к SARS-CoV-2 </w:t>
      </w:r>
      <w:hyperlink w:history="true" w:anchor="_bookmark50">
        <w:r>
          <w:rPr>
            <w:color w:val="0562C1"/>
            <w:u w:val="single" w:color="0562C1"/>
          </w:rPr>
          <w:t>(Приложения 5-1</w:t>
        </w:r>
      </w:hyperlink>
      <w:r>
        <w:rPr>
          <w:color w:val="0562C1"/>
        </w:rPr>
        <w:t> </w:t>
      </w:r>
      <w:r>
        <w:rPr/>
        <w:t>и </w:t>
      </w:r>
      <w:hyperlink w:history="true" w:anchor="_bookmark51">
        <w:r>
          <w:rPr>
            <w:color w:val="0562C1"/>
            <w:u w:val="single" w:color="0562C1"/>
          </w:rPr>
          <w:t>5-2</w:t>
        </w:r>
      </w:hyperlink>
      <w:r>
        <w:rPr/>
        <w:t>) представлен в </w:t>
      </w:r>
      <w:hyperlink r:id="rId9">
        <w:r>
          <w:rPr>
            <w:color w:val="0562C1"/>
            <w:u w:val="single" w:color="0562C1"/>
          </w:rPr>
          <w:t>Государственном реестре медицинских изделий</w:t>
        </w:r>
      </w:hyperlink>
      <w:r>
        <w:rPr/>
        <w:t>.</w:t>
      </w:r>
    </w:p>
    <w:p>
      <w:pPr>
        <w:pStyle w:val="BodyText"/>
        <w:spacing w:line="360" w:lineRule="auto"/>
        <w:ind w:right="673" w:firstLine="708"/>
      </w:pPr>
      <w:r>
        <w:rPr/>
        <w:t>Перечень зарегистрированных в Российской Федерации диагностических наборов реагентов для выявления антигена SARS-CoV-2 методом иммуннохроматографии (</w:t>
      </w:r>
      <w:hyperlink w:history="true" w:anchor="_bookmark53">
        <w:r>
          <w:rPr>
            <w:color w:val="0562C1"/>
            <w:u w:val="single" w:color="0562C1"/>
          </w:rPr>
          <w:t>Приложение 5-3</w:t>
        </w:r>
      </w:hyperlink>
      <w:r>
        <w:rPr/>
        <w:t>) представлен в </w:t>
      </w:r>
      <w:hyperlink r:id="rId9">
        <w:r>
          <w:rPr>
            <w:color w:val="0562C1"/>
            <w:u w:val="single" w:color="0562C1"/>
          </w:rPr>
          <w:t>Государственном реестре</w:t>
        </w:r>
      </w:hyperlink>
      <w:r>
        <w:rPr>
          <w:color w:val="0562C1"/>
        </w:rPr>
        <w:t> </w:t>
      </w:r>
      <w:hyperlink r:id="rId9">
        <w:r>
          <w:rPr>
            <w:color w:val="0562C1"/>
            <w:u w:val="single" w:color="0562C1"/>
          </w:rPr>
          <w:t>медицинских изделий</w:t>
        </w:r>
      </w:hyperlink>
      <w:r>
        <w:rPr/>
        <w:t>.</w:t>
      </w:r>
    </w:p>
    <w:p>
      <w:pPr>
        <w:pStyle w:val="BodyText"/>
        <w:spacing w:before="2"/>
        <w:ind w:left="0"/>
        <w:jc w:val="left"/>
        <w:rPr>
          <w:sz w:val="28"/>
        </w:rPr>
      </w:pPr>
    </w:p>
    <w:p>
      <w:pPr>
        <w:pStyle w:val="BodyText"/>
        <w:spacing w:line="360" w:lineRule="auto" w:before="90"/>
        <w:ind w:right="671" w:firstLine="708"/>
      </w:pPr>
      <w:r>
        <w:rPr/>
        <w:t>В соответствии с ч. 4 ст. 38 Федерального закона от 21.11.2011 № 323-ФЗ </w:t>
      </w:r>
      <w:r>
        <w:rPr>
          <w:spacing w:val="-3"/>
        </w:rPr>
        <w:t>«Об </w:t>
      </w:r>
      <w:r>
        <w:rPr/>
        <w:t>основах</w:t>
      </w:r>
      <w:r>
        <w:rPr>
          <w:spacing w:val="-12"/>
        </w:rPr>
        <w:t> </w:t>
      </w:r>
      <w:r>
        <w:rPr/>
        <w:t>охраны</w:t>
      </w:r>
      <w:r>
        <w:rPr>
          <w:spacing w:val="-15"/>
        </w:rPr>
        <w:t> </w:t>
      </w:r>
      <w:r>
        <w:rPr/>
        <w:t>здоровья</w:t>
      </w:r>
      <w:r>
        <w:rPr>
          <w:spacing w:val="-13"/>
        </w:rPr>
        <w:t> </w:t>
      </w:r>
      <w:r>
        <w:rPr/>
        <w:t>граждан</w:t>
      </w:r>
      <w:r>
        <w:rPr>
          <w:spacing w:val="-13"/>
        </w:rPr>
        <w:t> </w:t>
      </w:r>
      <w:r>
        <w:rPr/>
        <w:t>в</w:t>
      </w:r>
      <w:r>
        <w:rPr>
          <w:spacing w:val="-14"/>
        </w:rPr>
        <w:t> </w:t>
      </w:r>
      <w:r>
        <w:rPr/>
        <w:t>Российской</w:t>
      </w:r>
      <w:r>
        <w:rPr>
          <w:spacing w:val="-13"/>
        </w:rPr>
        <w:t> </w:t>
      </w:r>
      <w:r>
        <w:rPr/>
        <w:t>Федерации»</w:t>
      </w:r>
      <w:r>
        <w:rPr>
          <w:spacing w:val="-21"/>
        </w:rPr>
        <w:t> </w:t>
      </w:r>
      <w:r>
        <w:rPr/>
        <w:t>на</w:t>
      </w:r>
      <w:r>
        <w:rPr>
          <w:spacing w:val="-15"/>
        </w:rPr>
        <w:t> </w:t>
      </w:r>
      <w:r>
        <w:rPr/>
        <w:t>территории</w:t>
      </w:r>
      <w:r>
        <w:rPr>
          <w:spacing w:val="-12"/>
        </w:rPr>
        <w:t> </w:t>
      </w:r>
      <w:r>
        <w:rPr/>
        <w:t>Российской Федерации  разрешается   обращение   медицинских   изделий,   зарегистрированных  в порядке, установленном Правительством Российской Федерации, уполномоченным им федеральным органом исполнительной</w:t>
      </w:r>
      <w:r>
        <w:rPr>
          <w:spacing w:val="-3"/>
        </w:rPr>
        <w:t> </w:t>
      </w:r>
      <w:r>
        <w:rPr/>
        <w:t>власти.</w:t>
      </w:r>
    </w:p>
    <w:p>
      <w:pPr>
        <w:pStyle w:val="BodyText"/>
        <w:spacing w:line="360" w:lineRule="auto"/>
        <w:ind w:right="671" w:firstLine="708"/>
      </w:pPr>
      <w:r>
        <w:rPr/>
        <w:t>Информация   о    зарегистрированных    медицинских    изделиях    размещена в Государственном реестре медицинских изделий и организаций (индивидуальных предпринимателей), осуществляющих производство и изготовление медицинских изделий</w:t>
      </w:r>
      <w:r>
        <w:rPr>
          <w:spacing w:val="41"/>
        </w:rPr>
        <w:t> </w:t>
      </w:r>
      <w:r>
        <w:rPr/>
        <w:t>(далее</w:t>
      </w:r>
      <w:r>
        <w:rPr>
          <w:spacing w:val="39"/>
        </w:rPr>
        <w:t> </w:t>
      </w:r>
      <w:r>
        <w:rPr/>
        <w:t>–</w:t>
      </w:r>
      <w:r>
        <w:rPr>
          <w:spacing w:val="41"/>
        </w:rPr>
        <w:t> </w:t>
      </w:r>
      <w:r>
        <w:rPr/>
        <w:t>Государственный</w:t>
      </w:r>
      <w:r>
        <w:rPr>
          <w:spacing w:val="41"/>
        </w:rPr>
        <w:t> </w:t>
      </w:r>
      <w:r>
        <w:rPr/>
        <w:t>реестр),</w:t>
      </w:r>
      <w:r>
        <w:rPr>
          <w:spacing w:val="41"/>
        </w:rPr>
        <w:t> </w:t>
      </w:r>
      <w:r>
        <w:rPr/>
        <w:t>опубликованном</w:t>
      </w:r>
      <w:r>
        <w:rPr>
          <w:spacing w:val="39"/>
        </w:rPr>
        <w:t> </w:t>
      </w:r>
      <w:r>
        <w:rPr/>
        <w:t>на</w:t>
      </w:r>
      <w:r>
        <w:rPr>
          <w:spacing w:val="40"/>
        </w:rPr>
        <w:t> </w:t>
      </w:r>
      <w:r>
        <w:rPr/>
        <w:t>официальном</w:t>
      </w:r>
      <w:r>
        <w:rPr>
          <w:spacing w:val="39"/>
        </w:rPr>
        <w:t> </w:t>
      </w:r>
      <w:r>
        <w:rPr/>
        <w:t>сайте</w:t>
      </w:r>
    </w:p>
    <w:p>
      <w:pPr>
        <w:spacing w:after="0" w:line="360" w:lineRule="auto"/>
        <w:sectPr>
          <w:pgSz w:w="11920" w:h="16850"/>
          <w:pgMar w:header="0" w:footer="620" w:top="1060" w:bottom="880" w:left="1380" w:right="600"/>
        </w:sectPr>
      </w:pPr>
    </w:p>
    <w:p>
      <w:pPr>
        <w:pStyle w:val="BodyText"/>
        <w:tabs>
          <w:tab w:pos="2349" w:val="left" w:leader="none"/>
          <w:tab w:pos="4977" w:val="left" w:leader="none"/>
          <w:tab w:pos="5404" w:val="left" w:leader="none"/>
          <w:tab w:pos="6496" w:val="left" w:leader="none"/>
          <w:tab w:pos="8296" w:val="left" w:leader="none"/>
        </w:tabs>
        <w:spacing w:line="360" w:lineRule="auto" w:before="78"/>
        <w:ind w:right="667"/>
        <w:jc w:val="left"/>
      </w:pPr>
      <w:r>
        <w:rPr/>
        <w:t>Росздравнадзора</w:t>
        <w:tab/>
      </w:r>
      <w:hyperlink r:id="rId10">
        <w:r>
          <w:rPr/>
          <w:t>www.roszdravnadzor.ru</w:t>
        </w:r>
      </w:hyperlink>
      <w:r>
        <w:rPr/>
        <w:tab/>
        <w:t>в</w:t>
        <w:tab/>
        <w:t>разделе</w:t>
        <w:tab/>
        <w:t>«Электронные</w:t>
        <w:tab/>
        <w:t>сервисы» </w:t>
      </w:r>
      <w:hyperlink r:id="rId11">
        <w:r>
          <w:rPr/>
          <w:t>http://www.roszdravnadzor.ru/services/misearch.</w:t>
        </w:r>
      </w:hyperlink>
    </w:p>
    <w:p>
      <w:pPr>
        <w:pStyle w:val="BodyText"/>
        <w:spacing w:line="360" w:lineRule="auto"/>
        <w:ind w:right="1115" w:firstLine="708"/>
        <w:jc w:val="left"/>
      </w:pPr>
      <w:r>
        <w:rPr/>
        <w:t>Для поиска медицинского изделия возможно воспользоваться поисковой строкой сервиса «Расширенный поиск».</w:t>
      </w:r>
    </w:p>
    <w:p>
      <w:pPr>
        <w:pStyle w:val="BodyText"/>
        <w:ind w:left="1029"/>
        <w:jc w:val="left"/>
      </w:pPr>
      <w:r>
        <w:rPr/>
        <w:t>Строка «Расширенный поиск» позволяет осуществлять навигацию по:</w:t>
      </w:r>
    </w:p>
    <w:p>
      <w:pPr>
        <w:pStyle w:val="ListParagraph"/>
        <w:numPr>
          <w:ilvl w:val="0"/>
          <w:numId w:val="17"/>
        </w:numPr>
        <w:tabs>
          <w:tab w:pos="1169" w:val="left" w:leader="none"/>
        </w:tabs>
        <w:spacing w:line="240" w:lineRule="auto" w:before="137" w:after="0"/>
        <w:ind w:left="1168" w:right="0" w:hanging="140"/>
        <w:jc w:val="left"/>
        <w:rPr>
          <w:sz w:val="24"/>
        </w:rPr>
      </w:pPr>
      <w:r>
        <w:rPr>
          <w:sz w:val="24"/>
        </w:rPr>
        <w:t>номеру регистрационного</w:t>
      </w:r>
      <w:r>
        <w:rPr>
          <w:spacing w:val="-4"/>
          <w:sz w:val="24"/>
        </w:rPr>
        <w:t> </w:t>
      </w:r>
      <w:r>
        <w:rPr>
          <w:sz w:val="24"/>
        </w:rPr>
        <w:t>удостоверения;</w:t>
      </w:r>
    </w:p>
    <w:p>
      <w:pPr>
        <w:pStyle w:val="ListParagraph"/>
        <w:numPr>
          <w:ilvl w:val="0"/>
          <w:numId w:val="17"/>
        </w:numPr>
        <w:tabs>
          <w:tab w:pos="1169" w:val="left" w:leader="none"/>
        </w:tabs>
        <w:spacing w:line="240" w:lineRule="auto" w:before="139" w:after="0"/>
        <w:ind w:left="1168" w:right="0" w:hanging="140"/>
        <w:jc w:val="left"/>
        <w:rPr>
          <w:sz w:val="24"/>
        </w:rPr>
      </w:pPr>
      <w:r>
        <w:rPr>
          <w:sz w:val="24"/>
        </w:rPr>
        <w:t>дате регистрационного удостоверения;</w:t>
      </w:r>
    </w:p>
    <w:p>
      <w:pPr>
        <w:pStyle w:val="ListParagraph"/>
        <w:numPr>
          <w:ilvl w:val="0"/>
          <w:numId w:val="17"/>
        </w:numPr>
        <w:tabs>
          <w:tab w:pos="1169" w:val="left" w:leader="none"/>
        </w:tabs>
        <w:spacing w:line="240" w:lineRule="auto" w:before="137" w:after="0"/>
        <w:ind w:left="1168" w:right="0" w:hanging="140"/>
        <w:jc w:val="left"/>
        <w:rPr>
          <w:sz w:val="24"/>
        </w:rPr>
      </w:pPr>
      <w:r>
        <w:rPr>
          <w:sz w:val="24"/>
        </w:rPr>
        <w:t>наименованию и стране</w:t>
      </w:r>
      <w:r>
        <w:rPr>
          <w:spacing w:val="-1"/>
          <w:sz w:val="24"/>
        </w:rPr>
        <w:t> </w:t>
      </w:r>
      <w:r>
        <w:rPr>
          <w:sz w:val="24"/>
        </w:rPr>
        <w:t>производителя;</w:t>
      </w:r>
    </w:p>
    <w:p>
      <w:pPr>
        <w:pStyle w:val="ListParagraph"/>
        <w:numPr>
          <w:ilvl w:val="0"/>
          <w:numId w:val="17"/>
        </w:numPr>
        <w:tabs>
          <w:tab w:pos="1169" w:val="left" w:leader="none"/>
        </w:tabs>
        <w:spacing w:line="240" w:lineRule="auto" w:before="139" w:after="0"/>
        <w:ind w:left="1168" w:right="0" w:hanging="140"/>
        <w:jc w:val="left"/>
        <w:rPr>
          <w:sz w:val="24"/>
        </w:rPr>
      </w:pPr>
      <w:r>
        <w:rPr>
          <w:sz w:val="24"/>
        </w:rPr>
        <w:t>виду номенклатурной классификации медицинского изделия и</w:t>
      </w:r>
      <w:r>
        <w:rPr>
          <w:spacing w:val="-3"/>
          <w:sz w:val="24"/>
        </w:rPr>
        <w:t> </w:t>
      </w:r>
      <w:r>
        <w:rPr>
          <w:sz w:val="24"/>
        </w:rPr>
        <w:t>др.</w:t>
      </w:r>
    </w:p>
    <w:p>
      <w:pPr>
        <w:pStyle w:val="BodyText"/>
        <w:spacing w:line="360" w:lineRule="auto" w:before="137"/>
        <w:ind w:right="615" w:firstLine="708"/>
        <w:jc w:val="left"/>
      </w:pPr>
      <w:r>
        <w:rPr/>
        <w:t>При использовании поисковой строки сервиса «Расширенный поиск», требуется задать необходимые критерии поиска и нажать на кнопку «Вывести результаты».</w:t>
      </w:r>
    </w:p>
    <w:p>
      <w:pPr>
        <w:pStyle w:val="BodyText"/>
        <w:spacing w:before="1"/>
        <w:ind w:left="0"/>
        <w:jc w:val="left"/>
        <w:rPr>
          <w:sz w:val="36"/>
        </w:rPr>
      </w:pPr>
    </w:p>
    <w:p>
      <w:pPr>
        <w:pStyle w:val="Heading3"/>
        <w:spacing w:line="360" w:lineRule="auto"/>
        <w:ind w:left="604" w:right="749" w:hanging="202"/>
        <w:jc w:val="left"/>
      </w:pPr>
      <w:r>
        <w:rPr/>
        <w:t>Виды Номенклатурной классификации медицинских изделий, представляющих собой диагностические наборы реагентов для выявления РНК SARS-CoV-2</w:t>
      </w:r>
    </w:p>
    <w:p>
      <w:pPr>
        <w:pStyle w:val="BodyText"/>
        <w:ind w:left="0"/>
        <w:jc w:val="left"/>
        <w:rPr>
          <w:b/>
          <w:sz w:val="20"/>
        </w:rPr>
      </w:pPr>
    </w:p>
    <w:p>
      <w:pPr>
        <w:pStyle w:val="BodyText"/>
        <w:ind w:left="0"/>
        <w:jc w:val="left"/>
        <w:rPr>
          <w:b/>
          <w:sz w:val="16"/>
        </w:rPr>
      </w:pPr>
    </w:p>
    <w:tbl>
      <w:tblPr>
        <w:tblW w:w="0" w:type="auto"/>
        <w:jc w:val="left"/>
        <w:tblInd w:w="3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703"/>
        <w:gridCol w:w="2553"/>
        <w:gridCol w:w="6237"/>
      </w:tblGrid>
      <w:tr>
        <w:trPr>
          <w:trHeight w:val="755" w:hRule="atLeast"/>
        </w:trPr>
        <w:tc>
          <w:tcPr>
            <w:tcW w:w="703" w:type="dxa"/>
            <w:shd w:val="clear" w:color="auto" w:fill="F1F1F1"/>
          </w:tcPr>
          <w:p>
            <w:pPr>
              <w:pStyle w:val="TableParagraph"/>
              <w:spacing w:before="102"/>
              <w:ind w:left="189" w:right="160" w:firstLine="48"/>
              <w:rPr>
                <w:sz w:val="24"/>
              </w:rPr>
            </w:pPr>
            <w:r>
              <w:rPr>
                <w:sz w:val="24"/>
              </w:rPr>
              <w:t>№ п/п</w:t>
            </w:r>
          </w:p>
        </w:tc>
        <w:tc>
          <w:tcPr>
            <w:tcW w:w="2553" w:type="dxa"/>
            <w:shd w:val="clear" w:color="auto" w:fill="F1F1F1"/>
          </w:tcPr>
          <w:p>
            <w:pPr>
              <w:pStyle w:val="TableParagraph"/>
              <w:spacing w:before="102"/>
              <w:ind w:left="487" w:right="140" w:hanging="320"/>
              <w:rPr>
                <w:sz w:val="24"/>
              </w:rPr>
            </w:pPr>
            <w:r>
              <w:rPr>
                <w:sz w:val="24"/>
              </w:rPr>
              <w:t>Вид Номенклатурной классификации</w:t>
            </w:r>
          </w:p>
        </w:tc>
        <w:tc>
          <w:tcPr>
            <w:tcW w:w="6237" w:type="dxa"/>
            <w:shd w:val="clear" w:color="auto" w:fill="F1F1F1"/>
          </w:tcPr>
          <w:p>
            <w:pPr>
              <w:pStyle w:val="TableParagraph"/>
              <w:spacing w:before="102"/>
              <w:ind w:left="1990" w:right="357" w:hanging="1611"/>
              <w:rPr>
                <w:sz w:val="24"/>
              </w:rPr>
            </w:pPr>
            <w:r>
              <w:rPr>
                <w:sz w:val="24"/>
              </w:rPr>
              <w:t>Наименование вида Номенклатурной классификации медицинских изделий</w:t>
            </w:r>
          </w:p>
        </w:tc>
      </w:tr>
      <w:tr>
        <w:trPr>
          <w:trHeight w:val="757" w:hRule="atLeast"/>
        </w:trPr>
        <w:tc>
          <w:tcPr>
            <w:tcW w:w="703" w:type="dxa"/>
          </w:tcPr>
          <w:p>
            <w:pPr>
              <w:pStyle w:val="TableParagraph"/>
              <w:spacing w:before="102"/>
              <w:ind w:left="209" w:right="200"/>
              <w:jc w:val="center"/>
              <w:rPr>
                <w:sz w:val="24"/>
              </w:rPr>
            </w:pPr>
            <w:r>
              <w:rPr>
                <w:sz w:val="24"/>
              </w:rPr>
              <w:t>1.</w:t>
            </w:r>
          </w:p>
        </w:tc>
        <w:tc>
          <w:tcPr>
            <w:tcW w:w="2553" w:type="dxa"/>
          </w:tcPr>
          <w:p>
            <w:pPr>
              <w:pStyle w:val="TableParagraph"/>
              <w:spacing w:before="102"/>
              <w:ind w:left="896" w:right="886"/>
              <w:jc w:val="center"/>
              <w:rPr>
                <w:sz w:val="24"/>
              </w:rPr>
            </w:pPr>
            <w:r>
              <w:rPr>
                <w:sz w:val="24"/>
              </w:rPr>
              <w:t>142160</w:t>
            </w:r>
          </w:p>
        </w:tc>
        <w:tc>
          <w:tcPr>
            <w:tcW w:w="6237" w:type="dxa"/>
          </w:tcPr>
          <w:p>
            <w:pPr>
              <w:pStyle w:val="TableParagraph"/>
              <w:spacing w:before="102"/>
              <w:ind w:left="60" w:right="587"/>
              <w:rPr>
                <w:sz w:val="24"/>
              </w:rPr>
            </w:pPr>
            <w:r>
              <w:rPr>
                <w:sz w:val="24"/>
              </w:rPr>
              <w:t>SARS Коронавирус нуклеиновая кислота ИВД, набор, анализ нуклеиновых кислот</w:t>
            </w:r>
          </w:p>
        </w:tc>
      </w:tr>
    </w:tbl>
    <w:p>
      <w:pPr>
        <w:pStyle w:val="BodyText"/>
        <w:ind w:left="0"/>
        <w:jc w:val="left"/>
        <w:rPr>
          <w:b/>
          <w:sz w:val="20"/>
        </w:rPr>
      </w:pPr>
    </w:p>
    <w:p>
      <w:pPr>
        <w:spacing w:line="360" w:lineRule="auto" w:before="227"/>
        <w:ind w:left="403" w:right="758" w:firstLine="0"/>
        <w:jc w:val="center"/>
        <w:rPr>
          <w:b/>
          <w:sz w:val="24"/>
        </w:rPr>
      </w:pPr>
      <w:r>
        <w:rPr>
          <w:b/>
          <w:sz w:val="24"/>
        </w:rPr>
        <w:t>Виды Номенклатурной классификации медицинских изделий, представляющих собой диагностические наборы реагентов для выявления иммуноглобулинов</w:t>
      </w:r>
    </w:p>
    <w:p>
      <w:pPr>
        <w:spacing w:line="274" w:lineRule="exact" w:before="0"/>
        <w:ind w:left="403" w:right="758" w:firstLine="0"/>
        <w:jc w:val="center"/>
        <w:rPr>
          <w:b/>
          <w:sz w:val="24"/>
        </w:rPr>
      </w:pPr>
      <w:r>
        <w:rPr>
          <w:b/>
          <w:sz w:val="24"/>
        </w:rPr>
        <w:t>к SARS-CoV-2</w:t>
      </w:r>
    </w:p>
    <w:p>
      <w:pPr>
        <w:pStyle w:val="BodyText"/>
        <w:spacing w:before="2"/>
        <w:ind w:left="0"/>
        <w:jc w:val="left"/>
        <w:rPr>
          <w:b/>
          <w:sz w:val="12"/>
        </w:rPr>
      </w:pPr>
    </w:p>
    <w:tbl>
      <w:tblPr>
        <w:tblW w:w="0" w:type="auto"/>
        <w:jc w:val="left"/>
        <w:tblInd w:w="3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703"/>
        <w:gridCol w:w="2553"/>
        <w:gridCol w:w="6237"/>
      </w:tblGrid>
      <w:tr>
        <w:trPr>
          <w:trHeight w:val="755" w:hRule="atLeast"/>
        </w:trPr>
        <w:tc>
          <w:tcPr>
            <w:tcW w:w="703" w:type="dxa"/>
            <w:shd w:val="clear" w:color="auto" w:fill="F1F1F1"/>
          </w:tcPr>
          <w:p>
            <w:pPr>
              <w:pStyle w:val="TableParagraph"/>
              <w:spacing w:before="102"/>
              <w:ind w:left="189" w:right="160" w:firstLine="48"/>
              <w:rPr>
                <w:sz w:val="24"/>
              </w:rPr>
            </w:pPr>
            <w:r>
              <w:rPr>
                <w:sz w:val="24"/>
              </w:rPr>
              <w:t>№ п/п</w:t>
            </w:r>
          </w:p>
        </w:tc>
        <w:tc>
          <w:tcPr>
            <w:tcW w:w="2553" w:type="dxa"/>
            <w:shd w:val="clear" w:color="auto" w:fill="F1F1F1"/>
          </w:tcPr>
          <w:p>
            <w:pPr>
              <w:pStyle w:val="TableParagraph"/>
              <w:spacing w:before="102"/>
              <w:ind w:left="487" w:right="140" w:hanging="320"/>
              <w:rPr>
                <w:sz w:val="24"/>
              </w:rPr>
            </w:pPr>
            <w:r>
              <w:rPr>
                <w:sz w:val="24"/>
              </w:rPr>
              <w:t>Вид Номенклатурной классификации</w:t>
            </w:r>
          </w:p>
        </w:tc>
        <w:tc>
          <w:tcPr>
            <w:tcW w:w="6237" w:type="dxa"/>
            <w:shd w:val="clear" w:color="auto" w:fill="F1F1F1"/>
          </w:tcPr>
          <w:p>
            <w:pPr>
              <w:pStyle w:val="TableParagraph"/>
              <w:spacing w:before="102"/>
              <w:ind w:left="1990" w:right="357" w:hanging="1611"/>
              <w:rPr>
                <w:sz w:val="24"/>
              </w:rPr>
            </w:pPr>
            <w:r>
              <w:rPr>
                <w:sz w:val="24"/>
              </w:rPr>
              <w:t>Наименование вида Номенклатурной классификации медицинских изделий</w:t>
            </w:r>
          </w:p>
        </w:tc>
      </w:tr>
      <w:tr>
        <w:trPr>
          <w:trHeight w:val="755" w:hRule="atLeast"/>
        </w:trPr>
        <w:tc>
          <w:tcPr>
            <w:tcW w:w="703" w:type="dxa"/>
          </w:tcPr>
          <w:p>
            <w:pPr>
              <w:pStyle w:val="TableParagraph"/>
              <w:spacing w:before="102"/>
              <w:ind w:left="12"/>
              <w:jc w:val="center"/>
              <w:rPr>
                <w:sz w:val="24"/>
              </w:rPr>
            </w:pPr>
            <w:r>
              <w:rPr>
                <w:sz w:val="24"/>
              </w:rPr>
              <w:t>1</w:t>
            </w:r>
          </w:p>
        </w:tc>
        <w:tc>
          <w:tcPr>
            <w:tcW w:w="2553" w:type="dxa"/>
          </w:tcPr>
          <w:p>
            <w:pPr>
              <w:pStyle w:val="TableParagraph"/>
              <w:spacing w:before="102"/>
              <w:ind w:right="904"/>
              <w:jc w:val="right"/>
              <w:rPr>
                <w:sz w:val="24"/>
              </w:rPr>
            </w:pPr>
            <w:r>
              <w:rPr>
                <w:sz w:val="24"/>
              </w:rPr>
              <w:t>142090</w:t>
            </w:r>
          </w:p>
        </w:tc>
        <w:tc>
          <w:tcPr>
            <w:tcW w:w="6237" w:type="dxa"/>
          </w:tcPr>
          <w:p>
            <w:pPr>
              <w:pStyle w:val="TableParagraph"/>
              <w:spacing w:before="102"/>
              <w:ind w:left="60" w:right="404"/>
              <w:rPr>
                <w:sz w:val="24"/>
              </w:rPr>
            </w:pPr>
            <w:r>
              <w:rPr>
                <w:sz w:val="24"/>
              </w:rPr>
              <w:t>SARS Коронавирус антитела класса иммуноглобулин G (IgG) ИВД, реагент</w:t>
            </w:r>
          </w:p>
        </w:tc>
      </w:tr>
      <w:tr>
        <w:trPr>
          <w:trHeight w:val="755" w:hRule="atLeast"/>
        </w:trPr>
        <w:tc>
          <w:tcPr>
            <w:tcW w:w="703" w:type="dxa"/>
            <w:shd w:val="clear" w:color="auto" w:fill="F1F1F1"/>
          </w:tcPr>
          <w:p>
            <w:pPr>
              <w:pStyle w:val="TableParagraph"/>
              <w:spacing w:before="102"/>
              <w:ind w:left="12"/>
              <w:jc w:val="center"/>
              <w:rPr>
                <w:sz w:val="24"/>
              </w:rPr>
            </w:pPr>
            <w:r>
              <w:rPr>
                <w:sz w:val="24"/>
              </w:rPr>
              <w:t>2</w:t>
            </w:r>
          </w:p>
        </w:tc>
        <w:tc>
          <w:tcPr>
            <w:tcW w:w="2553" w:type="dxa"/>
            <w:shd w:val="clear" w:color="auto" w:fill="F1F1F1"/>
          </w:tcPr>
          <w:p>
            <w:pPr>
              <w:pStyle w:val="TableParagraph"/>
              <w:spacing w:before="102"/>
              <w:ind w:right="904"/>
              <w:jc w:val="right"/>
              <w:rPr>
                <w:sz w:val="24"/>
              </w:rPr>
            </w:pPr>
            <w:r>
              <w:rPr>
                <w:sz w:val="24"/>
              </w:rPr>
              <w:t>142060</w:t>
            </w:r>
          </w:p>
        </w:tc>
        <w:tc>
          <w:tcPr>
            <w:tcW w:w="6237" w:type="dxa"/>
            <w:shd w:val="clear" w:color="auto" w:fill="F1F1F1"/>
          </w:tcPr>
          <w:p>
            <w:pPr>
              <w:pStyle w:val="TableParagraph"/>
              <w:spacing w:before="102"/>
              <w:ind w:left="60" w:right="277"/>
              <w:rPr>
                <w:sz w:val="24"/>
              </w:rPr>
            </w:pPr>
            <w:r>
              <w:rPr>
                <w:sz w:val="24"/>
              </w:rPr>
              <w:t>SARS Коронавирус антитела классов иммуноглобулин А (IgА)/IgG/IgM ИВД, реагент</w:t>
            </w:r>
          </w:p>
        </w:tc>
      </w:tr>
      <w:tr>
        <w:trPr>
          <w:trHeight w:val="757" w:hRule="atLeast"/>
        </w:trPr>
        <w:tc>
          <w:tcPr>
            <w:tcW w:w="703" w:type="dxa"/>
          </w:tcPr>
          <w:p>
            <w:pPr>
              <w:pStyle w:val="TableParagraph"/>
              <w:spacing w:before="102"/>
              <w:ind w:left="12"/>
              <w:jc w:val="center"/>
              <w:rPr>
                <w:sz w:val="24"/>
              </w:rPr>
            </w:pPr>
            <w:r>
              <w:rPr>
                <w:sz w:val="24"/>
              </w:rPr>
              <w:t>3</w:t>
            </w:r>
          </w:p>
        </w:tc>
        <w:tc>
          <w:tcPr>
            <w:tcW w:w="2553" w:type="dxa"/>
          </w:tcPr>
          <w:p>
            <w:pPr>
              <w:pStyle w:val="TableParagraph"/>
              <w:spacing w:before="102"/>
              <w:ind w:right="904"/>
              <w:jc w:val="right"/>
              <w:rPr>
                <w:sz w:val="24"/>
              </w:rPr>
            </w:pPr>
            <w:r>
              <w:rPr>
                <w:sz w:val="24"/>
              </w:rPr>
              <w:t>142100</w:t>
            </w:r>
          </w:p>
        </w:tc>
        <w:tc>
          <w:tcPr>
            <w:tcW w:w="6237" w:type="dxa"/>
          </w:tcPr>
          <w:p>
            <w:pPr>
              <w:pStyle w:val="TableParagraph"/>
              <w:spacing w:before="102"/>
              <w:ind w:left="60" w:right="146"/>
              <w:rPr>
                <w:sz w:val="24"/>
              </w:rPr>
            </w:pPr>
            <w:r>
              <w:rPr>
                <w:sz w:val="24"/>
              </w:rPr>
              <w:t>SARS Коронавирус антитела класса иммуноглобулин G (IgG)/IgM ИВД, набор, иммуноферментный анализ (ИФА)</w:t>
            </w:r>
          </w:p>
        </w:tc>
      </w:tr>
      <w:tr>
        <w:trPr>
          <w:trHeight w:val="755" w:hRule="atLeast"/>
        </w:trPr>
        <w:tc>
          <w:tcPr>
            <w:tcW w:w="703" w:type="dxa"/>
            <w:shd w:val="clear" w:color="auto" w:fill="F1F1F1"/>
          </w:tcPr>
          <w:p>
            <w:pPr>
              <w:pStyle w:val="TableParagraph"/>
              <w:spacing w:before="99"/>
              <w:ind w:left="12"/>
              <w:jc w:val="center"/>
              <w:rPr>
                <w:sz w:val="24"/>
              </w:rPr>
            </w:pPr>
            <w:r>
              <w:rPr>
                <w:sz w:val="24"/>
              </w:rPr>
              <w:t>4</w:t>
            </w:r>
          </w:p>
        </w:tc>
        <w:tc>
          <w:tcPr>
            <w:tcW w:w="2553" w:type="dxa"/>
            <w:shd w:val="clear" w:color="auto" w:fill="F1F1F1"/>
          </w:tcPr>
          <w:p>
            <w:pPr>
              <w:pStyle w:val="TableParagraph"/>
              <w:spacing w:before="99"/>
              <w:ind w:right="904"/>
              <w:jc w:val="right"/>
              <w:rPr>
                <w:sz w:val="24"/>
              </w:rPr>
            </w:pPr>
            <w:r>
              <w:rPr>
                <w:sz w:val="24"/>
              </w:rPr>
              <w:t>142120</w:t>
            </w:r>
          </w:p>
        </w:tc>
        <w:tc>
          <w:tcPr>
            <w:tcW w:w="6237" w:type="dxa"/>
            <w:shd w:val="clear" w:color="auto" w:fill="F1F1F1"/>
          </w:tcPr>
          <w:p>
            <w:pPr>
              <w:pStyle w:val="TableParagraph"/>
              <w:spacing w:before="99"/>
              <w:ind w:left="60" w:right="404"/>
              <w:rPr>
                <w:sz w:val="24"/>
              </w:rPr>
            </w:pPr>
            <w:r>
              <w:rPr>
                <w:sz w:val="24"/>
              </w:rPr>
              <w:t>SARS Коронавирус антитела класса иммуноглобулин G (IgG)/IgM ИВД, набор, иммунофлуоресцентный анализ</w:t>
            </w:r>
          </w:p>
        </w:tc>
      </w:tr>
      <w:tr>
        <w:trPr>
          <w:trHeight w:val="755" w:hRule="atLeast"/>
        </w:trPr>
        <w:tc>
          <w:tcPr>
            <w:tcW w:w="703" w:type="dxa"/>
          </w:tcPr>
          <w:p>
            <w:pPr>
              <w:pStyle w:val="TableParagraph"/>
              <w:spacing w:before="99"/>
              <w:ind w:left="12"/>
              <w:jc w:val="center"/>
              <w:rPr>
                <w:sz w:val="24"/>
              </w:rPr>
            </w:pPr>
            <w:r>
              <w:rPr>
                <w:sz w:val="24"/>
              </w:rPr>
              <w:t>5</w:t>
            </w:r>
          </w:p>
        </w:tc>
        <w:tc>
          <w:tcPr>
            <w:tcW w:w="2553" w:type="dxa"/>
          </w:tcPr>
          <w:p>
            <w:pPr>
              <w:pStyle w:val="TableParagraph"/>
              <w:spacing w:before="99"/>
              <w:ind w:right="904"/>
              <w:jc w:val="right"/>
              <w:rPr>
                <w:sz w:val="24"/>
              </w:rPr>
            </w:pPr>
            <w:r>
              <w:rPr>
                <w:sz w:val="24"/>
              </w:rPr>
              <w:t>142130</w:t>
            </w:r>
          </w:p>
        </w:tc>
        <w:tc>
          <w:tcPr>
            <w:tcW w:w="6237" w:type="dxa"/>
          </w:tcPr>
          <w:p>
            <w:pPr>
              <w:pStyle w:val="TableParagraph"/>
              <w:spacing w:before="99"/>
              <w:ind w:left="60" w:right="363"/>
              <w:rPr>
                <w:sz w:val="24"/>
              </w:rPr>
            </w:pPr>
            <w:r>
              <w:rPr>
                <w:sz w:val="24"/>
              </w:rPr>
              <w:t>SARS Коронавирус антитела класса иммуноглобулин M (IgM) ИВД, набор, иммуноферментный анализ</w:t>
            </w:r>
          </w:p>
        </w:tc>
      </w:tr>
    </w:tbl>
    <w:p>
      <w:pPr>
        <w:spacing w:after="0"/>
        <w:rPr>
          <w:sz w:val="24"/>
        </w:rPr>
        <w:sectPr>
          <w:pgSz w:w="11920" w:h="16850"/>
          <w:pgMar w:header="0" w:footer="620" w:top="1060" w:bottom="880" w:left="1380" w:right="600"/>
        </w:sectPr>
      </w:pPr>
    </w:p>
    <w:tbl>
      <w:tblPr>
        <w:tblW w:w="0" w:type="auto"/>
        <w:jc w:val="left"/>
        <w:tblInd w:w="3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703"/>
        <w:gridCol w:w="2553"/>
        <w:gridCol w:w="6237"/>
      </w:tblGrid>
      <w:tr>
        <w:trPr>
          <w:trHeight w:val="755" w:hRule="atLeast"/>
        </w:trPr>
        <w:tc>
          <w:tcPr>
            <w:tcW w:w="703" w:type="dxa"/>
            <w:shd w:val="clear" w:color="auto" w:fill="F1F1F1"/>
          </w:tcPr>
          <w:p>
            <w:pPr>
              <w:pStyle w:val="TableParagraph"/>
              <w:spacing w:before="102"/>
              <w:ind w:left="12"/>
              <w:jc w:val="center"/>
              <w:rPr>
                <w:sz w:val="24"/>
              </w:rPr>
            </w:pPr>
            <w:r>
              <w:rPr>
                <w:sz w:val="24"/>
              </w:rPr>
              <w:t>6</w:t>
            </w:r>
          </w:p>
        </w:tc>
        <w:tc>
          <w:tcPr>
            <w:tcW w:w="2553" w:type="dxa"/>
            <w:shd w:val="clear" w:color="auto" w:fill="F1F1F1"/>
          </w:tcPr>
          <w:p>
            <w:pPr>
              <w:pStyle w:val="TableParagraph"/>
              <w:spacing w:before="102"/>
              <w:ind w:right="904"/>
              <w:jc w:val="right"/>
              <w:rPr>
                <w:sz w:val="24"/>
              </w:rPr>
            </w:pPr>
            <w:r>
              <w:rPr>
                <w:sz w:val="24"/>
              </w:rPr>
              <w:t>142150</w:t>
            </w:r>
          </w:p>
        </w:tc>
        <w:tc>
          <w:tcPr>
            <w:tcW w:w="6237" w:type="dxa"/>
            <w:shd w:val="clear" w:color="auto" w:fill="F1F1F1"/>
          </w:tcPr>
          <w:p>
            <w:pPr>
              <w:pStyle w:val="TableParagraph"/>
              <w:spacing w:before="102"/>
              <w:ind w:left="60" w:right="363"/>
              <w:rPr>
                <w:sz w:val="24"/>
              </w:rPr>
            </w:pPr>
            <w:r>
              <w:rPr>
                <w:sz w:val="24"/>
              </w:rPr>
              <w:t>SARS Коронавирус антитела класса иммуноглобулин M (IgM) ИВД, набор, иммунофлуоресцентный анализ</w:t>
            </w:r>
          </w:p>
        </w:tc>
      </w:tr>
      <w:tr>
        <w:trPr>
          <w:trHeight w:val="755" w:hRule="atLeast"/>
        </w:trPr>
        <w:tc>
          <w:tcPr>
            <w:tcW w:w="703" w:type="dxa"/>
          </w:tcPr>
          <w:p>
            <w:pPr>
              <w:pStyle w:val="TableParagraph"/>
              <w:spacing w:before="102"/>
              <w:ind w:left="12"/>
              <w:jc w:val="center"/>
              <w:rPr>
                <w:sz w:val="24"/>
              </w:rPr>
            </w:pPr>
            <w:r>
              <w:rPr>
                <w:sz w:val="24"/>
              </w:rPr>
              <w:t>7</w:t>
            </w:r>
          </w:p>
        </w:tc>
        <w:tc>
          <w:tcPr>
            <w:tcW w:w="2553" w:type="dxa"/>
          </w:tcPr>
          <w:p>
            <w:pPr>
              <w:pStyle w:val="TableParagraph"/>
              <w:spacing w:before="102"/>
              <w:ind w:right="904"/>
              <w:jc w:val="right"/>
              <w:rPr>
                <w:sz w:val="24"/>
              </w:rPr>
            </w:pPr>
            <w:r>
              <w:rPr>
                <w:sz w:val="24"/>
              </w:rPr>
              <w:t>142160</w:t>
            </w:r>
          </w:p>
        </w:tc>
        <w:tc>
          <w:tcPr>
            <w:tcW w:w="6237" w:type="dxa"/>
          </w:tcPr>
          <w:p>
            <w:pPr>
              <w:pStyle w:val="TableParagraph"/>
              <w:spacing w:before="102"/>
              <w:ind w:left="60" w:right="587"/>
              <w:rPr>
                <w:sz w:val="24"/>
              </w:rPr>
            </w:pPr>
            <w:r>
              <w:rPr>
                <w:sz w:val="24"/>
              </w:rPr>
              <w:t>SARS Коронавирус нуклеиновая кислота ИВД, набор, анализ нуклеиновых кислот</w:t>
            </w:r>
          </w:p>
        </w:tc>
      </w:tr>
      <w:tr>
        <w:trPr>
          <w:trHeight w:val="755" w:hRule="atLeast"/>
        </w:trPr>
        <w:tc>
          <w:tcPr>
            <w:tcW w:w="703" w:type="dxa"/>
            <w:shd w:val="clear" w:color="auto" w:fill="F1F1F1"/>
          </w:tcPr>
          <w:p>
            <w:pPr>
              <w:pStyle w:val="TableParagraph"/>
              <w:spacing w:before="102"/>
              <w:ind w:left="12"/>
              <w:jc w:val="center"/>
              <w:rPr>
                <w:sz w:val="24"/>
              </w:rPr>
            </w:pPr>
            <w:r>
              <w:rPr>
                <w:sz w:val="24"/>
              </w:rPr>
              <w:t>8</w:t>
            </w:r>
          </w:p>
        </w:tc>
        <w:tc>
          <w:tcPr>
            <w:tcW w:w="2553" w:type="dxa"/>
            <w:shd w:val="clear" w:color="auto" w:fill="F1F1F1"/>
          </w:tcPr>
          <w:p>
            <w:pPr>
              <w:pStyle w:val="TableParagraph"/>
              <w:spacing w:before="102"/>
              <w:ind w:right="904"/>
              <w:jc w:val="right"/>
              <w:rPr>
                <w:sz w:val="24"/>
              </w:rPr>
            </w:pPr>
            <w:r>
              <w:rPr>
                <w:sz w:val="24"/>
              </w:rPr>
              <w:t>142170</w:t>
            </w:r>
          </w:p>
        </w:tc>
        <w:tc>
          <w:tcPr>
            <w:tcW w:w="6237" w:type="dxa"/>
            <w:shd w:val="clear" w:color="auto" w:fill="F1F1F1"/>
          </w:tcPr>
          <w:p>
            <w:pPr>
              <w:pStyle w:val="TableParagraph"/>
              <w:spacing w:before="102"/>
              <w:ind w:left="60" w:right="404"/>
              <w:rPr>
                <w:sz w:val="24"/>
              </w:rPr>
            </w:pPr>
            <w:r>
              <w:rPr>
                <w:sz w:val="24"/>
              </w:rPr>
              <w:t>SARS Коронавирус антитела класса иммуноглобулин G (IgG)/IgM ИВД, контрольный материал</w:t>
            </w:r>
          </w:p>
        </w:tc>
      </w:tr>
      <w:tr>
        <w:trPr>
          <w:trHeight w:val="758" w:hRule="atLeast"/>
        </w:trPr>
        <w:tc>
          <w:tcPr>
            <w:tcW w:w="703" w:type="dxa"/>
          </w:tcPr>
          <w:p>
            <w:pPr>
              <w:pStyle w:val="TableParagraph"/>
              <w:spacing w:before="102"/>
              <w:ind w:left="12"/>
              <w:jc w:val="center"/>
              <w:rPr>
                <w:sz w:val="24"/>
              </w:rPr>
            </w:pPr>
            <w:r>
              <w:rPr>
                <w:sz w:val="24"/>
              </w:rPr>
              <w:t>9</w:t>
            </w:r>
          </w:p>
        </w:tc>
        <w:tc>
          <w:tcPr>
            <w:tcW w:w="2553" w:type="dxa"/>
          </w:tcPr>
          <w:p>
            <w:pPr>
              <w:pStyle w:val="TableParagraph"/>
              <w:spacing w:before="102"/>
              <w:ind w:right="904"/>
              <w:jc w:val="right"/>
              <w:rPr>
                <w:sz w:val="24"/>
              </w:rPr>
            </w:pPr>
            <w:r>
              <w:rPr>
                <w:sz w:val="24"/>
              </w:rPr>
              <w:t>142260</w:t>
            </w:r>
          </w:p>
        </w:tc>
        <w:tc>
          <w:tcPr>
            <w:tcW w:w="6237" w:type="dxa"/>
          </w:tcPr>
          <w:p>
            <w:pPr>
              <w:pStyle w:val="TableParagraph"/>
              <w:spacing w:before="102"/>
              <w:ind w:left="60" w:right="404"/>
              <w:rPr>
                <w:sz w:val="24"/>
              </w:rPr>
            </w:pPr>
            <w:r>
              <w:rPr>
                <w:sz w:val="24"/>
              </w:rPr>
              <w:t>SARS Коронавирус антитела класса иммуноглобулин G (IgG) ИВД, набор, иммуноферментный анализ (ИФА)</w:t>
            </w:r>
          </w:p>
        </w:tc>
      </w:tr>
      <w:tr>
        <w:trPr>
          <w:trHeight w:val="755" w:hRule="atLeast"/>
        </w:trPr>
        <w:tc>
          <w:tcPr>
            <w:tcW w:w="703" w:type="dxa"/>
            <w:shd w:val="clear" w:color="auto" w:fill="F1F1F1"/>
          </w:tcPr>
          <w:p>
            <w:pPr>
              <w:pStyle w:val="TableParagraph"/>
              <w:spacing w:before="99"/>
              <w:ind w:left="212" w:right="200"/>
              <w:jc w:val="center"/>
              <w:rPr>
                <w:sz w:val="24"/>
              </w:rPr>
            </w:pPr>
            <w:r>
              <w:rPr>
                <w:sz w:val="24"/>
              </w:rPr>
              <w:t>10</w:t>
            </w:r>
          </w:p>
        </w:tc>
        <w:tc>
          <w:tcPr>
            <w:tcW w:w="2553" w:type="dxa"/>
            <w:shd w:val="clear" w:color="auto" w:fill="F1F1F1"/>
          </w:tcPr>
          <w:p>
            <w:pPr>
              <w:pStyle w:val="TableParagraph"/>
              <w:spacing w:before="99"/>
              <w:ind w:right="904"/>
              <w:jc w:val="right"/>
              <w:rPr>
                <w:sz w:val="24"/>
              </w:rPr>
            </w:pPr>
            <w:r>
              <w:rPr>
                <w:sz w:val="24"/>
              </w:rPr>
              <w:t>142300</w:t>
            </w:r>
          </w:p>
        </w:tc>
        <w:tc>
          <w:tcPr>
            <w:tcW w:w="6237" w:type="dxa"/>
            <w:shd w:val="clear" w:color="auto" w:fill="F1F1F1"/>
          </w:tcPr>
          <w:p>
            <w:pPr>
              <w:pStyle w:val="TableParagraph"/>
              <w:spacing w:before="99"/>
              <w:ind w:left="60" w:right="404"/>
              <w:rPr>
                <w:sz w:val="24"/>
              </w:rPr>
            </w:pPr>
            <w:r>
              <w:rPr>
                <w:sz w:val="24"/>
              </w:rPr>
              <w:t>SARS Коронавирус антитела класса иммуноглобулин G (IgG) ИВД, набор, иммунофлуоресцентный анализ</w:t>
            </w:r>
          </w:p>
        </w:tc>
      </w:tr>
    </w:tbl>
    <w:p>
      <w:pPr>
        <w:pStyle w:val="BodyText"/>
        <w:ind w:left="0"/>
        <w:jc w:val="left"/>
        <w:rPr>
          <w:b/>
          <w:sz w:val="20"/>
        </w:rPr>
      </w:pPr>
    </w:p>
    <w:p>
      <w:pPr>
        <w:spacing w:line="360" w:lineRule="auto" w:before="226"/>
        <w:ind w:left="403" w:right="758" w:firstLine="0"/>
        <w:jc w:val="center"/>
        <w:rPr>
          <w:b/>
          <w:sz w:val="24"/>
        </w:rPr>
      </w:pPr>
      <w:r>
        <w:rPr>
          <w:b/>
          <w:sz w:val="24"/>
        </w:rPr>
        <w:t>Виды Номенклатурной классификации медицинских изделий, представляющих собой экспресс-тесты для выявления иммуноглобулинов к SARS-CoV-2</w:t>
      </w:r>
    </w:p>
    <w:tbl>
      <w:tblPr>
        <w:tblW w:w="0" w:type="auto"/>
        <w:jc w:val="left"/>
        <w:tblInd w:w="3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703"/>
        <w:gridCol w:w="2553"/>
        <w:gridCol w:w="6237"/>
      </w:tblGrid>
      <w:tr>
        <w:trPr>
          <w:trHeight w:val="755" w:hRule="atLeast"/>
        </w:trPr>
        <w:tc>
          <w:tcPr>
            <w:tcW w:w="703" w:type="dxa"/>
            <w:shd w:val="clear" w:color="auto" w:fill="F1F1F1"/>
          </w:tcPr>
          <w:p>
            <w:pPr>
              <w:pStyle w:val="TableParagraph"/>
              <w:spacing w:before="99"/>
              <w:ind w:left="189" w:right="160" w:firstLine="48"/>
              <w:rPr>
                <w:sz w:val="24"/>
              </w:rPr>
            </w:pPr>
            <w:r>
              <w:rPr>
                <w:sz w:val="24"/>
              </w:rPr>
              <w:t>№ п/п</w:t>
            </w:r>
          </w:p>
        </w:tc>
        <w:tc>
          <w:tcPr>
            <w:tcW w:w="2553" w:type="dxa"/>
            <w:shd w:val="clear" w:color="auto" w:fill="F1F1F1"/>
          </w:tcPr>
          <w:p>
            <w:pPr>
              <w:pStyle w:val="TableParagraph"/>
              <w:spacing w:before="99"/>
              <w:ind w:left="487" w:right="140" w:hanging="320"/>
              <w:rPr>
                <w:sz w:val="24"/>
              </w:rPr>
            </w:pPr>
            <w:r>
              <w:rPr>
                <w:sz w:val="24"/>
              </w:rPr>
              <w:t>Вид Номенклатурной классификации</w:t>
            </w:r>
          </w:p>
        </w:tc>
        <w:tc>
          <w:tcPr>
            <w:tcW w:w="6237" w:type="dxa"/>
            <w:shd w:val="clear" w:color="auto" w:fill="F1F1F1"/>
          </w:tcPr>
          <w:p>
            <w:pPr>
              <w:pStyle w:val="TableParagraph"/>
              <w:spacing w:before="99"/>
              <w:ind w:left="1990" w:right="357" w:hanging="1611"/>
              <w:rPr>
                <w:sz w:val="24"/>
              </w:rPr>
            </w:pPr>
            <w:r>
              <w:rPr>
                <w:sz w:val="24"/>
              </w:rPr>
              <w:t>Наименование вида Номенклатурной классификации медицинских изделий</w:t>
            </w:r>
          </w:p>
        </w:tc>
      </w:tr>
      <w:tr>
        <w:trPr>
          <w:trHeight w:val="1031" w:hRule="atLeast"/>
        </w:trPr>
        <w:tc>
          <w:tcPr>
            <w:tcW w:w="703" w:type="dxa"/>
          </w:tcPr>
          <w:p>
            <w:pPr>
              <w:pStyle w:val="TableParagraph"/>
              <w:spacing w:before="99"/>
              <w:ind w:left="12"/>
              <w:jc w:val="center"/>
              <w:rPr>
                <w:sz w:val="24"/>
              </w:rPr>
            </w:pPr>
            <w:r>
              <w:rPr>
                <w:sz w:val="24"/>
              </w:rPr>
              <w:t>1</w:t>
            </w:r>
          </w:p>
        </w:tc>
        <w:tc>
          <w:tcPr>
            <w:tcW w:w="2553" w:type="dxa"/>
          </w:tcPr>
          <w:p>
            <w:pPr>
              <w:pStyle w:val="TableParagraph"/>
              <w:spacing w:before="99"/>
              <w:ind w:left="896" w:right="886"/>
              <w:jc w:val="center"/>
              <w:rPr>
                <w:sz w:val="24"/>
              </w:rPr>
            </w:pPr>
            <w:r>
              <w:rPr>
                <w:sz w:val="24"/>
              </w:rPr>
              <w:t>142250</w:t>
            </w:r>
          </w:p>
        </w:tc>
        <w:tc>
          <w:tcPr>
            <w:tcW w:w="6237" w:type="dxa"/>
          </w:tcPr>
          <w:p>
            <w:pPr>
              <w:pStyle w:val="TableParagraph"/>
              <w:spacing w:before="99"/>
              <w:ind w:left="60" w:right="339"/>
              <w:rPr>
                <w:sz w:val="24"/>
              </w:rPr>
            </w:pPr>
            <w:r>
              <w:rPr>
                <w:sz w:val="24"/>
              </w:rPr>
              <w:t>SARS Коронавирус антитела иммуноглобулин A (IgA)/IgG/IgM ИВД, набор, иммунохроматографический анализ, экспресс-анализ</w:t>
            </w:r>
          </w:p>
        </w:tc>
      </w:tr>
    </w:tbl>
    <w:p>
      <w:pPr>
        <w:pStyle w:val="BodyText"/>
        <w:ind w:left="0"/>
        <w:jc w:val="left"/>
        <w:rPr>
          <w:b/>
          <w:sz w:val="26"/>
        </w:rPr>
      </w:pPr>
    </w:p>
    <w:p>
      <w:pPr>
        <w:spacing w:line="360" w:lineRule="auto" w:before="158"/>
        <w:ind w:left="403" w:right="758" w:firstLine="0"/>
        <w:jc w:val="center"/>
        <w:rPr>
          <w:b/>
          <w:sz w:val="24"/>
        </w:rPr>
      </w:pPr>
      <w:r>
        <w:rPr>
          <w:b/>
          <w:sz w:val="24"/>
        </w:rPr>
        <w:t>Виды Номенклатурной классификации медицинских изделий, представляющих собой диагностические наборы реагентов для выявления антигена SARS-CoV-2</w:t>
      </w:r>
    </w:p>
    <w:p>
      <w:pPr>
        <w:pStyle w:val="BodyText"/>
        <w:spacing w:before="1"/>
        <w:ind w:left="0"/>
        <w:jc w:val="left"/>
        <w:rPr>
          <w:b/>
        </w:rPr>
      </w:pPr>
    </w:p>
    <w:tbl>
      <w:tblPr>
        <w:tblW w:w="0" w:type="auto"/>
        <w:jc w:val="left"/>
        <w:tblInd w:w="3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703"/>
        <w:gridCol w:w="2553"/>
        <w:gridCol w:w="6237"/>
      </w:tblGrid>
      <w:tr>
        <w:trPr>
          <w:trHeight w:val="755" w:hRule="atLeast"/>
        </w:trPr>
        <w:tc>
          <w:tcPr>
            <w:tcW w:w="703" w:type="dxa"/>
            <w:shd w:val="clear" w:color="auto" w:fill="F1F1F1"/>
          </w:tcPr>
          <w:p>
            <w:pPr>
              <w:pStyle w:val="TableParagraph"/>
              <w:spacing w:before="99"/>
              <w:ind w:left="189" w:right="160" w:firstLine="48"/>
              <w:rPr>
                <w:sz w:val="24"/>
              </w:rPr>
            </w:pPr>
            <w:r>
              <w:rPr>
                <w:sz w:val="24"/>
              </w:rPr>
              <w:t>№ п/п</w:t>
            </w:r>
          </w:p>
        </w:tc>
        <w:tc>
          <w:tcPr>
            <w:tcW w:w="2553" w:type="dxa"/>
            <w:shd w:val="clear" w:color="auto" w:fill="F1F1F1"/>
          </w:tcPr>
          <w:p>
            <w:pPr>
              <w:pStyle w:val="TableParagraph"/>
              <w:spacing w:before="99"/>
              <w:ind w:left="487" w:right="140" w:hanging="320"/>
              <w:rPr>
                <w:sz w:val="24"/>
              </w:rPr>
            </w:pPr>
            <w:r>
              <w:rPr>
                <w:sz w:val="24"/>
              </w:rPr>
              <w:t>Вид Номенклатурной классификации</w:t>
            </w:r>
          </w:p>
        </w:tc>
        <w:tc>
          <w:tcPr>
            <w:tcW w:w="6237" w:type="dxa"/>
            <w:shd w:val="clear" w:color="auto" w:fill="F1F1F1"/>
          </w:tcPr>
          <w:p>
            <w:pPr>
              <w:pStyle w:val="TableParagraph"/>
              <w:spacing w:before="99"/>
              <w:ind w:left="1990" w:right="357" w:hanging="1611"/>
              <w:rPr>
                <w:sz w:val="24"/>
              </w:rPr>
            </w:pPr>
            <w:r>
              <w:rPr>
                <w:sz w:val="24"/>
              </w:rPr>
              <w:t>Наименование вида Номенклатурной классификации медицинских изделий</w:t>
            </w:r>
          </w:p>
        </w:tc>
      </w:tr>
      <w:tr>
        <w:trPr>
          <w:trHeight w:val="755" w:hRule="atLeast"/>
        </w:trPr>
        <w:tc>
          <w:tcPr>
            <w:tcW w:w="703" w:type="dxa"/>
          </w:tcPr>
          <w:p>
            <w:pPr>
              <w:pStyle w:val="TableParagraph"/>
              <w:spacing w:before="102"/>
              <w:ind w:left="12"/>
              <w:jc w:val="center"/>
              <w:rPr>
                <w:sz w:val="24"/>
              </w:rPr>
            </w:pPr>
            <w:r>
              <w:rPr>
                <w:sz w:val="24"/>
              </w:rPr>
              <w:t>1</w:t>
            </w:r>
          </w:p>
        </w:tc>
        <w:tc>
          <w:tcPr>
            <w:tcW w:w="2553" w:type="dxa"/>
          </w:tcPr>
          <w:p>
            <w:pPr>
              <w:pStyle w:val="TableParagraph"/>
              <w:spacing w:before="102"/>
              <w:ind w:left="896" w:right="886"/>
              <w:jc w:val="center"/>
              <w:rPr>
                <w:sz w:val="24"/>
              </w:rPr>
            </w:pPr>
            <w:r>
              <w:rPr>
                <w:sz w:val="24"/>
              </w:rPr>
              <w:t>142010</w:t>
            </w:r>
          </w:p>
        </w:tc>
        <w:tc>
          <w:tcPr>
            <w:tcW w:w="6237" w:type="dxa"/>
          </w:tcPr>
          <w:p>
            <w:pPr>
              <w:pStyle w:val="TableParagraph"/>
              <w:spacing w:before="102"/>
              <w:ind w:left="60" w:right="663"/>
              <w:rPr>
                <w:sz w:val="24"/>
              </w:rPr>
            </w:pPr>
            <w:r>
              <w:rPr>
                <w:sz w:val="24"/>
              </w:rPr>
              <w:t>SARS Коронавирус антигены ИВД, набор, иммунохроматографический анализ, экспресс-анализ</w:t>
            </w:r>
          </w:p>
        </w:tc>
      </w:tr>
    </w:tbl>
    <w:p>
      <w:pPr>
        <w:pStyle w:val="BodyText"/>
        <w:ind w:left="0"/>
        <w:jc w:val="left"/>
        <w:rPr>
          <w:b/>
          <w:sz w:val="20"/>
        </w:rPr>
      </w:pPr>
    </w:p>
    <w:p>
      <w:pPr>
        <w:pStyle w:val="BodyText"/>
        <w:spacing w:before="3"/>
        <w:ind w:left="0"/>
        <w:jc w:val="left"/>
        <w:rPr>
          <w:b/>
          <w:sz w:val="29"/>
        </w:rPr>
      </w:pPr>
    </w:p>
    <w:p>
      <w:pPr>
        <w:pStyle w:val="ListParagraph"/>
        <w:numPr>
          <w:ilvl w:val="1"/>
          <w:numId w:val="7"/>
        </w:numPr>
        <w:tabs>
          <w:tab w:pos="1522" w:val="left" w:leader="none"/>
        </w:tabs>
        <w:spacing w:line="240" w:lineRule="auto" w:before="89" w:after="0"/>
        <w:ind w:left="1521" w:right="0" w:hanging="493"/>
        <w:jc w:val="left"/>
        <w:rPr>
          <w:b/>
          <w:color w:val="1F487C"/>
          <w:sz w:val="28"/>
        </w:rPr>
      </w:pPr>
      <w:bookmarkStart w:name="4.3. ДИФФЕРЕНЦИАЛЬНАЯ ДИАГНОСТИКА COVID-" w:id="30"/>
      <w:bookmarkEnd w:id="30"/>
      <w:r>
        <w:rPr/>
      </w:r>
      <w:bookmarkStart w:name="_bookmark8" w:id="31"/>
      <w:bookmarkEnd w:id="31"/>
      <w:r>
        <w:rPr/>
      </w:r>
      <w:bookmarkStart w:name="_bookmark8" w:id="32"/>
      <w:bookmarkEnd w:id="32"/>
      <w:r>
        <w:rPr>
          <w:b/>
          <w:color w:val="1F487C"/>
          <w:sz w:val="28"/>
        </w:rPr>
        <w:t>Д</w:t>
      </w:r>
      <w:r>
        <w:rPr>
          <w:b/>
          <w:color w:val="1F487C"/>
          <w:sz w:val="28"/>
        </w:rPr>
        <w:t>ИФФЕРЕНЦИАЛЬНАЯ ДИАГНОСТИКА</w:t>
      </w:r>
      <w:r>
        <w:rPr>
          <w:b/>
          <w:color w:val="1F487C"/>
          <w:spacing w:val="-6"/>
          <w:sz w:val="28"/>
        </w:rPr>
        <w:t> </w:t>
      </w:r>
      <w:r>
        <w:rPr>
          <w:b/>
          <w:color w:val="1F487C"/>
          <w:sz w:val="28"/>
        </w:rPr>
        <w:t>COVID-19</w:t>
      </w:r>
    </w:p>
    <w:p>
      <w:pPr>
        <w:pStyle w:val="BodyText"/>
        <w:spacing w:line="312" w:lineRule="auto" w:before="145"/>
        <w:ind w:right="674" w:firstLine="708"/>
      </w:pPr>
      <w:r>
        <w:rPr/>
        <w:t>Необходимо дифференцировать новую коронавирусную инфекцию с гриппом, острыми вирусными инфекциями, вызываемыми вирусами из группы ОРВИ (риновирус, аденовирус, РС-вирус, человеческие метапневмовирусы, MERS-CoV, парагрипп), вирусными гастроэнтеритами, бактериальными возбудителями респираторных инфекций, тубелкулезом.</w:t>
      </w:r>
    </w:p>
    <w:p>
      <w:pPr>
        <w:pStyle w:val="BodyText"/>
        <w:spacing w:line="312" w:lineRule="auto" w:before="13"/>
        <w:ind w:right="675" w:firstLine="708"/>
      </w:pPr>
      <w:r>
        <w:rPr/>
        <w:t>Длительность инкубационного  периода  COVID-19  может  колебаться  от  2  до 14 дней, однако в среднем составляет 5-7 дней, тогда как длительность инкубационного</w:t>
      </w:r>
      <w:r>
        <w:rPr>
          <w:spacing w:val="43"/>
        </w:rPr>
        <w:t> </w:t>
      </w:r>
      <w:r>
        <w:rPr/>
        <w:t>периода</w:t>
      </w:r>
      <w:r>
        <w:rPr>
          <w:spacing w:val="46"/>
        </w:rPr>
        <w:t> </w:t>
      </w:r>
      <w:r>
        <w:rPr/>
        <w:t>гриппа</w:t>
      </w:r>
      <w:r>
        <w:rPr>
          <w:spacing w:val="45"/>
        </w:rPr>
        <w:t> </w:t>
      </w:r>
      <w:r>
        <w:rPr/>
        <w:t>и</w:t>
      </w:r>
      <w:r>
        <w:rPr>
          <w:spacing w:val="45"/>
        </w:rPr>
        <w:t> </w:t>
      </w:r>
      <w:r>
        <w:rPr/>
        <w:t>ОРВИ,</w:t>
      </w:r>
      <w:r>
        <w:rPr>
          <w:spacing w:val="46"/>
        </w:rPr>
        <w:t> </w:t>
      </w:r>
      <w:r>
        <w:rPr/>
        <w:t>как</w:t>
      </w:r>
      <w:r>
        <w:rPr>
          <w:spacing w:val="47"/>
        </w:rPr>
        <w:t> </w:t>
      </w:r>
      <w:r>
        <w:rPr/>
        <w:t>правило,</w:t>
      </w:r>
      <w:r>
        <w:rPr>
          <w:spacing w:val="44"/>
        </w:rPr>
        <w:t> </w:t>
      </w:r>
      <w:r>
        <w:rPr/>
        <w:t>не</w:t>
      </w:r>
      <w:r>
        <w:rPr>
          <w:spacing w:val="43"/>
        </w:rPr>
        <w:t> </w:t>
      </w:r>
      <w:r>
        <w:rPr/>
        <w:t>превышает</w:t>
      </w:r>
      <w:r>
        <w:rPr>
          <w:spacing w:val="46"/>
        </w:rPr>
        <w:t> </w:t>
      </w:r>
      <w:r>
        <w:rPr/>
        <w:t>3</w:t>
      </w:r>
      <w:r>
        <w:rPr>
          <w:spacing w:val="46"/>
        </w:rPr>
        <w:t> </w:t>
      </w:r>
      <w:r>
        <w:rPr/>
        <w:t>дней.</w:t>
      </w:r>
      <w:r>
        <w:rPr>
          <w:spacing w:val="44"/>
        </w:rPr>
        <w:t> </w:t>
      </w:r>
      <w:r>
        <w:rPr/>
        <w:t>При</w:t>
      </w:r>
    </w:p>
    <w:p>
      <w:pPr>
        <w:spacing w:after="0" w:line="312" w:lineRule="auto"/>
        <w:sectPr>
          <w:pgSz w:w="11920" w:h="16850"/>
          <w:pgMar w:header="0" w:footer="620" w:top="1140" w:bottom="880" w:left="1380" w:right="600"/>
        </w:sectPr>
      </w:pPr>
    </w:p>
    <w:p>
      <w:pPr>
        <w:pStyle w:val="BodyText"/>
        <w:spacing w:line="312" w:lineRule="auto" w:before="78"/>
        <w:ind w:right="674"/>
      </w:pPr>
      <w:r>
        <w:rPr/>
        <w:t>гриппе заболевание начинается резко, при COVID-19 и ОРВИ, как правило, постепенно.</w:t>
      </w:r>
      <w:r>
        <w:rPr>
          <w:spacing w:val="-17"/>
        </w:rPr>
        <w:t> </w:t>
      </w:r>
      <w:r>
        <w:rPr/>
        <w:t>Как</w:t>
      </w:r>
      <w:r>
        <w:rPr>
          <w:spacing w:val="-18"/>
        </w:rPr>
        <w:t> </w:t>
      </w:r>
      <w:r>
        <w:rPr/>
        <w:t>при</w:t>
      </w:r>
      <w:r>
        <w:rPr>
          <w:spacing w:val="-16"/>
        </w:rPr>
        <w:t> </w:t>
      </w:r>
      <w:r>
        <w:rPr/>
        <w:t>COVID-19,</w:t>
      </w:r>
      <w:r>
        <w:rPr>
          <w:spacing w:val="-16"/>
        </w:rPr>
        <w:t> </w:t>
      </w:r>
      <w:r>
        <w:rPr/>
        <w:t>так</w:t>
      </w:r>
      <w:r>
        <w:rPr>
          <w:spacing w:val="-16"/>
        </w:rPr>
        <w:t> </w:t>
      </w:r>
      <w:r>
        <w:rPr/>
        <w:t>и</w:t>
      </w:r>
      <w:r>
        <w:rPr>
          <w:spacing w:val="-16"/>
        </w:rPr>
        <w:t> </w:t>
      </w:r>
      <w:r>
        <w:rPr/>
        <w:t>при</w:t>
      </w:r>
      <w:r>
        <w:rPr>
          <w:spacing w:val="-15"/>
        </w:rPr>
        <w:t> </w:t>
      </w:r>
      <w:r>
        <w:rPr/>
        <w:t>гриппе</w:t>
      </w:r>
      <w:r>
        <w:rPr>
          <w:spacing w:val="-18"/>
        </w:rPr>
        <w:t> </w:t>
      </w:r>
      <w:r>
        <w:rPr/>
        <w:t>может</w:t>
      </w:r>
      <w:r>
        <w:rPr>
          <w:spacing w:val="-16"/>
        </w:rPr>
        <w:t> </w:t>
      </w:r>
      <w:r>
        <w:rPr/>
        <w:t>отмечаться</w:t>
      </w:r>
      <w:r>
        <w:rPr>
          <w:spacing w:val="-16"/>
        </w:rPr>
        <w:t> </w:t>
      </w:r>
      <w:r>
        <w:rPr/>
        <w:t>высокая</w:t>
      </w:r>
      <w:r>
        <w:rPr>
          <w:spacing w:val="-17"/>
        </w:rPr>
        <w:t> </w:t>
      </w:r>
      <w:r>
        <w:rPr/>
        <w:t>лихорадка, кашель,</w:t>
      </w:r>
      <w:r>
        <w:rPr>
          <w:spacing w:val="-6"/>
        </w:rPr>
        <w:t> </w:t>
      </w:r>
      <w:r>
        <w:rPr/>
        <w:t>слабость.</w:t>
      </w:r>
      <w:r>
        <w:rPr>
          <w:spacing w:val="-6"/>
        </w:rPr>
        <w:t> </w:t>
      </w:r>
      <w:r>
        <w:rPr/>
        <w:t>При</w:t>
      </w:r>
      <w:r>
        <w:rPr>
          <w:spacing w:val="-6"/>
        </w:rPr>
        <w:t> </w:t>
      </w:r>
      <w:r>
        <w:rPr/>
        <w:t>течении</w:t>
      </w:r>
      <w:r>
        <w:rPr>
          <w:spacing w:val="-5"/>
        </w:rPr>
        <w:t> </w:t>
      </w:r>
      <w:r>
        <w:rPr/>
        <w:t>ОРВИ</w:t>
      </w:r>
      <w:r>
        <w:rPr>
          <w:spacing w:val="-5"/>
        </w:rPr>
        <w:t> </w:t>
      </w:r>
      <w:r>
        <w:rPr/>
        <w:t>высокая</w:t>
      </w:r>
      <w:r>
        <w:rPr>
          <w:spacing w:val="-6"/>
        </w:rPr>
        <w:t> </w:t>
      </w:r>
      <w:r>
        <w:rPr/>
        <w:t>лихорадка,</w:t>
      </w:r>
      <w:r>
        <w:rPr>
          <w:spacing w:val="-6"/>
        </w:rPr>
        <w:t> </w:t>
      </w:r>
      <w:r>
        <w:rPr/>
        <w:t>слабость</w:t>
      </w:r>
      <w:r>
        <w:rPr>
          <w:spacing w:val="-4"/>
        </w:rPr>
        <w:t> </w:t>
      </w:r>
      <w:r>
        <w:rPr/>
        <w:t>встречаются</w:t>
      </w:r>
      <w:r>
        <w:rPr>
          <w:spacing w:val="-6"/>
        </w:rPr>
        <w:t> </w:t>
      </w:r>
      <w:r>
        <w:rPr/>
        <w:t>редко. При этом при гриппе и ОРВИ одышка и затрудненное дыхание отмечаются значительно реже, чем при</w:t>
      </w:r>
      <w:r>
        <w:rPr>
          <w:spacing w:val="1"/>
        </w:rPr>
        <w:t> </w:t>
      </w:r>
      <w:r>
        <w:rPr/>
        <w:t>COVID-19.</w:t>
      </w:r>
    </w:p>
    <w:p>
      <w:pPr>
        <w:pStyle w:val="BodyText"/>
        <w:spacing w:line="312" w:lineRule="auto" w:before="13"/>
        <w:ind w:right="671" w:firstLine="708"/>
      </w:pPr>
      <w:r>
        <w:rPr/>
        <w:t>Симптомы COVID-19 и туберкулеза могут быть схожи (кашель, повышение температуры, слабость). При туберкулезе симптомы в большинстве случаев развиваются постепенно, но может быть и острое течение заболевания. Оба заболевания могут протекать одновременно, утяжеляя течение друг друга. Для исключения туберкулеза целесообразно проведение теста in vitro для выявления эффекторных Т клеток, реагирующих на стимуляцию антигеном </w:t>
      </w:r>
      <w:r>
        <w:rPr>
          <w:i/>
        </w:rPr>
        <w:t>Mycobacterium </w:t>
      </w:r>
      <w:r>
        <w:rPr>
          <w:i/>
        </w:rPr>
        <w:t>tuberculosis</w:t>
      </w:r>
      <w:r>
        <w:rPr>
          <w:i/>
          <w:spacing w:val="-8"/>
        </w:rPr>
        <w:t> </w:t>
      </w:r>
      <w:r>
        <w:rPr/>
        <w:t>методом</w:t>
      </w:r>
      <w:r>
        <w:rPr>
          <w:spacing w:val="-9"/>
        </w:rPr>
        <w:t> </w:t>
      </w:r>
      <w:r>
        <w:rPr/>
        <w:t>ELISPOT,</w:t>
      </w:r>
      <w:r>
        <w:rPr>
          <w:spacing w:val="-9"/>
        </w:rPr>
        <w:t> </w:t>
      </w:r>
      <w:r>
        <w:rPr/>
        <w:t>3-х</w:t>
      </w:r>
      <w:r>
        <w:rPr>
          <w:spacing w:val="-6"/>
        </w:rPr>
        <w:t> </w:t>
      </w:r>
      <w:r>
        <w:rPr/>
        <w:t>кратное</w:t>
      </w:r>
      <w:r>
        <w:rPr>
          <w:spacing w:val="-10"/>
        </w:rPr>
        <w:t> </w:t>
      </w:r>
      <w:r>
        <w:rPr/>
        <w:t>исследование</w:t>
      </w:r>
      <w:r>
        <w:rPr>
          <w:spacing w:val="-9"/>
        </w:rPr>
        <w:t> </w:t>
      </w:r>
      <w:r>
        <w:rPr/>
        <w:t>мокроты</w:t>
      </w:r>
      <w:r>
        <w:rPr>
          <w:spacing w:val="-9"/>
        </w:rPr>
        <w:t> </w:t>
      </w:r>
      <w:r>
        <w:rPr/>
        <w:t>на</w:t>
      </w:r>
      <w:r>
        <w:rPr>
          <w:spacing w:val="-7"/>
        </w:rPr>
        <w:t> </w:t>
      </w:r>
      <w:r>
        <w:rPr/>
        <w:t>наличие</w:t>
      </w:r>
      <w:r>
        <w:rPr>
          <w:spacing w:val="-10"/>
        </w:rPr>
        <w:t> </w:t>
      </w:r>
      <w:r>
        <w:rPr/>
        <w:t>кислото- устойчивых бактерий, при получении отрицательного результата микроскопического исследования мокроты проводится выявление маркеров ДНК </w:t>
      </w:r>
      <w:r>
        <w:rPr>
          <w:i/>
        </w:rPr>
        <w:t>Mycobacterium </w:t>
      </w:r>
      <w:r>
        <w:rPr>
          <w:i/>
        </w:rPr>
        <w:t>tuberculosis </w:t>
      </w:r>
      <w:r>
        <w:rPr/>
        <w:t>методом ПЦР, лучевое</w:t>
      </w:r>
      <w:r>
        <w:rPr>
          <w:spacing w:val="-3"/>
        </w:rPr>
        <w:t> </w:t>
      </w:r>
      <w:r>
        <w:rPr/>
        <w:t>обследование.</w:t>
      </w:r>
    </w:p>
    <w:p>
      <w:pPr>
        <w:pStyle w:val="BodyText"/>
        <w:spacing w:line="312" w:lineRule="auto" w:before="15"/>
        <w:ind w:right="674" w:firstLine="708"/>
      </w:pPr>
      <w:r>
        <w:rPr/>
        <w:t>При вирусных гастроэнтеритах ведущим будет поражение желудочно- кишечного тракта (ЖКТ), симптомы поражения дыхательных путей, как правило, выражены минимально.</w:t>
      </w:r>
    </w:p>
    <w:p>
      <w:pPr>
        <w:pStyle w:val="BodyText"/>
        <w:spacing w:line="312" w:lineRule="auto" w:before="13"/>
        <w:ind w:right="674" w:firstLine="708"/>
      </w:pPr>
      <w:r>
        <w:rPr/>
        <w:t>В целом при проведении дифференциальной диагностики необходимо учитывать данные эпидемиологического анамнеза, клинические симптомы и их динамику. Во всех подозрительных случаях показано обследование на SARS-COV-2  и возбудителей других респираторных</w:t>
      </w:r>
      <w:r>
        <w:rPr>
          <w:spacing w:val="3"/>
        </w:rPr>
        <w:t> </w:t>
      </w:r>
      <w:r>
        <w:rPr/>
        <w:t>инфекций.</w:t>
      </w:r>
    </w:p>
    <w:p>
      <w:pPr>
        <w:pStyle w:val="BodyText"/>
        <w:spacing w:before="5"/>
        <w:ind w:left="0"/>
        <w:jc w:val="left"/>
        <w:rPr>
          <w:sz w:val="31"/>
        </w:rPr>
      </w:pPr>
    </w:p>
    <w:p>
      <w:pPr>
        <w:pStyle w:val="Heading2"/>
        <w:numPr>
          <w:ilvl w:val="0"/>
          <w:numId w:val="18"/>
        </w:numPr>
        <w:tabs>
          <w:tab w:pos="1311" w:val="left" w:leader="none"/>
        </w:tabs>
        <w:spacing w:line="240" w:lineRule="auto" w:before="0" w:after="0"/>
        <w:ind w:left="1310" w:right="0" w:hanging="282"/>
        <w:jc w:val="left"/>
      </w:pPr>
      <w:bookmarkStart w:name="5. ЛЕЧЕНИЕ КОРОНАВИРУСНОЙ ИНФЕКЦИИ" w:id="33"/>
      <w:bookmarkEnd w:id="33"/>
      <w:r>
        <w:rPr>
          <w:b w:val="0"/>
        </w:rPr>
      </w:r>
      <w:bookmarkStart w:name="_bookmark9" w:id="34"/>
      <w:bookmarkEnd w:id="34"/>
      <w:r>
        <w:rPr>
          <w:b w:val="0"/>
        </w:rPr>
      </w:r>
      <w:bookmarkStart w:name="_bookmark9" w:id="35"/>
      <w:bookmarkEnd w:id="35"/>
      <w:r>
        <w:rPr>
          <w:color w:val="1F487C"/>
        </w:rPr>
        <w:t>Л</w:t>
      </w:r>
      <w:r>
        <w:rPr>
          <w:color w:val="1F487C"/>
        </w:rPr>
        <w:t>ЕЧЕНИЕ КОРОНАВИРУСНОЙ</w:t>
      </w:r>
      <w:r>
        <w:rPr>
          <w:color w:val="1F487C"/>
          <w:spacing w:val="-5"/>
        </w:rPr>
        <w:t> </w:t>
      </w:r>
      <w:r>
        <w:rPr>
          <w:color w:val="1F487C"/>
        </w:rPr>
        <w:t>ИНФЕКЦИИ</w:t>
      </w:r>
    </w:p>
    <w:p>
      <w:pPr>
        <w:pStyle w:val="BodyText"/>
        <w:spacing w:line="312" w:lineRule="auto" w:before="200"/>
        <w:ind w:right="677" w:firstLine="708"/>
      </w:pPr>
      <w:r>
        <w:rPr/>
        <w:t>Основным подходом к терапии COVID-19 должно быть упреждающее назначение лечения до развития полного симптомокомплекса жизнеугрожающих состояний, а именно пневмонии, ОРДС, сепсиса.</w:t>
      </w:r>
    </w:p>
    <w:p>
      <w:pPr>
        <w:pStyle w:val="BodyText"/>
        <w:spacing w:line="312" w:lineRule="auto"/>
        <w:ind w:right="675" w:firstLine="708"/>
      </w:pPr>
      <w:r>
        <w:rPr/>
        <w:t>Лечение COVID-19 в соответствии с протоколами настоящих рекомендаций проводится в подтвержденных и вероятных случаях заболевания.</w:t>
      </w:r>
    </w:p>
    <w:p>
      <w:pPr>
        <w:pStyle w:val="BodyText"/>
        <w:spacing w:line="312" w:lineRule="auto"/>
        <w:ind w:right="675" w:firstLine="708"/>
      </w:pPr>
      <w:r>
        <w:rPr/>
        <w:t>В рамках оказания медицинской помощи необходим мониторинг состояния пациента</w:t>
      </w:r>
      <w:r>
        <w:rPr>
          <w:spacing w:val="-12"/>
        </w:rPr>
        <w:t> </w:t>
      </w:r>
      <w:r>
        <w:rPr/>
        <w:t>для</w:t>
      </w:r>
      <w:r>
        <w:rPr>
          <w:spacing w:val="-10"/>
        </w:rPr>
        <w:t> </w:t>
      </w:r>
      <w:r>
        <w:rPr/>
        <w:t>выявления</w:t>
      </w:r>
      <w:r>
        <w:rPr>
          <w:spacing w:val="-10"/>
        </w:rPr>
        <w:t> </w:t>
      </w:r>
      <w:r>
        <w:rPr/>
        <w:t>признаков</w:t>
      </w:r>
      <w:r>
        <w:rPr>
          <w:spacing w:val="-8"/>
        </w:rPr>
        <w:t> </w:t>
      </w:r>
      <w:r>
        <w:rPr/>
        <w:t>ухудшения</w:t>
      </w:r>
      <w:r>
        <w:rPr>
          <w:spacing w:val="-10"/>
        </w:rPr>
        <w:t> </w:t>
      </w:r>
      <w:r>
        <w:rPr/>
        <w:t>его</w:t>
      </w:r>
      <w:r>
        <w:rPr>
          <w:spacing w:val="-11"/>
        </w:rPr>
        <w:t> </w:t>
      </w:r>
      <w:r>
        <w:rPr/>
        <w:t>клинического</w:t>
      </w:r>
      <w:r>
        <w:rPr>
          <w:spacing w:val="-10"/>
        </w:rPr>
        <w:t> </w:t>
      </w:r>
      <w:r>
        <w:rPr/>
        <w:t>состояния.</w:t>
      </w:r>
      <w:r>
        <w:rPr>
          <w:spacing w:val="-10"/>
        </w:rPr>
        <w:t> </w:t>
      </w:r>
      <w:r>
        <w:rPr/>
        <w:t>Пациенты, инфицированные</w:t>
      </w:r>
      <w:r>
        <w:rPr>
          <w:spacing w:val="-20"/>
        </w:rPr>
        <w:t> </w:t>
      </w:r>
      <w:r>
        <w:rPr/>
        <w:t>SARS-CoV-2,</w:t>
      </w:r>
      <w:r>
        <w:rPr>
          <w:spacing w:val="-19"/>
        </w:rPr>
        <w:t> </w:t>
      </w:r>
      <w:r>
        <w:rPr/>
        <w:t>должны</w:t>
      </w:r>
      <w:r>
        <w:rPr>
          <w:spacing w:val="-19"/>
        </w:rPr>
        <w:t> </w:t>
      </w:r>
      <w:r>
        <w:rPr/>
        <w:t>получать</w:t>
      </w:r>
      <w:r>
        <w:rPr>
          <w:spacing w:val="-18"/>
        </w:rPr>
        <w:t> </w:t>
      </w:r>
      <w:r>
        <w:rPr/>
        <w:t>поддерживающую</w:t>
      </w:r>
      <w:r>
        <w:rPr>
          <w:spacing w:val="-17"/>
        </w:rPr>
        <w:t> </w:t>
      </w:r>
      <w:r>
        <w:rPr/>
        <w:t>патогенетическую и симптоматическую терапию.</w:t>
      </w:r>
    </w:p>
    <w:p>
      <w:pPr>
        <w:pStyle w:val="BodyText"/>
        <w:spacing w:line="312" w:lineRule="auto"/>
        <w:ind w:right="675" w:firstLine="708"/>
      </w:pPr>
      <w:r>
        <w:rPr/>
        <w:t>Лечение   сопутствующих    заболеваний    и    осложнений    осуществляется    в соответствии с клиническими рекомендациями, стандартами медицинской помощи по данным</w:t>
      </w:r>
      <w:r>
        <w:rPr>
          <w:spacing w:val="-3"/>
        </w:rPr>
        <w:t> </w:t>
      </w:r>
      <w:r>
        <w:rPr/>
        <w:t>заболеваниям.</w:t>
      </w:r>
    </w:p>
    <w:p>
      <w:pPr>
        <w:spacing w:after="0" w:line="312" w:lineRule="auto"/>
        <w:sectPr>
          <w:pgSz w:w="11920" w:h="16850"/>
          <w:pgMar w:header="0" w:footer="620" w:top="1060" w:bottom="880" w:left="1380" w:right="600"/>
        </w:sectPr>
      </w:pPr>
    </w:p>
    <w:p>
      <w:pPr>
        <w:pStyle w:val="Heading2"/>
        <w:numPr>
          <w:ilvl w:val="1"/>
          <w:numId w:val="18"/>
        </w:numPr>
        <w:tabs>
          <w:tab w:pos="1522" w:val="left" w:leader="none"/>
        </w:tabs>
        <w:spacing w:line="240" w:lineRule="auto" w:before="59" w:after="0"/>
        <w:ind w:left="1521" w:right="0" w:hanging="493"/>
        <w:jc w:val="left"/>
        <w:rPr>
          <w:color w:val="1F487C"/>
        </w:rPr>
      </w:pPr>
      <w:bookmarkStart w:name="5.1. ЭТИОТРОПНОЕ ЛЕЧЕНИЕ" w:id="36"/>
      <w:bookmarkEnd w:id="36"/>
      <w:r>
        <w:rPr>
          <w:b w:val="0"/>
        </w:rPr>
      </w:r>
      <w:bookmarkStart w:name="_bookmark10" w:id="37"/>
      <w:bookmarkEnd w:id="37"/>
      <w:r>
        <w:rPr>
          <w:b w:val="0"/>
        </w:rPr>
      </w:r>
      <w:bookmarkStart w:name="_bookmark10" w:id="38"/>
      <w:bookmarkEnd w:id="38"/>
      <w:r>
        <w:rPr>
          <w:color w:val="1F487C"/>
        </w:rPr>
        <w:t>Э</w:t>
      </w:r>
      <w:r>
        <w:rPr>
          <w:color w:val="1F487C"/>
        </w:rPr>
        <w:t>ТИОТРОПНОЕ</w:t>
      </w:r>
      <w:r>
        <w:rPr>
          <w:color w:val="1F487C"/>
          <w:spacing w:val="-2"/>
        </w:rPr>
        <w:t> </w:t>
      </w:r>
      <w:r>
        <w:rPr>
          <w:color w:val="1F487C"/>
        </w:rPr>
        <w:t>ЛЕЧЕНИЕ</w:t>
      </w:r>
    </w:p>
    <w:p>
      <w:pPr>
        <w:pStyle w:val="BodyText"/>
        <w:spacing w:line="312" w:lineRule="auto" w:before="145"/>
        <w:ind w:right="674" w:firstLine="708"/>
      </w:pPr>
      <w:r>
        <w:rPr/>
        <w:t>В</w:t>
      </w:r>
      <w:r>
        <w:rPr>
          <w:spacing w:val="-16"/>
        </w:rPr>
        <w:t> </w:t>
      </w:r>
      <w:r>
        <w:rPr/>
        <w:t>настоящее</w:t>
      </w:r>
      <w:r>
        <w:rPr>
          <w:spacing w:val="-14"/>
        </w:rPr>
        <w:t> </w:t>
      </w:r>
      <w:r>
        <w:rPr/>
        <w:t>время</w:t>
      </w:r>
      <w:r>
        <w:rPr>
          <w:spacing w:val="-12"/>
        </w:rPr>
        <w:t> </w:t>
      </w:r>
      <w:r>
        <w:rPr/>
        <w:t>следует</w:t>
      </w:r>
      <w:r>
        <w:rPr>
          <w:spacing w:val="-13"/>
        </w:rPr>
        <w:t> </w:t>
      </w:r>
      <w:r>
        <w:rPr/>
        <w:t>выделить</w:t>
      </w:r>
      <w:r>
        <w:rPr>
          <w:spacing w:val="-13"/>
        </w:rPr>
        <w:t> </w:t>
      </w:r>
      <w:r>
        <w:rPr/>
        <w:t>несколько</w:t>
      </w:r>
      <w:r>
        <w:rPr>
          <w:spacing w:val="-17"/>
        </w:rPr>
        <w:t> </w:t>
      </w:r>
      <w:r>
        <w:rPr/>
        <w:t>препаратов,</w:t>
      </w:r>
      <w:r>
        <w:rPr>
          <w:spacing w:val="-13"/>
        </w:rPr>
        <w:t> </w:t>
      </w:r>
      <w:r>
        <w:rPr/>
        <w:t>которые</w:t>
      </w:r>
      <w:r>
        <w:rPr>
          <w:spacing w:val="-14"/>
        </w:rPr>
        <w:t> </w:t>
      </w:r>
      <w:r>
        <w:rPr/>
        <w:t>могут</w:t>
      </w:r>
      <w:r>
        <w:rPr>
          <w:spacing w:val="-14"/>
        </w:rPr>
        <w:t> </w:t>
      </w:r>
      <w:r>
        <w:rPr/>
        <w:t>быть использованы при лечении COVID-19. К ним относятся препараты фавипиравир, ремдесивир,     умифеновир,      гидроксихлорохин,      азитромицин     (в     сочетании  с гидроксихлорохином),</w:t>
      </w:r>
      <w:r>
        <w:rPr>
          <w:spacing w:val="-2"/>
        </w:rPr>
        <w:t> </w:t>
      </w:r>
      <w:r>
        <w:rPr/>
        <w:t>интерферон-альфа.</w:t>
      </w:r>
    </w:p>
    <w:p>
      <w:pPr>
        <w:pStyle w:val="BodyText"/>
        <w:spacing w:line="312" w:lineRule="auto"/>
        <w:ind w:right="674" w:firstLine="708"/>
      </w:pPr>
      <w:r>
        <w:rPr/>
        <w:t>Имеющиеся на сегодня сведения о  результатах  терапии  всеми  препаратами не позволяют сделать однозначный вывод об их эффективности или неэффективности, в  связи  с   чем   их   применение   допустимо   по   решению   врачебной   комиссии   в установленном порядке, в случае если потенциальная польза для пациента превысит риск их</w:t>
      </w:r>
      <w:r>
        <w:rPr>
          <w:spacing w:val="2"/>
        </w:rPr>
        <w:t> </w:t>
      </w:r>
      <w:r>
        <w:rPr/>
        <w:t>применения.</w:t>
      </w:r>
    </w:p>
    <w:p>
      <w:pPr>
        <w:pStyle w:val="BodyText"/>
        <w:spacing w:line="312" w:lineRule="auto"/>
        <w:ind w:right="673" w:firstLine="708"/>
      </w:pPr>
      <w:r>
        <w:rPr/>
        <w:t>Препарат фавипиравир – синтетический противовирусный препарат, селективный ингибитор РНК-полимеразы, активный в отношении РНК-содержащих вирусов. В ряде исследований было продемонстрировано, что фавипиравир эффективно</w:t>
      </w:r>
      <w:r>
        <w:rPr>
          <w:spacing w:val="-6"/>
        </w:rPr>
        <w:t> </w:t>
      </w:r>
      <w:r>
        <w:rPr/>
        <w:t>ингибирует</w:t>
      </w:r>
      <w:r>
        <w:rPr>
          <w:spacing w:val="-4"/>
        </w:rPr>
        <w:t> </w:t>
      </w:r>
      <w:r>
        <w:rPr/>
        <w:t>SARS-CoV-2</w:t>
      </w:r>
      <w:r>
        <w:rPr>
          <w:spacing w:val="-5"/>
        </w:rPr>
        <w:t> </w:t>
      </w:r>
      <w:r>
        <w:rPr/>
        <w:t>в</w:t>
      </w:r>
      <w:r>
        <w:rPr>
          <w:spacing w:val="-5"/>
        </w:rPr>
        <w:t> </w:t>
      </w:r>
      <w:r>
        <w:rPr/>
        <w:t>культуре</w:t>
      </w:r>
      <w:r>
        <w:rPr>
          <w:spacing w:val="-7"/>
        </w:rPr>
        <w:t> </w:t>
      </w:r>
      <w:r>
        <w:rPr/>
        <w:t>клеток.</w:t>
      </w:r>
      <w:r>
        <w:rPr>
          <w:spacing w:val="-5"/>
        </w:rPr>
        <w:t> </w:t>
      </w:r>
      <w:r>
        <w:rPr/>
        <w:t>В</w:t>
      </w:r>
      <w:r>
        <w:rPr>
          <w:spacing w:val="-7"/>
        </w:rPr>
        <w:t> </w:t>
      </w:r>
      <w:r>
        <w:rPr/>
        <w:t>январе</w:t>
      </w:r>
      <w:r>
        <w:rPr>
          <w:spacing w:val="-6"/>
        </w:rPr>
        <w:t> </w:t>
      </w:r>
      <w:r>
        <w:rPr/>
        <w:t>2020</w:t>
      </w:r>
      <w:r>
        <w:rPr>
          <w:spacing w:val="-5"/>
        </w:rPr>
        <w:t> </w:t>
      </w:r>
      <w:r>
        <w:rPr/>
        <w:t>г.</w:t>
      </w:r>
      <w:r>
        <w:rPr>
          <w:spacing w:val="-6"/>
        </w:rPr>
        <w:t> </w:t>
      </w:r>
      <w:r>
        <w:rPr/>
        <w:t>в</w:t>
      </w:r>
      <w:r>
        <w:rPr>
          <w:spacing w:val="-5"/>
        </w:rPr>
        <w:t> </w:t>
      </w:r>
      <w:r>
        <w:rPr/>
        <w:t>Китае</w:t>
      </w:r>
      <w:r>
        <w:rPr>
          <w:spacing w:val="-6"/>
        </w:rPr>
        <w:t> </w:t>
      </w:r>
      <w:r>
        <w:rPr/>
        <w:t>было проведено открытое нерандомизированное исследование фавипиравира при лечении COVID-19 в сравнении с комбинацией лопинавир+ритонавир. В группе фавипиравира медиана времени до элиминации вируса составила 4 дня и была значительно меньше, чем в группе сравнения (11 дней). При этом к десятому дню элиминация вируса была зарегистрирована у 80% пациентов, получавших фавипиравир. Улучшение по данным КТ ОГК через 14 дней после окончания исследуемой терапии зафиксировано у 91,4% пациентов в группе фавипиравира и только у 62,2% пациентов в контрольной группе. Нежелательные</w:t>
      </w:r>
      <w:r>
        <w:rPr>
          <w:spacing w:val="-17"/>
        </w:rPr>
        <w:t> </w:t>
      </w:r>
      <w:r>
        <w:rPr/>
        <w:t>реакции</w:t>
      </w:r>
      <w:r>
        <w:rPr>
          <w:spacing w:val="-15"/>
        </w:rPr>
        <w:t> </w:t>
      </w:r>
      <w:r>
        <w:rPr/>
        <w:t>в</w:t>
      </w:r>
      <w:r>
        <w:rPr>
          <w:spacing w:val="-16"/>
        </w:rPr>
        <w:t> </w:t>
      </w:r>
      <w:r>
        <w:rPr/>
        <w:t>группе</w:t>
      </w:r>
      <w:r>
        <w:rPr>
          <w:spacing w:val="-17"/>
        </w:rPr>
        <w:t> </w:t>
      </w:r>
      <w:r>
        <w:rPr/>
        <w:t>фавипиравира</w:t>
      </w:r>
      <w:r>
        <w:rPr>
          <w:spacing w:val="-17"/>
        </w:rPr>
        <w:t> </w:t>
      </w:r>
      <w:r>
        <w:rPr/>
        <w:t>наблюдались</w:t>
      </w:r>
      <w:r>
        <w:rPr>
          <w:spacing w:val="-15"/>
        </w:rPr>
        <w:t> </w:t>
      </w:r>
      <w:r>
        <w:rPr/>
        <w:t>в</w:t>
      </w:r>
      <w:r>
        <w:rPr>
          <w:spacing w:val="-15"/>
        </w:rPr>
        <w:t> </w:t>
      </w:r>
      <w:r>
        <w:rPr/>
        <w:t>5</w:t>
      </w:r>
      <w:r>
        <w:rPr>
          <w:spacing w:val="-16"/>
        </w:rPr>
        <w:t> </w:t>
      </w:r>
      <w:r>
        <w:rPr/>
        <w:t>раз</w:t>
      </w:r>
      <w:r>
        <w:rPr>
          <w:spacing w:val="-15"/>
        </w:rPr>
        <w:t> </w:t>
      </w:r>
      <w:r>
        <w:rPr/>
        <w:t>реже,</w:t>
      </w:r>
      <w:r>
        <w:rPr>
          <w:spacing w:val="-16"/>
        </w:rPr>
        <w:t> </w:t>
      </w:r>
      <w:r>
        <w:rPr/>
        <w:t>чем</w:t>
      </w:r>
      <w:r>
        <w:rPr>
          <w:spacing w:val="-14"/>
        </w:rPr>
        <w:t> </w:t>
      </w:r>
      <w:r>
        <w:rPr/>
        <w:t>в</w:t>
      </w:r>
      <w:r>
        <w:rPr>
          <w:spacing w:val="-16"/>
        </w:rPr>
        <w:t> </w:t>
      </w:r>
      <w:r>
        <w:rPr/>
        <w:t>группе сравнения.</w:t>
      </w:r>
    </w:p>
    <w:p>
      <w:pPr>
        <w:pStyle w:val="BodyText"/>
        <w:spacing w:line="312" w:lineRule="auto"/>
        <w:ind w:right="674" w:firstLine="708"/>
      </w:pPr>
      <w:r>
        <w:rPr/>
        <w:t>В Российской Федерации проведено масштабное клиническое исследование по оценке   эффективности   и   безопасности   препарата   фавипиравир   с    участием 168 пациентов с легким и среднетяжелым течением COVID-19 (в соотношении амбулаторных и стационарных пациентов 4:1). Частота достижения клинического улучшения на 7-й день терапии в группе пациентов, получавших фавипиравир, была практически</w:t>
      </w:r>
      <w:r>
        <w:rPr>
          <w:spacing w:val="-8"/>
        </w:rPr>
        <w:t> </w:t>
      </w:r>
      <w:r>
        <w:rPr/>
        <w:t>в</w:t>
      </w:r>
      <w:r>
        <w:rPr>
          <w:spacing w:val="-9"/>
        </w:rPr>
        <w:t> </w:t>
      </w:r>
      <w:r>
        <w:rPr/>
        <w:t>1,5</w:t>
      </w:r>
      <w:r>
        <w:rPr>
          <w:spacing w:val="-8"/>
        </w:rPr>
        <w:t> </w:t>
      </w:r>
      <w:r>
        <w:rPr/>
        <w:t>раза</w:t>
      </w:r>
      <w:r>
        <w:rPr>
          <w:spacing w:val="-10"/>
        </w:rPr>
        <w:t> </w:t>
      </w:r>
      <w:r>
        <w:rPr/>
        <w:t>больше,</w:t>
      </w:r>
      <w:r>
        <w:rPr>
          <w:spacing w:val="-8"/>
        </w:rPr>
        <w:t> </w:t>
      </w:r>
      <w:r>
        <w:rPr/>
        <w:t>чем</w:t>
      </w:r>
      <w:r>
        <w:rPr>
          <w:spacing w:val="-9"/>
        </w:rPr>
        <w:t> </w:t>
      </w:r>
      <w:r>
        <w:rPr/>
        <w:t>в</w:t>
      </w:r>
      <w:r>
        <w:rPr>
          <w:spacing w:val="-8"/>
        </w:rPr>
        <w:t> </w:t>
      </w:r>
      <w:r>
        <w:rPr/>
        <w:t>группе</w:t>
      </w:r>
      <w:r>
        <w:rPr>
          <w:spacing w:val="-10"/>
        </w:rPr>
        <w:t> </w:t>
      </w:r>
      <w:r>
        <w:rPr/>
        <w:t>сравнения.</w:t>
      </w:r>
      <w:r>
        <w:rPr>
          <w:spacing w:val="-8"/>
        </w:rPr>
        <w:t> </w:t>
      </w:r>
      <w:r>
        <w:rPr/>
        <w:t>Доля</w:t>
      </w:r>
      <w:r>
        <w:rPr>
          <w:spacing w:val="-9"/>
        </w:rPr>
        <w:t> </w:t>
      </w:r>
      <w:r>
        <w:rPr/>
        <w:t>пациентов</w:t>
      </w:r>
      <w:r>
        <w:rPr>
          <w:spacing w:val="-9"/>
        </w:rPr>
        <w:t> </w:t>
      </w:r>
      <w:r>
        <w:rPr/>
        <w:t>с</w:t>
      </w:r>
      <w:r>
        <w:rPr>
          <w:spacing w:val="-9"/>
        </w:rPr>
        <w:t> </w:t>
      </w:r>
      <w:r>
        <w:rPr/>
        <w:t>элиминацией вируса в дни 3-й и 5-й дни терапии была выше в группе лечения фавипиравиром, что свидетельствовало о более раннем наступлении элиминации при применении препарата.</w:t>
      </w:r>
      <w:r>
        <w:rPr>
          <w:spacing w:val="-6"/>
        </w:rPr>
        <w:t> </w:t>
      </w:r>
      <w:r>
        <w:rPr/>
        <w:t>В</w:t>
      </w:r>
      <w:r>
        <w:rPr>
          <w:spacing w:val="-5"/>
        </w:rPr>
        <w:t> </w:t>
      </w:r>
      <w:r>
        <w:rPr/>
        <w:t>когорте</w:t>
      </w:r>
      <w:r>
        <w:rPr>
          <w:spacing w:val="-6"/>
        </w:rPr>
        <w:t> </w:t>
      </w:r>
      <w:r>
        <w:rPr/>
        <w:t>стационарных</w:t>
      </w:r>
      <w:r>
        <w:rPr>
          <w:spacing w:val="-4"/>
        </w:rPr>
        <w:t> </w:t>
      </w:r>
      <w:r>
        <w:rPr/>
        <w:t>пациентов,</w:t>
      </w:r>
      <w:r>
        <w:rPr>
          <w:spacing w:val="-8"/>
        </w:rPr>
        <w:t> </w:t>
      </w:r>
      <w:r>
        <w:rPr/>
        <w:t>получавших</w:t>
      </w:r>
      <w:r>
        <w:rPr>
          <w:spacing w:val="-3"/>
        </w:rPr>
        <w:t> </w:t>
      </w:r>
      <w:r>
        <w:rPr/>
        <w:t>фавипиравир,</w:t>
      </w:r>
      <w:r>
        <w:rPr>
          <w:spacing w:val="-6"/>
        </w:rPr>
        <w:t> </w:t>
      </w:r>
      <w:r>
        <w:rPr/>
        <w:t>к</w:t>
      </w:r>
      <w:r>
        <w:rPr>
          <w:spacing w:val="-4"/>
        </w:rPr>
        <w:t> </w:t>
      </w:r>
      <w:r>
        <w:rPr/>
        <w:t>28-му</w:t>
      </w:r>
      <w:r>
        <w:rPr>
          <w:spacing w:val="-10"/>
        </w:rPr>
        <w:t> </w:t>
      </w:r>
      <w:r>
        <w:rPr/>
        <w:t>дню терапии</w:t>
      </w:r>
      <w:r>
        <w:rPr>
          <w:spacing w:val="-16"/>
        </w:rPr>
        <w:t> </w:t>
      </w:r>
      <w:r>
        <w:rPr/>
        <w:t>была</w:t>
      </w:r>
      <w:r>
        <w:rPr>
          <w:spacing w:val="-17"/>
        </w:rPr>
        <w:t> </w:t>
      </w:r>
      <w:r>
        <w:rPr/>
        <w:t>выявлена</w:t>
      </w:r>
      <w:r>
        <w:rPr>
          <w:spacing w:val="-15"/>
        </w:rPr>
        <w:t> </w:t>
      </w:r>
      <w:r>
        <w:rPr/>
        <w:t>клинически</w:t>
      </w:r>
      <w:r>
        <w:rPr>
          <w:spacing w:val="-15"/>
        </w:rPr>
        <w:t> </w:t>
      </w:r>
      <w:r>
        <w:rPr/>
        <w:t>значимая</w:t>
      </w:r>
      <w:r>
        <w:rPr>
          <w:spacing w:val="-16"/>
        </w:rPr>
        <w:t> </w:t>
      </w:r>
      <w:r>
        <w:rPr/>
        <w:t>разница</w:t>
      </w:r>
      <w:r>
        <w:rPr>
          <w:spacing w:val="-17"/>
        </w:rPr>
        <w:t> </w:t>
      </w:r>
      <w:r>
        <w:rPr/>
        <w:t>по</w:t>
      </w:r>
      <w:r>
        <w:rPr>
          <w:spacing w:val="-17"/>
        </w:rPr>
        <w:t> </w:t>
      </w:r>
      <w:r>
        <w:rPr/>
        <w:t>числу</w:t>
      </w:r>
      <w:r>
        <w:rPr>
          <w:spacing w:val="-21"/>
        </w:rPr>
        <w:t> </w:t>
      </w:r>
      <w:r>
        <w:rPr/>
        <w:t>разрешившихся</w:t>
      </w:r>
      <w:r>
        <w:rPr>
          <w:spacing w:val="-16"/>
        </w:rPr>
        <w:t> </w:t>
      </w:r>
      <w:r>
        <w:rPr/>
        <w:t>случаев по данным КТ</w:t>
      </w:r>
      <w:r>
        <w:rPr>
          <w:spacing w:val="-2"/>
        </w:rPr>
        <w:t> </w:t>
      </w:r>
      <w:r>
        <w:rPr/>
        <w:t>ОГК.</w:t>
      </w:r>
    </w:p>
    <w:p>
      <w:pPr>
        <w:pStyle w:val="BodyText"/>
        <w:spacing w:line="312" w:lineRule="auto"/>
        <w:ind w:right="749" w:firstLine="708"/>
        <w:jc w:val="left"/>
      </w:pPr>
      <w:r>
        <w:rPr/>
        <w:t>Полученные данные позволяют  разрешить  применение  препарата  не  только в стационаре, но и в амбулаторных</w:t>
      </w:r>
      <w:r>
        <w:rPr>
          <w:spacing w:val="2"/>
        </w:rPr>
        <w:t> </w:t>
      </w:r>
      <w:r>
        <w:rPr/>
        <w:t>условиях.</w:t>
      </w:r>
    </w:p>
    <w:p>
      <w:pPr>
        <w:pStyle w:val="BodyText"/>
        <w:ind w:left="1029"/>
        <w:jc w:val="left"/>
      </w:pPr>
      <w:r>
        <w:rPr/>
        <w:t>Режимы дозирования фавипиравира приведены в </w:t>
      </w:r>
      <w:hyperlink w:history="true" w:anchor="_bookmark56">
        <w:r>
          <w:rPr>
            <w:color w:val="0562C1"/>
            <w:u w:val="single" w:color="0562C1"/>
          </w:rPr>
          <w:t>приложении 7</w:t>
        </w:r>
      </w:hyperlink>
      <w:r>
        <w:rPr/>
        <w:t>.</w:t>
      </w:r>
    </w:p>
    <w:p>
      <w:pPr>
        <w:pStyle w:val="BodyText"/>
        <w:spacing w:before="82"/>
        <w:ind w:left="1029"/>
        <w:jc w:val="left"/>
      </w:pPr>
      <w:r>
        <w:rPr/>
        <w:t>Другим препаратом, обладающим противовирусной активностью в </w:t>
      </w:r>
      <w:r>
        <w:rPr>
          <w:spacing w:val="25"/>
        </w:rPr>
        <w:t> </w:t>
      </w:r>
      <w:r>
        <w:rPr/>
        <w:t>отношении</w:t>
      </w:r>
    </w:p>
    <w:p>
      <w:pPr>
        <w:pStyle w:val="BodyText"/>
        <w:spacing w:before="84"/>
        <w:jc w:val="left"/>
      </w:pPr>
      <w:r>
        <w:rPr/>
        <w:t>SARS-CoV-2,  является  ремдесивир.  Его  активный  метаболит  выступает  в</w:t>
      </w:r>
      <w:r>
        <w:rPr>
          <w:spacing w:val="3"/>
        </w:rPr>
        <w:t> </w:t>
      </w:r>
      <w:r>
        <w:rPr/>
        <w:t>качестве</w:t>
      </w:r>
    </w:p>
    <w:p>
      <w:pPr>
        <w:spacing w:after="0"/>
        <w:jc w:val="left"/>
        <w:sectPr>
          <w:pgSz w:w="11920" w:h="16850"/>
          <w:pgMar w:header="0" w:footer="620" w:top="1080" w:bottom="880" w:left="1380" w:right="600"/>
        </w:sectPr>
      </w:pPr>
    </w:p>
    <w:p>
      <w:pPr>
        <w:pStyle w:val="BodyText"/>
        <w:spacing w:line="312" w:lineRule="auto" w:before="78"/>
        <w:ind w:right="673"/>
      </w:pPr>
      <w:r>
        <w:rPr/>
        <w:t>аналога аденозинтрифосфата (АТФ) и конкурирует с природным АТФ-субстратом за включение в формирующиеся РНК-цепи с помощью РНК-зависимой РНК-полимеразы вируса SARS-CoV-2, что приводит к задержанному обрыву цепи во время репликации вирусной РНК. В одном из масштабных исследований, включавшем 1063 пациента, было показано, что у пацентов, получавших 10-дневный курс лечения ремдесивиром, время</w:t>
      </w:r>
      <w:r>
        <w:rPr>
          <w:spacing w:val="-16"/>
        </w:rPr>
        <w:t> </w:t>
      </w:r>
      <w:r>
        <w:rPr/>
        <w:t>выздоровления</w:t>
      </w:r>
      <w:r>
        <w:rPr>
          <w:spacing w:val="-16"/>
        </w:rPr>
        <w:t> </w:t>
      </w:r>
      <w:r>
        <w:rPr/>
        <w:t>было</w:t>
      </w:r>
      <w:r>
        <w:rPr>
          <w:spacing w:val="-15"/>
        </w:rPr>
        <w:t> </w:t>
      </w:r>
      <w:r>
        <w:rPr/>
        <w:t>короче</w:t>
      </w:r>
      <w:r>
        <w:rPr>
          <w:spacing w:val="-17"/>
        </w:rPr>
        <w:t> </w:t>
      </w:r>
      <w:r>
        <w:rPr/>
        <w:t>на</w:t>
      </w:r>
      <w:r>
        <w:rPr>
          <w:spacing w:val="-17"/>
        </w:rPr>
        <w:t> </w:t>
      </w:r>
      <w:r>
        <w:rPr/>
        <w:t>4</w:t>
      </w:r>
      <w:r>
        <w:rPr>
          <w:spacing w:val="-12"/>
        </w:rPr>
        <w:t> </w:t>
      </w:r>
      <w:r>
        <w:rPr/>
        <w:t>дня</w:t>
      </w:r>
      <w:r>
        <w:rPr>
          <w:spacing w:val="-16"/>
        </w:rPr>
        <w:t> </w:t>
      </w:r>
      <w:r>
        <w:rPr/>
        <w:t>в</w:t>
      </w:r>
      <w:r>
        <w:rPr>
          <w:spacing w:val="-15"/>
        </w:rPr>
        <w:t> </w:t>
      </w:r>
      <w:r>
        <w:rPr/>
        <w:t>сравнении</w:t>
      </w:r>
      <w:r>
        <w:rPr>
          <w:spacing w:val="-15"/>
        </w:rPr>
        <w:t> </w:t>
      </w:r>
      <w:r>
        <w:rPr/>
        <w:t>с</w:t>
      </w:r>
      <w:r>
        <w:rPr>
          <w:spacing w:val="-17"/>
        </w:rPr>
        <w:t> </w:t>
      </w:r>
      <w:r>
        <w:rPr/>
        <w:t>группой,</w:t>
      </w:r>
      <w:r>
        <w:rPr>
          <w:spacing w:val="-15"/>
        </w:rPr>
        <w:t> </w:t>
      </w:r>
      <w:r>
        <w:rPr/>
        <w:t>получавшей</w:t>
      </w:r>
      <w:r>
        <w:rPr>
          <w:spacing w:val="-15"/>
        </w:rPr>
        <w:t> </w:t>
      </w:r>
      <w:r>
        <w:rPr/>
        <w:t>плацебо (11</w:t>
      </w:r>
      <w:r>
        <w:rPr>
          <w:spacing w:val="-14"/>
        </w:rPr>
        <w:t> </w:t>
      </w:r>
      <w:r>
        <w:rPr/>
        <w:t>и</w:t>
      </w:r>
      <w:r>
        <w:rPr>
          <w:spacing w:val="-12"/>
        </w:rPr>
        <w:t> </w:t>
      </w:r>
      <w:r>
        <w:rPr/>
        <w:t>15</w:t>
      </w:r>
      <w:r>
        <w:rPr>
          <w:spacing w:val="-13"/>
        </w:rPr>
        <w:t> </w:t>
      </w:r>
      <w:r>
        <w:rPr/>
        <w:t>дней</w:t>
      </w:r>
      <w:r>
        <w:rPr>
          <w:spacing w:val="-13"/>
        </w:rPr>
        <w:t> </w:t>
      </w:r>
      <w:r>
        <w:rPr/>
        <w:t>соответственно).</w:t>
      </w:r>
      <w:r>
        <w:rPr>
          <w:spacing w:val="-13"/>
        </w:rPr>
        <w:t> </w:t>
      </w:r>
      <w:r>
        <w:rPr/>
        <w:t>Достоверной</w:t>
      </w:r>
      <w:r>
        <w:rPr>
          <w:spacing w:val="-12"/>
        </w:rPr>
        <w:t> </w:t>
      </w:r>
      <w:r>
        <w:rPr/>
        <w:t>разницы</w:t>
      </w:r>
      <w:r>
        <w:rPr>
          <w:spacing w:val="-15"/>
        </w:rPr>
        <w:t> </w:t>
      </w:r>
      <w:r>
        <w:rPr/>
        <w:t>в</w:t>
      </w:r>
      <w:r>
        <w:rPr>
          <w:spacing w:val="-14"/>
        </w:rPr>
        <w:t> </w:t>
      </w:r>
      <w:r>
        <w:rPr/>
        <w:t>частоте</w:t>
      </w:r>
      <w:r>
        <w:rPr>
          <w:spacing w:val="-14"/>
        </w:rPr>
        <w:t> </w:t>
      </w:r>
      <w:r>
        <w:rPr/>
        <w:t>смертности</w:t>
      </w:r>
      <w:r>
        <w:rPr>
          <w:spacing w:val="-12"/>
        </w:rPr>
        <w:t> </w:t>
      </w:r>
      <w:r>
        <w:rPr/>
        <w:t>в</w:t>
      </w:r>
      <w:r>
        <w:rPr>
          <w:spacing w:val="-15"/>
        </w:rPr>
        <w:t> </w:t>
      </w:r>
      <w:r>
        <w:rPr/>
        <w:t>описанных группах получено не было.</w:t>
      </w:r>
    </w:p>
    <w:p>
      <w:pPr>
        <w:pStyle w:val="BodyText"/>
        <w:spacing w:line="312" w:lineRule="auto"/>
        <w:ind w:right="675" w:firstLine="708"/>
      </w:pPr>
      <w:r>
        <w:rPr/>
        <w:t>Применение препарата возможно только в медицинской организации, оказывающей медицинскую помощь в стационарных условиях. До этого необходимо получить письменное согласие пациента. В соответствии с большинством случаев применения ремдесивира в клинических исследованиях на сегодняшний день, его следует использовать для лечения инфекции COVID-19 тяжелой степени у пациентов, </w:t>
      </w:r>
      <w:r>
        <w:rPr>
          <w:position w:val="2"/>
        </w:rPr>
        <w:t>SpO</w:t>
      </w:r>
      <w:r>
        <w:rPr>
          <w:sz w:val="16"/>
        </w:rPr>
        <w:t>2 </w:t>
      </w:r>
      <w:r>
        <w:rPr>
          <w:position w:val="2"/>
        </w:rPr>
        <w:t>которых составляет 94% и менее (требуется дополнительная подача кислорода, </w:t>
      </w:r>
      <w:r>
        <w:rPr/>
        <w:t>ИВЛ, ЭКМО).</w:t>
      </w:r>
    </w:p>
    <w:p>
      <w:pPr>
        <w:pStyle w:val="BodyText"/>
        <w:spacing w:line="312" w:lineRule="auto"/>
        <w:ind w:right="672" w:firstLine="708"/>
      </w:pPr>
      <w:r>
        <w:rPr/>
        <w:t>Среди препаратов, применяющихся для лечения COVID-19, следует отметить противомалярийное средство гидроксихлорохин. Оно используется для терапии малярии   и   некоторых   других   протозойных   инфекций.   Кроме   того,   в   связи   с противовоспалительным и иммуносупрессивным эффектом, гидроксихлорохин нашел свое применение в лечении пациентов с системными заболеваниями соединительной</w:t>
      </w:r>
      <w:r>
        <w:rPr>
          <w:spacing w:val="-16"/>
        </w:rPr>
        <w:t> </w:t>
      </w:r>
      <w:r>
        <w:rPr/>
        <w:t>ткани,</w:t>
      </w:r>
      <w:r>
        <w:rPr>
          <w:spacing w:val="-19"/>
        </w:rPr>
        <w:t> </w:t>
      </w:r>
      <w:r>
        <w:rPr/>
        <w:t>такими</w:t>
      </w:r>
      <w:r>
        <w:rPr>
          <w:spacing w:val="-16"/>
        </w:rPr>
        <w:t> </w:t>
      </w:r>
      <w:r>
        <w:rPr/>
        <w:t>как</w:t>
      </w:r>
      <w:r>
        <w:rPr>
          <w:spacing w:val="-16"/>
        </w:rPr>
        <w:t> </w:t>
      </w:r>
      <w:r>
        <w:rPr/>
        <w:t>ревматоидный</w:t>
      </w:r>
      <w:r>
        <w:rPr>
          <w:spacing w:val="-16"/>
        </w:rPr>
        <w:t> </w:t>
      </w:r>
      <w:r>
        <w:rPr/>
        <w:t>артрит</w:t>
      </w:r>
      <w:r>
        <w:rPr>
          <w:spacing w:val="-17"/>
        </w:rPr>
        <w:t> </w:t>
      </w:r>
      <w:r>
        <w:rPr/>
        <w:t>и</w:t>
      </w:r>
      <w:r>
        <w:rPr>
          <w:spacing w:val="-16"/>
        </w:rPr>
        <w:t> </w:t>
      </w:r>
      <w:r>
        <w:rPr/>
        <w:t>системная</w:t>
      </w:r>
      <w:r>
        <w:rPr>
          <w:spacing w:val="-17"/>
        </w:rPr>
        <w:t> </w:t>
      </w:r>
      <w:r>
        <w:rPr/>
        <w:t>красная</w:t>
      </w:r>
      <w:r>
        <w:rPr>
          <w:spacing w:val="-17"/>
        </w:rPr>
        <w:t> </w:t>
      </w:r>
      <w:r>
        <w:rPr/>
        <w:t>волчанка. Механизм действия гидроксихлорохина против некоторых вирусных инфекций изучен не до конца, в опубликованных данных отмечаются несколько вариантов его воздействия на COVID-19, которые препятствуют  проникновению вируса  в клетку   и его репликации. В небольших клинических исследованиях было показано, что комбинация</w:t>
      </w:r>
      <w:r>
        <w:rPr>
          <w:spacing w:val="-9"/>
        </w:rPr>
        <w:t> </w:t>
      </w:r>
      <w:r>
        <w:rPr/>
        <w:t>азитромицина</w:t>
      </w:r>
      <w:r>
        <w:rPr>
          <w:spacing w:val="-9"/>
        </w:rPr>
        <w:t> </w:t>
      </w:r>
      <w:r>
        <w:rPr/>
        <w:t>с</w:t>
      </w:r>
      <w:r>
        <w:rPr>
          <w:spacing w:val="-9"/>
        </w:rPr>
        <w:t> </w:t>
      </w:r>
      <w:r>
        <w:rPr/>
        <w:t>гидроксихлорохином</w:t>
      </w:r>
      <w:r>
        <w:rPr>
          <w:spacing w:val="-8"/>
        </w:rPr>
        <w:t> </w:t>
      </w:r>
      <w:r>
        <w:rPr/>
        <w:t>усиливает</w:t>
      </w:r>
      <w:r>
        <w:rPr>
          <w:spacing w:val="-8"/>
        </w:rPr>
        <w:t> </w:t>
      </w:r>
      <w:r>
        <w:rPr/>
        <w:t>противовирусный</w:t>
      </w:r>
      <w:r>
        <w:rPr>
          <w:spacing w:val="-7"/>
        </w:rPr>
        <w:t> </w:t>
      </w:r>
      <w:r>
        <w:rPr/>
        <w:t>эффект последнего.</w:t>
      </w:r>
    </w:p>
    <w:p>
      <w:pPr>
        <w:pStyle w:val="BodyText"/>
        <w:spacing w:line="312" w:lineRule="auto"/>
        <w:ind w:right="674" w:firstLine="708"/>
      </w:pPr>
      <w:r>
        <w:rPr/>
        <w:t>ВОЗ прекратила  научные  изыскания  в группе  лечения  гидроксихлорохином в</w:t>
      </w:r>
      <w:r>
        <w:rPr>
          <w:spacing w:val="40"/>
        </w:rPr>
        <w:t> </w:t>
      </w:r>
      <w:r>
        <w:rPr/>
        <w:t>рамках исследования эффективных препаратов для борьбы с COVID-19</w:t>
      </w:r>
    </w:p>
    <w:p>
      <w:pPr>
        <w:pStyle w:val="BodyText"/>
        <w:spacing w:line="312" w:lineRule="auto"/>
        <w:ind w:right="674"/>
      </w:pPr>
      <w:r>
        <w:rPr/>
        <w:t>«Solidarity». Решение принято с учетом данных, которые указывают на то, что применение гидроксихлорохина не приводит к сокращению смертности среди госпитализированных пациентов с COVID-19 по сравнению со стандартом оказания помощи.</w:t>
      </w:r>
    </w:p>
    <w:p>
      <w:pPr>
        <w:pStyle w:val="BodyText"/>
        <w:spacing w:line="312" w:lineRule="auto"/>
        <w:ind w:right="675" w:firstLine="708"/>
      </w:pPr>
      <w:r>
        <w:rPr/>
        <w:t>Однако, следует отметить, что результаты большого количества опубликованных</w:t>
      </w:r>
      <w:r>
        <w:rPr>
          <w:spacing w:val="-14"/>
        </w:rPr>
        <w:t> </w:t>
      </w:r>
      <w:r>
        <w:rPr/>
        <w:t>зарубежных</w:t>
      </w:r>
      <w:r>
        <w:rPr>
          <w:spacing w:val="-15"/>
        </w:rPr>
        <w:t> </w:t>
      </w:r>
      <w:r>
        <w:rPr/>
        <w:t>исследований,</w:t>
      </w:r>
      <w:r>
        <w:rPr>
          <w:spacing w:val="-15"/>
        </w:rPr>
        <w:t> </w:t>
      </w:r>
      <w:r>
        <w:rPr/>
        <w:t>а</w:t>
      </w:r>
      <w:r>
        <w:rPr>
          <w:spacing w:val="-16"/>
        </w:rPr>
        <w:t> </w:t>
      </w:r>
      <w:r>
        <w:rPr/>
        <w:t>также</w:t>
      </w:r>
      <w:r>
        <w:rPr>
          <w:spacing w:val="-16"/>
        </w:rPr>
        <w:t> </w:t>
      </w:r>
      <w:r>
        <w:rPr/>
        <w:t>отечественный</w:t>
      </w:r>
      <w:r>
        <w:rPr>
          <w:spacing w:val="-14"/>
        </w:rPr>
        <w:t> </w:t>
      </w:r>
      <w:r>
        <w:rPr/>
        <w:t>опыт</w:t>
      </w:r>
      <w:r>
        <w:rPr>
          <w:spacing w:val="-12"/>
        </w:rPr>
        <w:t> </w:t>
      </w:r>
      <w:r>
        <w:rPr/>
        <w:t>указывают</w:t>
      </w:r>
      <w:r>
        <w:rPr>
          <w:spacing w:val="-15"/>
        </w:rPr>
        <w:t> </w:t>
      </w:r>
      <w:r>
        <w:rPr/>
        <w:t>на возможность</w:t>
      </w:r>
      <w:r>
        <w:rPr>
          <w:spacing w:val="-12"/>
        </w:rPr>
        <w:t> </w:t>
      </w:r>
      <w:r>
        <w:rPr/>
        <w:t>эффективного</w:t>
      </w:r>
      <w:r>
        <w:rPr>
          <w:spacing w:val="-12"/>
        </w:rPr>
        <w:t> </w:t>
      </w:r>
      <w:r>
        <w:rPr/>
        <w:t>применения</w:t>
      </w:r>
      <w:r>
        <w:rPr>
          <w:spacing w:val="-12"/>
        </w:rPr>
        <w:t> </w:t>
      </w:r>
      <w:r>
        <w:rPr/>
        <w:t>гидроксихлорохина</w:t>
      </w:r>
      <w:r>
        <w:rPr>
          <w:spacing w:val="-13"/>
        </w:rPr>
        <w:t> </w:t>
      </w:r>
      <w:r>
        <w:rPr/>
        <w:t>в</w:t>
      </w:r>
      <w:r>
        <w:rPr>
          <w:spacing w:val="-13"/>
        </w:rPr>
        <w:t> </w:t>
      </w:r>
      <w:r>
        <w:rPr/>
        <w:t>низких</w:t>
      </w:r>
      <w:r>
        <w:rPr>
          <w:spacing w:val="-14"/>
        </w:rPr>
        <w:t> </w:t>
      </w:r>
      <w:r>
        <w:rPr/>
        <w:t>дозах,</w:t>
      </w:r>
      <w:r>
        <w:rPr>
          <w:spacing w:val="-12"/>
        </w:rPr>
        <w:t> </w:t>
      </w:r>
      <w:r>
        <w:rPr/>
        <w:t>в</w:t>
      </w:r>
      <w:r>
        <w:rPr>
          <w:spacing w:val="-13"/>
        </w:rPr>
        <w:t> </w:t>
      </w:r>
      <w:r>
        <w:rPr/>
        <w:t>меньшей степени ассоциированных с нарушениями сердечного ритма, у пациентов с легкой и среднетяжелой формой COVID-19 при назначении в течение первых 3-5 дней заболевания. Использование гидроксихлорохина у пациентов с тяжелым</w:t>
      </w:r>
      <w:r>
        <w:rPr>
          <w:spacing w:val="9"/>
        </w:rPr>
        <w:t> </w:t>
      </w:r>
      <w:r>
        <w:rPr/>
        <w:t>течением</w:t>
      </w:r>
    </w:p>
    <w:p>
      <w:pPr>
        <w:spacing w:after="0" w:line="312" w:lineRule="auto"/>
        <w:sectPr>
          <w:pgSz w:w="11920" w:h="16850"/>
          <w:pgMar w:header="0" w:footer="620" w:top="1060" w:bottom="880" w:left="1380" w:right="600"/>
        </w:sectPr>
      </w:pPr>
    </w:p>
    <w:p>
      <w:pPr>
        <w:pStyle w:val="BodyText"/>
        <w:spacing w:line="312" w:lineRule="auto" w:before="78"/>
        <w:ind w:right="674"/>
      </w:pPr>
      <w:r>
        <w:rPr/>
        <w:t>забоеваниен,</w:t>
      </w:r>
      <w:r>
        <w:rPr>
          <w:spacing w:val="-14"/>
        </w:rPr>
        <w:t> </w:t>
      </w:r>
      <w:r>
        <w:rPr/>
        <w:t>как</w:t>
      </w:r>
      <w:r>
        <w:rPr>
          <w:spacing w:val="-12"/>
        </w:rPr>
        <w:t> </w:t>
      </w:r>
      <w:r>
        <w:rPr/>
        <w:t>правило,</w:t>
      </w:r>
      <w:r>
        <w:rPr>
          <w:spacing w:val="-13"/>
        </w:rPr>
        <w:t> </w:t>
      </w:r>
      <w:r>
        <w:rPr/>
        <w:t>оказывается</w:t>
      </w:r>
      <w:r>
        <w:rPr>
          <w:spacing w:val="-13"/>
        </w:rPr>
        <w:t> </w:t>
      </w:r>
      <w:r>
        <w:rPr/>
        <w:t>неэффективным.</w:t>
      </w:r>
      <w:r>
        <w:rPr>
          <w:spacing w:val="-13"/>
        </w:rPr>
        <w:t> </w:t>
      </w:r>
      <w:r>
        <w:rPr/>
        <w:t>Решение</w:t>
      </w:r>
      <w:r>
        <w:rPr>
          <w:spacing w:val="-14"/>
        </w:rPr>
        <w:t> </w:t>
      </w:r>
      <w:r>
        <w:rPr/>
        <w:t>вопроса</w:t>
      </w:r>
      <w:r>
        <w:rPr>
          <w:spacing w:val="-14"/>
        </w:rPr>
        <w:t> </w:t>
      </w:r>
      <w:r>
        <w:rPr/>
        <w:t>о</w:t>
      </w:r>
      <w:r>
        <w:rPr>
          <w:spacing w:val="-3"/>
        </w:rPr>
        <w:t> </w:t>
      </w:r>
      <w:r>
        <w:rPr/>
        <w:t>назначении гидроксихлорохина должно приниматься индивидуально на основе оценки соотнесения пользы и риска для конкретного пациента. Возможно, применение гидроксихлорохина может предотвратить развитие тяжелых форм</w:t>
      </w:r>
      <w:r>
        <w:rPr>
          <w:spacing w:val="-5"/>
        </w:rPr>
        <w:t> </w:t>
      </w:r>
      <w:r>
        <w:rPr/>
        <w:t>инфекции.</w:t>
      </w:r>
    </w:p>
    <w:p>
      <w:pPr>
        <w:pStyle w:val="BodyText"/>
        <w:spacing w:line="312" w:lineRule="auto"/>
        <w:ind w:right="673" w:firstLine="708"/>
      </w:pPr>
      <w:r>
        <w:rPr/>
        <w:t>Перед назначением гидроксихлорохина и во время их приема следует уделить особое внимание результату ЭКГ, в частности, величине QT. Гидроксихлорохин обладает кардиотоксичностью, и его прием может сопровождаться развитием, например, синдрома  удлиненного  QT.  Вопросы  о  назначении  гидроксихлорохина  в случае измененной ЭКГ и о дальнейшей терапии в случае возникших при лечении изменений   ЭКГ   решаются   строго   индивидуально,   в   тесном   взаимодействии    с</w:t>
      </w:r>
      <w:r>
        <w:rPr>
          <w:spacing w:val="-1"/>
        </w:rPr>
        <w:t> </w:t>
      </w:r>
      <w:r>
        <w:rPr/>
        <w:t>кардиологами.</w:t>
      </w:r>
    </w:p>
    <w:p>
      <w:pPr>
        <w:pStyle w:val="BodyText"/>
        <w:spacing w:line="312" w:lineRule="auto"/>
        <w:ind w:right="675" w:firstLine="708"/>
      </w:pPr>
      <w:r>
        <w:rPr/>
        <w:t>Для контроля кардиотоксичности гидроксихлорохина необходимо проведение инструментального и клинического мониторинга, в том числе интервала QT, у всех пациентов, которым планируется назначение гидроксихлорохина.</w:t>
      </w:r>
    </w:p>
    <w:p>
      <w:pPr>
        <w:pStyle w:val="BodyText"/>
        <w:spacing w:line="312" w:lineRule="auto"/>
        <w:ind w:right="674" w:firstLine="708"/>
      </w:pPr>
      <w:r>
        <w:rPr/>
        <w:t>ЭКГ  назначается  перед  началом  лечения,  контроль  осуществляется  1  раз   в 5 дней. Продолжительность интервала QT (корригированного) предпочтительно оценивать с использованием формул Fridericia или Framingham, она не должна превышать 470 мс (у мужчин) и 480 мс (у женщин). Следует оценить уровень печеночных трансаминаз, Ca</w:t>
      </w:r>
      <w:r>
        <w:rPr>
          <w:vertAlign w:val="superscript"/>
        </w:rPr>
        <w:t>2+</w:t>
      </w:r>
      <w:r>
        <w:rPr>
          <w:vertAlign w:val="baseline"/>
        </w:rPr>
        <w:t>, Mg</w:t>
      </w:r>
      <w:r>
        <w:rPr>
          <w:vertAlign w:val="superscript"/>
        </w:rPr>
        <w:t>2+</w:t>
      </w:r>
      <w:r>
        <w:rPr>
          <w:vertAlign w:val="baseline"/>
        </w:rPr>
        <w:t>, K</w:t>
      </w:r>
      <w:r>
        <w:rPr>
          <w:vertAlign w:val="superscript"/>
        </w:rPr>
        <w:t>+</w:t>
      </w:r>
      <w:r>
        <w:rPr>
          <w:vertAlign w:val="baseline"/>
        </w:rPr>
        <w:t>. Алгоритм оценки корригированного интервала QT, электролитных нарушений представлен в </w:t>
      </w:r>
      <w:hyperlink w:history="true" w:anchor="_bookmark63">
        <w:r>
          <w:rPr>
            <w:color w:val="0562C1"/>
            <w:u w:val="single" w:color="0562C1"/>
            <w:vertAlign w:val="baseline"/>
          </w:rPr>
          <w:t>Приложении</w:t>
        </w:r>
        <w:r>
          <w:rPr>
            <w:color w:val="0562C1"/>
            <w:spacing w:val="-6"/>
            <w:u w:val="single" w:color="0562C1"/>
            <w:vertAlign w:val="baseline"/>
          </w:rPr>
          <w:t> </w:t>
        </w:r>
        <w:r>
          <w:rPr>
            <w:color w:val="0562C1"/>
            <w:u w:val="single" w:color="0562C1"/>
            <w:vertAlign w:val="baseline"/>
          </w:rPr>
          <w:t>11-1</w:t>
        </w:r>
      </w:hyperlink>
      <w:r>
        <w:rPr>
          <w:vertAlign w:val="baseline"/>
        </w:rPr>
        <w:t>.</w:t>
      </w:r>
    </w:p>
    <w:p>
      <w:pPr>
        <w:pStyle w:val="BodyText"/>
        <w:spacing w:line="312" w:lineRule="auto" w:before="1"/>
        <w:ind w:right="676" w:firstLine="708"/>
      </w:pPr>
      <w:r>
        <w:rPr/>
        <w:t>При   появлении   жалоб    на    аритмию,    ощущения    сердцебиения,    боли   и дискомфорта в области сердца, эпизодов слабости и головокружения, синкопальных состояний назначается внеочередное</w:t>
      </w:r>
      <w:r>
        <w:rPr>
          <w:spacing w:val="1"/>
        </w:rPr>
        <w:t> </w:t>
      </w:r>
      <w:r>
        <w:rPr/>
        <w:t>ЭКГ.</w:t>
      </w:r>
    </w:p>
    <w:p>
      <w:pPr>
        <w:pStyle w:val="BodyText"/>
        <w:spacing w:line="312" w:lineRule="auto"/>
        <w:ind w:right="676" w:firstLine="708"/>
      </w:pPr>
      <w:r>
        <w:rPr/>
        <w:t>В нескольких небольших клинических исследованиях у больных с COVID-19 было показано, что терапия гидроксихлорохином нередко ассоциирована с развитием серьезных неблагоприятных побочных реакций (НПР), прежде всего со стороны сердечно-сосудистой системы. По данным французских центров фармаконадзора, из</w:t>
      </w:r>
    </w:p>
    <w:p>
      <w:pPr>
        <w:pStyle w:val="BodyText"/>
        <w:spacing w:line="312" w:lineRule="auto"/>
        <w:ind w:right="673"/>
      </w:pPr>
      <w:r>
        <w:rPr/>
        <w:t>120  поступивших  за  месяц  спонтанных  сообщений  об  развитии  НПР  у  больных  с COVID-19 85,8% связаны с использованием гидроксихлорохина, причем в половине случаев НПР гидроксихлорохин был назначен совместно с</w:t>
      </w:r>
      <w:r>
        <w:rPr>
          <w:spacing w:val="-8"/>
        </w:rPr>
        <w:t> </w:t>
      </w:r>
      <w:r>
        <w:rPr/>
        <w:t>азитромицином.</w:t>
      </w:r>
    </w:p>
    <w:p>
      <w:pPr>
        <w:pStyle w:val="BodyText"/>
        <w:spacing w:line="312" w:lineRule="auto"/>
        <w:ind w:right="677" w:firstLine="708"/>
      </w:pPr>
      <w:r>
        <w:rPr/>
        <w:t>При этом медиана возраста пациентов составила 65 лет, что говорит о том, что половина спонтанных сообщений об НПР приходилось на пациентов моложе 65 лет   и что пациенты более молодого возраста также подвержены риску сердечно- сосудистых осложнений на фоне терапии гидроксихлорохином. Данные французских центров фармаконадзора коррелируют и результатами других международных регистров.</w:t>
      </w:r>
    </w:p>
    <w:p>
      <w:pPr>
        <w:pStyle w:val="BodyText"/>
        <w:spacing w:line="312" w:lineRule="auto"/>
        <w:ind w:right="677" w:firstLine="708"/>
      </w:pPr>
      <w:r>
        <w:rPr/>
        <w:t>Учитывая недостаточные доказательства эффективности терапии COVID-19 гидроксихлорохином, относительно высокую частоту развития кардиальных осложнений, а также позиции ряда регуляторных органов и профессиональных</w:t>
      </w:r>
    </w:p>
    <w:p>
      <w:pPr>
        <w:spacing w:after="0" w:line="312" w:lineRule="auto"/>
        <w:sectPr>
          <w:pgSz w:w="11920" w:h="16850"/>
          <w:pgMar w:header="0" w:footer="620" w:top="1060" w:bottom="880" w:left="1380" w:right="600"/>
        </w:sectPr>
      </w:pPr>
    </w:p>
    <w:p>
      <w:pPr>
        <w:pStyle w:val="BodyText"/>
        <w:spacing w:line="312" w:lineRule="auto" w:before="78"/>
        <w:ind w:right="673"/>
      </w:pPr>
      <w:r>
        <w:rPr/>
        <w:t>сообществ (Food and Drug Administration и Heart Rhythm Society) по ограничению амбулаторного применения гидроксихлорохина при COVID-19, при лечении COVID-19 вне стационарных условий целесообразно рассмотреть соблюдение следующих условий:</w:t>
      </w:r>
    </w:p>
    <w:p>
      <w:pPr>
        <w:pStyle w:val="BodyText"/>
        <w:spacing w:before="3"/>
        <w:ind w:left="0"/>
        <w:jc w:val="left"/>
        <w:rPr>
          <w:sz w:val="31"/>
        </w:rPr>
      </w:pPr>
    </w:p>
    <w:p>
      <w:pPr>
        <w:pStyle w:val="ListParagraph"/>
        <w:numPr>
          <w:ilvl w:val="0"/>
          <w:numId w:val="19"/>
        </w:numPr>
        <w:tabs>
          <w:tab w:pos="1001" w:val="left" w:leader="none"/>
        </w:tabs>
        <w:spacing w:line="309" w:lineRule="auto" w:before="0" w:after="0"/>
        <w:ind w:left="1000" w:right="677" w:hanging="339"/>
        <w:jc w:val="both"/>
        <w:rPr>
          <w:sz w:val="24"/>
        </w:rPr>
      </w:pPr>
      <w:r>
        <w:rPr>
          <w:sz w:val="24"/>
        </w:rPr>
        <w:t>Исследование ЭКГ в 12 отведениях с расчетом и документированием корригированного интервала QT (предпочтительно с использованием формул Fridericia или Framingham). Не рекомендуется использовать гидроксихлорохин без исходной ЭКГ с расчетом</w:t>
      </w:r>
      <w:r>
        <w:rPr>
          <w:spacing w:val="-1"/>
          <w:sz w:val="24"/>
        </w:rPr>
        <w:t> </w:t>
      </w:r>
      <w:r>
        <w:rPr>
          <w:sz w:val="24"/>
        </w:rPr>
        <w:t>QTc;</w:t>
      </w:r>
    </w:p>
    <w:p>
      <w:pPr>
        <w:pStyle w:val="ListParagraph"/>
        <w:numPr>
          <w:ilvl w:val="0"/>
          <w:numId w:val="19"/>
        </w:numPr>
        <w:tabs>
          <w:tab w:pos="1001" w:val="left" w:leader="none"/>
        </w:tabs>
        <w:spacing w:line="240" w:lineRule="auto" w:before="7" w:after="0"/>
        <w:ind w:left="1000" w:right="0" w:hanging="339"/>
        <w:jc w:val="both"/>
        <w:rPr>
          <w:sz w:val="24"/>
        </w:rPr>
      </w:pPr>
      <w:r>
        <w:rPr>
          <w:sz w:val="24"/>
        </w:rPr>
        <w:t>Не рекомендуется использовать гидроксихлорохин при исходном QTc ≥ 500</w:t>
      </w:r>
      <w:r>
        <w:rPr>
          <w:spacing w:val="-9"/>
          <w:sz w:val="24"/>
        </w:rPr>
        <w:t> </w:t>
      </w:r>
      <w:r>
        <w:rPr>
          <w:sz w:val="24"/>
        </w:rPr>
        <w:t>мс.</w:t>
      </w:r>
    </w:p>
    <w:p>
      <w:pPr>
        <w:pStyle w:val="ListParagraph"/>
        <w:numPr>
          <w:ilvl w:val="0"/>
          <w:numId w:val="19"/>
        </w:numPr>
        <w:tabs>
          <w:tab w:pos="1001" w:val="left" w:leader="none"/>
        </w:tabs>
        <w:spacing w:line="309" w:lineRule="auto" w:before="81" w:after="0"/>
        <w:ind w:left="1000" w:right="673" w:hanging="339"/>
        <w:jc w:val="both"/>
        <w:rPr>
          <w:sz w:val="24"/>
        </w:rPr>
      </w:pPr>
      <w:r>
        <w:rPr>
          <w:sz w:val="24"/>
        </w:rPr>
        <w:t>Если QTc ≥  460 мс (у детей) или ≥ 470 мс (у мужчин) и ≥ 480 мс (у женщин),  но &lt; 500 мс, то перед назначением гидроксихлорохина следует скорректировать уровень Ca2+, Mg2+, K+, отменить другие лекарственные препараты, которые могут удлинять интервал QT (см.</w:t>
      </w:r>
      <w:r>
        <w:rPr>
          <w:color w:val="0562C1"/>
          <w:sz w:val="24"/>
        </w:rPr>
        <w:t> </w:t>
      </w:r>
      <w:hyperlink w:history="true" w:anchor="_bookmark63">
        <w:r>
          <w:rPr>
            <w:color w:val="0562C1"/>
            <w:sz w:val="24"/>
            <w:u w:val="single" w:color="0562C1"/>
          </w:rPr>
          <w:t>Приложение 11-1</w:t>
        </w:r>
      </w:hyperlink>
      <w:r>
        <w:rPr>
          <w:sz w:val="24"/>
        </w:rPr>
        <w:t>) и не являются жизненно важными для</w:t>
      </w:r>
      <w:r>
        <w:rPr>
          <w:spacing w:val="-1"/>
          <w:sz w:val="24"/>
        </w:rPr>
        <w:t> </w:t>
      </w:r>
      <w:r>
        <w:rPr>
          <w:sz w:val="24"/>
        </w:rPr>
        <w:t>пациента.</w:t>
      </w:r>
    </w:p>
    <w:p>
      <w:pPr>
        <w:pStyle w:val="ListParagraph"/>
        <w:numPr>
          <w:ilvl w:val="0"/>
          <w:numId w:val="19"/>
        </w:numPr>
        <w:tabs>
          <w:tab w:pos="1001" w:val="left" w:leader="none"/>
        </w:tabs>
        <w:spacing w:line="304" w:lineRule="auto" w:before="8" w:after="0"/>
        <w:ind w:left="1000" w:right="674" w:hanging="339"/>
        <w:jc w:val="both"/>
        <w:rPr>
          <w:sz w:val="24"/>
        </w:rPr>
      </w:pPr>
      <w:r>
        <w:rPr>
          <w:sz w:val="24"/>
        </w:rPr>
        <w:t>Если QTc &lt; 460 мс (у детей), &lt; 470 мс (у мужчин), &lt; 480 мс (у женщин), то возможно назначение</w:t>
      </w:r>
      <w:r>
        <w:rPr>
          <w:spacing w:val="-2"/>
          <w:sz w:val="24"/>
        </w:rPr>
        <w:t> </w:t>
      </w:r>
      <w:r>
        <w:rPr>
          <w:sz w:val="24"/>
        </w:rPr>
        <w:t>гидроксихлорохина.</w:t>
      </w:r>
    </w:p>
    <w:p>
      <w:pPr>
        <w:pStyle w:val="ListParagraph"/>
        <w:numPr>
          <w:ilvl w:val="0"/>
          <w:numId w:val="19"/>
        </w:numPr>
        <w:tabs>
          <w:tab w:pos="1001" w:val="left" w:leader="none"/>
        </w:tabs>
        <w:spacing w:line="309" w:lineRule="auto" w:before="11" w:after="0"/>
        <w:ind w:left="1000" w:right="673" w:hanging="339"/>
        <w:jc w:val="both"/>
        <w:rPr>
          <w:sz w:val="24"/>
        </w:rPr>
      </w:pPr>
      <w:r>
        <w:rPr>
          <w:sz w:val="24"/>
        </w:rPr>
        <w:t>Перед назначением гидроксихлорохина необходимо оценить наличие противопоказаний, функцию почек, функцию печени, и при наличии возможности - уровень K</w:t>
      </w:r>
      <w:r>
        <w:rPr>
          <w:sz w:val="24"/>
          <w:vertAlign w:val="superscript"/>
        </w:rPr>
        <w:t>+</w:t>
      </w:r>
      <w:r>
        <w:rPr>
          <w:sz w:val="24"/>
          <w:vertAlign w:val="baseline"/>
        </w:rPr>
        <w:t>,</w:t>
      </w:r>
      <w:r>
        <w:rPr>
          <w:spacing w:val="1"/>
          <w:sz w:val="24"/>
          <w:vertAlign w:val="baseline"/>
        </w:rPr>
        <w:t> </w:t>
      </w:r>
      <w:r>
        <w:rPr>
          <w:sz w:val="24"/>
          <w:vertAlign w:val="baseline"/>
        </w:rPr>
        <w:t>Mg</w:t>
      </w:r>
      <w:r>
        <w:rPr>
          <w:sz w:val="24"/>
          <w:vertAlign w:val="superscript"/>
        </w:rPr>
        <w:t>2+</w:t>
      </w:r>
      <w:r>
        <w:rPr>
          <w:sz w:val="24"/>
          <w:vertAlign w:val="baseline"/>
        </w:rPr>
        <w:t>.</w:t>
      </w:r>
    </w:p>
    <w:p>
      <w:pPr>
        <w:pStyle w:val="ListParagraph"/>
        <w:numPr>
          <w:ilvl w:val="0"/>
          <w:numId w:val="19"/>
        </w:numPr>
        <w:tabs>
          <w:tab w:pos="1001" w:val="left" w:leader="none"/>
        </w:tabs>
        <w:spacing w:line="309" w:lineRule="auto" w:before="3" w:after="0"/>
        <w:ind w:left="1000" w:right="674" w:hanging="339"/>
        <w:jc w:val="both"/>
        <w:rPr>
          <w:sz w:val="24"/>
        </w:rPr>
      </w:pPr>
      <w:r>
        <w:rPr>
          <w:sz w:val="24"/>
        </w:rPr>
        <w:t>Для контроля кардиотоксичности при наличии возможности целесообразно проведение ЭКГ на 3-й день терапии гидроксихлорохином через 2-3 ч после приема</w:t>
      </w:r>
      <w:r>
        <w:rPr>
          <w:spacing w:val="-11"/>
          <w:sz w:val="24"/>
        </w:rPr>
        <w:t> </w:t>
      </w:r>
      <w:r>
        <w:rPr>
          <w:sz w:val="24"/>
        </w:rPr>
        <w:t>дозы</w:t>
      </w:r>
      <w:r>
        <w:rPr>
          <w:spacing w:val="-9"/>
          <w:sz w:val="24"/>
        </w:rPr>
        <w:t> </w:t>
      </w:r>
      <w:r>
        <w:rPr>
          <w:sz w:val="24"/>
        </w:rPr>
        <w:t>препарата.</w:t>
      </w:r>
      <w:r>
        <w:rPr>
          <w:spacing w:val="-6"/>
          <w:sz w:val="24"/>
        </w:rPr>
        <w:t> </w:t>
      </w:r>
      <w:r>
        <w:rPr>
          <w:sz w:val="24"/>
        </w:rPr>
        <w:t>Если</w:t>
      </w:r>
      <w:r>
        <w:rPr>
          <w:spacing w:val="-8"/>
          <w:sz w:val="24"/>
        </w:rPr>
        <w:t> </w:t>
      </w:r>
      <w:r>
        <w:rPr>
          <w:sz w:val="24"/>
        </w:rPr>
        <w:t>QTc</w:t>
      </w:r>
      <w:r>
        <w:rPr>
          <w:spacing w:val="-3"/>
          <w:sz w:val="24"/>
        </w:rPr>
        <w:t> </w:t>
      </w:r>
      <w:r>
        <w:rPr>
          <w:sz w:val="24"/>
        </w:rPr>
        <w:t>увеличивается</w:t>
      </w:r>
      <w:r>
        <w:rPr>
          <w:spacing w:val="-9"/>
          <w:sz w:val="24"/>
        </w:rPr>
        <w:t> </w:t>
      </w:r>
      <w:r>
        <w:rPr>
          <w:sz w:val="24"/>
        </w:rPr>
        <w:t>более</w:t>
      </w:r>
      <w:r>
        <w:rPr>
          <w:spacing w:val="-7"/>
          <w:sz w:val="24"/>
        </w:rPr>
        <w:t> </w:t>
      </w:r>
      <w:r>
        <w:rPr>
          <w:sz w:val="24"/>
        </w:rPr>
        <w:t>60</w:t>
      </w:r>
      <w:r>
        <w:rPr>
          <w:spacing w:val="-9"/>
          <w:sz w:val="24"/>
        </w:rPr>
        <w:t> </w:t>
      </w:r>
      <w:r>
        <w:rPr>
          <w:sz w:val="24"/>
        </w:rPr>
        <w:t>мс</w:t>
      </w:r>
      <w:r>
        <w:rPr>
          <w:spacing w:val="-11"/>
          <w:sz w:val="24"/>
        </w:rPr>
        <w:t> </w:t>
      </w:r>
      <w:r>
        <w:rPr>
          <w:sz w:val="24"/>
        </w:rPr>
        <w:t>(</w:t>
      </w:r>
      <w:r>
        <w:rPr>
          <w:rFonts w:ascii="Symbol" w:hAnsi="Symbol"/>
          <w:sz w:val="24"/>
        </w:rPr>
        <w:t></w:t>
      </w:r>
      <w:r>
        <w:rPr>
          <w:sz w:val="24"/>
        </w:rPr>
        <w:t>QTc</w:t>
      </w:r>
      <w:r>
        <w:rPr>
          <w:spacing w:val="-7"/>
          <w:sz w:val="24"/>
        </w:rPr>
        <w:t> </w:t>
      </w:r>
      <w:r>
        <w:rPr>
          <w:sz w:val="24"/>
        </w:rPr>
        <w:t>≥</w:t>
      </w:r>
      <w:r>
        <w:rPr>
          <w:spacing w:val="-6"/>
          <w:sz w:val="24"/>
        </w:rPr>
        <w:t> </w:t>
      </w:r>
      <w:r>
        <w:rPr>
          <w:sz w:val="24"/>
        </w:rPr>
        <w:t>60</w:t>
      </w:r>
      <w:r>
        <w:rPr>
          <w:spacing w:val="-9"/>
          <w:sz w:val="24"/>
        </w:rPr>
        <w:t> </w:t>
      </w:r>
      <w:r>
        <w:rPr>
          <w:sz w:val="24"/>
        </w:rPr>
        <w:t>мс)</w:t>
      </w:r>
      <w:r>
        <w:rPr>
          <w:spacing w:val="-8"/>
          <w:sz w:val="24"/>
        </w:rPr>
        <w:t> </w:t>
      </w:r>
      <w:r>
        <w:rPr>
          <w:sz w:val="24"/>
        </w:rPr>
        <w:t>или абсолютное значение QTc &gt; 500 мс, необходимо рассмотреть возможность прекращения терапии.</w:t>
      </w:r>
    </w:p>
    <w:p>
      <w:pPr>
        <w:pStyle w:val="ListParagraph"/>
        <w:numPr>
          <w:ilvl w:val="0"/>
          <w:numId w:val="19"/>
        </w:numPr>
        <w:tabs>
          <w:tab w:pos="1001" w:val="left" w:leader="none"/>
        </w:tabs>
        <w:spacing w:line="312" w:lineRule="auto" w:before="7" w:after="0"/>
        <w:ind w:left="1000" w:right="673" w:hanging="339"/>
        <w:jc w:val="both"/>
        <w:rPr>
          <w:sz w:val="24"/>
        </w:rPr>
      </w:pPr>
      <w:r>
        <w:rPr>
          <w:sz w:val="24"/>
        </w:rPr>
        <w:t>В условиях карантина либо ограниченности ресурсов следует рассмотреть вариант  ведения  больного  без  дополнительной  регистрации  ЭКГ  исходно   и в динамике при низком риске лекарственно-ассоциированного удлинения интервала QT по шкале Тисдейла (≤ 6 баллов) и отсутствии дополнительных факторов риска удлинения интервала QT согласно модифицированному чек- листу (см.</w:t>
      </w:r>
      <w:r>
        <w:rPr>
          <w:color w:val="0562C1"/>
          <w:sz w:val="24"/>
        </w:rPr>
        <w:t> </w:t>
      </w:r>
      <w:hyperlink w:history="true" w:anchor="_bookmark65">
        <w:r>
          <w:rPr>
            <w:color w:val="0562C1"/>
            <w:sz w:val="24"/>
            <w:u w:val="single" w:color="0562C1"/>
          </w:rPr>
          <w:t>Приложение</w:t>
        </w:r>
        <w:r>
          <w:rPr>
            <w:color w:val="0562C1"/>
            <w:spacing w:val="-7"/>
            <w:sz w:val="24"/>
            <w:u w:val="single" w:color="0562C1"/>
          </w:rPr>
          <w:t> </w:t>
        </w:r>
        <w:r>
          <w:rPr>
            <w:color w:val="0562C1"/>
            <w:sz w:val="24"/>
            <w:u w:val="single" w:color="0562C1"/>
          </w:rPr>
          <w:t>11-2</w:t>
        </w:r>
      </w:hyperlink>
      <w:r>
        <w:rPr>
          <w:sz w:val="24"/>
        </w:rPr>
        <w:t>).</w:t>
      </w:r>
    </w:p>
    <w:p>
      <w:pPr>
        <w:pStyle w:val="ListParagraph"/>
        <w:numPr>
          <w:ilvl w:val="0"/>
          <w:numId w:val="19"/>
        </w:numPr>
        <w:tabs>
          <w:tab w:pos="1001" w:val="left" w:leader="none"/>
        </w:tabs>
        <w:spacing w:line="309" w:lineRule="auto" w:before="0" w:after="0"/>
        <w:ind w:left="1000" w:right="673" w:hanging="339"/>
        <w:jc w:val="both"/>
        <w:rPr>
          <w:sz w:val="24"/>
        </w:rPr>
      </w:pPr>
      <w:r>
        <w:rPr>
          <w:sz w:val="24"/>
        </w:rPr>
        <w:t>Максимально возможная оценка симптомов возможного удлинения интервала QT по телефону: все амбулаторные пациенты должны тщательно следить за симптомами, обращая внимание на факторы риска аритмии (обмороки, обезвоживание, прием новых лекарств и ухудшение состояния здоровья). При выявлении факторы риска аритмии показано внеочередное</w:t>
      </w:r>
      <w:r>
        <w:rPr>
          <w:spacing w:val="-3"/>
          <w:sz w:val="24"/>
        </w:rPr>
        <w:t> </w:t>
      </w:r>
      <w:r>
        <w:rPr>
          <w:sz w:val="24"/>
        </w:rPr>
        <w:t>ЭКГ.</w:t>
      </w:r>
    </w:p>
    <w:p>
      <w:pPr>
        <w:pStyle w:val="BodyText"/>
        <w:spacing w:before="4"/>
        <w:ind w:left="0"/>
        <w:jc w:val="left"/>
        <w:rPr>
          <w:sz w:val="32"/>
        </w:rPr>
      </w:pPr>
    </w:p>
    <w:p>
      <w:pPr>
        <w:pStyle w:val="BodyText"/>
        <w:spacing w:line="312" w:lineRule="auto"/>
        <w:ind w:firstLine="768"/>
        <w:jc w:val="left"/>
      </w:pPr>
      <w:r>
        <w:rPr/>
        <w:t>На сегодняшний день нет четких указаний профессиональных сообществ относительно  того,  как  организовать  мониторинг  безопасности  при </w:t>
      </w:r>
      <w:r>
        <w:rPr>
          <w:spacing w:val="33"/>
        </w:rPr>
        <w:t> </w:t>
      </w:r>
      <w:r>
        <w:rPr/>
        <w:t>амбулаторном</w:t>
      </w:r>
    </w:p>
    <w:p>
      <w:pPr>
        <w:spacing w:after="0" w:line="312" w:lineRule="auto"/>
        <w:jc w:val="left"/>
        <w:sectPr>
          <w:pgSz w:w="11920" w:h="16850"/>
          <w:pgMar w:header="0" w:footer="620" w:top="1060" w:bottom="880" w:left="1380" w:right="600"/>
        </w:sectPr>
      </w:pPr>
    </w:p>
    <w:p>
      <w:pPr>
        <w:pStyle w:val="BodyText"/>
        <w:spacing w:line="312" w:lineRule="auto" w:before="78"/>
        <w:ind w:right="673"/>
      </w:pPr>
      <w:r>
        <w:rPr/>
        <w:t>применении</w:t>
      </w:r>
      <w:r>
        <w:rPr>
          <w:spacing w:val="-7"/>
        </w:rPr>
        <w:t> </w:t>
      </w:r>
      <w:r>
        <w:rPr/>
        <w:t>гидроксихлорохина,</w:t>
      </w:r>
      <w:r>
        <w:rPr>
          <w:spacing w:val="-7"/>
        </w:rPr>
        <w:t> </w:t>
      </w:r>
      <w:r>
        <w:rPr/>
        <w:t>в</w:t>
      </w:r>
      <w:r>
        <w:rPr>
          <w:spacing w:val="-7"/>
        </w:rPr>
        <w:t> </w:t>
      </w:r>
      <w:r>
        <w:rPr/>
        <w:t>том</w:t>
      </w:r>
      <w:r>
        <w:rPr>
          <w:spacing w:val="-8"/>
        </w:rPr>
        <w:t> </w:t>
      </w:r>
      <w:r>
        <w:rPr/>
        <w:t>числе</w:t>
      </w:r>
      <w:r>
        <w:rPr>
          <w:spacing w:val="-8"/>
        </w:rPr>
        <w:t> </w:t>
      </w:r>
      <w:r>
        <w:rPr/>
        <w:t>без</w:t>
      </w:r>
      <w:r>
        <w:rPr>
          <w:spacing w:val="-6"/>
        </w:rPr>
        <w:t> </w:t>
      </w:r>
      <w:r>
        <w:rPr/>
        <w:t>возможности</w:t>
      </w:r>
      <w:r>
        <w:rPr>
          <w:spacing w:val="-9"/>
        </w:rPr>
        <w:t> </w:t>
      </w:r>
      <w:r>
        <w:rPr/>
        <w:t>контроля</w:t>
      </w:r>
      <w:r>
        <w:rPr>
          <w:spacing w:val="-7"/>
        </w:rPr>
        <w:t> </w:t>
      </w:r>
      <w:r>
        <w:rPr/>
        <w:t>ЭКГ.</w:t>
      </w:r>
      <w:r>
        <w:rPr>
          <w:spacing w:val="-7"/>
        </w:rPr>
        <w:t> </w:t>
      </w:r>
      <w:r>
        <w:rPr/>
        <w:t>В</w:t>
      </w:r>
      <w:r>
        <w:rPr>
          <w:spacing w:val="-9"/>
        </w:rPr>
        <w:t> </w:t>
      </w:r>
      <w:r>
        <w:rPr/>
        <w:t>случае амбулаторного      применения      гидроксихлорохина      в      условиях       карантина и ограниченности ресурсов  (отсутствие возможности контроля  ЭКГ  и электролитов в</w:t>
      </w:r>
      <w:r>
        <w:rPr>
          <w:spacing w:val="-3"/>
        </w:rPr>
        <w:t> </w:t>
      </w:r>
      <w:r>
        <w:rPr/>
        <w:t>плазме)</w:t>
      </w:r>
      <w:r>
        <w:rPr>
          <w:spacing w:val="-9"/>
        </w:rPr>
        <w:t> </w:t>
      </w:r>
      <w:r>
        <w:rPr/>
        <w:t>следует</w:t>
      </w:r>
      <w:r>
        <w:rPr>
          <w:spacing w:val="-8"/>
        </w:rPr>
        <w:t> </w:t>
      </w:r>
      <w:r>
        <w:rPr/>
        <w:t>рассмотреть</w:t>
      </w:r>
      <w:r>
        <w:rPr>
          <w:spacing w:val="-9"/>
        </w:rPr>
        <w:t> </w:t>
      </w:r>
      <w:r>
        <w:rPr/>
        <w:t>вариант</w:t>
      </w:r>
      <w:r>
        <w:rPr>
          <w:spacing w:val="-8"/>
        </w:rPr>
        <w:t> </w:t>
      </w:r>
      <w:r>
        <w:rPr/>
        <w:t>ведения</w:t>
      </w:r>
      <w:r>
        <w:rPr>
          <w:spacing w:val="-9"/>
        </w:rPr>
        <w:t> </w:t>
      </w:r>
      <w:r>
        <w:rPr/>
        <w:t>больного</w:t>
      </w:r>
      <w:r>
        <w:rPr>
          <w:spacing w:val="-9"/>
        </w:rPr>
        <w:t> </w:t>
      </w:r>
      <w:r>
        <w:rPr/>
        <w:t>с</w:t>
      </w:r>
      <w:r>
        <w:rPr>
          <w:spacing w:val="-10"/>
        </w:rPr>
        <w:t> </w:t>
      </w:r>
      <w:r>
        <w:rPr/>
        <w:t>обязательным</w:t>
      </w:r>
      <w:r>
        <w:rPr>
          <w:spacing w:val="-10"/>
        </w:rPr>
        <w:t> </w:t>
      </w:r>
      <w:r>
        <w:rPr/>
        <w:t>соблюдением двух ограничительных условий, указанных в алгоритме </w:t>
      </w:r>
      <w:hyperlink w:history="true" w:anchor="_bookmark65">
        <w:r>
          <w:rPr>
            <w:color w:val="0562C1"/>
            <w:u w:val="single" w:color="0562C1"/>
          </w:rPr>
          <w:t>Приложения 11-2</w:t>
        </w:r>
      </w:hyperlink>
      <w:r>
        <w:rPr/>
        <w:t>: 1) низкий риск лекарственно-ассоциированного удлинения интервала QT  по  шкале  Тисдейла (≤ 6 баллов) 2) отсутствии дополнительных факторов риска удлинения интервала QT согласно модифицированному чек-листу</w:t>
      </w:r>
      <w:r>
        <w:rPr>
          <w:spacing w:val="2"/>
        </w:rPr>
        <w:t> </w:t>
      </w:r>
      <w:hyperlink w:history="true" w:anchor="_bookmark11">
        <w:r>
          <w:rPr>
            <w:vertAlign w:val="superscript"/>
          </w:rPr>
          <w:t>1</w:t>
        </w:r>
      </w:hyperlink>
      <w:r>
        <w:rPr>
          <w:vertAlign w:val="baseline"/>
        </w:rPr>
        <w:t>.</w:t>
      </w:r>
    </w:p>
    <w:p>
      <w:pPr>
        <w:pStyle w:val="BodyText"/>
        <w:tabs>
          <w:tab w:pos="1931" w:val="left" w:leader="none"/>
          <w:tab w:pos="3523" w:val="left" w:leader="none"/>
          <w:tab w:pos="6709" w:val="left" w:leader="none"/>
        </w:tabs>
        <w:spacing w:line="312" w:lineRule="auto"/>
        <w:ind w:right="674" w:firstLine="708"/>
      </w:pPr>
      <w:r>
        <w:rPr/>
        <w:t>Рекомбинантный интерферон альфа 2b (ИФН-α2b) для интраназального введения</w:t>
        <w:tab/>
        <w:t>обладает</w:t>
        <w:tab/>
        <w:t>иммуномодулирующим,</w:t>
        <w:tab/>
        <w:t>противовоспалительным и противовирусным действием. Механизм действия основан на предотвращении репликации вирусов, попадающих в организм через дыхательные пути. Как правило, препарат используется в дозе 3000 МЕ интраназально 5 раз в сутки в течение 5</w:t>
      </w:r>
      <w:r>
        <w:rPr>
          <w:spacing w:val="-10"/>
        </w:rPr>
        <w:t> </w:t>
      </w:r>
      <w:r>
        <w:rPr/>
        <w:t>дней.</w:t>
      </w:r>
    </w:p>
    <w:p>
      <w:pPr>
        <w:pStyle w:val="BodyText"/>
        <w:spacing w:line="312" w:lineRule="auto"/>
        <w:ind w:right="673" w:firstLine="708"/>
      </w:pPr>
      <w:r>
        <w:rPr/>
        <w:t>Этиотропное лечение COVID-19, особенно у больных с сопутствующей патологией, требует внимания к возможным лекарственным взаимодействиям. Лекарственные   препараты,   которые   запрещено   или    нежелательно    принимать  с этиотропной терапией COVID-19, можно найти на сайте </w:t>
      </w:r>
      <w:hyperlink r:id="rId12">
        <w:r>
          <w:rPr/>
          <w:t>https://www.covid19-</w:t>
        </w:r>
      </w:hyperlink>
      <w:r>
        <w:rPr/>
        <w:t> </w:t>
      </w:r>
      <w:hyperlink r:id="rId12">
        <w:r>
          <w:rPr/>
          <w:t>druginteractions.org/.</w:t>
        </w:r>
        <w:r>
          <w:rPr>
            <w:spacing w:val="-16"/>
          </w:rPr>
          <w:t> </w:t>
        </w:r>
      </w:hyperlink>
      <w:r>
        <w:rPr/>
        <w:t>Лекарственные</w:t>
      </w:r>
      <w:r>
        <w:rPr>
          <w:spacing w:val="-16"/>
        </w:rPr>
        <w:t> </w:t>
      </w:r>
      <w:r>
        <w:rPr/>
        <w:t>взаимодействия</w:t>
      </w:r>
      <w:r>
        <w:rPr>
          <w:spacing w:val="-15"/>
        </w:rPr>
        <w:t> </w:t>
      </w:r>
      <w:r>
        <w:rPr/>
        <w:t>антитромботических</w:t>
      </w:r>
      <w:r>
        <w:rPr>
          <w:spacing w:val="-13"/>
        </w:rPr>
        <w:t> </w:t>
      </w:r>
      <w:r>
        <w:rPr/>
        <w:t>и</w:t>
      </w:r>
      <w:r>
        <w:rPr>
          <w:spacing w:val="-17"/>
        </w:rPr>
        <w:t> </w:t>
      </w:r>
      <w:r>
        <w:rPr/>
        <w:t>препаратов для лечения пациентов с COVID-19 указаны в </w:t>
      </w:r>
      <w:hyperlink w:history="true" w:anchor="_bookmark55">
        <w:r>
          <w:rPr>
            <w:color w:val="0562C1"/>
            <w:u w:val="single" w:color="0562C1"/>
          </w:rPr>
          <w:t>Приложении</w:t>
        </w:r>
        <w:r>
          <w:rPr>
            <w:color w:val="0562C1"/>
            <w:spacing w:val="1"/>
            <w:u w:val="single" w:color="0562C1"/>
          </w:rPr>
          <w:t> </w:t>
        </w:r>
        <w:r>
          <w:rPr>
            <w:color w:val="0562C1"/>
            <w:u w:val="single" w:color="0562C1"/>
          </w:rPr>
          <w:t>6</w:t>
        </w:r>
      </w:hyperlink>
      <w:r>
        <w:rPr/>
        <w:t>.</w:t>
      </w:r>
    </w:p>
    <w:p>
      <w:pPr>
        <w:pStyle w:val="BodyText"/>
        <w:spacing w:line="312" w:lineRule="auto"/>
        <w:ind w:right="673" w:firstLine="708"/>
      </w:pPr>
      <w:r>
        <w:rPr/>
        <w:t>Принимая во внимание сходство клинической картины легких форм COVID-19 с</w:t>
      </w:r>
      <w:r>
        <w:rPr>
          <w:spacing w:val="-8"/>
        </w:rPr>
        <w:t> </w:t>
      </w:r>
      <w:r>
        <w:rPr/>
        <w:t>клинической</w:t>
      </w:r>
      <w:r>
        <w:rPr>
          <w:spacing w:val="-5"/>
        </w:rPr>
        <w:t> </w:t>
      </w:r>
      <w:r>
        <w:rPr/>
        <w:t>картиной</w:t>
      </w:r>
      <w:r>
        <w:rPr>
          <w:spacing w:val="-5"/>
        </w:rPr>
        <w:t> </w:t>
      </w:r>
      <w:r>
        <w:rPr/>
        <w:t>сезонных</w:t>
      </w:r>
      <w:r>
        <w:rPr>
          <w:spacing w:val="-4"/>
        </w:rPr>
        <w:t> </w:t>
      </w:r>
      <w:r>
        <w:rPr/>
        <w:t>ОРВИ,</w:t>
      </w:r>
      <w:r>
        <w:rPr>
          <w:spacing w:val="-6"/>
        </w:rPr>
        <w:t> </w:t>
      </w:r>
      <w:r>
        <w:rPr/>
        <w:t>до</w:t>
      </w:r>
      <w:r>
        <w:rPr>
          <w:spacing w:val="-6"/>
        </w:rPr>
        <w:t> </w:t>
      </w:r>
      <w:r>
        <w:rPr/>
        <w:t>подтверждения</w:t>
      </w:r>
      <w:r>
        <w:rPr>
          <w:spacing w:val="-6"/>
        </w:rPr>
        <w:t> </w:t>
      </w:r>
      <w:r>
        <w:rPr/>
        <w:t>этиологического</w:t>
      </w:r>
      <w:r>
        <w:rPr>
          <w:spacing w:val="-6"/>
        </w:rPr>
        <w:t> </w:t>
      </w:r>
      <w:r>
        <w:rPr/>
        <w:t>диагноза в схемы терапии следует включать препараты, рекомендуемые для лечения сезонных ОРВИ, такие как интраназальные формы ИФН-α, препараты индукторов ИФН, а также противовирусные препараты с широким спектром активности, такие как</w:t>
      </w:r>
      <w:r>
        <w:rPr>
          <w:spacing w:val="-14"/>
        </w:rPr>
        <w:t> </w:t>
      </w:r>
      <w:r>
        <w:rPr/>
        <w:t>умифеновир.</w:t>
      </w:r>
    </w:p>
    <w:p>
      <w:pPr>
        <w:pStyle w:val="BodyText"/>
        <w:spacing w:line="312" w:lineRule="auto" w:before="1"/>
        <w:ind w:right="674" w:firstLine="708"/>
      </w:pPr>
      <w:r>
        <w:rPr/>
        <w:t>Перечень</w:t>
      </w:r>
      <w:r>
        <w:rPr>
          <w:spacing w:val="-7"/>
        </w:rPr>
        <w:t> </w:t>
      </w:r>
      <w:r>
        <w:rPr/>
        <w:t>возможных</w:t>
      </w:r>
      <w:r>
        <w:rPr>
          <w:spacing w:val="-7"/>
        </w:rPr>
        <w:t> </w:t>
      </w:r>
      <w:r>
        <w:rPr/>
        <w:t>к</w:t>
      </w:r>
      <w:r>
        <w:rPr>
          <w:spacing w:val="-9"/>
        </w:rPr>
        <w:t> </w:t>
      </w:r>
      <w:r>
        <w:rPr/>
        <w:t>назначению</w:t>
      </w:r>
      <w:r>
        <w:rPr>
          <w:spacing w:val="-9"/>
        </w:rPr>
        <w:t> </w:t>
      </w:r>
      <w:r>
        <w:rPr/>
        <w:t>лекарственных</w:t>
      </w:r>
      <w:r>
        <w:rPr>
          <w:spacing w:val="-7"/>
        </w:rPr>
        <w:t> </w:t>
      </w:r>
      <w:r>
        <w:rPr/>
        <w:t>препаратов</w:t>
      </w:r>
      <w:r>
        <w:rPr>
          <w:spacing w:val="-8"/>
        </w:rPr>
        <w:t> </w:t>
      </w:r>
      <w:r>
        <w:rPr/>
        <w:t>для</w:t>
      </w:r>
      <w:r>
        <w:rPr>
          <w:spacing w:val="-10"/>
        </w:rPr>
        <w:t> </w:t>
      </w:r>
      <w:r>
        <w:rPr/>
        <w:t>этиотропной терапии COVID-19 у взрослых приведен в </w:t>
      </w:r>
      <w:hyperlink w:history="true" w:anchor="_bookmark56">
        <w:r>
          <w:rPr>
            <w:color w:val="0562C1"/>
            <w:u w:val="single" w:color="0562C1"/>
          </w:rPr>
          <w:t>Приложении 7</w:t>
        </w:r>
      </w:hyperlink>
      <w:r>
        <w:rPr/>
        <w:t>. Рекомендованные схемы лечения в зависимости от тяжести заболевания приведены в </w:t>
      </w:r>
      <w:hyperlink w:history="true" w:anchor="_bookmark61">
        <w:r>
          <w:rPr>
            <w:color w:val="0562C1"/>
            <w:u w:val="single" w:color="0562C1"/>
          </w:rPr>
          <w:t>Приложении 10</w:t>
        </w:r>
      </w:hyperlink>
      <w:r>
        <w:rPr/>
        <w:t>. Назначение лечения должно обязательно сопровождаться получением добровольного информированного согласия пациента (или его законного</w:t>
      </w:r>
      <w:r>
        <w:rPr>
          <w:spacing w:val="-6"/>
        </w:rPr>
        <w:t> </w:t>
      </w:r>
      <w:r>
        <w:rPr/>
        <w:t>представителя).</w:t>
      </w:r>
    </w:p>
    <w:p>
      <w:pPr>
        <w:pStyle w:val="BodyText"/>
        <w:spacing w:line="312" w:lineRule="auto"/>
        <w:ind w:right="673" w:firstLine="708"/>
      </w:pPr>
      <w:r>
        <w:rPr/>
        <w:t>Согласно     рекомендациям     ВОЗ,      возможно      назначение      препаратов с предполагаемой  этиотропной  эффективностью   «off-label»  (то   есть   применение с медицинской целью не соответствует инструкции по медицинскому применению), при</w:t>
      </w:r>
      <w:r>
        <w:rPr>
          <w:spacing w:val="-7"/>
        </w:rPr>
        <w:t> </w:t>
      </w:r>
      <w:r>
        <w:rPr/>
        <w:t>этом</w:t>
      </w:r>
      <w:r>
        <w:rPr>
          <w:spacing w:val="-6"/>
        </w:rPr>
        <w:t> </w:t>
      </w:r>
      <w:r>
        <w:rPr/>
        <w:t>их</w:t>
      </w:r>
      <w:r>
        <w:rPr>
          <w:spacing w:val="-5"/>
        </w:rPr>
        <w:t> </w:t>
      </w:r>
      <w:r>
        <w:rPr/>
        <w:t>назначение</w:t>
      </w:r>
      <w:r>
        <w:rPr>
          <w:spacing w:val="-6"/>
        </w:rPr>
        <w:t> </w:t>
      </w:r>
      <w:r>
        <w:rPr/>
        <w:t>должно</w:t>
      </w:r>
      <w:r>
        <w:rPr>
          <w:spacing w:val="-7"/>
        </w:rPr>
        <w:t> </w:t>
      </w:r>
      <w:r>
        <w:rPr/>
        <w:t>соответствовать</w:t>
      </w:r>
      <w:r>
        <w:rPr>
          <w:spacing w:val="-4"/>
        </w:rPr>
        <w:t> </w:t>
      </w:r>
      <w:r>
        <w:rPr/>
        <w:t>этическим</w:t>
      </w:r>
      <w:r>
        <w:rPr>
          <w:spacing w:val="-6"/>
        </w:rPr>
        <w:t> </w:t>
      </w:r>
      <w:r>
        <w:rPr/>
        <w:t>нормам,</w:t>
      </w:r>
      <w:r>
        <w:rPr>
          <w:spacing w:val="-5"/>
        </w:rPr>
        <w:t> </w:t>
      </w:r>
      <w:r>
        <w:rPr/>
        <w:t>рекомендованным ВОЗ,  и  осуществляться  на  основании  Федерального  закона  от   21   ноября  2011</w:t>
      </w:r>
      <w:r>
        <w:rPr>
          <w:spacing w:val="20"/>
        </w:rPr>
        <w:t> </w:t>
      </w:r>
      <w:r>
        <w:rPr/>
        <w:t>г.</w:t>
      </w:r>
    </w:p>
    <w:p>
      <w:pPr>
        <w:pStyle w:val="BodyText"/>
        <w:spacing w:line="312" w:lineRule="auto"/>
        <w:ind w:right="676"/>
      </w:pPr>
      <w:r>
        <w:rPr/>
        <w:t>№ 323-ФЗ «Об основах охраны здоровья граждан в Российской Федерации», Федерального закона от 12 апреля 2010 г. № 61-ФЗ </w:t>
      </w:r>
      <w:r>
        <w:rPr>
          <w:spacing w:val="-3"/>
        </w:rPr>
        <w:t>«Об </w:t>
      </w:r>
      <w:r>
        <w:rPr/>
        <w:t>обращении лекарственных средств»,</w:t>
      </w:r>
      <w:r>
        <w:rPr>
          <w:spacing w:val="18"/>
        </w:rPr>
        <w:t> </w:t>
      </w:r>
      <w:r>
        <w:rPr/>
        <w:t>Национального</w:t>
      </w:r>
      <w:r>
        <w:rPr>
          <w:spacing w:val="16"/>
        </w:rPr>
        <w:t> </w:t>
      </w:r>
      <w:r>
        <w:rPr/>
        <w:t>стандарта</w:t>
      </w:r>
      <w:r>
        <w:rPr>
          <w:spacing w:val="15"/>
        </w:rPr>
        <w:t> </w:t>
      </w:r>
      <w:r>
        <w:rPr/>
        <w:t>Российской</w:t>
      </w:r>
      <w:r>
        <w:rPr>
          <w:spacing w:val="17"/>
        </w:rPr>
        <w:t> </w:t>
      </w:r>
      <w:r>
        <w:rPr/>
        <w:t>Федерации</w:t>
      </w:r>
      <w:r>
        <w:rPr>
          <w:spacing w:val="15"/>
        </w:rPr>
        <w:t> </w:t>
      </w:r>
      <w:r>
        <w:rPr/>
        <w:t>ГОСТ</w:t>
      </w:r>
      <w:r>
        <w:rPr>
          <w:spacing w:val="13"/>
        </w:rPr>
        <w:t> </w:t>
      </w:r>
      <w:r>
        <w:rPr/>
        <w:t>Р</w:t>
      </w:r>
      <w:r>
        <w:rPr>
          <w:spacing w:val="14"/>
        </w:rPr>
        <w:t> </w:t>
      </w:r>
      <w:r>
        <w:rPr/>
        <w:t>ИСО</w:t>
      </w:r>
      <w:r>
        <w:rPr>
          <w:spacing w:val="16"/>
        </w:rPr>
        <w:t> </w:t>
      </w:r>
      <w:r>
        <w:rPr/>
        <w:t>14155-2014</w:t>
      </w:r>
    </w:p>
    <w:p>
      <w:pPr>
        <w:pStyle w:val="BodyText"/>
        <w:spacing w:before="8"/>
        <w:ind w:left="0"/>
        <w:jc w:val="left"/>
        <w:rPr>
          <w:sz w:val="23"/>
        </w:rPr>
      </w:pPr>
      <w:r>
        <w:rPr/>
        <w:pict>
          <v:rect style="position:absolute;margin-left:85.080002pt;margin-top:15.606367pt;width:144pt;height:.72pt;mso-position-horizontal-relative:page;mso-position-vertical-relative:paragraph;z-index:-15726592;mso-wrap-distance-left:0;mso-wrap-distance-right:0" filled="true" fillcolor="#000000" stroked="false">
            <v:fill type="solid"/>
            <w10:wrap type="topAndBottom"/>
          </v:rect>
        </w:pict>
      </w:r>
    </w:p>
    <w:p>
      <w:pPr>
        <w:pStyle w:val="BodyText"/>
        <w:spacing w:before="5"/>
        <w:ind w:left="0"/>
        <w:jc w:val="left"/>
        <w:rPr>
          <w:sz w:val="6"/>
        </w:rPr>
      </w:pPr>
    </w:p>
    <w:p>
      <w:pPr>
        <w:spacing w:before="99"/>
        <w:ind w:left="463" w:right="1115" w:firstLine="141"/>
        <w:jc w:val="left"/>
        <w:rPr>
          <w:sz w:val="20"/>
        </w:rPr>
      </w:pPr>
      <w:bookmarkStart w:name="_bookmark11" w:id="39"/>
      <w:bookmarkEnd w:id="39"/>
      <w:r>
        <w:rPr/>
      </w:r>
      <w:r>
        <w:rPr>
          <w:sz w:val="20"/>
          <w:vertAlign w:val="superscript"/>
        </w:rPr>
        <w:t>1</w:t>
      </w:r>
      <w:r>
        <w:rPr>
          <w:sz w:val="20"/>
          <w:vertAlign w:val="baseline"/>
        </w:rPr>
        <w:t> Наиболее значимые дополнительные факторы риска удлинения интервала QT, доступные для оценки в амбулаторных условиях, отобраны из ряда ранее опубликованных документов.</w:t>
      </w:r>
    </w:p>
    <w:p>
      <w:pPr>
        <w:spacing w:after="0"/>
        <w:jc w:val="left"/>
        <w:rPr>
          <w:sz w:val="20"/>
        </w:rPr>
        <w:sectPr>
          <w:pgSz w:w="11920" w:h="16850"/>
          <w:pgMar w:header="0" w:footer="620" w:top="1060" w:bottom="880" w:left="1380" w:right="600"/>
        </w:sectPr>
      </w:pPr>
    </w:p>
    <w:p>
      <w:pPr>
        <w:pStyle w:val="BodyText"/>
        <w:spacing w:line="312" w:lineRule="auto" w:before="78"/>
        <w:ind w:right="674"/>
      </w:pPr>
      <w:r>
        <w:rPr/>
        <w:t>«Надлежащая клиническая практика», приказа Министерства здравоохранения Российской Федерации от 1 апреля 2016 г. № 200н «Об утверждении правил надлежащей клинической практики» (зарегистрирован Министерством юстиции Российской Федерации 23 августа 2016 г., регистрационный № 43357), Хельсинкской декларации Всемирной медицинской ассоциации (ВМА) об этических принципах проведения исследований с участием человека в качестве субъекта, декларированных на 64-ой Генеральной ассамблее ВМА, Форталеза, Бразилия, 2013 г.</w:t>
      </w:r>
    </w:p>
    <w:p>
      <w:pPr>
        <w:pStyle w:val="BodyText"/>
        <w:spacing w:line="312" w:lineRule="auto"/>
        <w:ind w:right="673" w:firstLine="708"/>
      </w:pPr>
      <w:r>
        <w:rPr/>
        <w:t>Вышеуказанная практика оценки целесообразности применения лекарственных препаратов вне показаний, указанных в инструкции по медицинскому применению, является общепризнанной в мире. В текущих условиях распространения новой коронавирусной инфекции и ограниченности доказательной базы по лечению COVID-19, использование препаратов в режиме «off-label» для оказания медицинской помощи</w:t>
      </w:r>
      <w:r>
        <w:rPr>
          <w:spacing w:val="-11"/>
        </w:rPr>
        <w:t> </w:t>
      </w:r>
      <w:r>
        <w:rPr/>
        <w:t>пациентам</w:t>
      </w:r>
      <w:r>
        <w:rPr>
          <w:spacing w:val="-13"/>
        </w:rPr>
        <w:t> </w:t>
      </w:r>
      <w:r>
        <w:rPr/>
        <w:t>с</w:t>
      </w:r>
      <w:r>
        <w:rPr>
          <w:spacing w:val="-12"/>
        </w:rPr>
        <w:t> </w:t>
      </w:r>
      <w:r>
        <w:rPr/>
        <w:t>COVID-19</w:t>
      </w:r>
      <w:r>
        <w:rPr>
          <w:spacing w:val="-10"/>
        </w:rPr>
        <w:t> </w:t>
      </w:r>
      <w:r>
        <w:rPr/>
        <w:t>базируется</w:t>
      </w:r>
      <w:r>
        <w:rPr>
          <w:spacing w:val="-10"/>
        </w:rPr>
        <w:t> </w:t>
      </w:r>
      <w:r>
        <w:rPr/>
        <w:t>на</w:t>
      </w:r>
      <w:r>
        <w:rPr>
          <w:spacing w:val="-10"/>
        </w:rPr>
        <w:t> </w:t>
      </w:r>
      <w:r>
        <w:rPr/>
        <w:t>международных</w:t>
      </w:r>
      <w:r>
        <w:rPr>
          <w:spacing w:val="-10"/>
        </w:rPr>
        <w:t> </w:t>
      </w:r>
      <w:r>
        <w:rPr/>
        <w:t>рекомендациях,</w:t>
      </w:r>
      <w:r>
        <w:rPr>
          <w:spacing w:val="-12"/>
        </w:rPr>
        <w:t> </w:t>
      </w:r>
      <w:r>
        <w:rPr/>
        <w:t>а</w:t>
      </w:r>
      <w:r>
        <w:rPr>
          <w:spacing w:val="-12"/>
        </w:rPr>
        <w:t> </w:t>
      </w:r>
      <w:r>
        <w:rPr/>
        <w:t>также согласованных</w:t>
      </w:r>
      <w:r>
        <w:rPr>
          <w:spacing w:val="-14"/>
        </w:rPr>
        <w:t> </w:t>
      </w:r>
      <w:r>
        <w:rPr/>
        <w:t>экспертных</w:t>
      </w:r>
      <w:r>
        <w:rPr>
          <w:spacing w:val="-13"/>
        </w:rPr>
        <w:t> </w:t>
      </w:r>
      <w:r>
        <w:rPr/>
        <w:t>мнениях,</w:t>
      </w:r>
      <w:r>
        <w:rPr>
          <w:spacing w:val="-16"/>
        </w:rPr>
        <w:t> </w:t>
      </w:r>
      <w:r>
        <w:rPr/>
        <w:t>основанных</w:t>
      </w:r>
      <w:r>
        <w:rPr>
          <w:spacing w:val="-14"/>
        </w:rPr>
        <w:t> </w:t>
      </w:r>
      <w:r>
        <w:rPr/>
        <w:t>на</w:t>
      </w:r>
      <w:r>
        <w:rPr>
          <w:spacing w:val="-17"/>
        </w:rPr>
        <w:t> </w:t>
      </w:r>
      <w:r>
        <w:rPr/>
        <w:t>оценке</w:t>
      </w:r>
      <w:r>
        <w:rPr>
          <w:spacing w:val="-17"/>
        </w:rPr>
        <w:t> </w:t>
      </w:r>
      <w:r>
        <w:rPr/>
        <w:t>степени</w:t>
      </w:r>
      <w:r>
        <w:rPr>
          <w:spacing w:val="-16"/>
        </w:rPr>
        <w:t> </w:t>
      </w:r>
      <w:r>
        <w:rPr/>
        <w:t>пользы</w:t>
      </w:r>
      <w:r>
        <w:rPr>
          <w:spacing w:val="-16"/>
        </w:rPr>
        <w:t> </w:t>
      </w:r>
      <w:r>
        <w:rPr/>
        <w:t>и</w:t>
      </w:r>
      <w:r>
        <w:rPr>
          <w:spacing w:val="-15"/>
        </w:rPr>
        <w:t> </w:t>
      </w:r>
      <w:r>
        <w:rPr/>
        <w:t>риска</w:t>
      </w:r>
      <w:r>
        <w:rPr>
          <w:spacing w:val="-17"/>
        </w:rPr>
        <w:t> </w:t>
      </w:r>
      <w:r>
        <w:rPr/>
        <w:t>при использовании терапии в режиме</w:t>
      </w:r>
      <w:r>
        <w:rPr>
          <w:spacing w:val="-3"/>
        </w:rPr>
        <w:t> </w:t>
      </w:r>
      <w:r>
        <w:rPr/>
        <w:t>«off-label».</w:t>
      </w:r>
    </w:p>
    <w:p>
      <w:pPr>
        <w:pStyle w:val="BodyText"/>
        <w:spacing w:line="312" w:lineRule="auto"/>
        <w:ind w:right="674" w:firstLine="708"/>
      </w:pPr>
      <w:r>
        <w:rPr/>
        <w:t>Информация о случаях побочных действий, не указанных в инструкции по применению лекарственных препаратов, о серьезных нежелательных реакциях, непредвиденных</w:t>
      </w:r>
      <w:r>
        <w:rPr>
          <w:spacing w:val="-12"/>
        </w:rPr>
        <w:t> </w:t>
      </w:r>
      <w:r>
        <w:rPr/>
        <w:t>нежелательных</w:t>
      </w:r>
      <w:r>
        <w:rPr>
          <w:spacing w:val="-12"/>
        </w:rPr>
        <w:t> </w:t>
      </w:r>
      <w:r>
        <w:rPr/>
        <w:t>реакциях</w:t>
      </w:r>
      <w:r>
        <w:rPr>
          <w:spacing w:val="-12"/>
        </w:rPr>
        <w:t> </w:t>
      </w:r>
      <w:r>
        <w:rPr/>
        <w:t>при</w:t>
      </w:r>
      <w:r>
        <w:rPr>
          <w:spacing w:val="-15"/>
        </w:rPr>
        <w:t> </w:t>
      </w:r>
      <w:r>
        <w:rPr/>
        <w:t>применении</w:t>
      </w:r>
      <w:r>
        <w:rPr>
          <w:spacing w:val="-13"/>
        </w:rPr>
        <w:t> </w:t>
      </w:r>
      <w:r>
        <w:rPr/>
        <w:t>лекарственных</w:t>
      </w:r>
      <w:r>
        <w:rPr>
          <w:spacing w:val="-14"/>
        </w:rPr>
        <w:t> </w:t>
      </w:r>
      <w:r>
        <w:rPr/>
        <w:t>препаратов, об особенностях взаимодействия лекарственных препаратов с другими лекарственными препаратами должна собираться и передаваться в установленном порядке в</w:t>
      </w:r>
      <w:r>
        <w:rPr>
          <w:spacing w:val="-3"/>
        </w:rPr>
        <w:t> </w:t>
      </w:r>
      <w:r>
        <w:rPr/>
        <w:t>Росздравнадзор.</w:t>
      </w:r>
    </w:p>
    <w:p>
      <w:pPr>
        <w:pStyle w:val="BodyText"/>
        <w:spacing w:before="9"/>
        <w:ind w:left="0"/>
        <w:jc w:val="left"/>
        <w:rPr>
          <w:sz w:val="20"/>
        </w:rPr>
      </w:pPr>
    </w:p>
    <w:p>
      <w:pPr>
        <w:pStyle w:val="Heading3"/>
        <w:spacing w:line="259" w:lineRule="auto"/>
        <w:ind w:right="2219"/>
      </w:pPr>
      <w:bookmarkStart w:name="Клиническое использование плазмы антиков" w:id="40"/>
      <w:bookmarkEnd w:id="40"/>
      <w:r>
        <w:rPr>
          <w:b w:val="0"/>
        </w:rPr>
      </w:r>
      <w:r>
        <w:rPr>
          <w:color w:val="1F487C"/>
        </w:rPr>
        <w:t>Клиническое использование плазмы антиковидной, патоген- редуцированной</w:t>
      </w:r>
    </w:p>
    <w:p>
      <w:pPr>
        <w:pStyle w:val="BodyText"/>
        <w:spacing w:line="312" w:lineRule="auto" w:before="120"/>
        <w:ind w:right="675" w:firstLine="708"/>
      </w:pPr>
      <w:r>
        <w:rPr/>
        <w:t>Согласно рекомендациям ВОЗ, применение плазмы от доноров- реконвалесцентов</w:t>
      </w:r>
      <w:r>
        <w:rPr>
          <w:spacing w:val="-15"/>
        </w:rPr>
        <w:t> </w:t>
      </w:r>
      <w:r>
        <w:rPr/>
        <w:t>(лиц</w:t>
      </w:r>
      <w:r>
        <w:rPr>
          <w:spacing w:val="-16"/>
        </w:rPr>
        <w:t> </w:t>
      </w:r>
      <w:r>
        <w:rPr/>
        <w:t>с</w:t>
      </w:r>
      <w:r>
        <w:rPr>
          <w:spacing w:val="-15"/>
        </w:rPr>
        <w:t> </w:t>
      </w:r>
      <w:r>
        <w:rPr/>
        <w:t>подтвержденным</w:t>
      </w:r>
      <w:r>
        <w:rPr>
          <w:spacing w:val="-14"/>
        </w:rPr>
        <w:t> </w:t>
      </w:r>
      <w:r>
        <w:rPr/>
        <w:t>случаем</w:t>
      </w:r>
      <w:r>
        <w:rPr>
          <w:spacing w:val="-15"/>
        </w:rPr>
        <w:t> </w:t>
      </w:r>
      <w:r>
        <w:rPr/>
        <w:t>COVID-19</w:t>
      </w:r>
      <w:r>
        <w:rPr>
          <w:spacing w:val="-14"/>
        </w:rPr>
        <w:t> </w:t>
      </w:r>
      <w:r>
        <w:rPr/>
        <w:t>в</w:t>
      </w:r>
      <w:r>
        <w:rPr>
          <w:spacing w:val="-15"/>
        </w:rPr>
        <w:t> </w:t>
      </w:r>
      <w:r>
        <w:rPr/>
        <w:t>стадии</w:t>
      </w:r>
      <w:r>
        <w:rPr>
          <w:spacing w:val="-12"/>
        </w:rPr>
        <w:t> </w:t>
      </w:r>
      <w:r>
        <w:rPr/>
        <w:t>выздоровления) с  целью  лечения  заболеваний,  характеризующихся  эпидемическими  вспышками    и отсутствием специфического лечения, основано на концепции пассивной иммунизации. По опубликованным данным, в КНР и других странах применялась плазма, полученная от доноров-реконвалесцентов COVID-19 (далее – антиковидная плазма), что нашло отражение в национальных руководствах по лечению</w:t>
      </w:r>
      <w:r>
        <w:rPr>
          <w:spacing w:val="-13"/>
        </w:rPr>
        <w:t> </w:t>
      </w:r>
      <w:r>
        <w:rPr/>
        <w:t>COVID-19.</w:t>
      </w:r>
    </w:p>
    <w:p>
      <w:pPr>
        <w:pStyle w:val="BodyText"/>
        <w:spacing w:line="312" w:lineRule="auto" w:before="1"/>
        <w:ind w:right="672" w:firstLine="708"/>
      </w:pPr>
      <w:r>
        <w:rPr/>
        <w:t>Заготовка </w:t>
      </w:r>
      <w:hyperlink w:history="true" w:anchor="_bookmark12">
        <w:r>
          <w:rPr>
            <w:vertAlign w:val="superscript"/>
          </w:rPr>
          <w:t>1</w:t>
        </w:r>
      </w:hyperlink>
      <w:r>
        <w:rPr>
          <w:vertAlign w:val="baseline"/>
        </w:rPr>
        <w:t> , хранение, транспортировка и клиническое использование антиковидной плазмы осуществляется в соответствии с требованиями, установленными постановлением Правительства Российской Федерации от 22 июня 2019  г.  №  797  «Об  утверждении  Правил  заготовки,  хранения,  транспортировки   и клинического использования донорской крови и ее компонентов и о признании утратившими силу некоторых актов Правительства Российской Федерации»,</w:t>
      </w:r>
      <w:r>
        <w:rPr>
          <w:spacing w:val="-20"/>
          <w:vertAlign w:val="baseline"/>
        </w:rPr>
        <w:t> </w:t>
      </w:r>
      <w:r>
        <w:rPr>
          <w:vertAlign w:val="baseline"/>
        </w:rPr>
        <w:t>приказом</w:t>
      </w:r>
    </w:p>
    <w:p>
      <w:pPr>
        <w:pStyle w:val="BodyText"/>
        <w:spacing w:before="5"/>
        <w:ind w:left="0"/>
        <w:jc w:val="left"/>
        <w:rPr>
          <w:sz w:val="14"/>
        </w:rPr>
      </w:pPr>
      <w:r>
        <w:rPr/>
        <w:pict>
          <v:rect style="position:absolute;margin-left:85.080002pt;margin-top:10.267304pt;width:144pt;height:.72pt;mso-position-horizontal-relative:page;mso-position-vertical-relative:paragraph;z-index:-15726080;mso-wrap-distance-left:0;mso-wrap-distance-right:0" filled="true" fillcolor="#000000" stroked="false">
            <v:fill type="solid"/>
            <w10:wrap type="topAndBottom"/>
          </v:rect>
        </w:pict>
      </w:r>
    </w:p>
    <w:p>
      <w:pPr>
        <w:pStyle w:val="BodyText"/>
        <w:spacing w:before="3"/>
        <w:ind w:left="0"/>
        <w:jc w:val="left"/>
        <w:rPr>
          <w:sz w:val="6"/>
        </w:rPr>
      </w:pPr>
    </w:p>
    <w:p>
      <w:pPr>
        <w:spacing w:before="98"/>
        <w:ind w:left="321" w:right="677" w:firstLine="141"/>
        <w:jc w:val="both"/>
        <w:rPr>
          <w:sz w:val="20"/>
        </w:rPr>
      </w:pPr>
      <w:bookmarkStart w:name="_bookmark12" w:id="41"/>
      <w:bookmarkEnd w:id="41"/>
      <w:r>
        <w:rPr/>
      </w:r>
      <w:r>
        <w:rPr>
          <w:sz w:val="20"/>
          <w:vertAlign w:val="superscript"/>
        </w:rPr>
        <w:t>1</w:t>
      </w:r>
      <w:r>
        <w:rPr>
          <w:spacing w:val="-4"/>
          <w:sz w:val="20"/>
          <w:vertAlign w:val="baseline"/>
        </w:rPr>
        <w:t> </w:t>
      </w:r>
      <w:r>
        <w:rPr>
          <w:sz w:val="20"/>
          <w:vertAlign w:val="baseline"/>
        </w:rPr>
        <w:t>Осуществляется</w:t>
      </w:r>
      <w:r>
        <w:rPr>
          <w:spacing w:val="-15"/>
          <w:sz w:val="20"/>
          <w:vertAlign w:val="baseline"/>
        </w:rPr>
        <w:t> </w:t>
      </w:r>
      <w:r>
        <w:rPr>
          <w:sz w:val="20"/>
          <w:vertAlign w:val="baseline"/>
        </w:rPr>
        <w:t>в</w:t>
      </w:r>
      <w:r>
        <w:rPr>
          <w:spacing w:val="-15"/>
          <w:sz w:val="20"/>
          <w:vertAlign w:val="baseline"/>
        </w:rPr>
        <w:t> </w:t>
      </w:r>
      <w:r>
        <w:rPr>
          <w:sz w:val="20"/>
          <w:vertAlign w:val="baseline"/>
        </w:rPr>
        <w:t>субъектах</w:t>
      </w:r>
      <w:r>
        <w:rPr>
          <w:spacing w:val="-16"/>
          <w:sz w:val="20"/>
          <w:vertAlign w:val="baseline"/>
        </w:rPr>
        <w:t> </w:t>
      </w:r>
      <w:r>
        <w:rPr>
          <w:sz w:val="20"/>
          <w:vertAlign w:val="baseline"/>
        </w:rPr>
        <w:t>обращения</w:t>
      </w:r>
      <w:r>
        <w:rPr>
          <w:spacing w:val="-16"/>
          <w:sz w:val="20"/>
          <w:vertAlign w:val="baseline"/>
        </w:rPr>
        <w:t> </w:t>
      </w:r>
      <w:r>
        <w:rPr>
          <w:sz w:val="20"/>
          <w:vertAlign w:val="baseline"/>
        </w:rPr>
        <w:t>донорской</w:t>
      </w:r>
      <w:r>
        <w:rPr>
          <w:spacing w:val="-15"/>
          <w:sz w:val="20"/>
          <w:vertAlign w:val="baseline"/>
        </w:rPr>
        <w:t> </w:t>
      </w:r>
      <w:r>
        <w:rPr>
          <w:sz w:val="20"/>
          <w:vertAlign w:val="baseline"/>
        </w:rPr>
        <w:t>крови</w:t>
      </w:r>
      <w:r>
        <w:rPr>
          <w:spacing w:val="-16"/>
          <w:sz w:val="20"/>
          <w:vertAlign w:val="baseline"/>
        </w:rPr>
        <w:t> </w:t>
      </w:r>
      <w:r>
        <w:rPr>
          <w:sz w:val="20"/>
          <w:vertAlign w:val="baseline"/>
        </w:rPr>
        <w:t>и</w:t>
      </w:r>
      <w:r>
        <w:rPr>
          <w:spacing w:val="-16"/>
          <w:sz w:val="20"/>
          <w:vertAlign w:val="baseline"/>
        </w:rPr>
        <w:t> </w:t>
      </w:r>
      <w:r>
        <w:rPr>
          <w:sz w:val="20"/>
          <w:vertAlign w:val="baseline"/>
        </w:rPr>
        <w:t>(или)</w:t>
      </w:r>
      <w:r>
        <w:rPr>
          <w:spacing w:val="-14"/>
          <w:sz w:val="20"/>
          <w:vertAlign w:val="baseline"/>
        </w:rPr>
        <w:t> </w:t>
      </w:r>
      <w:r>
        <w:rPr>
          <w:sz w:val="20"/>
          <w:vertAlign w:val="baseline"/>
        </w:rPr>
        <w:t>ее</w:t>
      </w:r>
      <w:r>
        <w:rPr>
          <w:spacing w:val="-15"/>
          <w:sz w:val="20"/>
          <w:vertAlign w:val="baseline"/>
        </w:rPr>
        <w:t> </w:t>
      </w:r>
      <w:r>
        <w:rPr>
          <w:sz w:val="20"/>
          <w:vertAlign w:val="baseline"/>
        </w:rPr>
        <w:t>компонентов,</w:t>
      </w:r>
      <w:r>
        <w:rPr>
          <w:spacing w:val="-14"/>
          <w:sz w:val="20"/>
          <w:vertAlign w:val="baseline"/>
        </w:rPr>
        <w:t> </w:t>
      </w:r>
      <w:r>
        <w:rPr>
          <w:sz w:val="20"/>
          <w:vertAlign w:val="baseline"/>
        </w:rPr>
        <w:t>имеющих</w:t>
      </w:r>
      <w:r>
        <w:rPr>
          <w:spacing w:val="-16"/>
          <w:sz w:val="20"/>
          <w:vertAlign w:val="baseline"/>
        </w:rPr>
        <w:t> </w:t>
      </w:r>
      <w:r>
        <w:rPr>
          <w:sz w:val="20"/>
          <w:vertAlign w:val="baseline"/>
        </w:rPr>
        <w:t>лицензию на медицинскую деятельность с указанием заготовки и хранения донорской крови и (или) ее компонентов в качестве составляющих частей лицензируемого вида</w:t>
      </w:r>
      <w:r>
        <w:rPr>
          <w:spacing w:val="-6"/>
          <w:sz w:val="20"/>
          <w:vertAlign w:val="baseline"/>
        </w:rPr>
        <w:t> </w:t>
      </w:r>
      <w:r>
        <w:rPr>
          <w:sz w:val="20"/>
          <w:vertAlign w:val="baseline"/>
        </w:rPr>
        <w:t>деятельности.</w:t>
      </w:r>
    </w:p>
    <w:p>
      <w:pPr>
        <w:spacing w:after="0"/>
        <w:jc w:val="both"/>
        <w:rPr>
          <w:sz w:val="20"/>
        </w:rPr>
        <w:sectPr>
          <w:pgSz w:w="11920" w:h="16850"/>
          <w:pgMar w:header="0" w:footer="620" w:top="1060" w:bottom="880" w:left="1380" w:right="600"/>
        </w:sectPr>
      </w:pPr>
    </w:p>
    <w:p>
      <w:pPr>
        <w:pStyle w:val="BodyText"/>
        <w:spacing w:before="78"/>
      </w:pPr>
      <w:r>
        <w:rPr/>
        <w:t>Министерства здравоохранения Российской Федерации от 02.04.2013 № 183н</w:t>
      </w:r>
    </w:p>
    <w:p>
      <w:pPr>
        <w:pStyle w:val="BodyText"/>
        <w:spacing w:line="312" w:lineRule="auto" w:before="82"/>
        <w:ind w:right="674"/>
      </w:pPr>
      <w:r>
        <w:rPr/>
        <w:t>«Об утверждении правил клинического использования донорской крови и (или) ее компонентов».</w:t>
      </w:r>
    </w:p>
    <w:p>
      <w:pPr>
        <w:pStyle w:val="BodyText"/>
        <w:spacing w:line="312" w:lineRule="auto"/>
        <w:ind w:right="674" w:firstLine="708"/>
      </w:pPr>
      <w:r>
        <w:rPr/>
        <w:t>Порядок медицинского обследования доноров (приказ Министерства здравоохранения Российской Федерации от 14.09.2001 № 364 «Об утверждении Порядка медицинского обследования донора крови и ее компонентов» (с изменениями и дополнениями)) и осуществление донации при заготовке антиковидной плазмы помимо установленных обязательных требований имеют ряд особенностей, которые должны  быть  учтены  с  целью  обеспечения  безопасности  донора  и  реципиента,    а</w:t>
      </w:r>
      <w:r>
        <w:rPr>
          <w:spacing w:val="-1"/>
        </w:rPr>
        <w:t> </w:t>
      </w:r>
      <w:r>
        <w:rPr/>
        <w:t>именно:</w:t>
      </w:r>
    </w:p>
    <w:p>
      <w:pPr>
        <w:pStyle w:val="BodyText"/>
        <w:spacing w:before="4"/>
        <w:ind w:left="0"/>
        <w:jc w:val="left"/>
        <w:rPr>
          <w:sz w:val="31"/>
        </w:rPr>
      </w:pPr>
    </w:p>
    <w:p>
      <w:pPr>
        <w:pStyle w:val="ListParagraph"/>
        <w:numPr>
          <w:ilvl w:val="0"/>
          <w:numId w:val="19"/>
        </w:numPr>
        <w:tabs>
          <w:tab w:pos="1001" w:val="left" w:leader="none"/>
        </w:tabs>
        <w:spacing w:line="240" w:lineRule="auto" w:before="0" w:after="0"/>
        <w:ind w:left="1000" w:right="0" w:hanging="339"/>
        <w:jc w:val="both"/>
        <w:rPr>
          <w:sz w:val="24"/>
        </w:rPr>
      </w:pPr>
      <w:r>
        <w:rPr>
          <w:sz w:val="24"/>
        </w:rPr>
        <w:t>Возраст 18-55</w:t>
      </w:r>
      <w:r>
        <w:rPr>
          <w:spacing w:val="-1"/>
          <w:sz w:val="24"/>
        </w:rPr>
        <w:t> </w:t>
      </w:r>
      <w:r>
        <w:rPr>
          <w:sz w:val="24"/>
        </w:rPr>
        <w:t>лет;</w:t>
      </w:r>
    </w:p>
    <w:p>
      <w:pPr>
        <w:pStyle w:val="ListParagraph"/>
        <w:numPr>
          <w:ilvl w:val="0"/>
          <w:numId w:val="19"/>
        </w:numPr>
        <w:tabs>
          <w:tab w:pos="1001" w:val="left" w:leader="none"/>
        </w:tabs>
        <w:spacing w:line="240" w:lineRule="auto" w:before="83" w:after="0"/>
        <w:ind w:left="1000" w:right="0" w:hanging="339"/>
        <w:jc w:val="both"/>
        <w:rPr>
          <w:sz w:val="24"/>
        </w:rPr>
      </w:pPr>
      <w:r>
        <w:rPr>
          <w:sz w:val="24"/>
        </w:rPr>
        <w:t>Масса тела более 50</w:t>
      </w:r>
      <w:r>
        <w:rPr>
          <w:spacing w:val="-4"/>
          <w:sz w:val="24"/>
        </w:rPr>
        <w:t> </w:t>
      </w:r>
      <w:r>
        <w:rPr>
          <w:sz w:val="24"/>
        </w:rPr>
        <w:t>кг;</w:t>
      </w:r>
    </w:p>
    <w:p>
      <w:pPr>
        <w:pStyle w:val="ListParagraph"/>
        <w:numPr>
          <w:ilvl w:val="0"/>
          <w:numId w:val="19"/>
        </w:numPr>
        <w:tabs>
          <w:tab w:pos="1001" w:val="left" w:leader="none"/>
        </w:tabs>
        <w:spacing w:line="309" w:lineRule="auto" w:before="83" w:after="0"/>
        <w:ind w:left="1000" w:right="674" w:hanging="339"/>
        <w:jc w:val="both"/>
        <w:rPr>
          <w:sz w:val="24"/>
        </w:rPr>
      </w:pPr>
      <w:r>
        <w:rPr>
          <w:sz w:val="24"/>
        </w:rPr>
        <w:t>Не  ранее  чем  через  14  дней  после  исчезновения  клинических  симптомов   и двукратном      отрицательном      результате       на       РНК       SARS-CoV-2  в орофарингеальном мазке, взятом с интервалом не менее 24</w:t>
      </w:r>
      <w:r>
        <w:rPr>
          <w:spacing w:val="-9"/>
          <w:sz w:val="24"/>
        </w:rPr>
        <w:t> </w:t>
      </w:r>
      <w:r>
        <w:rPr>
          <w:sz w:val="24"/>
        </w:rPr>
        <w:t>ч;</w:t>
      </w:r>
    </w:p>
    <w:p>
      <w:pPr>
        <w:pStyle w:val="ListParagraph"/>
        <w:numPr>
          <w:ilvl w:val="0"/>
          <w:numId w:val="19"/>
        </w:numPr>
        <w:tabs>
          <w:tab w:pos="1001" w:val="left" w:leader="none"/>
        </w:tabs>
        <w:spacing w:line="312" w:lineRule="auto" w:before="0" w:after="0"/>
        <w:ind w:left="1000" w:right="674" w:hanging="339"/>
        <w:jc w:val="both"/>
        <w:rPr>
          <w:sz w:val="24"/>
        </w:rPr>
      </w:pPr>
      <w:r>
        <w:rPr>
          <w:sz w:val="24"/>
        </w:rPr>
        <w:t>Вируснейтрализующая активность плазмы в разведении 1:160; в случае отсутствия доноров с оптимальной вируснейтрализующей активностью плазмы допускается осуществлять заготовку от доноров с вируснейтрализующей активностью плазмы 1:80 </w:t>
      </w:r>
      <w:hyperlink w:history="true" w:anchor="_bookmark13">
        <w:r>
          <w:rPr>
            <w:sz w:val="24"/>
            <w:vertAlign w:val="superscript"/>
          </w:rPr>
          <w:t>1</w:t>
        </w:r>
      </w:hyperlink>
      <w:r>
        <w:rPr>
          <w:sz w:val="24"/>
          <w:vertAlign w:val="baseline"/>
        </w:rPr>
        <w:t> . Вируснейтрализующая активность плазмы определяется в тесте с использованием пермиссивной культуры </w:t>
      </w:r>
      <w:r>
        <w:rPr>
          <w:spacing w:val="4"/>
          <w:sz w:val="24"/>
          <w:vertAlign w:val="baseline"/>
        </w:rPr>
        <w:t>клеток</w:t>
      </w:r>
      <w:hyperlink w:history="true" w:anchor="_bookmark14">
        <w:r>
          <w:rPr>
            <w:spacing w:val="4"/>
            <w:sz w:val="24"/>
            <w:vertAlign w:val="superscript"/>
          </w:rPr>
          <w:t>2</w:t>
        </w:r>
      </w:hyperlink>
      <w:r>
        <w:rPr>
          <w:spacing w:val="4"/>
          <w:sz w:val="24"/>
          <w:vertAlign w:val="baseline"/>
        </w:rPr>
        <w:t>, </w:t>
      </w:r>
      <w:r>
        <w:rPr>
          <w:sz w:val="24"/>
          <w:vertAlign w:val="baseline"/>
        </w:rPr>
        <w:t>или    с помощью набора реагентов для определения содержания антител к антигенам SARS-CoV-2, для которого экспериментально установлена достаточна </w:t>
      </w:r>
      <w:hyperlink w:history="true" w:anchor="_bookmark15">
        <w:r>
          <w:rPr>
            <w:sz w:val="24"/>
            <w:vertAlign w:val="superscript"/>
          </w:rPr>
          <w:t>3</w:t>
        </w:r>
      </w:hyperlink>
      <w:r>
        <w:rPr>
          <w:sz w:val="24"/>
          <w:vertAlign w:val="baseline"/>
        </w:rPr>
        <w:t> корреляция между  результатами  определения  содержания  антител  в  плазме с вируснейтрализующей активностью, определенной в тесте с использованием пермиссивной культуры клеток</w:t>
      </w:r>
      <w:r>
        <w:rPr>
          <w:sz w:val="24"/>
          <w:vertAlign w:val="superscript"/>
        </w:rPr>
        <w:t>2</w:t>
      </w:r>
      <w:r>
        <w:rPr>
          <w:sz w:val="24"/>
          <w:vertAlign w:val="baseline"/>
        </w:rPr>
        <w:t>; возможно сохранять контрольный образец плазмы донора для проведения исследований ее вируснейтрализующей способности в более поздние</w:t>
      </w:r>
      <w:r>
        <w:rPr>
          <w:spacing w:val="-3"/>
          <w:sz w:val="24"/>
          <w:vertAlign w:val="baseline"/>
        </w:rPr>
        <w:t> </w:t>
      </w:r>
      <w:r>
        <w:rPr>
          <w:sz w:val="24"/>
          <w:vertAlign w:val="baseline"/>
        </w:rPr>
        <w:t>сроки;</w:t>
      </w:r>
    </w:p>
    <w:p>
      <w:pPr>
        <w:pStyle w:val="ListParagraph"/>
        <w:numPr>
          <w:ilvl w:val="0"/>
          <w:numId w:val="19"/>
        </w:numPr>
        <w:tabs>
          <w:tab w:pos="1001" w:val="left" w:leader="none"/>
        </w:tabs>
        <w:spacing w:line="288" w:lineRule="exact" w:before="0" w:after="0"/>
        <w:ind w:left="1000" w:right="0" w:hanging="339"/>
        <w:jc w:val="both"/>
        <w:rPr>
          <w:sz w:val="24"/>
        </w:rPr>
      </w:pPr>
      <w:r>
        <w:rPr>
          <w:sz w:val="24"/>
        </w:rPr>
        <w:t>Концентрация общего белка крови не менее 65</w:t>
      </w:r>
      <w:r>
        <w:rPr>
          <w:spacing w:val="-6"/>
          <w:sz w:val="24"/>
        </w:rPr>
        <w:t> </w:t>
      </w:r>
      <w:r>
        <w:rPr>
          <w:sz w:val="24"/>
        </w:rPr>
        <w:t>г/л.</w:t>
      </w:r>
    </w:p>
    <w:p>
      <w:pPr>
        <w:pStyle w:val="BodyText"/>
        <w:spacing w:before="5"/>
        <w:ind w:left="0"/>
        <w:jc w:val="left"/>
        <w:rPr>
          <w:sz w:val="39"/>
        </w:rPr>
      </w:pPr>
    </w:p>
    <w:p>
      <w:pPr>
        <w:pStyle w:val="BodyText"/>
        <w:spacing w:line="312" w:lineRule="auto"/>
        <w:ind w:right="677" w:firstLine="708"/>
      </w:pPr>
      <w:r>
        <w:rPr/>
        <w:t>При незначительных изменениях, выявленных в ходе лабораторного обследования донора, решение о допуске к донации принимается врачом- трансфузиологом по согласованию с заведующим отделением.</w:t>
      </w:r>
    </w:p>
    <w:p>
      <w:pPr>
        <w:pStyle w:val="BodyText"/>
        <w:spacing w:before="1"/>
        <w:ind w:left="1029"/>
      </w:pPr>
      <w:r>
        <w:rPr/>
        <w:t>Интервал между донациями должен составлять не менее 14 дней.</w:t>
      </w:r>
    </w:p>
    <w:p>
      <w:pPr>
        <w:pStyle w:val="BodyText"/>
        <w:ind w:left="0"/>
        <w:jc w:val="left"/>
        <w:rPr>
          <w:sz w:val="20"/>
        </w:rPr>
      </w:pPr>
    </w:p>
    <w:p>
      <w:pPr>
        <w:pStyle w:val="BodyText"/>
        <w:spacing w:before="11"/>
        <w:ind w:left="0"/>
        <w:jc w:val="left"/>
        <w:rPr>
          <w:sz w:val="15"/>
        </w:rPr>
      </w:pPr>
      <w:r>
        <w:rPr/>
        <w:pict>
          <v:rect style="position:absolute;margin-left:85.080002pt;margin-top:11.12602pt;width:144pt;height:.72pt;mso-position-horizontal-relative:page;mso-position-vertical-relative:paragraph;z-index:-15725568;mso-wrap-distance-left:0;mso-wrap-distance-right:0" filled="true" fillcolor="#000000" stroked="false">
            <v:fill type="solid"/>
            <w10:wrap type="topAndBottom"/>
          </v:rect>
        </w:pict>
      </w:r>
    </w:p>
    <w:p>
      <w:pPr>
        <w:pStyle w:val="BodyText"/>
        <w:spacing w:before="5"/>
        <w:ind w:left="0"/>
        <w:jc w:val="left"/>
        <w:rPr>
          <w:sz w:val="6"/>
        </w:rPr>
      </w:pPr>
    </w:p>
    <w:p>
      <w:pPr>
        <w:spacing w:before="99"/>
        <w:ind w:left="463" w:right="0" w:firstLine="0"/>
        <w:jc w:val="both"/>
        <w:rPr>
          <w:sz w:val="20"/>
        </w:rPr>
      </w:pPr>
      <w:bookmarkStart w:name="_bookmark13" w:id="42"/>
      <w:bookmarkEnd w:id="42"/>
      <w:r>
        <w:rPr/>
      </w:r>
      <w:r>
        <w:rPr>
          <w:sz w:val="20"/>
          <w:vertAlign w:val="superscript"/>
        </w:rPr>
        <w:t>1</w:t>
      </w:r>
      <w:r>
        <w:rPr>
          <w:sz w:val="20"/>
          <w:vertAlign w:val="baseline"/>
        </w:rPr>
        <w:t> Recommendations for Investigational COVID-19 Convalescent Plasma. FDA.2020.</w:t>
      </w:r>
    </w:p>
    <w:p>
      <w:pPr>
        <w:spacing w:before="0"/>
        <w:ind w:left="322" w:right="675" w:firstLine="141"/>
        <w:jc w:val="both"/>
        <w:rPr>
          <w:sz w:val="20"/>
        </w:rPr>
      </w:pPr>
      <w:bookmarkStart w:name="_bookmark14" w:id="43"/>
      <w:bookmarkEnd w:id="43"/>
      <w:r>
        <w:rPr/>
      </w:r>
      <w:r>
        <w:rPr>
          <w:sz w:val="20"/>
          <w:vertAlign w:val="superscript"/>
        </w:rPr>
        <w:t>2</w:t>
      </w:r>
      <w:r>
        <w:rPr>
          <w:sz w:val="20"/>
          <w:vertAlign w:val="baseline"/>
        </w:rPr>
        <w:t> Вирус-нейтрализующая активность сывороток и плаз проводится с использованием пермиссивной культуры клеток (например, Vero) по ингибирующей активности в отношении 100 бляшкообразующих</w:t>
      </w:r>
      <w:bookmarkStart w:name="_bookmark15" w:id="44"/>
      <w:bookmarkEnd w:id="44"/>
      <w:r>
        <w:rPr>
          <w:sz w:val="20"/>
          <w:vertAlign w:val="baseline"/>
        </w:rPr>
      </w:r>
      <w:r>
        <w:rPr>
          <w:sz w:val="20"/>
          <w:vertAlign w:val="baseline"/>
        </w:rPr>
        <w:t> единиц вируса SARS-CoV-2.</w:t>
      </w:r>
    </w:p>
    <w:p>
      <w:pPr>
        <w:spacing w:before="0"/>
        <w:ind w:left="321" w:right="682" w:firstLine="141"/>
        <w:jc w:val="both"/>
        <w:rPr>
          <w:sz w:val="20"/>
        </w:rPr>
      </w:pPr>
      <w:r>
        <w:rPr>
          <w:sz w:val="20"/>
          <w:vertAlign w:val="superscript"/>
        </w:rPr>
        <w:t>3</w:t>
      </w:r>
      <w:r>
        <w:rPr>
          <w:sz w:val="20"/>
          <w:vertAlign w:val="baseline"/>
        </w:rPr>
        <w:t> На основании рекомендаций Экспертной группы по реконволесцентной плазме при рабочей группе по разработке временных рекомендаций.</w:t>
      </w:r>
    </w:p>
    <w:p>
      <w:pPr>
        <w:spacing w:after="0"/>
        <w:jc w:val="both"/>
        <w:rPr>
          <w:sz w:val="20"/>
        </w:rPr>
        <w:sectPr>
          <w:pgSz w:w="11920" w:h="16850"/>
          <w:pgMar w:header="0" w:footer="620" w:top="1060" w:bottom="880" w:left="1380" w:right="600"/>
        </w:sectPr>
      </w:pPr>
    </w:p>
    <w:p>
      <w:pPr>
        <w:pStyle w:val="Heading3"/>
        <w:spacing w:before="78"/>
        <w:ind w:left="321"/>
      </w:pPr>
      <w:r>
        <w:rPr>
          <w:color w:val="1F4E79"/>
        </w:rPr>
        <w:t>Показания к клиническому использованию антиковидной плазмы:</w:t>
      </w:r>
    </w:p>
    <w:p>
      <w:pPr>
        <w:pStyle w:val="ListParagraph"/>
        <w:numPr>
          <w:ilvl w:val="0"/>
          <w:numId w:val="20"/>
        </w:numPr>
        <w:tabs>
          <w:tab w:pos="1174" w:val="left" w:leader="none"/>
        </w:tabs>
        <w:spacing w:line="312" w:lineRule="auto" w:before="82" w:after="0"/>
        <w:ind w:left="321" w:right="677" w:firstLine="566"/>
        <w:jc w:val="both"/>
        <w:rPr>
          <w:sz w:val="24"/>
        </w:rPr>
      </w:pPr>
      <w:r>
        <w:rPr>
          <w:sz w:val="24"/>
        </w:rPr>
        <w:t>Оптимально в период от 3 до 7 дней с момента появления клинических симптомов заболевания у</w:t>
      </w:r>
      <w:r>
        <w:rPr>
          <w:spacing w:val="-5"/>
          <w:sz w:val="24"/>
        </w:rPr>
        <w:t> </w:t>
      </w:r>
      <w:r>
        <w:rPr>
          <w:sz w:val="24"/>
        </w:rPr>
        <w:t>пациентов:</w:t>
      </w:r>
    </w:p>
    <w:p>
      <w:pPr>
        <w:pStyle w:val="BodyText"/>
        <w:spacing w:before="5"/>
        <w:ind w:left="0"/>
        <w:jc w:val="left"/>
        <w:rPr>
          <w:sz w:val="31"/>
        </w:rPr>
      </w:pPr>
    </w:p>
    <w:p>
      <w:pPr>
        <w:pStyle w:val="ListParagraph"/>
        <w:numPr>
          <w:ilvl w:val="0"/>
          <w:numId w:val="19"/>
        </w:numPr>
        <w:tabs>
          <w:tab w:pos="1001" w:val="left" w:leader="none"/>
        </w:tabs>
        <w:spacing w:line="240" w:lineRule="auto" w:before="0" w:after="0"/>
        <w:ind w:left="1000" w:right="0" w:hanging="339"/>
        <w:jc w:val="both"/>
        <w:rPr>
          <w:sz w:val="24"/>
        </w:rPr>
      </w:pPr>
      <w:r>
        <w:rPr>
          <w:sz w:val="24"/>
        </w:rPr>
        <w:t>в тяжелом состоянии, с положительным результатом на РНК</w:t>
      </w:r>
      <w:r>
        <w:rPr>
          <w:spacing w:val="-10"/>
          <w:sz w:val="24"/>
        </w:rPr>
        <w:t> </w:t>
      </w:r>
      <w:r>
        <w:rPr>
          <w:sz w:val="24"/>
        </w:rPr>
        <w:t>SARS-CoV-2;</w:t>
      </w:r>
    </w:p>
    <w:p>
      <w:pPr>
        <w:pStyle w:val="ListParagraph"/>
        <w:numPr>
          <w:ilvl w:val="0"/>
          <w:numId w:val="19"/>
        </w:numPr>
        <w:tabs>
          <w:tab w:pos="1001" w:val="left" w:leader="none"/>
        </w:tabs>
        <w:spacing w:line="240" w:lineRule="auto" w:before="83" w:after="0"/>
        <w:ind w:left="1000" w:right="0" w:hanging="339"/>
        <w:jc w:val="both"/>
        <w:rPr>
          <w:sz w:val="24"/>
        </w:rPr>
      </w:pPr>
      <w:r>
        <w:rPr>
          <w:sz w:val="24"/>
        </w:rPr>
        <w:t>с проявлениями</w:t>
      </w:r>
      <w:r>
        <w:rPr>
          <w:spacing w:val="-1"/>
          <w:sz w:val="24"/>
        </w:rPr>
        <w:t> </w:t>
      </w:r>
      <w:r>
        <w:rPr>
          <w:sz w:val="24"/>
        </w:rPr>
        <w:t>ОРДС.</w:t>
      </w:r>
    </w:p>
    <w:p>
      <w:pPr>
        <w:pStyle w:val="BodyText"/>
        <w:spacing w:before="4"/>
        <w:ind w:left="0"/>
        <w:jc w:val="left"/>
        <w:rPr>
          <w:sz w:val="39"/>
        </w:rPr>
      </w:pPr>
    </w:p>
    <w:p>
      <w:pPr>
        <w:pStyle w:val="ListParagraph"/>
        <w:numPr>
          <w:ilvl w:val="0"/>
          <w:numId w:val="20"/>
        </w:numPr>
        <w:tabs>
          <w:tab w:pos="1215" w:val="left" w:leader="none"/>
        </w:tabs>
        <w:spacing w:line="312" w:lineRule="auto" w:before="0" w:after="0"/>
        <w:ind w:left="321" w:right="675" w:firstLine="566"/>
        <w:jc w:val="both"/>
        <w:rPr>
          <w:sz w:val="24"/>
        </w:rPr>
      </w:pPr>
      <w:r>
        <w:rPr>
          <w:sz w:val="24"/>
        </w:rPr>
        <w:t>В случае длительности заболевания более 21 дня при неэффективности проводимого лечения и положительном результате на РНК</w:t>
      </w:r>
      <w:r>
        <w:rPr>
          <w:spacing w:val="-8"/>
          <w:sz w:val="24"/>
        </w:rPr>
        <w:t> </w:t>
      </w:r>
      <w:r>
        <w:rPr>
          <w:sz w:val="24"/>
        </w:rPr>
        <w:t>SARS-CoV-2.</w:t>
      </w:r>
    </w:p>
    <w:p>
      <w:pPr>
        <w:pStyle w:val="BodyText"/>
        <w:spacing w:line="312" w:lineRule="auto"/>
        <w:ind w:right="674" w:firstLine="708"/>
      </w:pPr>
      <w:r>
        <w:rPr/>
        <w:t>В случае необходимости при наличии показаний у пациента возможно проведение повторных трансфузий антиковидной плазмы.</w:t>
      </w:r>
    </w:p>
    <w:p>
      <w:pPr>
        <w:pStyle w:val="Heading3"/>
        <w:spacing w:before="120"/>
        <w:ind w:left="321"/>
      </w:pPr>
      <w:r>
        <w:rPr>
          <w:color w:val="1F4E79"/>
        </w:rPr>
        <w:t>Противопоказания к клиническому использованию антиковидной плазмы:</w:t>
      </w:r>
    </w:p>
    <w:p>
      <w:pPr>
        <w:pStyle w:val="ListParagraph"/>
        <w:numPr>
          <w:ilvl w:val="0"/>
          <w:numId w:val="19"/>
        </w:numPr>
        <w:tabs>
          <w:tab w:pos="1001" w:val="left" w:leader="none"/>
        </w:tabs>
        <w:spacing w:line="240" w:lineRule="auto" w:before="84" w:after="0"/>
        <w:ind w:left="1000" w:right="0" w:hanging="339"/>
        <w:jc w:val="both"/>
        <w:rPr>
          <w:sz w:val="24"/>
        </w:rPr>
      </w:pPr>
      <w:r>
        <w:rPr>
          <w:sz w:val="24"/>
        </w:rPr>
        <w:t>Аллергические реакции на белки плазмы или цитрат натрия в</w:t>
      </w:r>
      <w:r>
        <w:rPr>
          <w:spacing w:val="-10"/>
          <w:sz w:val="24"/>
        </w:rPr>
        <w:t> </w:t>
      </w:r>
      <w:r>
        <w:rPr>
          <w:sz w:val="24"/>
        </w:rPr>
        <w:t>анамнезе;</w:t>
      </w:r>
    </w:p>
    <w:p>
      <w:pPr>
        <w:pStyle w:val="ListParagraph"/>
        <w:numPr>
          <w:ilvl w:val="0"/>
          <w:numId w:val="19"/>
        </w:numPr>
        <w:tabs>
          <w:tab w:pos="1001" w:val="left" w:leader="none"/>
        </w:tabs>
        <w:spacing w:line="304" w:lineRule="auto" w:before="83" w:after="0"/>
        <w:ind w:left="1000" w:right="677" w:hanging="339"/>
        <w:jc w:val="both"/>
        <w:rPr>
          <w:sz w:val="24"/>
        </w:rPr>
      </w:pPr>
      <w:r>
        <w:rPr>
          <w:sz w:val="24"/>
        </w:rPr>
        <w:t>Пациентам с аутоиммунными заболеваниями или селективным дефицитом </w:t>
      </w:r>
      <w:r>
        <w:rPr>
          <w:spacing w:val="-3"/>
          <w:sz w:val="24"/>
        </w:rPr>
        <w:t>IgА </w:t>
      </w:r>
      <w:r>
        <w:rPr>
          <w:sz w:val="24"/>
        </w:rPr>
        <w:t>в анамнезе необходима тщательная оценка возможных побочных</w:t>
      </w:r>
      <w:r>
        <w:rPr>
          <w:spacing w:val="-10"/>
          <w:sz w:val="24"/>
        </w:rPr>
        <w:t> </w:t>
      </w:r>
      <w:r>
        <w:rPr>
          <w:sz w:val="24"/>
        </w:rPr>
        <w:t>эффектов.</w:t>
      </w:r>
    </w:p>
    <w:p>
      <w:pPr>
        <w:pStyle w:val="Heading3"/>
        <w:spacing w:before="131"/>
        <w:ind w:left="321"/>
      </w:pPr>
      <w:r>
        <w:rPr>
          <w:color w:val="1F4E79"/>
        </w:rPr>
        <w:t>Заготовка антиковидной плазмы:</w:t>
      </w:r>
    </w:p>
    <w:p>
      <w:pPr>
        <w:pStyle w:val="ListParagraph"/>
        <w:numPr>
          <w:ilvl w:val="0"/>
          <w:numId w:val="19"/>
        </w:numPr>
        <w:tabs>
          <w:tab w:pos="1001" w:val="left" w:leader="none"/>
        </w:tabs>
        <w:spacing w:line="304" w:lineRule="auto" w:before="81" w:after="0"/>
        <w:ind w:left="1000" w:right="675" w:hanging="339"/>
        <w:jc w:val="both"/>
        <w:rPr>
          <w:sz w:val="24"/>
        </w:rPr>
      </w:pPr>
      <w:r>
        <w:rPr>
          <w:sz w:val="24"/>
        </w:rPr>
        <w:t>Осуществляется методом плазмафереза и (или) методом центрифугирования из единицы</w:t>
      </w:r>
      <w:r>
        <w:rPr>
          <w:spacing w:val="-1"/>
          <w:sz w:val="24"/>
        </w:rPr>
        <w:t> </w:t>
      </w:r>
      <w:r>
        <w:rPr>
          <w:sz w:val="24"/>
        </w:rPr>
        <w:t>крови;</w:t>
      </w:r>
    </w:p>
    <w:p>
      <w:pPr>
        <w:pStyle w:val="ListParagraph"/>
        <w:numPr>
          <w:ilvl w:val="0"/>
          <w:numId w:val="19"/>
        </w:numPr>
        <w:tabs>
          <w:tab w:pos="1001" w:val="left" w:leader="none"/>
        </w:tabs>
        <w:spacing w:line="304" w:lineRule="auto" w:before="10" w:after="0"/>
        <w:ind w:left="1000" w:right="677" w:hanging="339"/>
        <w:jc w:val="both"/>
        <w:rPr>
          <w:sz w:val="24"/>
        </w:rPr>
      </w:pPr>
      <w:r>
        <w:rPr>
          <w:sz w:val="24"/>
        </w:rPr>
        <w:t>Объем донации определяется врачом-трансфузиологом и составляет 200-600 мл с обязательной инактивацией патогенов заготовленной</w:t>
      </w:r>
      <w:r>
        <w:rPr>
          <w:spacing w:val="-5"/>
          <w:sz w:val="24"/>
        </w:rPr>
        <w:t> </w:t>
      </w:r>
      <w:r>
        <w:rPr>
          <w:sz w:val="24"/>
        </w:rPr>
        <w:t>плазмы.</w:t>
      </w:r>
    </w:p>
    <w:p>
      <w:pPr>
        <w:pStyle w:val="BodyText"/>
        <w:spacing w:line="312" w:lineRule="auto" w:before="23"/>
        <w:ind w:right="677" w:firstLine="708"/>
      </w:pPr>
      <w:r>
        <w:rPr/>
        <w:t>Заготовленный компонент крови маркируется «Плазма антиковидная, патогенредуцированная».</w:t>
      </w:r>
    </w:p>
    <w:p>
      <w:pPr>
        <w:pStyle w:val="BodyText"/>
        <w:spacing w:line="312" w:lineRule="auto"/>
        <w:ind w:right="673" w:firstLine="708"/>
      </w:pPr>
      <w:r>
        <w:rPr/>
        <w:t>Суммарный</w:t>
      </w:r>
      <w:r>
        <w:rPr>
          <w:spacing w:val="-7"/>
        </w:rPr>
        <w:t> </w:t>
      </w:r>
      <w:r>
        <w:rPr/>
        <w:t>объем</w:t>
      </w:r>
      <w:r>
        <w:rPr>
          <w:spacing w:val="-9"/>
        </w:rPr>
        <w:t> </w:t>
      </w:r>
      <w:r>
        <w:rPr/>
        <w:t>трансфузии</w:t>
      </w:r>
      <w:r>
        <w:rPr>
          <w:spacing w:val="-6"/>
        </w:rPr>
        <w:t> </w:t>
      </w:r>
      <w:r>
        <w:rPr/>
        <w:t>составляет</w:t>
      </w:r>
      <w:r>
        <w:rPr>
          <w:spacing w:val="-8"/>
        </w:rPr>
        <w:t> </w:t>
      </w:r>
      <w:r>
        <w:rPr/>
        <w:t>5-10</w:t>
      </w:r>
      <w:r>
        <w:rPr>
          <w:spacing w:val="-5"/>
        </w:rPr>
        <w:t> </w:t>
      </w:r>
      <w:r>
        <w:rPr/>
        <w:t>мл</w:t>
      </w:r>
      <w:r>
        <w:rPr>
          <w:spacing w:val="-8"/>
        </w:rPr>
        <w:t> </w:t>
      </w:r>
      <w:r>
        <w:rPr/>
        <w:t>антиковидной</w:t>
      </w:r>
      <w:r>
        <w:rPr>
          <w:spacing w:val="-9"/>
        </w:rPr>
        <w:t> </w:t>
      </w:r>
      <w:r>
        <w:rPr/>
        <w:t>плазмы/кг</w:t>
      </w:r>
      <w:r>
        <w:rPr>
          <w:spacing w:val="-8"/>
        </w:rPr>
        <w:t> </w:t>
      </w:r>
      <w:r>
        <w:rPr/>
        <w:t>веса пациента,</w:t>
      </w:r>
      <w:r>
        <w:rPr>
          <w:spacing w:val="-10"/>
        </w:rPr>
        <w:t> </w:t>
      </w:r>
      <w:r>
        <w:rPr/>
        <w:t>в</w:t>
      </w:r>
      <w:r>
        <w:rPr>
          <w:spacing w:val="-9"/>
        </w:rPr>
        <w:t> </w:t>
      </w:r>
      <w:r>
        <w:rPr/>
        <w:t>среднем</w:t>
      </w:r>
      <w:r>
        <w:rPr>
          <w:spacing w:val="-9"/>
        </w:rPr>
        <w:t> </w:t>
      </w:r>
      <w:r>
        <w:rPr/>
        <w:t>400-600</w:t>
      </w:r>
      <w:r>
        <w:rPr>
          <w:spacing w:val="-9"/>
        </w:rPr>
        <w:t> </w:t>
      </w:r>
      <w:r>
        <w:rPr/>
        <w:t>мл.</w:t>
      </w:r>
      <w:r>
        <w:rPr>
          <w:spacing w:val="-10"/>
        </w:rPr>
        <w:t> </w:t>
      </w:r>
      <w:r>
        <w:rPr/>
        <w:t>Антиковидная</w:t>
      </w:r>
      <w:r>
        <w:rPr>
          <w:spacing w:val="-9"/>
        </w:rPr>
        <w:t> </w:t>
      </w:r>
      <w:r>
        <w:rPr/>
        <w:t>плазма</w:t>
      </w:r>
      <w:r>
        <w:rPr>
          <w:spacing w:val="-10"/>
        </w:rPr>
        <w:t> </w:t>
      </w:r>
      <w:r>
        <w:rPr/>
        <w:t>также</w:t>
      </w:r>
      <w:r>
        <w:rPr>
          <w:spacing w:val="-10"/>
        </w:rPr>
        <w:t> </w:t>
      </w:r>
      <w:r>
        <w:rPr/>
        <w:t>может</w:t>
      </w:r>
      <w:r>
        <w:rPr>
          <w:spacing w:val="-8"/>
        </w:rPr>
        <w:t> </w:t>
      </w:r>
      <w:r>
        <w:rPr/>
        <w:t>быть</w:t>
      </w:r>
      <w:r>
        <w:rPr>
          <w:spacing w:val="-9"/>
        </w:rPr>
        <w:t> </w:t>
      </w:r>
      <w:r>
        <w:rPr/>
        <w:t>использована для плазмозамещения при выполнении</w:t>
      </w:r>
      <w:r>
        <w:rPr>
          <w:spacing w:val="-3"/>
        </w:rPr>
        <w:t> </w:t>
      </w:r>
      <w:r>
        <w:rPr/>
        <w:t>плазмафереза.</w:t>
      </w:r>
    </w:p>
    <w:p>
      <w:pPr>
        <w:pStyle w:val="BodyText"/>
        <w:ind w:left="0"/>
        <w:jc w:val="left"/>
        <w:rPr>
          <w:sz w:val="21"/>
        </w:rPr>
      </w:pPr>
    </w:p>
    <w:p>
      <w:pPr>
        <w:pStyle w:val="Heading3"/>
      </w:pPr>
      <w:bookmarkStart w:name="Этиотропное лечение беременных, рожениц " w:id="45"/>
      <w:bookmarkEnd w:id="45"/>
      <w:r>
        <w:rPr>
          <w:b w:val="0"/>
        </w:rPr>
      </w:r>
      <w:r>
        <w:rPr>
          <w:color w:val="1F487C"/>
        </w:rPr>
        <w:t>Этиотропное лечение беременных, рожениц и родильниц</w:t>
      </w:r>
    </w:p>
    <w:p>
      <w:pPr>
        <w:pStyle w:val="BodyText"/>
        <w:spacing w:line="312" w:lineRule="auto" w:before="142"/>
        <w:ind w:right="674" w:firstLine="708"/>
      </w:pPr>
      <w:r>
        <w:rPr/>
        <w:t>Подробная информация о диагностике, профилактике и лечении беременных, рожениц и родильниц и новорожденных детей представлена в методических рекомендациях Минздрава России </w:t>
      </w:r>
      <w:r>
        <w:rPr>
          <w:color w:val="1F487C"/>
        </w:rPr>
        <w:t>«</w:t>
      </w:r>
      <w:hyperlink r:id="rId13">
        <w:r>
          <w:rPr>
            <w:color w:val="1F487C"/>
          </w:rPr>
          <w:t>Организация оказания медицинской помощи</w:t>
        </w:r>
      </w:hyperlink>
      <w:r>
        <w:rPr>
          <w:color w:val="1F487C"/>
        </w:rPr>
        <w:t> </w:t>
      </w:r>
      <w:hyperlink r:id="rId13">
        <w:r>
          <w:rPr>
            <w:color w:val="1F487C"/>
          </w:rPr>
          <w:t>беременным, роженицам, родильницам и новорожденным при новой коронавирусной</w:t>
        </w:r>
      </w:hyperlink>
      <w:r>
        <w:rPr>
          <w:color w:val="1F487C"/>
        </w:rPr>
        <w:t> </w:t>
      </w:r>
      <w:hyperlink r:id="rId13">
        <w:r>
          <w:rPr>
            <w:color w:val="1F487C"/>
          </w:rPr>
          <w:t>инфекции COVID-19</w:t>
        </w:r>
      </w:hyperlink>
      <w:r>
        <w:rPr>
          <w:color w:val="1F487C"/>
        </w:rPr>
        <w:t>»</w:t>
      </w:r>
      <w:r>
        <w:rPr/>
        <w:t>.</w:t>
      </w:r>
    </w:p>
    <w:p>
      <w:pPr>
        <w:pStyle w:val="BodyText"/>
        <w:spacing w:line="312" w:lineRule="auto"/>
        <w:ind w:right="674" w:firstLine="708"/>
      </w:pPr>
      <w:r>
        <w:rPr/>
        <w:t>Этиотропное лечение COVID-19 женщин в период беременности и кормления грудью в настоящее время не разработано. Рекомбинантный ИФНβ-1b, противомалярийные препараты противопоказаны к применению во время беременности. Однако в качестве этиотропной терапии возможно назначение противовирусных препаратов с учетом их эффективности против COVID-19 по жизненным показаниям. В остальных случаях следует учитывать их безопасность при беременности и в период грудного вскармливания.</w:t>
      </w:r>
    </w:p>
    <w:p>
      <w:pPr>
        <w:spacing w:after="0" w:line="312" w:lineRule="auto"/>
        <w:sectPr>
          <w:pgSz w:w="11920" w:h="16850"/>
          <w:pgMar w:header="0" w:footer="620" w:top="1060" w:bottom="880" w:left="1380" w:right="600"/>
        </w:sectPr>
      </w:pPr>
    </w:p>
    <w:p>
      <w:pPr>
        <w:pStyle w:val="BodyText"/>
        <w:spacing w:line="312" w:lineRule="auto" w:before="78"/>
        <w:ind w:right="673" w:firstLine="708"/>
      </w:pPr>
      <w:r>
        <w:rPr/>
        <w:t>Лечение должно быть начато как можно раньше, что в большей степени обеспечивает выздоровление. Противовирусные препараты беременным с тяжелым или прогрессирующим течением заболевания необходимо назначать и в более поздние сроки от начала заболевания.</w:t>
      </w:r>
    </w:p>
    <w:p>
      <w:pPr>
        <w:pStyle w:val="BodyText"/>
        <w:spacing w:line="312" w:lineRule="auto"/>
        <w:ind w:right="675" w:firstLine="708"/>
      </w:pPr>
      <w:r>
        <w:rPr/>
        <w:t>При назначении противовирусных препаратов кормящим женщинам решение вопроса</w:t>
      </w:r>
      <w:r>
        <w:rPr>
          <w:spacing w:val="-10"/>
        </w:rPr>
        <w:t> </w:t>
      </w:r>
      <w:r>
        <w:rPr/>
        <w:t>о</w:t>
      </w:r>
      <w:r>
        <w:rPr>
          <w:spacing w:val="-9"/>
        </w:rPr>
        <w:t> </w:t>
      </w:r>
      <w:r>
        <w:rPr/>
        <w:t>продолжении</w:t>
      </w:r>
      <w:r>
        <w:rPr>
          <w:spacing w:val="-10"/>
        </w:rPr>
        <w:t> </w:t>
      </w:r>
      <w:r>
        <w:rPr/>
        <w:t>грудного</w:t>
      </w:r>
      <w:r>
        <w:rPr>
          <w:spacing w:val="-9"/>
        </w:rPr>
        <w:t> </w:t>
      </w:r>
      <w:r>
        <w:rPr/>
        <w:t>вскармливания</w:t>
      </w:r>
      <w:r>
        <w:rPr>
          <w:spacing w:val="-9"/>
        </w:rPr>
        <w:t> </w:t>
      </w:r>
      <w:r>
        <w:rPr/>
        <w:t>зависит</w:t>
      </w:r>
      <w:r>
        <w:rPr>
          <w:spacing w:val="-7"/>
        </w:rPr>
        <w:t> </w:t>
      </w:r>
      <w:r>
        <w:rPr/>
        <w:t>от</w:t>
      </w:r>
      <w:r>
        <w:rPr>
          <w:spacing w:val="-8"/>
        </w:rPr>
        <w:t> </w:t>
      </w:r>
      <w:r>
        <w:rPr/>
        <w:t>тяжести</w:t>
      </w:r>
      <w:r>
        <w:rPr>
          <w:spacing w:val="-8"/>
        </w:rPr>
        <w:t> </w:t>
      </w:r>
      <w:r>
        <w:rPr/>
        <w:t>состояния</w:t>
      </w:r>
      <w:r>
        <w:rPr>
          <w:spacing w:val="-9"/>
        </w:rPr>
        <w:t> </w:t>
      </w:r>
      <w:r>
        <w:rPr/>
        <w:t>матери.</w:t>
      </w:r>
    </w:p>
    <w:p>
      <w:pPr>
        <w:pStyle w:val="BodyText"/>
        <w:ind w:left="0"/>
        <w:jc w:val="left"/>
        <w:rPr>
          <w:sz w:val="21"/>
        </w:rPr>
      </w:pPr>
    </w:p>
    <w:p>
      <w:pPr>
        <w:pStyle w:val="Heading2"/>
        <w:numPr>
          <w:ilvl w:val="1"/>
          <w:numId w:val="18"/>
        </w:numPr>
        <w:tabs>
          <w:tab w:pos="1522" w:val="left" w:leader="none"/>
        </w:tabs>
        <w:spacing w:line="240" w:lineRule="auto" w:before="0" w:after="0"/>
        <w:ind w:left="1521" w:right="0" w:hanging="493"/>
        <w:jc w:val="left"/>
        <w:rPr>
          <w:color w:val="1F487C"/>
        </w:rPr>
      </w:pPr>
      <w:bookmarkStart w:name="5.2. ПАТОГЕНЕТИЧЕСКОЕ ЛЕЧЕНИЕ" w:id="46"/>
      <w:bookmarkEnd w:id="46"/>
      <w:r>
        <w:rPr>
          <w:b w:val="0"/>
        </w:rPr>
      </w:r>
      <w:bookmarkStart w:name="_bookmark16" w:id="47"/>
      <w:bookmarkEnd w:id="47"/>
      <w:r>
        <w:rPr>
          <w:b w:val="0"/>
        </w:rPr>
      </w:r>
      <w:bookmarkStart w:name="_bookmark16" w:id="48"/>
      <w:bookmarkEnd w:id="48"/>
      <w:r>
        <w:rPr>
          <w:color w:val="1F487C"/>
        </w:rPr>
        <w:t>П</w:t>
      </w:r>
      <w:r>
        <w:rPr>
          <w:color w:val="1F487C"/>
        </w:rPr>
        <w:t>АТОГЕНЕТИЧЕСКОЕ</w:t>
      </w:r>
      <w:r>
        <w:rPr>
          <w:color w:val="1F487C"/>
          <w:spacing w:val="-3"/>
        </w:rPr>
        <w:t> </w:t>
      </w:r>
      <w:r>
        <w:rPr>
          <w:color w:val="1F487C"/>
        </w:rPr>
        <w:t>ЛЕЧЕНИЕ</w:t>
      </w:r>
    </w:p>
    <w:p>
      <w:pPr>
        <w:pStyle w:val="BodyText"/>
        <w:spacing w:line="360" w:lineRule="auto" w:before="145"/>
        <w:ind w:right="675" w:firstLine="566"/>
      </w:pPr>
      <w:r>
        <w:rPr/>
        <w:t>В настоящее время  продолжаются  клинические  исследования  эффективности и безопасности глюкокортикоидов (ГК) и таргетных препаратов у пациентов с тяжелым/критическим течением коронавирусной</w:t>
      </w:r>
      <w:r>
        <w:rPr>
          <w:spacing w:val="-5"/>
        </w:rPr>
        <w:t> </w:t>
      </w:r>
      <w:r>
        <w:rPr/>
        <w:t>инфекции.</w:t>
      </w:r>
    </w:p>
    <w:p>
      <w:pPr>
        <w:pStyle w:val="BodyText"/>
        <w:spacing w:line="360" w:lineRule="auto"/>
        <w:ind w:right="675" w:firstLine="566"/>
      </w:pPr>
      <w:r>
        <w:rPr/>
        <w:t>Учитывая, что вторичный синдром активации макрофагов (САМ)/гемофагоцитарный</w:t>
      </w:r>
      <w:r>
        <w:rPr>
          <w:spacing w:val="-18"/>
        </w:rPr>
        <w:t> </w:t>
      </w:r>
      <w:r>
        <w:rPr/>
        <w:t>лимфогистоцитоз</w:t>
      </w:r>
      <w:r>
        <w:rPr>
          <w:spacing w:val="-17"/>
        </w:rPr>
        <w:t> </w:t>
      </w:r>
      <w:r>
        <w:rPr/>
        <w:t>(ГЛГ)</w:t>
      </w:r>
      <w:r>
        <w:rPr>
          <w:spacing w:val="-19"/>
        </w:rPr>
        <w:t> </w:t>
      </w:r>
      <w:r>
        <w:rPr/>
        <w:t>при</w:t>
      </w:r>
      <w:r>
        <w:rPr>
          <w:spacing w:val="-17"/>
        </w:rPr>
        <w:t> </w:t>
      </w:r>
      <w:r>
        <w:rPr/>
        <w:t>COVID-19</w:t>
      </w:r>
      <w:r>
        <w:rPr>
          <w:spacing w:val="-18"/>
        </w:rPr>
        <w:t> </w:t>
      </w:r>
      <w:r>
        <w:rPr/>
        <w:t>является</w:t>
      </w:r>
      <w:r>
        <w:rPr>
          <w:spacing w:val="-19"/>
        </w:rPr>
        <w:t> </w:t>
      </w:r>
      <w:r>
        <w:rPr/>
        <w:t>следствием массированной неконтролируемой активации иммунной системы, спровоцированной острой вирусной инфекцией, пациентам, наряду с симптоматической и этиотропной терапией, в подавляющем большинстве случаев должна проводиться иммуносупрессивная терапия для подавления гиперактивации иммунной</w:t>
      </w:r>
      <w:r>
        <w:rPr>
          <w:spacing w:val="-13"/>
        </w:rPr>
        <w:t> </w:t>
      </w:r>
      <w:r>
        <w:rPr/>
        <w:t>системы.</w:t>
      </w:r>
    </w:p>
    <w:p>
      <w:pPr>
        <w:pStyle w:val="BodyText"/>
        <w:spacing w:line="360" w:lineRule="auto"/>
        <w:ind w:right="674" w:firstLine="566"/>
      </w:pPr>
      <w:r>
        <w:rPr/>
        <w:t>Опыт  лечения  первичного   и   вторичного   САМ/ГЛГ   в   ревматологической  и гематологической практике, а также синдрома высвобождения цитокинов предполагает раннюю терапевтическую интервенцию для предотвращения необратимого повреждения тканей и неконтролируемой полиорганной недостаточности.</w:t>
      </w:r>
    </w:p>
    <w:p>
      <w:pPr>
        <w:pStyle w:val="BodyText"/>
        <w:spacing w:line="360" w:lineRule="auto"/>
        <w:ind w:right="675" w:firstLine="566"/>
      </w:pPr>
      <w:r>
        <w:rPr>
          <w:b/>
        </w:rPr>
        <w:t>ГК являются препаратами первого выбора </w:t>
      </w:r>
      <w:r>
        <w:rPr/>
        <w:t>для лечения больных с первичным ГЛГ и вторичным САМ/ГЛГ, они угнетают все фазы воспаления, синтез широкого спектра провоспалительных медиаторов, увеличение концентрации которых в рамках цитокинового шторма ассоциируется  с неблагоприятным прогнозом при COVID‑19   и риском развития ОРДС и сепсиса.</w:t>
      </w:r>
    </w:p>
    <w:p>
      <w:pPr>
        <w:pStyle w:val="BodyText"/>
        <w:spacing w:line="360" w:lineRule="auto"/>
        <w:ind w:right="677" w:firstLine="566"/>
      </w:pPr>
      <w:r>
        <w:rPr/>
        <w:t>Для проявления полного эффекта ГК необходимо несколько часов. Максимум фармакологической активности ГК приходится на тот период времени, когда их пиковые концентрации в крови уже позади.</w:t>
      </w:r>
    </w:p>
    <w:p>
      <w:pPr>
        <w:pStyle w:val="BodyText"/>
        <w:spacing w:line="360" w:lineRule="auto"/>
        <w:ind w:right="678" w:firstLine="566"/>
      </w:pPr>
      <w:r>
        <w:rPr/>
        <w:t>Различные схемы применения ГК включены в американские, английские, итальянские и др. протоколы лечения COVID-19.</w:t>
      </w:r>
    </w:p>
    <w:p>
      <w:pPr>
        <w:pStyle w:val="BodyText"/>
        <w:spacing w:line="360" w:lineRule="auto"/>
        <w:ind w:right="674" w:firstLine="566"/>
      </w:pPr>
      <w:r>
        <w:rPr/>
        <w:t>В настоящее время получены предварительные данные крупного исследования RECOVERY, которые показали, что дексаметазон в низких дозах играет положительную роль в лечении тяжелых форм COVID-19: пероральный или</w:t>
      </w:r>
    </w:p>
    <w:p>
      <w:pPr>
        <w:spacing w:after="0" w:line="360" w:lineRule="auto"/>
        <w:sectPr>
          <w:pgSz w:w="11920" w:h="16850"/>
          <w:pgMar w:header="0" w:footer="620" w:top="1060" w:bottom="880" w:left="1380" w:right="600"/>
        </w:sectPr>
      </w:pPr>
    </w:p>
    <w:p>
      <w:pPr>
        <w:pStyle w:val="BodyText"/>
        <w:spacing w:line="360" w:lineRule="auto" w:before="78"/>
        <w:ind w:right="675"/>
      </w:pPr>
      <w:r>
        <w:rPr/>
        <w:t>внутривенный дексаметазон снизил 28-дневную смертность среди госпитализированных пациентов по сравнению с обычным лечением.</w:t>
      </w:r>
    </w:p>
    <w:p>
      <w:pPr>
        <w:spacing w:line="360" w:lineRule="auto" w:before="0"/>
        <w:ind w:left="321" w:right="676" w:firstLine="566"/>
        <w:jc w:val="both"/>
        <w:rPr>
          <w:sz w:val="24"/>
        </w:rPr>
      </w:pPr>
      <w:r>
        <w:rPr>
          <w:b/>
          <w:sz w:val="24"/>
        </w:rPr>
        <w:t>Не рекомендовано использовать ГК для профилактики или лечения COVID-19 от легкой до умеренной степени </w:t>
      </w:r>
      <w:r>
        <w:rPr>
          <w:sz w:val="24"/>
        </w:rPr>
        <w:t>(т.е. у пациентов, не получающих кислород).</w:t>
      </w:r>
    </w:p>
    <w:p>
      <w:pPr>
        <w:pStyle w:val="BodyText"/>
        <w:spacing w:line="275" w:lineRule="exact"/>
        <w:ind w:left="887"/>
      </w:pPr>
      <w:r>
        <w:rPr/>
        <w:t>ГК назначаются только пациентам с признаками цитокинового шторма.</w:t>
      </w:r>
    </w:p>
    <w:p>
      <w:pPr>
        <w:pStyle w:val="BodyText"/>
        <w:spacing w:line="360" w:lineRule="auto" w:before="139"/>
        <w:ind w:right="674" w:firstLine="566"/>
      </w:pPr>
      <w:r>
        <w:rPr/>
        <w:t>Для</w:t>
      </w:r>
      <w:r>
        <w:rPr>
          <w:spacing w:val="-16"/>
        </w:rPr>
        <w:t> </w:t>
      </w:r>
      <w:r>
        <w:rPr/>
        <w:t>терапии</w:t>
      </w:r>
      <w:r>
        <w:rPr>
          <w:spacing w:val="-15"/>
        </w:rPr>
        <w:t> </w:t>
      </w:r>
      <w:r>
        <w:rPr/>
        <w:t>цитокинового</w:t>
      </w:r>
      <w:r>
        <w:rPr>
          <w:spacing w:val="-16"/>
        </w:rPr>
        <w:t> </w:t>
      </w:r>
      <w:r>
        <w:rPr/>
        <w:t>шторма</w:t>
      </w:r>
      <w:r>
        <w:rPr>
          <w:spacing w:val="-17"/>
        </w:rPr>
        <w:t> </w:t>
      </w:r>
      <w:r>
        <w:rPr/>
        <w:t>могут</w:t>
      </w:r>
      <w:r>
        <w:rPr>
          <w:spacing w:val="-15"/>
        </w:rPr>
        <w:t> </w:t>
      </w:r>
      <w:r>
        <w:rPr/>
        <w:t>применяться</w:t>
      </w:r>
      <w:r>
        <w:rPr>
          <w:spacing w:val="-16"/>
        </w:rPr>
        <w:t> </w:t>
      </w:r>
      <w:r>
        <w:rPr/>
        <w:t>различные</w:t>
      </w:r>
      <w:r>
        <w:rPr>
          <w:spacing w:val="-17"/>
        </w:rPr>
        <w:t> </w:t>
      </w:r>
      <w:r>
        <w:rPr/>
        <w:t>схемы</w:t>
      </w:r>
      <w:r>
        <w:rPr>
          <w:spacing w:val="-16"/>
        </w:rPr>
        <w:t> </w:t>
      </w:r>
      <w:r>
        <w:rPr/>
        <w:t>введения ГК: метилпреднизолон в дозе 1 мг/кг/введение внутривенно каждые 12 ч, или метилпреднизолон</w:t>
      </w:r>
      <w:r>
        <w:rPr>
          <w:spacing w:val="-18"/>
        </w:rPr>
        <w:t> </w:t>
      </w:r>
      <w:r>
        <w:rPr/>
        <w:t>120</w:t>
      </w:r>
      <w:r>
        <w:rPr>
          <w:spacing w:val="-18"/>
        </w:rPr>
        <w:t> </w:t>
      </w:r>
      <w:r>
        <w:rPr/>
        <w:t>мг/внутривенно</w:t>
      </w:r>
      <w:r>
        <w:rPr>
          <w:spacing w:val="-16"/>
        </w:rPr>
        <w:t> </w:t>
      </w:r>
      <w:r>
        <w:rPr/>
        <w:t>каждые</w:t>
      </w:r>
      <w:r>
        <w:rPr>
          <w:spacing w:val="-18"/>
        </w:rPr>
        <w:t> </w:t>
      </w:r>
      <w:r>
        <w:rPr/>
        <w:t>8</w:t>
      </w:r>
      <w:r>
        <w:rPr>
          <w:spacing w:val="-16"/>
        </w:rPr>
        <w:t> </w:t>
      </w:r>
      <w:r>
        <w:rPr/>
        <w:t>ч,</w:t>
      </w:r>
      <w:r>
        <w:rPr>
          <w:spacing w:val="-16"/>
        </w:rPr>
        <w:t> </w:t>
      </w:r>
      <w:r>
        <w:rPr/>
        <w:t>или</w:t>
      </w:r>
      <w:r>
        <w:rPr>
          <w:spacing w:val="-17"/>
        </w:rPr>
        <w:t> </w:t>
      </w:r>
      <w:r>
        <w:rPr/>
        <w:t>дексаметазон</w:t>
      </w:r>
      <w:r>
        <w:rPr>
          <w:spacing w:val="-16"/>
        </w:rPr>
        <w:t> </w:t>
      </w:r>
      <w:r>
        <w:rPr/>
        <w:t>в</w:t>
      </w:r>
      <w:r>
        <w:rPr>
          <w:spacing w:val="-16"/>
        </w:rPr>
        <w:t> </w:t>
      </w:r>
      <w:r>
        <w:rPr/>
        <w:t>дозе</w:t>
      </w:r>
      <w:r>
        <w:rPr>
          <w:spacing w:val="-17"/>
        </w:rPr>
        <w:t> </w:t>
      </w:r>
      <w:r>
        <w:rPr/>
        <w:t>20</w:t>
      </w:r>
      <w:r>
        <w:rPr>
          <w:spacing w:val="-16"/>
        </w:rPr>
        <w:t> </w:t>
      </w:r>
      <w:r>
        <w:rPr/>
        <w:t>мг/сутки внутривенно за 1 или 2</w:t>
      </w:r>
      <w:r>
        <w:rPr>
          <w:spacing w:val="-4"/>
        </w:rPr>
        <w:t> </w:t>
      </w:r>
      <w:r>
        <w:rPr/>
        <w:t>введения.</w:t>
      </w:r>
    </w:p>
    <w:p>
      <w:pPr>
        <w:pStyle w:val="BodyText"/>
        <w:spacing w:line="360" w:lineRule="auto"/>
        <w:ind w:right="675" w:firstLine="566"/>
      </w:pPr>
      <w:r>
        <w:rPr/>
        <w:t>Максимальная доза ГК применяется в течение 3-4 суток. Доза ГК снижается при стабилизации состояния (купирование лихорадки, стабильное снижение уровня СРБ, ферритина, АЛТ, АСТ, ЛДГ сыворотки крови).</w:t>
      </w:r>
    </w:p>
    <w:p>
      <w:pPr>
        <w:pStyle w:val="BodyText"/>
        <w:spacing w:line="360" w:lineRule="auto"/>
        <w:ind w:right="673" w:firstLine="566"/>
      </w:pPr>
      <w:r>
        <w:rPr/>
        <w:t>При прогрессировании синдрома активации макрофагов (нарастание уровня ферритина, СРБ сыворотки крови, развитие двух-трехростковой цитопении) метилпреднизолон применяется по схеме 120-125 мг/введение/внутривенно каждые 6-8 ч  или дексаметазон 20 мг/внутривенно в два введения в течение не менее 3 дней   с последующим постепенным снижением дозы. Снижение дозы МП/дексаметазона начинается</w:t>
      </w:r>
      <w:r>
        <w:rPr>
          <w:spacing w:val="-7"/>
        </w:rPr>
        <w:t> </w:t>
      </w:r>
      <w:r>
        <w:rPr/>
        <w:t>при</w:t>
      </w:r>
      <w:r>
        <w:rPr>
          <w:spacing w:val="-3"/>
        </w:rPr>
        <w:t> </w:t>
      </w:r>
      <w:r>
        <w:rPr/>
        <w:t>условии</w:t>
      </w:r>
      <w:r>
        <w:rPr>
          <w:spacing w:val="-5"/>
        </w:rPr>
        <w:t> </w:t>
      </w:r>
      <w:r>
        <w:rPr/>
        <w:t>снижения</w:t>
      </w:r>
      <w:r>
        <w:rPr>
          <w:spacing w:val="-4"/>
        </w:rPr>
        <w:t> </w:t>
      </w:r>
      <w:r>
        <w:rPr/>
        <w:t>уровня</w:t>
      </w:r>
      <w:r>
        <w:rPr>
          <w:spacing w:val="-6"/>
        </w:rPr>
        <w:t> </w:t>
      </w:r>
      <w:r>
        <w:rPr/>
        <w:t>ферритина</w:t>
      </w:r>
      <w:r>
        <w:rPr>
          <w:spacing w:val="-7"/>
        </w:rPr>
        <w:t> </w:t>
      </w:r>
      <w:r>
        <w:rPr/>
        <w:t>сыворотки</w:t>
      </w:r>
      <w:r>
        <w:rPr>
          <w:spacing w:val="-5"/>
        </w:rPr>
        <w:t> </w:t>
      </w:r>
      <w:r>
        <w:rPr/>
        <w:t>крови</w:t>
      </w:r>
      <w:r>
        <w:rPr>
          <w:spacing w:val="-5"/>
        </w:rPr>
        <w:t> </w:t>
      </w:r>
      <w:r>
        <w:rPr/>
        <w:t>не</w:t>
      </w:r>
      <w:r>
        <w:rPr>
          <w:spacing w:val="-7"/>
        </w:rPr>
        <w:t> </w:t>
      </w:r>
      <w:r>
        <w:rPr/>
        <w:t>менее</w:t>
      </w:r>
      <w:r>
        <w:rPr>
          <w:spacing w:val="-5"/>
        </w:rPr>
        <w:t> </w:t>
      </w:r>
      <w:r>
        <w:rPr/>
        <w:t>чем</w:t>
      </w:r>
      <w:r>
        <w:rPr>
          <w:spacing w:val="-7"/>
        </w:rPr>
        <w:t> </w:t>
      </w:r>
      <w:r>
        <w:rPr/>
        <w:t>на 15%.</w:t>
      </w:r>
    </w:p>
    <w:p>
      <w:pPr>
        <w:pStyle w:val="BodyText"/>
        <w:spacing w:line="360" w:lineRule="auto" w:before="1"/>
        <w:ind w:right="677" w:firstLine="566"/>
      </w:pPr>
      <w:r>
        <w:rPr/>
        <w:t>Доза внутривенно вводимого ГК постепенно снижается на 20‑25% на введение каждые 1‑2 суток в течение 3-4 суток, далее на 50% каждые 1-2 суток, до полной отмены.</w:t>
      </w:r>
    </w:p>
    <w:p>
      <w:pPr>
        <w:pStyle w:val="BodyText"/>
        <w:spacing w:line="360" w:lineRule="auto"/>
        <w:ind w:right="673" w:firstLine="566"/>
      </w:pPr>
      <w:r>
        <w:rPr/>
        <w:t>В дальнейшем необходимо применение поддерживающей дозы метилпреднизолона 6-12 мг/сут (длительность терапии и дозы зависят от клинической ситуации). Применение ГК должно быть в сочетании с антикоагулянтной терапией НМГ.</w:t>
      </w:r>
    </w:p>
    <w:p>
      <w:pPr>
        <w:pStyle w:val="BodyText"/>
        <w:spacing w:line="360" w:lineRule="auto"/>
        <w:ind w:right="674" w:firstLine="566"/>
      </w:pPr>
      <w:r>
        <w:rPr/>
        <w:t>Пациенты, получающие ГК, должны находиться под наблюдением на предмет побочных эффектов. У тяжелобольных  пациентов  к  ним  относятся  гипергликемия и повышенный риск инфекций (включая бактериальные, грибковые); частота этих инфекций у пациентов с COVID-19</w:t>
      </w:r>
      <w:r>
        <w:rPr>
          <w:spacing w:val="-8"/>
        </w:rPr>
        <w:t> </w:t>
      </w:r>
      <w:r>
        <w:rPr/>
        <w:t>неизвестна.</w:t>
      </w:r>
    </w:p>
    <w:p>
      <w:pPr>
        <w:pStyle w:val="BodyText"/>
        <w:spacing w:line="360" w:lineRule="auto"/>
        <w:ind w:right="675" w:firstLine="566"/>
      </w:pPr>
      <w:r>
        <w:rPr/>
        <w:t>ГК также могут играть роль в лечении рефрактерного септического шока (СШ)  у тяжелобольных. В наибольшей степени позитивный гемодинамический эффект ГКС наблюдается у лиц с относительной надпочечниковой недостаточностью. При</w:t>
      </w:r>
      <w:r>
        <w:rPr>
          <w:spacing w:val="-11"/>
        </w:rPr>
        <w:t> </w:t>
      </w:r>
      <w:r>
        <w:rPr/>
        <w:t>СШ</w:t>
      </w:r>
    </w:p>
    <w:p>
      <w:pPr>
        <w:spacing w:after="0" w:line="360" w:lineRule="auto"/>
        <w:sectPr>
          <w:pgSz w:w="11920" w:h="16850"/>
          <w:pgMar w:header="0" w:footer="620" w:top="1060" w:bottom="880" w:left="1380" w:right="600"/>
        </w:sectPr>
      </w:pPr>
    </w:p>
    <w:p>
      <w:pPr>
        <w:pStyle w:val="BodyText"/>
        <w:spacing w:line="360" w:lineRule="auto" w:before="78"/>
        <w:ind w:right="673"/>
      </w:pPr>
      <w:r>
        <w:rPr/>
        <w:t>длительностью  менее  1  суток,  или  необходимости  использования  норадреналина  в дозе,  превышающей  0,5  мкг/кг/мин,  рекомендовано  назначение  гидрокортизона  в дозе 200-300</w:t>
      </w:r>
      <w:r>
        <w:rPr>
          <w:spacing w:val="-3"/>
        </w:rPr>
        <w:t> </w:t>
      </w:r>
      <w:r>
        <w:rPr/>
        <w:t>мг/сутки.</w:t>
      </w:r>
    </w:p>
    <w:p>
      <w:pPr>
        <w:pStyle w:val="BodyText"/>
        <w:spacing w:line="360" w:lineRule="auto"/>
        <w:ind w:right="673" w:firstLine="566"/>
      </w:pPr>
      <w:r>
        <w:rPr/>
        <w:t>Одними из ключевых цитокинов, обеспечивающих гипервоспаление у пациентов с COVID-19, являются ИЛ-1 и ИЛ-6. Они индуцируют синтез ферритина, высокий уровень, которого ассоциируются с САМ/ГЛГ и смертностью пациентов с COVID-19. Янус-киназы  (JAK  –   семейство   ферментов)   регулируют   трансдукцию   сигнала  в иммунные клетки. Ингибирование цитокинов и активности янус-киназ играет важную роль в блокировании цитокинового</w:t>
      </w:r>
      <w:r>
        <w:rPr>
          <w:spacing w:val="-1"/>
        </w:rPr>
        <w:t> </w:t>
      </w:r>
      <w:r>
        <w:rPr/>
        <w:t>шторма.</w:t>
      </w:r>
    </w:p>
    <w:p>
      <w:pPr>
        <w:pStyle w:val="BodyText"/>
        <w:spacing w:line="360" w:lineRule="auto"/>
        <w:ind w:right="674" w:firstLine="566"/>
      </w:pPr>
      <w:r>
        <w:rPr/>
        <w:t>В рекомендациях по лечению пациентов с COVID-19 Национального института здоровья (США) нет рекомендаций по применению или неприменению ингибиторов ИЛ-6, ИЛ-1 и других биотехнологических препаратов при критических формах COVID-19 в связи с недостаточностью данных об их эффективности и безопасности.</w:t>
      </w:r>
    </w:p>
    <w:p>
      <w:pPr>
        <w:pStyle w:val="BodyText"/>
        <w:spacing w:line="360" w:lineRule="auto"/>
        <w:ind w:right="677" w:firstLine="566"/>
      </w:pPr>
      <w:r>
        <w:rPr/>
        <w:t>Тем не менее, в реальной клинической практике ингибиторы ИЛ-6 и ИЛ-1 применяются для лечения критических форм COVID-19.</w:t>
      </w:r>
    </w:p>
    <w:p>
      <w:pPr>
        <w:pStyle w:val="BodyText"/>
        <w:spacing w:line="360" w:lineRule="auto"/>
        <w:ind w:right="674" w:firstLine="566"/>
      </w:pPr>
      <w:r>
        <w:rPr/>
        <w:t>Таргетную терапию ингибиторами ИЛ-6 (тоцилизумабом или сарилумабом) или ИЛ-1β (канакинумабом) в комбинации с ГК рекомендуется инициировать до развития тяжелого    поражения    легких    с    целью    подавления    цитокинового    шторма    и предотвращения развития полиорганной</w:t>
      </w:r>
      <w:r>
        <w:rPr>
          <w:spacing w:val="-5"/>
        </w:rPr>
        <w:t> </w:t>
      </w:r>
      <w:r>
        <w:rPr/>
        <w:t>недостаточности.</w:t>
      </w:r>
    </w:p>
    <w:p>
      <w:pPr>
        <w:spacing w:line="360" w:lineRule="auto" w:before="0"/>
        <w:ind w:left="321" w:right="674" w:firstLine="566"/>
        <w:jc w:val="both"/>
        <w:rPr>
          <w:sz w:val="24"/>
        </w:rPr>
      </w:pPr>
      <w:r>
        <w:rPr>
          <w:b/>
          <w:sz w:val="24"/>
        </w:rPr>
        <w:t>Показаниями для назначения тоцилизумаба, сарилумаба и канакинумаба являются </w:t>
      </w:r>
      <w:r>
        <w:rPr>
          <w:sz w:val="24"/>
        </w:rPr>
        <w:t>сочетание данных КТ ОГК (значительный объем поражения легочной паренхимы – более 50% (КТ3‑4) с двумя и более признаками):</w:t>
      </w:r>
    </w:p>
    <w:p>
      <w:pPr>
        <w:pStyle w:val="BodyText"/>
        <w:spacing w:before="1"/>
        <w:ind w:left="0"/>
        <w:jc w:val="left"/>
        <w:rPr>
          <w:sz w:val="36"/>
        </w:rPr>
      </w:pPr>
    </w:p>
    <w:p>
      <w:pPr>
        <w:pStyle w:val="ListParagraph"/>
        <w:numPr>
          <w:ilvl w:val="0"/>
          <w:numId w:val="19"/>
        </w:numPr>
        <w:tabs>
          <w:tab w:pos="1000" w:val="left" w:leader="none"/>
          <w:tab w:pos="1001" w:val="left" w:leader="none"/>
        </w:tabs>
        <w:spacing w:line="240" w:lineRule="auto" w:before="0" w:after="0"/>
        <w:ind w:left="1000" w:right="0" w:hanging="339"/>
        <w:jc w:val="left"/>
        <w:rPr>
          <w:sz w:val="24"/>
        </w:rPr>
      </w:pPr>
      <w:r>
        <w:rPr>
          <w:position w:val="2"/>
          <w:sz w:val="24"/>
        </w:rPr>
        <w:t>Снижение</w:t>
      </w:r>
      <w:r>
        <w:rPr>
          <w:spacing w:val="-1"/>
          <w:position w:val="2"/>
          <w:sz w:val="24"/>
        </w:rPr>
        <w:t> </w:t>
      </w:r>
      <w:r>
        <w:rPr>
          <w:position w:val="2"/>
          <w:sz w:val="24"/>
        </w:rPr>
        <w:t>SpO</w:t>
      </w:r>
      <w:r>
        <w:rPr>
          <w:sz w:val="16"/>
        </w:rPr>
        <w:t>2</w:t>
      </w:r>
      <w:r>
        <w:rPr>
          <w:position w:val="2"/>
          <w:sz w:val="24"/>
        </w:rPr>
        <w:t>;</w:t>
      </w:r>
    </w:p>
    <w:p>
      <w:pPr>
        <w:pStyle w:val="ListParagraph"/>
        <w:numPr>
          <w:ilvl w:val="0"/>
          <w:numId w:val="19"/>
        </w:numPr>
        <w:tabs>
          <w:tab w:pos="1000" w:val="left" w:leader="none"/>
          <w:tab w:pos="1001" w:val="left" w:leader="none"/>
        </w:tabs>
        <w:spacing w:line="240" w:lineRule="auto" w:before="82" w:after="0"/>
        <w:ind w:left="1000" w:right="0" w:hanging="339"/>
        <w:jc w:val="left"/>
        <w:rPr>
          <w:sz w:val="24"/>
        </w:rPr>
      </w:pPr>
      <w:r>
        <w:rPr>
          <w:sz w:val="24"/>
        </w:rPr>
        <w:t>СРБ &gt; 60 мг/л или рост уровня СРБ в 3 раза на 8‑14 дни</w:t>
      </w:r>
      <w:r>
        <w:rPr>
          <w:spacing w:val="-8"/>
          <w:sz w:val="24"/>
        </w:rPr>
        <w:t> </w:t>
      </w:r>
      <w:r>
        <w:rPr>
          <w:sz w:val="24"/>
        </w:rPr>
        <w:t>заболевания;</w:t>
      </w:r>
    </w:p>
    <w:p>
      <w:pPr>
        <w:pStyle w:val="ListParagraph"/>
        <w:numPr>
          <w:ilvl w:val="0"/>
          <w:numId w:val="19"/>
        </w:numPr>
        <w:tabs>
          <w:tab w:pos="1000" w:val="left" w:leader="none"/>
          <w:tab w:pos="1001" w:val="left" w:leader="none"/>
        </w:tabs>
        <w:spacing w:line="240" w:lineRule="auto" w:before="80" w:after="0"/>
        <w:ind w:left="1000" w:right="0" w:hanging="339"/>
        <w:jc w:val="left"/>
        <w:rPr>
          <w:sz w:val="24"/>
        </w:rPr>
      </w:pPr>
      <w:r>
        <w:rPr>
          <w:sz w:val="24"/>
        </w:rPr>
        <w:t>Лихорадка &gt; 38 °C в течение 5</w:t>
      </w:r>
      <w:r>
        <w:rPr>
          <w:spacing w:val="-4"/>
          <w:sz w:val="24"/>
        </w:rPr>
        <w:t> </w:t>
      </w:r>
      <w:r>
        <w:rPr>
          <w:sz w:val="24"/>
        </w:rPr>
        <w:t>дней;</w:t>
      </w:r>
    </w:p>
    <w:p>
      <w:pPr>
        <w:pStyle w:val="ListParagraph"/>
        <w:numPr>
          <w:ilvl w:val="0"/>
          <w:numId w:val="19"/>
        </w:numPr>
        <w:tabs>
          <w:tab w:pos="1000" w:val="left" w:leader="none"/>
          <w:tab w:pos="1001" w:val="left" w:leader="none"/>
        </w:tabs>
        <w:spacing w:line="240" w:lineRule="auto" w:before="83" w:after="0"/>
        <w:ind w:left="1000" w:right="0" w:hanging="339"/>
        <w:jc w:val="left"/>
        <w:rPr>
          <w:sz w:val="24"/>
        </w:rPr>
      </w:pPr>
      <w:r>
        <w:rPr>
          <w:sz w:val="24"/>
        </w:rPr>
        <w:t>Число лейкоцитов &lt;</w:t>
      </w:r>
      <w:r>
        <w:rPr>
          <w:spacing w:val="-3"/>
          <w:sz w:val="24"/>
        </w:rPr>
        <w:t> </w:t>
      </w:r>
      <w:r>
        <w:rPr>
          <w:sz w:val="24"/>
        </w:rPr>
        <w:t>3,0*10</w:t>
      </w:r>
      <w:r>
        <w:rPr>
          <w:sz w:val="24"/>
          <w:vertAlign w:val="superscript"/>
        </w:rPr>
        <w:t>9</w:t>
      </w:r>
      <w:r>
        <w:rPr>
          <w:sz w:val="24"/>
          <w:vertAlign w:val="baseline"/>
        </w:rPr>
        <w:t>/л;</w:t>
      </w:r>
    </w:p>
    <w:p>
      <w:pPr>
        <w:pStyle w:val="ListParagraph"/>
        <w:numPr>
          <w:ilvl w:val="0"/>
          <w:numId w:val="19"/>
        </w:numPr>
        <w:tabs>
          <w:tab w:pos="1000" w:val="left" w:leader="none"/>
          <w:tab w:pos="1001" w:val="left" w:leader="none"/>
        </w:tabs>
        <w:spacing w:line="240" w:lineRule="auto" w:before="82" w:after="0"/>
        <w:ind w:left="1000" w:right="0" w:hanging="339"/>
        <w:jc w:val="left"/>
        <w:rPr>
          <w:sz w:val="24"/>
        </w:rPr>
      </w:pPr>
      <w:r>
        <w:rPr>
          <w:sz w:val="24"/>
        </w:rPr>
        <w:t>Абсолютное число лимфоцитов &lt;</w:t>
      </w:r>
      <w:r>
        <w:rPr>
          <w:spacing w:val="-4"/>
          <w:sz w:val="24"/>
        </w:rPr>
        <w:t> </w:t>
      </w:r>
      <w:r>
        <w:rPr>
          <w:sz w:val="24"/>
        </w:rPr>
        <w:t>1*10</w:t>
      </w:r>
      <w:r>
        <w:rPr>
          <w:sz w:val="24"/>
          <w:vertAlign w:val="superscript"/>
        </w:rPr>
        <w:t>9</w:t>
      </w:r>
      <w:r>
        <w:rPr>
          <w:sz w:val="24"/>
          <w:vertAlign w:val="baseline"/>
        </w:rPr>
        <w:t>/л</w:t>
      </w:r>
    </w:p>
    <w:p>
      <w:pPr>
        <w:pStyle w:val="ListParagraph"/>
        <w:numPr>
          <w:ilvl w:val="0"/>
          <w:numId w:val="19"/>
        </w:numPr>
        <w:tabs>
          <w:tab w:pos="1000" w:val="left" w:leader="none"/>
          <w:tab w:pos="1001" w:val="left" w:leader="none"/>
        </w:tabs>
        <w:spacing w:line="240" w:lineRule="auto" w:before="81" w:after="0"/>
        <w:ind w:left="1000" w:right="0" w:hanging="339"/>
        <w:jc w:val="left"/>
        <w:rPr>
          <w:sz w:val="24"/>
        </w:rPr>
      </w:pPr>
      <w:r>
        <w:rPr>
          <w:sz w:val="24"/>
        </w:rPr>
        <w:t>Уровень ферритина крови &gt; 500</w:t>
      </w:r>
      <w:r>
        <w:rPr>
          <w:spacing w:val="-2"/>
          <w:sz w:val="24"/>
        </w:rPr>
        <w:t> </w:t>
      </w:r>
      <w:r>
        <w:rPr>
          <w:sz w:val="24"/>
        </w:rPr>
        <w:t>нг/мл;</w:t>
      </w:r>
    </w:p>
    <w:p>
      <w:pPr>
        <w:pStyle w:val="ListParagraph"/>
        <w:numPr>
          <w:ilvl w:val="0"/>
          <w:numId w:val="19"/>
        </w:numPr>
        <w:tabs>
          <w:tab w:pos="1000" w:val="left" w:leader="none"/>
          <w:tab w:pos="1001" w:val="left" w:leader="none"/>
        </w:tabs>
        <w:spacing w:line="240" w:lineRule="auto" w:before="83" w:after="0"/>
        <w:ind w:left="1000" w:right="0" w:hanging="339"/>
        <w:jc w:val="left"/>
        <w:rPr>
          <w:sz w:val="24"/>
        </w:rPr>
      </w:pPr>
      <w:r>
        <w:rPr>
          <w:sz w:val="24"/>
        </w:rPr>
        <w:t>Уровень ИЛ‑6 &gt; 40</w:t>
      </w:r>
      <w:r>
        <w:rPr>
          <w:spacing w:val="-2"/>
          <w:sz w:val="24"/>
        </w:rPr>
        <w:t> </w:t>
      </w:r>
      <w:r>
        <w:rPr>
          <w:sz w:val="24"/>
        </w:rPr>
        <w:t>пк/мл.</w:t>
      </w:r>
    </w:p>
    <w:p>
      <w:pPr>
        <w:pStyle w:val="BodyText"/>
        <w:spacing w:before="4"/>
        <w:ind w:left="0"/>
        <w:jc w:val="left"/>
        <w:rPr>
          <w:sz w:val="39"/>
        </w:rPr>
      </w:pPr>
    </w:p>
    <w:p>
      <w:pPr>
        <w:pStyle w:val="BodyText"/>
        <w:spacing w:line="360" w:lineRule="auto"/>
        <w:ind w:right="674" w:firstLine="566"/>
      </w:pPr>
      <w:r>
        <w:rPr/>
        <w:t>При среднетяжелой форме  пневмонии  с  целью  подавления  гипервоспаления  и предотвращения развития серьезных поражений легких и других органов, обусловленных</w:t>
      </w:r>
      <w:r>
        <w:rPr>
          <w:spacing w:val="11"/>
        </w:rPr>
        <w:t> </w:t>
      </w:r>
      <w:r>
        <w:rPr/>
        <w:t>COVID‑19,</w:t>
      </w:r>
      <w:r>
        <w:rPr>
          <w:spacing w:val="11"/>
        </w:rPr>
        <w:t> </w:t>
      </w:r>
      <w:r>
        <w:rPr/>
        <w:t>можно</w:t>
      </w:r>
      <w:r>
        <w:rPr>
          <w:spacing w:val="9"/>
        </w:rPr>
        <w:t> </w:t>
      </w:r>
      <w:r>
        <w:rPr/>
        <w:t>рассматривать</w:t>
      </w:r>
      <w:r>
        <w:rPr>
          <w:spacing w:val="10"/>
        </w:rPr>
        <w:t> </w:t>
      </w:r>
      <w:r>
        <w:rPr/>
        <w:t>назначение</w:t>
      </w:r>
      <w:r>
        <w:rPr>
          <w:spacing w:val="8"/>
        </w:rPr>
        <w:t> </w:t>
      </w:r>
      <w:r>
        <w:rPr/>
        <w:t>ингибиторов</w:t>
      </w:r>
    </w:p>
    <w:p>
      <w:pPr>
        <w:spacing w:after="0" w:line="360" w:lineRule="auto"/>
        <w:sectPr>
          <w:pgSz w:w="11920" w:h="16850"/>
          <w:pgMar w:header="0" w:footer="620" w:top="1060" w:bottom="880" w:left="1380" w:right="600"/>
        </w:sectPr>
      </w:pPr>
    </w:p>
    <w:p>
      <w:pPr>
        <w:pStyle w:val="BodyText"/>
        <w:spacing w:line="360" w:lineRule="auto" w:before="78"/>
        <w:ind w:right="674"/>
      </w:pPr>
      <w:r>
        <w:rPr/>
        <w:t>янус‑киназ – препаратов барицитиниб и тофацитиниб, а также ингибиторов ИЛ‑6 олокизумаба и левилимаба.</w:t>
      </w:r>
    </w:p>
    <w:p>
      <w:pPr>
        <w:spacing w:line="360" w:lineRule="auto" w:before="0"/>
        <w:ind w:left="321" w:right="676" w:firstLine="566"/>
        <w:jc w:val="both"/>
        <w:rPr>
          <w:sz w:val="24"/>
        </w:rPr>
      </w:pPr>
      <w:r>
        <w:rPr>
          <w:b/>
          <w:sz w:val="24"/>
        </w:rPr>
        <w:t>Показаниями  для   назначения   ингибиторов   янус-киназ   (тофацитиниба и барицитиниба) и ингибитора ИЛ‑6 (олокизумаба и левилимаба) являются </w:t>
      </w:r>
      <w:r>
        <w:rPr>
          <w:sz w:val="24"/>
        </w:rPr>
        <w:t>сочетание данных КТ ОГК (КТ2‑3 с двумя и более признаками):</w:t>
      </w:r>
    </w:p>
    <w:p>
      <w:pPr>
        <w:pStyle w:val="BodyText"/>
        <w:spacing w:before="1"/>
        <w:ind w:left="0"/>
        <w:jc w:val="left"/>
        <w:rPr>
          <w:sz w:val="36"/>
        </w:rPr>
      </w:pPr>
    </w:p>
    <w:p>
      <w:pPr>
        <w:pStyle w:val="ListParagraph"/>
        <w:numPr>
          <w:ilvl w:val="0"/>
          <w:numId w:val="19"/>
        </w:numPr>
        <w:tabs>
          <w:tab w:pos="1000" w:val="left" w:leader="none"/>
          <w:tab w:pos="1001" w:val="left" w:leader="none"/>
        </w:tabs>
        <w:spacing w:line="240" w:lineRule="auto" w:before="0" w:after="0"/>
        <w:ind w:left="1000" w:right="0" w:hanging="339"/>
        <w:jc w:val="left"/>
        <w:rPr>
          <w:sz w:val="24"/>
        </w:rPr>
      </w:pPr>
      <w:r>
        <w:rPr>
          <w:position w:val="2"/>
          <w:sz w:val="24"/>
        </w:rPr>
        <w:t>Снижение</w:t>
      </w:r>
      <w:r>
        <w:rPr>
          <w:spacing w:val="-1"/>
          <w:position w:val="2"/>
          <w:sz w:val="24"/>
        </w:rPr>
        <w:t> </w:t>
      </w:r>
      <w:r>
        <w:rPr>
          <w:position w:val="2"/>
          <w:sz w:val="24"/>
        </w:rPr>
        <w:t>SpO</w:t>
      </w:r>
      <w:r>
        <w:rPr>
          <w:sz w:val="16"/>
        </w:rPr>
        <w:t>2</w:t>
      </w:r>
      <w:r>
        <w:rPr>
          <w:position w:val="2"/>
          <w:sz w:val="24"/>
        </w:rPr>
        <w:t>;</w:t>
      </w:r>
    </w:p>
    <w:p>
      <w:pPr>
        <w:pStyle w:val="ListParagraph"/>
        <w:numPr>
          <w:ilvl w:val="0"/>
          <w:numId w:val="19"/>
        </w:numPr>
        <w:tabs>
          <w:tab w:pos="1000" w:val="left" w:leader="none"/>
          <w:tab w:pos="1001" w:val="left" w:leader="none"/>
        </w:tabs>
        <w:spacing w:line="240" w:lineRule="auto" w:before="82" w:after="0"/>
        <w:ind w:left="1000" w:right="0" w:hanging="339"/>
        <w:jc w:val="left"/>
        <w:rPr>
          <w:sz w:val="24"/>
        </w:rPr>
      </w:pPr>
      <w:r>
        <w:rPr>
          <w:sz w:val="24"/>
        </w:rPr>
        <w:t>СРБ &gt; 30</w:t>
      </w:r>
      <w:r>
        <w:rPr>
          <w:spacing w:val="-4"/>
          <w:sz w:val="24"/>
        </w:rPr>
        <w:t> </w:t>
      </w:r>
      <w:r>
        <w:rPr>
          <w:sz w:val="24"/>
        </w:rPr>
        <w:t>мг/л</w:t>
      </w:r>
    </w:p>
    <w:p>
      <w:pPr>
        <w:pStyle w:val="ListParagraph"/>
        <w:numPr>
          <w:ilvl w:val="0"/>
          <w:numId w:val="19"/>
        </w:numPr>
        <w:tabs>
          <w:tab w:pos="1000" w:val="left" w:leader="none"/>
          <w:tab w:pos="1001" w:val="left" w:leader="none"/>
        </w:tabs>
        <w:spacing w:line="240" w:lineRule="auto" w:before="81" w:after="0"/>
        <w:ind w:left="1000" w:right="0" w:hanging="339"/>
        <w:jc w:val="left"/>
        <w:rPr>
          <w:sz w:val="24"/>
        </w:rPr>
      </w:pPr>
      <w:r>
        <w:rPr>
          <w:sz w:val="24"/>
        </w:rPr>
        <w:t>Лихорадка &gt; 38 °C в течение 3</w:t>
      </w:r>
      <w:r>
        <w:rPr>
          <w:spacing w:val="-4"/>
          <w:sz w:val="24"/>
        </w:rPr>
        <w:t> </w:t>
      </w:r>
      <w:r>
        <w:rPr>
          <w:sz w:val="24"/>
        </w:rPr>
        <w:t>дней;</w:t>
      </w:r>
    </w:p>
    <w:p>
      <w:pPr>
        <w:pStyle w:val="ListParagraph"/>
        <w:numPr>
          <w:ilvl w:val="0"/>
          <w:numId w:val="19"/>
        </w:numPr>
        <w:tabs>
          <w:tab w:pos="1000" w:val="left" w:leader="none"/>
          <w:tab w:pos="1001" w:val="left" w:leader="none"/>
        </w:tabs>
        <w:spacing w:line="240" w:lineRule="auto" w:before="82" w:after="0"/>
        <w:ind w:left="1000" w:right="0" w:hanging="339"/>
        <w:jc w:val="left"/>
        <w:rPr>
          <w:sz w:val="24"/>
        </w:rPr>
      </w:pPr>
      <w:r>
        <w:rPr>
          <w:sz w:val="24"/>
        </w:rPr>
        <w:t>Число лейкоцитов &lt;</w:t>
      </w:r>
      <w:r>
        <w:rPr>
          <w:spacing w:val="-3"/>
          <w:sz w:val="24"/>
        </w:rPr>
        <w:t> </w:t>
      </w:r>
      <w:r>
        <w:rPr>
          <w:sz w:val="24"/>
        </w:rPr>
        <w:t>3,0*10</w:t>
      </w:r>
      <w:r>
        <w:rPr>
          <w:sz w:val="24"/>
          <w:vertAlign w:val="superscript"/>
        </w:rPr>
        <w:t>9</w:t>
      </w:r>
      <w:r>
        <w:rPr>
          <w:sz w:val="24"/>
          <w:vertAlign w:val="baseline"/>
        </w:rPr>
        <w:t>/л;</w:t>
      </w:r>
    </w:p>
    <w:p>
      <w:pPr>
        <w:pStyle w:val="ListParagraph"/>
        <w:numPr>
          <w:ilvl w:val="0"/>
          <w:numId w:val="19"/>
        </w:numPr>
        <w:tabs>
          <w:tab w:pos="1000" w:val="left" w:leader="none"/>
          <w:tab w:pos="1001" w:val="left" w:leader="none"/>
        </w:tabs>
        <w:spacing w:line="240" w:lineRule="auto" w:before="83" w:after="0"/>
        <w:ind w:left="1000" w:right="0" w:hanging="339"/>
        <w:jc w:val="left"/>
        <w:rPr>
          <w:sz w:val="24"/>
        </w:rPr>
      </w:pPr>
      <w:r>
        <w:rPr>
          <w:sz w:val="24"/>
        </w:rPr>
        <w:t>Абсолютное число лимфоцитов &lt;</w:t>
      </w:r>
      <w:r>
        <w:rPr>
          <w:spacing w:val="-4"/>
          <w:sz w:val="24"/>
        </w:rPr>
        <w:t> </w:t>
      </w:r>
      <w:r>
        <w:rPr>
          <w:sz w:val="24"/>
        </w:rPr>
        <w:t>1,0*10</w:t>
      </w:r>
      <w:r>
        <w:rPr>
          <w:sz w:val="24"/>
          <w:vertAlign w:val="superscript"/>
        </w:rPr>
        <w:t>9</w:t>
      </w:r>
      <w:r>
        <w:rPr>
          <w:sz w:val="24"/>
          <w:vertAlign w:val="baseline"/>
        </w:rPr>
        <w:t>/л</w:t>
      </w:r>
    </w:p>
    <w:p>
      <w:pPr>
        <w:pStyle w:val="BodyText"/>
        <w:spacing w:before="4"/>
        <w:ind w:left="0"/>
        <w:jc w:val="left"/>
        <w:rPr>
          <w:sz w:val="39"/>
        </w:rPr>
      </w:pPr>
    </w:p>
    <w:p>
      <w:pPr>
        <w:pStyle w:val="BodyText"/>
        <w:tabs>
          <w:tab w:pos="979" w:val="left" w:leader="none"/>
          <w:tab w:pos="2075" w:val="left" w:leader="none"/>
          <w:tab w:pos="3364" w:val="left" w:leader="none"/>
          <w:tab w:pos="5408" w:val="left" w:leader="none"/>
          <w:tab w:pos="7374" w:val="left" w:leader="none"/>
        </w:tabs>
        <w:spacing w:line="360" w:lineRule="auto"/>
        <w:ind w:right="674" w:firstLine="566"/>
        <w:jc w:val="right"/>
      </w:pPr>
      <w:r>
        <w:rPr/>
        <w:t>Для</w:t>
      </w:r>
      <w:r>
        <w:rPr>
          <w:spacing w:val="-15"/>
        </w:rPr>
        <w:t> </w:t>
      </w:r>
      <w:r>
        <w:rPr/>
        <w:t>быстрого</w:t>
      </w:r>
      <w:r>
        <w:rPr>
          <w:spacing w:val="-14"/>
        </w:rPr>
        <w:t> </w:t>
      </w:r>
      <w:r>
        <w:rPr/>
        <w:t>купирования</w:t>
      </w:r>
      <w:r>
        <w:rPr>
          <w:spacing w:val="-17"/>
        </w:rPr>
        <w:t> </w:t>
      </w:r>
      <w:r>
        <w:rPr/>
        <w:t>цитокинового</w:t>
      </w:r>
      <w:r>
        <w:rPr>
          <w:spacing w:val="-14"/>
        </w:rPr>
        <w:t> </w:t>
      </w:r>
      <w:r>
        <w:rPr/>
        <w:t>шторма</w:t>
      </w:r>
      <w:r>
        <w:rPr>
          <w:spacing w:val="-15"/>
        </w:rPr>
        <w:t> </w:t>
      </w:r>
      <w:r>
        <w:rPr/>
        <w:t>тоцилизумаб</w:t>
      </w:r>
      <w:r>
        <w:rPr>
          <w:spacing w:val="-14"/>
        </w:rPr>
        <w:t> </w:t>
      </w:r>
      <w:r>
        <w:rPr/>
        <w:t>назначается</w:t>
      </w:r>
      <w:r>
        <w:rPr>
          <w:spacing w:val="-14"/>
        </w:rPr>
        <w:t> </w:t>
      </w:r>
      <w:r>
        <w:rPr/>
        <w:t>в</w:t>
      </w:r>
      <w:r>
        <w:rPr>
          <w:spacing w:val="-15"/>
        </w:rPr>
        <w:t> </w:t>
      </w:r>
      <w:r>
        <w:rPr/>
        <w:t>дозе 4‑8</w:t>
      </w:r>
      <w:r>
        <w:rPr>
          <w:spacing w:val="-9"/>
        </w:rPr>
        <w:t> </w:t>
      </w:r>
      <w:r>
        <w:rPr/>
        <w:t>мг/кг</w:t>
      </w:r>
      <w:r>
        <w:rPr>
          <w:spacing w:val="-8"/>
        </w:rPr>
        <w:t> </w:t>
      </w:r>
      <w:r>
        <w:rPr/>
        <w:t>внутривенно</w:t>
      </w:r>
      <w:r>
        <w:rPr>
          <w:spacing w:val="-9"/>
        </w:rPr>
        <w:t> </w:t>
      </w:r>
      <w:r>
        <w:rPr/>
        <w:t>(доза</w:t>
      </w:r>
      <w:r>
        <w:rPr>
          <w:spacing w:val="-9"/>
        </w:rPr>
        <w:t> </w:t>
      </w:r>
      <w:r>
        <w:rPr/>
        <w:t>препарата</w:t>
      </w:r>
      <w:r>
        <w:rPr>
          <w:spacing w:val="-10"/>
        </w:rPr>
        <w:t> </w:t>
      </w:r>
      <w:r>
        <w:rPr/>
        <w:t>рассчитывается</w:t>
      </w:r>
      <w:r>
        <w:rPr>
          <w:spacing w:val="-6"/>
        </w:rPr>
        <w:t> </w:t>
      </w:r>
      <w:r>
        <w:rPr/>
        <w:t>на</w:t>
      </w:r>
      <w:r>
        <w:rPr>
          <w:spacing w:val="-9"/>
        </w:rPr>
        <w:t> </w:t>
      </w:r>
      <w:r>
        <w:rPr/>
        <w:t>массу</w:t>
      </w:r>
      <w:r>
        <w:rPr>
          <w:spacing w:val="-12"/>
        </w:rPr>
        <w:t> </w:t>
      </w:r>
      <w:r>
        <w:rPr/>
        <w:t>тела)</w:t>
      </w:r>
      <w:r>
        <w:rPr>
          <w:spacing w:val="-7"/>
        </w:rPr>
        <w:t> </w:t>
      </w:r>
      <w:r>
        <w:rPr/>
        <w:t>в</w:t>
      </w:r>
      <w:r>
        <w:rPr>
          <w:spacing w:val="-8"/>
        </w:rPr>
        <w:t> </w:t>
      </w:r>
      <w:r>
        <w:rPr/>
        <w:t>сочетании</w:t>
      </w:r>
      <w:r>
        <w:rPr>
          <w:spacing w:val="-8"/>
        </w:rPr>
        <w:t> </w:t>
      </w:r>
      <w:r>
        <w:rPr/>
        <w:t>с</w:t>
      </w:r>
      <w:r>
        <w:rPr>
          <w:spacing w:val="-9"/>
        </w:rPr>
        <w:t> </w:t>
      </w:r>
      <w:r>
        <w:rPr/>
        <w:t>ГК. При</w:t>
        <w:tab/>
        <w:t>наличии</w:t>
        <w:tab/>
        <w:t>признаков</w:t>
        <w:tab/>
        <w:t>надпочечниковой</w:t>
        <w:tab/>
        <w:t>недостаточности</w:t>
        <w:tab/>
      </w:r>
      <w:r>
        <w:rPr>
          <w:spacing w:val="-1"/>
        </w:rPr>
        <w:t>внутривенно </w:t>
      </w:r>
      <w:r>
        <w:rPr/>
        <w:t>вводится</w:t>
      </w:r>
      <w:r>
        <w:rPr>
          <w:spacing w:val="13"/>
        </w:rPr>
        <w:t> </w:t>
      </w:r>
      <w:r>
        <w:rPr/>
        <w:t>гидрокортизон</w:t>
      </w:r>
      <w:r>
        <w:rPr>
          <w:spacing w:val="15"/>
        </w:rPr>
        <w:t> </w:t>
      </w:r>
      <w:r>
        <w:rPr/>
        <w:t>в</w:t>
      </w:r>
      <w:r>
        <w:rPr>
          <w:spacing w:val="14"/>
        </w:rPr>
        <w:t> </w:t>
      </w:r>
      <w:r>
        <w:rPr/>
        <w:t>дозе</w:t>
      </w:r>
      <w:r>
        <w:rPr>
          <w:spacing w:val="13"/>
        </w:rPr>
        <w:t> </w:t>
      </w:r>
      <w:r>
        <w:rPr/>
        <w:t>50‑100</w:t>
      </w:r>
      <w:r>
        <w:rPr>
          <w:spacing w:val="13"/>
        </w:rPr>
        <w:t> </w:t>
      </w:r>
      <w:r>
        <w:rPr/>
        <w:t>мг,</w:t>
      </w:r>
      <w:r>
        <w:rPr>
          <w:spacing w:val="14"/>
        </w:rPr>
        <w:t> </w:t>
      </w:r>
      <w:r>
        <w:rPr/>
        <w:t>с</w:t>
      </w:r>
      <w:r>
        <w:rPr>
          <w:spacing w:val="13"/>
        </w:rPr>
        <w:t> </w:t>
      </w:r>
      <w:r>
        <w:rPr/>
        <w:t>последующим</w:t>
      </w:r>
      <w:r>
        <w:rPr>
          <w:spacing w:val="14"/>
        </w:rPr>
        <w:t> </w:t>
      </w:r>
      <w:r>
        <w:rPr/>
        <w:t>медленным</w:t>
      </w:r>
      <w:r>
        <w:rPr>
          <w:spacing w:val="14"/>
        </w:rPr>
        <w:t> </w:t>
      </w:r>
      <w:r>
        <w:rPr/>
        <w:t>внутривенным</w:t>
      </w:r>
    </w:p>
    <w:p>
      <w:pPr>
        <w:pStyle w:val="BodyText"/>
        <w:spacing w:line="274" w:lineRule="exact"/>
      </w:pPr>
      <w:r>
        <w:rPr/>
        <w:t>введением препарата в течение 1 ч в дозе 200 мг в сутки.</w:t>
      </w:r>
    </w:p>
    <w:p>
      <w:pPr>
        <w:pStyle w:val="BodyText"/>
        <w:spacing w:line="360" w:lineRule="auto" w:before="140"/>
        <w:ind w:right="676" w:firstLine="566"/>
      </w:pPr>
      <w:r>
        <w:rPr/>
        <w:t>Повторное введение тоцилизумаба возможно при сохранении фебрильной лихорадки более 12 ч после первой инфузии, отсутствии снижения уровня сывороточного СРБ при исключении инфекционных осложнений.</w:t>
      </w:r>
    </w:p>
    <w:p>
      <w:pPr>
        <w:pStyle w:val="BodyText"/>
        <w:spacing w:line="360" w:lineRule="auto"/>
        <w:ind w:right="674" w:firstLine="566"/>
      </w:pPr>
      <w:r>
        <w:rPr/>
        <w:t>Необходимо помнить, что при повторном введении тоцилизумаба повышается риск развития вторичной инфекции (сепсис, оппуртонистическая, грибковая инфекция).</w:t>
      </w:r>
    </w:p>
    <w:p>
      <w:pPr>
        <w:pStyle w:val="BodyText"/>
        <w:ind w:left="887"/>
      </w:pPr>
      <w:r>
        <w:rPr/>
        <w:t>Потенциальной терапевтической технологией лечения COVID‑19 –</w:t>
      </w:r>
    </w:p>
    <w:p>
      <w:pPr>
        <w:pStyle w:val="BodyText"/>
        <w:spacing w:before="137"/>
      </w:pPr>
      <w:r>
        <w:rPr/>
        <w:t>индуцированного цитокинового шторма может быть ингибиция ИЛ-1β.</w:t>
      </w:r>
    </w:p>
    <w:p>
      <w:pPr>
        <w:pStyle w:val="BodyText"/>
        <w:spacing w:line="360" w:lineRule="auto" w:before="139"/>
        <w:ind w:right="673" w:firstLine="566"/>
      </w:pPr>
      <w:r>
        <w:rPr/>
        <w:t>Для блокирования цитокинового шторма возможно применение моноклонального антитела к ИЛ-1β – канакинумаба в дозе 4‑8 мг/кг/внутривенно, который показал высокую эффективность при лечении системного ювенильного идиопатического артрита с гемофагоцитарным синдромом и аутовоспалительных синдромов, в основе механизма развития которых лежит цитокиновый шторм.</w:t>
      </w:r>
    </w:p>
    <w:p>
      <w:pPr>
        <w:pStyle w:val="BodyText"/>
        <w:spacing w:line="360" w:lineRule="auto"/>
        <w:ind w:right="676" w:firstLine="566"/>
      </w:pPr>
      <w:r>
        <w:rPr/>
        <w:t>Противопоказания для назначения генно-инженерных биологических препаратов:</w:t>
      </w:r>
    </w:p>
    <w:p>
      <w:pPr>
        <w:pStyle w:val="BodyText"/>
        <w:spacing w:before="2"/>
        <w:ind w:left="0"/>
        <w:jc w:val="left"/>
        <w:rPr>
          <w:sz w:val="36"/>
        </w:rPr>
      </w:pPr>
    </w:p>
    <w:p>
      <w:pPr>
        <w:pStyle w:val="ListParagraph"/>
        <w:numPr>
          <w:ilvl w:val="0"/>
          <w:numId w:val="19"/>
        </w:numPr>
        <w:tabs>
          <w:tab w:pos="1000" w:val="left" w:leader="none"/>
          <w:tab w:pos="1001" w:val="left" w:leader="none"/>
        </w:tabs>
        <w:spacing w:line="240" w:lineRule="auto" w:before="0" w:after="0"/>
        <w:ind w:left="1000" w:right="0" w:hanging="339"/>
        <w:jc w:val="left"/>
        <w:rPr>
          <w:sz w:val="24"/>
        </w:rPr>
      </w:pPr>
      <w:r>
        <w:rPr>
          <w:sz w:val="24"/>
        </w:rPr>
        <w:t>Сепсис, подтвержденный патогенами, отличными от</w:t>
      </w:r>
      <w:r>
        <w:rPr>
          <w:spacing w:val="-1"/>
          <w:sz w:val="24"/>
        </w:rPr>
        <w:t> </w:t>
      </w:r>
      <w:r>
        <w:rPr>
          <w:sz w:val="24"/>
        </w:rPr>
        <w:t>COVID‑19;</w:t>
      </w:r>
    </w:p>
    <w:p>
      <w:pPr>
        <w:pStyle w:val="ListParagraph"/>
        <w:numPr>
          <w:ilvl w:val="0"/>
          <w:numId w:val="19"/>
        </w:numPr>
        <w:tabs>
          <w:tab w:pos="1000" w:val="left" w:leader="none"/>
          <w:tab w:pos="1001" w:val="left" w:leader="none"/>
        </w:tabs>
        <w:spacing w:line="240" w:lineRule="auto" w:before="81" w:after="0"/>
        <w:ind w:left="1000" w:right="0" w:hanging="339"/>
        <w:jc w:val="left"/>
        <w:rPr>
          <w:sz w:val="24"/>
        </w:rPr>
      </w:pPr>
      <w:r>
        <w:rPr>
          <w:sz w:val="24"/>
        </w:rPr>
        <w:t>Гиперчувствительность к любому компоненту</w:t>
      </w:r>
      <w:r>
        <w:rPr>
          <w:spacing w:val="-13"/>
          <w:sz w:val="24"/>
        </w:rPr>
        <w:t> </w:t>
      </w:r>
      <w:r>
        <w:rPr>
          <w:sz w:val="24"/>
        </w:rPr>
        <w:t>препарата;</w:t>
      </w:r>
    </w:p>
    <w:p>
      <w:pPr>
        <w:spacing w:after="0" w:line="240" w:lineRule="auto"/>
        <w:jc w:val="left"/>
        <w:rPr>
          <w:sz w:val="24"/>
        </w:rPr>
        <w:sectPr>
          <w:pgSz w:w="11920" w:h="16850"/>
          <w:pgMar w:header="0" w:footer="620" w:top="1060" w:bottom="880" w:left="1380" w:right="600"/>
        </w:sectPr>
      </w:pPr>
    </w:p>
    <w:p>
      <w:pPr>
        <w:pStyle w:val="ListParagraph"/>
        <w:numPr>
          <w:ilvl w:val="0"/>
          <w:numId w:val="19"/>
        </w:numPr>
        <w:tabs>
          <w:tab w:pos="1000" w:val="left" w:leader="none"/>
          <w:tab w:pos="1001" w:val="left" w:leader="none"/>
        </w:tabs>
        <w:spacing w:line="240" w:lineRule="auto" w:before="80" w:after="0"/>
        <w:ind w:left="1000" w:right="0" w:hanging="339"/>
        <w:jc w:val="left"/>
        <w:rPr>
          <w:sz w:val="24"/>
        </w:rPr>
      </w:pPr>
      <w:r>
        <w:rPr>
          <w:sz w:val="24"/>
        </w:rPr>
        <w:t>Вирусный гепатит В;</w:t>
      </w:r>
    </w:p>
    <w:p>
      <w:pPr>
        <w:pStyle w:val="ListParagraph"/>
        <w:numPr>
          <w:ilvl w:val="0"/>
          <w:numId w:val="19"/>
        </w:numPr>
        <w:tabs>
          <w:tab w:pos="1000" w:val="left" w:leader="none"/>
          <w:tab w:pos="1001" w:val="left" w:leader="none"/>
        </w:tabs>
        <w:spacing w:line="304" w:lineRule="auto" w:before="83" w:after="0"/>
        <w:ind w:left="1000" w:right="674" w:hanging="339"/>
        <w:jc w:val="left"/>
        <w:rPr>
          <w:sz w:val="24"/>
        </w:rPr>
      </w:pPr>
      <w:r>
        <w:rPr>
          <w:sz w:val="24"/>
        </w:rPr>
        <w:t>Сопутствующие  заболевания,  связанные,  согласно  клиническому  решению,  с неблагоприятным</w:t>
      </w:r>
      <w:r>
        <w:rPr>
          <w:spacing w:val="-3"/>
          <w:sz w:val="24"/>
        </w:rPr>
        <w:t> </w:t>
      </w:r>
      <w:r>
        <w:rPr>
          <w:sz w:val="24"/>
        </w:rPr>
        <w:t>прогнозом;</w:t>
      </w:r>
    </w:p>
    <w:p>
      <w:pPr>
        <w:pStyle w:val="ListParagraph"/>
        <w:numPr>
          <w:ilvl w:val="0"/>
          <w:numId w:val="19"/>
        </w:numPr>
        <w:tabs>
          <w:tab w:pos="1000" w:val="left" w:leader="none"/>
          <w:tab w:pos="1001" w:val="left" w:leader="none"/>
        </w:tabs>
        <w:spacing w:line="240" w:lineRule="auto" w:before="10" w:after="0"/>
        <w:ind w:left="1000" w:right="0" w:hanging="339"/>
        <w:jc w:val="left"/>
        <w:rPr>
          <w:sz w:val="24"/>
        </w:rPr>
      </w:pPr>
      <w:r>
        <w:rPr>
          <w:sz w:val="24"/>
        </w:rPr>
        <w:t>Иммуносупрессивная терапия при трансплантации органов;</w:t>
      </w:r>
    </w:p>
    <w:p>
      <w:pPr>
        <w:pStyle w:val="ListParagraph"/>
        <w:numPr>
          <w:ilvl w:val="0"/>
          <w:numId w:val="19"/>
        </w:numPr>
        <w:tabs>
          <w:tab w:pos="1000" w:val="left" w:leader="none"/>
          <w:tab w:pos="1001" w:val="left" w:leader="none"/>
        </w:tabs>
        <w:spacing w:line="240" w:lineRule="auto" w:before="81" w:after="0"/>
        <w:ind w:left="1000" w:right="0" w:hanging="339"/>
        <w:jc w:val="left"/>
        <w:rPr>
          <w:sz w:val="24"/>
        </w:rPr>
      </w:pPr>
      <w:r>
        <w:rPr>
          <w:sz w:val="24"/>
        </w:rPr>
        <w:t>Нейтропения &lt;</w:t>
      </w:r>
      <w:r>
        <w:rPr>
          <w:spacing w:val="-2"/>
          <w:sz w:val="24"/>
        </w:rPr>
        <w:t> </w:t>
      </w:r>
      <w:r>
        <w:rPr>
          <w:sz w:val="24"/>
        </w:rPr>
        <w:t>0,5*10</w:t>
      </w:r>
      <w:r>
        <w:rPr>
          <w:sz w:val="24"/>
          <w:vertAlign w:val="superscript"/>
        </w:rPr>
        <w:t>9</w:t>
      </w:r>
      <w:r>
        <w:rPr>
          <w:sz w:val="24"/>
          <w:vertAlign w:val="baseline"/>
        </w:rPr>
        <w:t>/л;</w:t>
      </w:r>
    </w:p>
    <w:p>
      <w:pPr>
        <w:pStyle w:val="ListParagraph"/>
        <w:numPr>
          <w:ilvl w:val="0"/>
          <w:numId w:val="19"/>
        </w:numPr>
        <w:tabs>
          <w:tab w:pos="1000" w:val="left" w:leader="none"/>
          <w:tab w:pos="1001" w:val="left" w:leader="none"/>
        </w:tabs>
        <w:spacing w:line="240" w:lineRule="auto" w:before="82" w:after="0"/>
        <w:ind w:left="1000" w:right="0" w:hanging="339"/>
        <w:jc w:val="left"/>
        <w:rPr>
          <w:sz w:val="24"/>
        </w:rPr>
      </w:pPr>
      <w:r>
        <w:rPr>
          <w:sz w:val="24"/>
        </w:rPr>
        <w:t>Повышение активности АСТ или АЛТ более чем в 5</w:t>
      </w:r>
      <w:r>
        <w:rPr>
          <w:spacing w:val="-8"/>
          <w:sz w:val="24"/>
        </w:rPr>
        <w:t> </w:t>
      </w:r>
      <w:r>
        <w:rPr>
          <w:sz w:val="24"/>
        </w:rPr>
        <w:t>норм;</w:t>
      </w:r>
    </w:p>
    <w:p>
      <w:pPr>
        <w:pStyle w:val="ListParagraph"/>
        <w:numPr>
          <w:ilvl w:val="0"/>
          <w:numId w:val="19"/>
        </w:numPr>
        <w:tabs>
          <w:tab w:pos="1000" w:val="left" w:leader="none"/>
          <w:tab w:pos="1001" w:val="left" w:leader="none"/>
        </w:tabs>
        <w:spacing w:line="240" w:lineRule="auto" w:before="83" w:after="0"/>
        <w:ind w:left="1000" w:right="0" w:hanging="339"/>
        <w:jc w:val="left"/>
        <w:rPr>
          <w:sz w:val="24"/>
        </w:rPr>
      </w:pPr>
      <w:r>
        <w:rPr>
          <w:sz w:val="24"/>
        </w:rPr>
        <w:t>Тромбоцитопения &lt;</w:t>
      </w:r>
      <w:r>
        <w:rPr>
          <w:spacing w:val="-2"/>
          <w:sz w:val="24"/>
        </w:rPr>
        <w:t> </w:t>
      </w:r>
      <w:r>
        <w:rPr>
          <w:sz w:val="24"/>
        </w:rPr>
        <w:t>50*10</w:t>
      </w:r>
      <w:r>
        <w:rPr>
          <w:sz w:val="24"/>
          <w:vertAlign w:val="superscript"/>
        </w:rPr>
        <w:t>9</w:t>
      </w:r>
      <w:r>
        <w:rPr>
          <w:sz w:val="24"/>
          <w:vertAlign w:val="baseline"/>
        </w:rPr>
        <w:t>/л.</w:t>
      </w:r>
    </w:p>
    <w:p>
      <w:pPr>
        <w:pStyle w:val="ListParagraph"/>
        <w:numPr>
          <w:ilvl w:val="0"/>
          <w:numId w:val="19"/>
        </w:numPr>
        <w:tabs>
          <w:tab w:pos="1000" w:val="left" w:leader="none"/>
          <w:tab w:pos="1001" w:val="left" w:leader="none"/>
        </w:tabs>
        <w:spacing w:line="240" w:lineRule="auto" w:before="81" w:after="0"/>
        <w:ind w:left="1000" w:right="0" w:hanging="339"/>
        <w:jc w:val="left"/>
        <w:rPr>
          <w:sz w:val="24"/>
        </w:rPr>
      </w:pPr>
      <w:r>
        <w:rPr>
          <w:sz w:val="24"/>
        </w:rPr>
        <w:t>При беременности применение ГИБП</w:t>
      </w:r>
      <w:r>
        <w:rPr>
          <w:spacing w:val="-1"/>
          <w:sz w:val="24"/>
        </w:rPr>
        <w:t> </w:t>
      </w:r>
      <w:r>
        <w:rPr>
          <w:sz w:val="24"/>
        </w:rPr>
        <w:t>нежелательно;</w:t>
      </w:r>
    </w:p>
    <w:p>
      <w:pPr>
        <w:pStyle w:val="ListParagraph"/>
        <w:numPr>
          <w:ilvl w:val="0"/>
          <w:numId w:val="19"/>
        </w:numPr>
        <w:tabs>
          <w:tab w:pos="1000" w:val="left" w:leader="none"/>
          <w:tab w:pos="1001" w:val="left" w:leader="none"/>
        </w:tabs>
        <w:spacing w:line="304" w:lineRule="auto" w:before="82" w:after="0"/>
        <w:ind w:left="1000" w:right="676" w:hanging="339"/>
        <w:jc w:val="left"/>
        <w:rPr>
          <w:sz w:val="24"/>
        </w:rPr>
      </w:pPr>
      <w:r>
        <w:rPr>
          <w:sz w:val="24"/>
        </w:rPr>
        <w:t>На фоне терапии блокаторами ИЛ‑6 следует помнить о возникновении серьезных неже‑ лательных</w:t>
      </w:r>
      <w:r>
        <w:rPr>
          <w:spacing w:val="2"/>
          <w:sz w:val="24"/>
        </w:rPr>
        <w:t> </w:t>
      </w:r>
      <w:r>
        <w:rPr>
          <w:sz w:val="24"/>
        </w:rPr>
        <w:t>явлений;</w:t>
      </w:r>
    </w:p>
    <w:p>
      <w:pPr>
        <w:pStyle w:val="ListParagraph"/>
        <w:numPr>
          <w:ilvl w:val="0"/>
          <w:numId w:val="19"/>
        </w:numPr>
        <w:tabs>
          <w:tab w:pos="1000" w:val="left" w:leader="none"/>
          <w:tab w:pos="1001" w:val="left" w:leader="none"/>
        </w:tabs>
        <w:spacing w:line="304" w:lineRule="auto" w:before="11" w:after="0"/>
        <w:ind w:left="1000" w:right="674" w:hanging="339"/>
        <w:jc w:val="left"/>
        <w:rPr>
          <w:sz w:val="24"/>
        </w:rPr>
      </w:pPr>
      <w:r>
        <w:rPr>
          <w:sz w:val="24"/>
        </w:rPr>
        <w:t>Инфекционные заболевания: бактериальная пневмония, флегмона, инфекции, вызванные Herpes zoster, и</w:t>
      </w:r>
      <w:r>
        <w:rPr>
          <w:spacing w:val="-1"/>
          <w:sz w:val="24"/>
        </w:rPr>
        <w:t> </w:t>
      </w:r>
      <w:r>
        <w:rPr>
          <w:sz w:val="24"/>
        </w:rPr>
        <w:t>др.;</w:t>
      </w:r>
    </w:p>
    <w:p>
      <w:pPr>
        <w:pStyle w:val="ListParagraph"/>
        <w:numPr>
          <w:ilvl w:val="0"/>
          <w:numId w:val="19"/>
        </w:numPr>
        <w:tabs>
          <w:tab w:pos="1000" w:val="left" w:leader="none"/>
          <w:tab w:pos="1001" w:val="left" w:leader="none"/>
        </w:tabs>
        <w:spacing w:line="240" w:lineRule="auto" w:before="10" w:after="0"/>
        <w:ind w:left="1000" w:right="0" w:hanging="339"/>
        <w:jc w:val="left"/>
        <w:rPr>
          <w:sz w:val="24"/>
        </w:rPr>
      </w:pPr>
      <w:r>
        <w:rPr>
          <w:sz w:val="24"/>
        </w:rPr>
        <w:t>Повышение активности печеночных</w:t>
      </w:r>
      <w:r>
        <w:rPr>
          <w:spacing w:val="-2"/>
          <w:sz w:val="24"/>
        </w:rPr>
        <w:t> </w:t>
      </w:r>
      <w:r>
        <w:rPr>
          <w:sz w:val="24"/>
        </w:rPr>
        <w:t>трансаминаз.</w:t>
      </w:r>
    </w:p>
    <w:p>
      <w:pPr>
        <w:pStyle w:val="ListParagraph"/>
        <w:numPr>
          <w:ilvl w:val="0"/>
          <w:numId w:val="19"/>
        </w:numPr>
        <w:tabs>
          <w:tab w:pos="1000" w:val="left" w:leader="none"/>
          <w:tab w:pos="1001" w:val="left" w:leader="none"/>
        </w:tabs>
        <w:spacing w:line="240" w:lineRule="auto" w:before="83" w:after="0"/>
        <w:ind w:left="1000" w:right="0" w:hanging="339"/>
        <w:jc w:val="left"/>
        <w:rPr>
          <w:sz w:val="24"/>
        </w:rPr>
      </w:pPr>
      <w:r>
        <w:rPr>
          <w:sz w:val="24"/>
        </w:rPr>
        <w:t>Сыпь, зуд,</w:t>
      </w:r>
      <w:r>
        <w:rPr>
          <w:spacing w:val="-1"/>
          <w:sz w:val="24"/>
        </w:rPr>
        <w:t> </w:t>
      </w:r>
      <w:r>
        <w:rPr>
          <w:sz w:val="24"/>
        </w:rPr>
        <w:t>крапивница;</w:t>
      </w:r>
    </w:p>
    <w:p>
      <w:pPr>
        <w:pStyle w:val="ListParagraph"/>
        <w:numPr>
          <w:ilvl w:val="0"/>
          <w:numId w:val="19"/>
        </w:numPr>
        <w:tabs>
          <w:tab w:pos="1000" w:val="left" w:leader="none"/>
          <w:tab w:pos="1001" w:val="left" w:leader="none"/>
        </w:tabs>
        <w:spacing w:line="240" w:lineRule="auto" w:before="83" w:after="0"/>
        <w:ind w:left="1000" w:right="0" w:hanging="339"/>
        <w:jc w:val="left"/>
        <w:rPr>
          <w:sz w:val="24"/>
        </w:rPr>
      </w:pPr>
      <w:r>
        <w:rPr>
          <w:sz w:val="24"/>
        </w:rPr>
        <w:t>Повышение артериального</w:t>
      </w:r>
      <w:r>
        <w:rPr>
          <w:spacing w:val="-2"/>
          <w:sz w:val="24"/>
        </w:rPr>
        <w:t> </w:t>
      </w:r>
      <w:r>
        <w:rPr>
          <w:sz w:val="24"/>
        </w:rPr>
        <w:t>давления;</w:t>
      </w:r>
    </w:p>
    <w:p>
      <w:pPr>
        <w:pStyle w:val="ListParagraph"/>
        <w:numPr>
          <w:ilvl w:val="0"/>
          <w:numId w:val="19"/>
        </w:numPr>
        <w:tabs>
          <w:tab w:pos="1000" w:val="left" w:leader="none"/>
          <w:tab w:pos="1001" w:val="left" w:leader="none"/>
        </w:tabs>
        <w:spacing w:line="240" w:lineRule="auto" w:before="80" w:after="0"/>
        <w:ind w:left="1000" w:right="0" w:hanging="339"/>
        <w:jc w:val="left"/>
        <w:rPr>
          <w:sz w:val="24"/>
        </w:rPr>
      </w:pPr>
      <w:r>
        <w:rPr>
          <w:sz w:val="24"/>
        </w:rPr>
        <w:t>Лейкопения, нейтропения,</w:t>
      </w:r>
      <w:r>
        <w:rPr>
          <w:spacing w:val="-1"/>
          <w:sz w:val="24"/>
        </w:rPr>
        <w:t> </w:t>
      </w:r>
      <w:r>
        <w:rPr>
          <w:sz w:val="24"/>
        </w:rPr>
        <w:t>тромбоцитопения;</w:t>
      </w:r>
    </w:p>
    <w:p>
      <w:pPr>
        <w:pStyle w:val="ListParagraph"/>
        <w:numPr>
          <w:ilvl w:val="0"/>
          <w:numId w:val="19"/>
        </w:numPr>
        <w:tabs>
          <w:tab w:pos="1000" w:val="left" w:leader="none"/>
          <w:tab w:pos="1001" w:val="left" w:leader="none"/>
          <w:tab w:pos="2582" w:val="left" w:leader="none"/>
          <w:tab w:pos="4183" w:val="left" w:leader="none"/>
          <w:tab w:pos="5640" w:val="left" w:leader="none"/>
          <w:tab w:pos="6732" w:val="left" w:leader="none"/>
          <w:tab w:pos="7922" w:val="left" w:leader="none"/>
        </w:tabs>
        <w:spacing w:line="304" w:lineRule="auto" w:before="83" w:after="0"/>
        <w:ind w:left="1000" w:right="677" w:hanging="339"/>
        <w:jc w:val="left"/>
        <w:rPr>
          <w:sz w:val="24"/>
        </w:rPr>
      </w:pPr>
      <w:r>
        <w:rPr>
          <w:sz w:val="24"/>
        </w:rPr>
        <w:t>Повышение</w:t>
        <w:tab/>
        <w:t>показателей</w:t>
        <w:tab/>
        <w:t>липидного</w:t>
        <w:tab/>
        <w:t>обмена</w:t>
        <w:tab/>
        <w:t>(общего</w:t>
        <w:tab/>
      </w:r>
      <w:r>
        <w:rPr>
          <w:spacing w:val="-3"/>
          <w:sz w:val="24"/>
        </w:rPr>
        <w:t>холестерина, </w:t>
      </w:r>
      <w:r>
        <w:rPr>
          <w:sz w:val="24"/>
        </w:rPr>
        <w:t>триглицеридов, ЛПВП,</w:t>
      </w:r>
      <w:r>
        <w:rPr>
          <w:spacing w:val="-1"/>
          <w:sz w:val="24"/>
        </w:rPr>
        <w:t> </w:t>
      </w:r>
      <w:r>
        <w:rPr>
          <w:sz w:val="24"/>
        </w:rPr>
        <w:t>ЛПНП).</w:t>
      </w:r>
    </w:p>
    <w:p>
      <w:pPr>
        <w:pStyle w:val="BodyText"/>
        <w:spacing w:before="3"/>
        <w:ind w:left="0"/>
        <w:jc w:val="left"/>
        <w:rPr>
          <w:sz w:val="33"/>
        </w:rPr>
      </w:pPr>
    </w:p>
    <w:p>
      <w:pPr>
        <w:pStyle w:val="BodyText"/>
        <w:spacing w:line="360" w:lineRule="auto" w:before="1"/>
        <w:ind w:right="675" w:firstLine="566"/>
      </w:pPr>
      <w:r>
        <w:rPr/>
        <w:t>При внутривенном введении тоцилизумаба должен быть предусмотрен комплекс необходимых мероприятий для лечения возможной анафилактической реакции.</w:t>
      </w:r>
    </w:p>
    <w:p>
      <w:pPr>
        <w:pStyle w:val="BodyText"/>
        <w:spacing w:line="360" w:lineRule="auto"/>
        <w:ind w:right="676" w:firstLine="566"/>
      </w:pPr>
      <w:r>
        <w:rPr/>
        <w:t>На фоне применения генно‑инженерных биологических препаратов в условиях острой вирусной инфекции повышается риск развития бактериальной, в том числе оппортунистической (грибковой) инфекции.</w:t>
      </w:r>
    </w:p>
    <w:p>
      <w:pPr>
        <w:pStyle w:val="BodyText"/>
        <w:spacing w:line="360" w:lineRule="auto"/>
        <w:ind w:right="674" w:firstLine="566"/>
      </w:pPr>
      <w:r>
        <w:rPr/>
        <w:t>Особенности течения вторичной бактериальной инфекции в условиях лечения генно-инженерными биологическими препаратами включают: отсутствие лихорадки или низкий субфебрилитет, низкие (или незначительно повышенные) маркеры воспаления (уровень СРБ сыворотки крови, прокальцитонина, число лейкоцитов крови), развитие нейтропении.</w:t>
      </w:r>
    </w:p>
    <w:p>
      <w:pPr>
        <w:pStyle w:val="BodyText"/>
        <w:tabs>
          <w:tab w:pos="3972" w:val="left" w:leader="none"/>
          <w:tab w:pos="5808" w:val="left" w:leader="none"/>
          <w:tab w:pos="6940" w:val="left" w:leader="none"/>
        </w:tabs>
        <w:spacing w:line="360" w:lineRule="auto"/>
        <w:ind w:right="675" w:firstLine="566"/>
      </w:pPr>
      <w:r>
        <w:rPr/>
        <w:t>При нарастании признаков дыхательной недостаточности, появлении субфебрильной/фебрильной</w:t>
        <w:tab/>
        <w:t>лихорадки</w:t>
        <w:tab/>
        <w:t>при</w:t>
        <w:tab/>
        <w:t>нормальных/умеренно повышенных/значительно повышенных маркерах воспаления (СОЭ, показатели СРБ, прокальцитонина и лейкоцитов крови) необходимо заподозрить развитие грибковой и/или оппуртонистической инфекции и</w:t>
      </w:r>
      <w:r>
        <w:rPr>
          <w:spacing w:val="3"/>
        </w:rPr>
        <w:t> </w:t>
      </w:r>
      <w:r>
        <w:rPr/>
        <w:t>провести:</w:t>
      </w:r>
    </w:p>
    <w:p>
      <w:pPr>
        <w:pStyle w:val="ListParagraph"/>
        <w:numPr>
          <w:ilvl w:val="0"/>
          <w:numId w:val="21"/>
        </w:numPr>
        <w:tabs>
          <w:tab w:pos="1205" w:val="left" w:leader="none"/>
        </w:tabs>
        <w:spacing w:line="360" w:lineRule="auto" w:before="0" w:after="0"/>
        <w:ind w:left="321" w:right="675" w:firstLine="566"/>
        <w:jc w:val="both"/>
        <w:rPr>
          <w:sz w:val="24"/>
        </w:rPr>
      </w:pPr>
      <w:r>
        <w:rPr>
          <w:sz w:val="24"/>
        </w:rPr>
        <w:t>микробиологическое (культуральное) исследование бронхоальвеолярной лаважной</w:t>
      </w:r>
      <w:r>
        <w:rPr>
          <w:spacing w:val="41"/>
          <w:sz w:val="24"/>
        </w:rPr>
        <w:t> </w:t>
      </w:r>
      <w:r>
        <w:rPr>
          <w:sz w:val="24"/>
        </w:rPr>
        <w:t>жидкости,</w:t>
      </w:r>
      <w:r>
        <w:rPr>
          <w:spacing w:val="55"/>
          <w:sz w:val="24"/>
        </w:rPr>
        <w:t> </w:t>
      </w:r>
      <w:r>
        <w:rPr>
          <w:sz w:val="24"/>
        </w:rPr>
        <w:t>мокроты</w:t>
      </w:r>
      <w:r>
        <w:rPr>
          <w:spacing w:val="40"/>
          <w:sz w:val="24"/>
        </w:rPr>
        <w:t> </w:t>
      </w:r>
      <w:r>
        <w:rPr>
          <w:sz w:val="24"/>
        </w:rPr>
        <w:t>или</w:t>
      </w:r>
      <w:r>
        <w:rPr>
          <w:spacing w:val="38"/>
          <w:sz w:val="24"/>
        </w:rPr>
        <w:t> </w:t>
      </w:r>
      <w:r>
        <w:rPr>
          <w:sz w:val="24"/>
        </w:rPr>
        <w:t>эндотрахеального</w:t>
      </w:r>
      <w:r>
        <w:rPr>
          <w:spacing w:val="41"/>
          <w:sz w:val="24"/>
        </w:rPr>
        <w:t> </w:t>
      </w:r>
      <w:r>
        <w:rPr>
          <w:sz w:val="24"/>
        </w:rPr>
        <w:t>аспирата</w:t>
      </w:r>
      <w:r>
        <w:rPr>
          <w:spacing w:val="37"/>
          <w:sz w:val="24"/>
        </w:rPr>
        <w:t> </w:t>
      </w:r>
      <w:r>
        <w:rPr>
          <w:sz w:val="24"/>
        </w:rPr>
        <w:t>на</w:t>
      </w:r>
      <w:r>
        <w:rPr>
          <w:spacing w:val="54"/>
          <w:sz w:val="24"/>
        </w:rPr>
        <w:t> </w:t>
      </w:r>
      <w:r>
        <w:rPr>
          <w:sz w:val="24"/>
        </w:rPr>
        <w:t>бактерии</w:t>
      </w:r>
      <w:r>
        <w:rPr>
          <w:spacing w:val="39"/>
          <w:sz w:val="24"/>
        </w:rPr>
        <w:t> </w:t>
      </w:r>
      <w:r>
        <w:rPr>
          <w:sz w:val="24"/>
        </w:rPr>
        <w:t>и</w:t>
      </w:r>
      <w:r>
        <w:rPr>
          <w:spacing w:val="41"/>
          <w:sz w:val="24"/>
        </w:rPr>
        <w:t> </w:t>
      </w:r>
      <w:r>
        <w:rPr>
          <w:sz w:val="24"/>
        </w:rPr>
        <w:t>грибы</w:t>
      </w:r>
    </w:p>
    <w:p>
      <w:pPr>
        <w:spacing w:after="0" w:line="360" w:lineRule="auto"/>
        <w:jc w:val="both"/>
        <w:rPr>
          <w:sz w:val="24"/>
        </w:rPr>
        <w:sectPr>
          <w:pgSz w:w="11920" w:h="16850"/>
          <w:pgMar w:header="0" w:footer="620" w:top="1060" w:bottom="880" w:left="1380" w:right="600"/>
        </w:sectPr>
      </w:pPr>
    </w:p>
    <w:p>
      <w:pPr>
        <w:spacing w:line="360" w:lineRule="auto" w:before="78"/>
        <w:ind w:left="321" w:right="677" w:firstLine="0"/>
        <w:jc w:val="both"/>
        <w:rPr>
          <w:sz w:val="24"/>
        </w:rPr>
      </w:pPr>
      <w:r>
        <w:rPr>
          <w:sz w:val="24"/>
        </w:rPr>
        <w:t>(дрожжевые и мицелиaльные) и на ДНК </w:t>
      </w:r>
      <w:r>
        <w:rPr>
          <w:i/>
          <w:sz w:val="24"/>
        </w:rPr>
        <w:t>Mycobacterium tuberculosis</w:t>
      </w:r>
      <w:r>
        <w:rPr>
          <w:sz w:val="24"/>
        </w:rPr>
        <w:t>, </w:t>
      </w:r>
      <w:r>
        <w:rPr>
          <w:i/>
          <w:sz w:val="24"/>
        </w:rPr>
        <w:t>Pneumocystis </w:t>
      </w:r>
      <w:r>
        <w:rPr>
          <w:i/>
          <w:sz w:val="24"/>
        </w:rPr>
        <w:t>jirovecii</w:t>
      </w:r>
      <w:r>
        <w:rPr>
          <w:sz w:val="24"/>
        </w:rPr>
        <w:t>, </w:t>
      </w:r>
      <w:r>
        <w:rPr>
          <w:i/>
          <w:sz w:val="24"/>
        </w:rPr>
        <w:t>Mycoplasma pneumoniae, Chlamidia pneumoniae </w:t>
      </w:r>
      <w:r>
        <w:rPr>
          <w:sz w:val="24"/>
        </w:rPr>
        <w:t>методом ПЦР;</w:t>
      </w:r>
    </w:p>
    <w:p>
      <w:pPr>
        <w:pStyle w:val="ListParagraph"/>
        <w:numPr>
          <w:ilvl w:val="0"/>
          <w:numId w:val="21"/>
        </w:numPr>
        <w:tabs>
          <w:tab w:pos="1095" w:val="left" w:leader="none"/>
        </w:tabs>
        <w:spacing w:line="360" w:lineRule="auto" w:before="0" w:after="0"/>
        <w:ind w:left="321" w:right="676" w:firstLine="566"/>
        <w:jc w:val="both"/>
        <w:rPr>
          <w:sz w:val="24"/>
        </w:rPr>
      </w:pPr>
      <w:r>
        <w:rPr>
          <w:sz w:val="24"/>
        </w:rPr>
        <w:t>исследование крови на антитела класса А и M (IgА, IgM) к грибам рода аспергиллы (</w:t>
      </w:r>
      <w:r>
        <w:rPr>
          <w:i/>
          <w:sz w:val="24"/>
        </w:rPr>
        <w:t>Aspergillus spp</w:t>
      </w:r>
      <w:r>
        <w:rPr>
          <w:sz w:val="24"/>
        </w:rPr>
        <w:t>.), </w:t>
      </w:r>
      <w:r>
        <w:rPr>
          <w:i/>
          <w:sz w:val="24"/>
        </w:rPr>
        <w:t>Pneumocystis jirovecii, Mycoplasma pneumoniae, </w:t>
      </w:r>
      <w:r>
        <w:rPr>
          <w:i/>
          <w:sz w:val="24"/>
        </w:rPr>
        <w:t>Chlamydophila</w:t>
      </w:r>
      <w:r>
        <w:rPr>
          <w:i/>
          <w:spacing w:val="-1"/>
          <w:sz w:val="24"/>
        </w:rPr>
        <w:t> </w:t>
      </w:r>
      <w:r>
        <w:rPr>
          <w:i/>
          <w:sz w:val="24"/>
        </w:rPr>
        <w:t>pneumoniae</w:t>
      </w:r>
      <w:r>
        <w:rPr>
          <w:sz w:val="24"/>
        </w:rPr>
        <w:t>;</w:t>
      </w:r>
    </w:p>
    <w:p>
      <w:pPr>
        <w:pStyle w:val="ListParagraph"/>
        <w:numPr>
          <w:ilvl w:val="0"/>
          <w:numId w:val="21"/>
        </w:numPr>
        <w:tabs>
          <w:tab w:pos="1114" w:val="left" w:leader="none"/>
        </w:tabs>
        <w:spacing w:line="360" w:lineRule="auto" w:before="0" w:after="0"/>
        <w:ind w:left="321" w:right="674" w:firstLine="566"/>
        <w:jc w:val="both"/>
        <w:rPr>
          <w:sz w:val="24"/>
        </w:rPr>
      </w:pPr>
      <w:r>
        <w:rPr>
          <w:sz w:val="24"/>
        </w:rPr>
        <w:t>контрольную КТ органов грудной клетки для подтверждения/исключения развития интерстициальной</w:t>
      </w:r>
      <w:r>
        <w:rPr>
          <w:spacing w:val="-6"/>
          <w:sz w:val="24"/>
        </w:rPr>
        <w:t> </w:t>
      </w:r>
      <w:r>
        <w:rPr>
          <w:sz w:val="24"/>
        </w:rPr>
        <w:t>пневмонии.</w:t>
      </w:r>
    </w:p>
    <w:p>
      <w:pPr>
        <w:pStyle w:val="BodyText"/>
        <w:spacing w:line="360" w:lineRule="auto"/>
        <w:ind w:right="678" w:firstLine="566"/>
      </w:pPr>
      <w:r>
        <w:rPr/>
        <w:t>Препараты для упреждающей  противовоспалительной  терапии  представлены  в </w:t>
      </w:r>
      <w:hyperlink w:history="true" w:anchor="_bookmark57">
        <w:r>
          <w:rPr>
            <w:color w:val="0562C1"/>
            <w:u w:val="single" w:color="0562C1"/>
          </w:rPr>
          <w:t>Приложении 8</w:t>
        </w:r>
      </w:hyperlink>
      <w:r>
        <w:rPr/>
        <w:t>.</w:t>
      </w:r>
    </w:p>
    <w:p>
      <w:pPr>
        <w:pStyle w:val="BodyText"/>
        <w:spacing w:line="360" w:lineRule="auto"/>
        <w:ind w:right="676" w:firstLine="708"/>
      </w:pPr>
      <w:r>
        <w:rPr/>
        <w:t>Перед применением генно-инженерных биологических препаратов и ГК необходимо исключить наличие у пациентов туберкулезной инфекции с применением иммунологического тестирования методом ELISPOT.</w:t>
      </w:r>
    </w:p>
    <w:p>
      <w:pPr>
        <w:pStyle w:val="BodyText"/>
        <w:spacing w:line="360" w:lineRule="auto"/>
        <w:ind w:right="674" w:firstLine="708"/>
      </w:pPr>
      <w:r>
        <w:rPr/>
        <w:t>Следствием тяжелого жизнеугрожающего синдрома высвобождения цитокинов может</w:t>
      </w:r>
      <w:r>
        <w:rPr>
          <w:spacing w:val="-16"/>
        </w:rPr>
        <w:t> </w:t>
      </w:r>
      <w:r>
        <w:rPr/>
        <w:t>стать</w:t>
      </w:r>
      <w:r>
        <w:rPr>
          <w:spacing w:val="-15"/>
        </w:rPr>
        <w:t> </w:t>
      </w:r>
      <w:r>
        <w:rPr/>
        <w:t>развитие</w:t>
      </w:r>
      <w:r>
        <w:rPr>
          <w:spacing w:val="-17"/>
        </w:rPr>
        <w:t> </w:t>
      </w:r>
      <w:r>
        <w:rPr/>
        <w:t>нарушений</w:t>
      </w:r>
      <w:r>
        <w:rPr>
          <w:spacing w:val="-16"/>
        </w:rPr>
        <w:t> </w:t>
      </w:r>
      <w:r>
        <w:rPr/>
        <w:t>свертывания</w:t>
      </w:r>
      <w:r>
        <w:rPr>
          <w:spacing w:val="-13"/>
        </w:rPr>
        <w:t> </w:t>
      </w:r>
      <w:r>
        <w:rPr/>
        <w:t>крови.</w:t>
      </w:r>
      <w:r>
        <w:rPr>
          <w:spacing w:val="-16"/>
        </w:rPr>
        <w:t> </w:t>
      </w:r>
      <w:r>
        <w:rPr/>
        <w:t>В</w:t>
      </w:r>
      <w:r>
        <w:rPr>
          <w:spacing w:val="-19"/>
        </w:rPr>
        <w:t> </w:t>
      </w:r>
      <w:r>
        <w:rPr/>
        <w:t>начальных</w:t>
      </w:r>
      <w:r>
        <w:rPr>
          <w:spacing w:val="-13"/>
        </w:rPr>
        <w:t> </w:t>
      </w:r>
      <w:r>
        <w:rPr/>
        <w:t>стадиях</w:t>
      </w:r>
      <w:r>
        <w:rPr>
          <w:spacing w:val="-14"/>
        </w:rPr>
        <w:t> </w:t>
      </w:r>
      <w:r>
        <w:rPr/>
        <w:t>заболевания характерно развитие гиперкоагуляции без признаков потребления и</w:t>
      </w:r>
      <w:r>
        <w:rPr>
          <w:spacing w:val="-12"/>
        </w:rPr>
        <w:t> </w:t>
      </w:r>
      <w:r>
        <w:rPr/>
        <w:t>ДВС‑синдрома.</w:t>
      </w:r>
    </w:p>
    <w:p>
      <w:pPr>
        <w:pStyle w:val="BodyText"/>
        <w:spacing w:line="360" w:lineRule="auto"/>
        <w:ind w:right="673" w:firstLine="708"/>
      </w:pPr>
      <w:r>
        <w:rPr/>
        <w:t>Коагулопатия при COVID-19 характеризуется активацией системы</w:t>
      </w:r>
      <w:r>
        <w:rPr>
          <w:spacing w:val="-43"/>
        </w:rPr>
        <w:t> </w:t>
      </w:r>
      <w:r>
        <w:rPr/>
        <w:t>свертывания крови в виде значительного повышения концентрации D-димера в крови. Количество тромбоцитов умеренно снижено (число тромбоцитов &lt; 150*10</w:t>
      </w:r>
      <w:r>
        <w:rPr>
          <w:vertAlign w:val="superscript"/>
        </w:rPr>
        <w:t>9</w:t>
      </w:r>
      <w:r>
        <w:rPr>
          <w:vertAlign w:val="baseline"/>
        </w:rPr>
        <w:t>/л находят у 70-95% больных), незначительно удлинено протромбиновое время, значительно повышен фибриноген. Единичные исследования указывают, что концентрация в крови антитромбина редко снижается менее 80%. Концентрация протеина С также существенно  не  меняется.  Таким  образом,  коагулопатия  при  COVID-19,   наряду   с признаками, характерными для развернутой фазы ДВС-синдрома в виде высокого уровня   D-димера,   не   имеет    типичных   признаков   потребления   фибриногена    и тромбоцитов. Также не отмечено потребления компонентов противосвертывающей системы антитромбина и протеина С, характерного для ДВС-синдрома, отмечаемого при сепсисе. Интерес к коагулопатии при COVID-19 связан с тем, что ее наличие ассоциируется с риском смерти. Кроме того, у больных COVID-19 часто находят артериальный и венозный</w:t>
      </w:r>
      <w:r>
        <w:rPr>
          <w:spacing w:val="2"/>
          <w:vertAlign w:val="baseline"/>
        </w:rPr>
        <w:t> </w:t>
      </w:r>
      <w:r>
        <w:rPr>
          <w:vertAlign w:val="baseline"/>
        </w:rPr>
        <w:t>тромбоз.</w:t>
      </w:r>
    </w:p>
    <w:p>
      <w:pPr>
        <w:pStyle w:val="BodyText"/>
        <w:spacing w:line="360" w:lineRule="auto"/>
        <w:ind w:right="674" w:firstLine="708"/>
      </w:pPr>
      <w:r>
        <w:rPr/>
        <w:t>Анализ секционных данных пациентов, погибших от COVID-19, указывает на наличие помимо диффузного повреждения альвеол, множества тромбозов мелких сосудов  легких   и  связанных   с  ним  множественных   геморрагий   в  альвеолах.    В тромботический процесс в легких вовлечены мегакариоциты,</w:t>
      </w:r>
      <w:r>
        <w:rPr>
          <w:spacing w:val="29"/>
        </w:rPr>
        <w:t> </w:t>
      </w:r>
      <w:r>
        <w:rPr/>
        <w:t>тромбоциты,</w:t>
      </w:r>
    </w:p>
    <w:p>
      <w:pPr>
        <w:spacing w:after="0" w:line="360" w:lineRule="auto"/>
        <w:sectPr>
          <w:pgSz w:w="11920" w:h="16850"/>
          <w:pgMar w:header="0" w:footer="620" w:top="1060" w:bottom="880" w:left="1380" w:right="600"/>
        </w:sectPr>
      </w:pPr>
    </w:p>
    <w:p>
      <w:pPr>
        <w:pStyle w:val="BodyText"/>
        <w:spacing w:line="360" w:lineRule="auto" w:before="78"/>
        <w:ind w:right="678"/>
      </w:pPr>
      <w:r>
        <w:rPr/>
        <w:t>формирующиеся</w:t>
      </w:r>
      <w:r>
        <w:rPr>
          <w:spacing w:val="-10"/>
        </w:rPr>
        <w:t> </w:t>
      </w:r>
      <w:r>
        <w:rPr/>
        <w:t>тромбы</w:t>
      </w:r>
      <w:r>
        <w:rPr>
          <w:spacing w:val="-10"/>
        </w:rPr>
        <w:t> </w:t>
      </w:r>
      <w:r>
        <w:rPr/>
        <w:t>богаты</w:t>
      </w:r>
      <w:r>
        <w:rPr>
          <w:spacing w:val="-9"/>
        </w:rPr>
        <w:t> </w:t>
      </w:r>
      <w:r>
        <w:rPr/>
        <w:t>не</w:t>
      </w:r>
      <w:r>
        <w:rPr>
          <w:spacing w:val="-11"/>
        </w:rPr>
        <w:t> </w:t>
      </w:r>
      <w:r>
        <w:rPr/>
        <w:t>только</w:t>
      </w:r>
      <w:r>
        <w:rPr>
          <w:spacing w:val="-10"/>
        </w:rPr>
        <w:t> </w:t>
      </w:r>
      <w:r>
        <w:rPr/>
        <w:t>фибрином,</w:t>
      </w:r>
      <w:r>
        <w:rPr>
          <w:spacing w:val="-9"/>
        </w:rPr>
        <w:t> </w:t>
      </w:r>
      <w:r>
        <w:rPr/>
        <w:t>но</w:t>
      </w:r>
      <w:r>
        <w:rPr>
          <w:spacing w:val="-12"/>
        </w:rPr>
        <w:t> </w:t>
      </w:r>
      <w:r>
        <w:rPr/>
        <w:t>и</w:t>
      </w:r>
      <w:r>
        <w:rPr>
          <w:spacing w:val="-9"/>
        </w:rPr>
        <w:t> </w:t>
      </w:r>
      <w:r>
        <w:rPr/>
        <w:t>тромбоцитами.</w:t>
      </w:r>
      <w:r>
        <w:rPr>
          <w:spacing w:val="-9"/>
        </w:rPr>
        <w:t> </w:t>
      </w:r>
      <w:r>
        <w:rPr/>
        <w:t>Отмечаются признаки тромботической микроангиопатии в</w:t>
      </w:r>
      <w:r>
        <w:rPr>
          <w:spacing w:val="-4"/>
        </w:rPr>
        <w:t> </w:t>
      </w:r>
      <w:r>
        <w:rPr/>
        <w:t>легких.</w:t>
      </w:r>
    </w:p>
    <w:p>
      <w:pPr>
        <w:pStyle w:val="BodyText"/>
        <w:spacing w:line="360" w:lineRule="auto"/>
        <w:ind w:right="673" w:firstLine="708"/>
      </w:pPr>
      <w:r>
        <w:rPr/>
        <w:t>Данные электронной микроскопии свидетельствует о наличии значительного повреждения эндотелиальных клеток, связанного с проникновением в клетки SARS-CoV-2, распространенного тромбоза мелких сосудов, микроангиопатии, окклюзии капилляров альвеол и признаков неоангиогенеза.</w:t>
      </w:r>
    </w:p>
    <w:p>
      <w:pPr>
        <w:pStyle w:val="BodyText"/>
        <w:spacing w:line="360" w:lineRule="auto"/>
        <w:ind w:right="673" w:firstLine="626"/>
      </w:pPr>
      <w:r>
        <w:rPr/>
        <w:t>ДВС-синдром развивается, как правило, на поздних стадиях заболевания. Он встречается лишь у 0,6% выживших больных и в 71,4% у умерших больных. Развитие гиперкоагуляции сопряжено с риском развития тромботических осложнений. Для верификации диагноза ТЭЛА необходимо выполнение КТ с внутривенным контрастированием, для диагностики тромбоза глубоких вен (ТГВ) нижних конечностей – проведение УЗИ сосудов нижних конечностей.</w:t>
      </w:r>
    </w:p>
    <w:p>
      <w:pPr>
        <w:pStyle w:val="BodyText"/>
        <w:spacing w:line="360" w:lineRule="auto"/>
        <w:ind w:right="675" w:firstLine="566"/>
      </w:pPr>
      <w:r>
        <w:rPr/>
        <w:t>При госпитализации пациентов с подозрением на COVID-19 или подтвержденным</w:t>
      </w:r>
      <w:r>
        <w:rPr>
          <w:spacing w:val="-15"/>
        </w:rPr>
        <w:t> </w:t>
      </w:r>
      <w:r>
        <w:rPr/>
        <w:t>COVID-19</w:t>
      </w:r>
      <w:r>
        <w:rPr>
          <w:spacing w:val="-14"/>
        </w:rPr>
        <w:t> </w:t>
      </w:r>
      <w:r>
        <w:rPr/>
        <w:t>рекомендуется</w:t>
      </w:r>
      <w:r>
        <w:rPr>
          <w:spacing w:val="-14"/>
        </w:rPr>
        <w:t> </w:t>
      </w:r>
      <w:r>
        <w:rPr/>
        <w:t>тесты</w:t>
      </w:r>
      <w:r>
        <w:rPr>
          <w:spacing w:val="-15"/>
        </w:rPr>
        <w:t> </w:t>
      </w:r>
      <w:r>
        <w:rPr/>
        <w:t>для</w:t>
      </w:r>
      <w:r>
        <w:rPr>
          <w:spacing w:val="-15"/>
        </w:rPr>
        <w:t> </w:t>
      </w:r>
      <w:r>
        <w:rPr/>
        <w:t>скрининга</w:t>
      </w:r>
      <w:r>
        <w:rPr>
          <w:spacing w:val="-15"/>
        </w:rPr>
        <w:t> </w:t>
      </w:r>
      <w:r>
        <w:rPr/>
        <w:t>нарушений</w:t>
      </w:r>
      <w:r>
        <w:rPr>
          <w:spacing w:val="-13"/>
        </w:rPr>
        <w:t> </w:t>
      </w:r>
      <w:r>
        <w:rPr/>
        <w:t>гемостаза: определение  в  крови  уровня  D-димера,  протромбинового  времени,  фибриногена   и развернутого анализа крови, включающего количество</w:t>
      </w:r>
      <w:r>
        <w:rPr>
          <w:spacing w:val="-2"/>
        </w:rPr>
        <w:t> </w:t>
      </w:r>
      <w:r>
        <w:rPr/>
        <w:t>тромбоцитов.</w:t>
      </w:r>
    </w:p>
    <w:p>
      <w:pPr>
        <w:pStyle w:val="BodyText"/>
        <w:spacing w:line="360" w:lineRule="auto" w:before="1"/>
        <w:ind w:right="674" w:firstLine="708"/>
      </w:pPr>
      <w:r>
        <w:rPr/>
        <w:t>Профилактику ТГВ нижних конечностей/ТЭЛА с использованием профилактических</w:t>
      </w:r>
      <w:r>
        <w:rPr>
          <w:spacing w:val="-15"/>
        </w:rPr>
        <w:t> </w:t>
      </w:r>
      <w:r>
        <w:rPr/>
        <w:t>доз</w:t>
      </w:r>
      <w:r>
        <w:rPr>
          <w:spacing w:val="-17"/>
        </w:rPr>
        <w:t> </w:t>
      </w:r>
      <w:r>
        <w:rPr/>
        <w:t>НМГ/НФГ</w:t>
      </w:r>
      <w:r>
        <w:rPr>
          <w:spacing w:val="-16"/>
        </w:rPr>
        <w:t> </w:t>
      </w:r>
      <w:r>
        <w:rPr/>
        <w:t>целесообразно</w:t>
      </w:r>
      <w:r>
        <w:rPr>
          <w:spacing w:val="-17"/>
        </w:rPr>
        <w:t> </w:t>
      </w:r>
      <w:r>
        <w:rPr/>
        <w:t>проводить</w:t>
      </w:r>
      <w:r>
        <w:rPr>
          <w:spacing w:val="-16"/>
        </w:rPr>
        <w:t> </w:t>
      </w:r>
      <w:r>
        <w:rPr/>
        <w:t>больным</w:t>
      </w:r>
      <w:r>
        <w:rPr>
          <w:spacing w:val="-18"/>
        </w:rPr>
        <w:t> </w:t>
      </w:r>
      <w:r>
        <w:rPr/>
        <w:t>со</w:t>
      </w:r>
      <w:r>
        <w:rPr>
          <w:spacing w:val="-17"/>
        </w:rPr>
        <w:t> </w:t>
      </w:r>
      <w:r>
        <w:rPr/>
        <w:t>среднетяжёлой формой COVID-19, которые лечатся дома и имеют высокий риск венозных тромбоэмболических осложнений, низкий риск кровотечений и не получают антикоагулянтного  лечения  по  другим  показаниям.  Это  относится  прежде  всего   к больным с сильно ограниченной подвижностью, ТГВ/ТЭЛА в анамнезе, активным злокачественным     новообразованием,      крупной      операцией      или      травмой    в предшествуюший месяц, носителям ряда тромбофилий (дефициты антитромбина, протеинов С или S, антифиосфолипидный синдром, фактор V Лейден, мутация гена протромбина G-20210A), а также при сочетании дополнительных факторов риска ТГВ/ТЭЛА</w:t>
      </w:r>
      <w:r>
        <w:rPr>
          <w:spacing w:val="-14"/>
        </w:rPr>
        <w:t> </w:t>
      </w:r>
      <w:r>
        <w:rPr/>
        <w:t>(возраст</w:t>
      </w:r>
      <w:r>
        <w:rPr>
          <w:spacing w:val="-12"/>
        </w:rPr>
        <w:t> </w:t>
      </w:r>
      <w:r>
        <w:rPr/>
        <w:t>старше</w:t>
      </w:r>
      <w:r>
        <w:rPr>
          <w:spacing w:val="-14"/>
        </w:rPr>
        <w:t> </w:t>
      </w:r>
      <w:r>
        <w:rPr/>
        <w:t>70</w:t>
      </w:r>
      <w:r>
        <w:rPr>
          <w:spacing w:val="-13"/>
        </w:rPr>
        <w:t> </w:t>
      </w:r>
      <w:r>
        <w:rPr/>
        <w:t>лет,</w:t>
      </w:r>
      <w:r>
        <w:rPr>
          <w:spacing w:val="-13"/>
        </w:rPr>
        <w:t> </w:t>
      </w:r>
      <w:r>
        <w:rPr/>
        <w:t>сердечная/дыхательная</w:t>
      </w:r>
      <w:r>
        <w:rPr>
          <w:spacing w:val="-15"/>
        </w:rPr>
        <w:t> </w:t>
      </w:r>
      <w:r>
        <w:rPr/>
        <w:t>недостаточность,</w:t>
      </w:r>
      <w:r>
        <w:rPr>
          <w:spacing w:val="-12"/>
        </w:rPr>
        <w:t> </w:t>
      </w:r>
      <w:r>
        <w:rPr/>
        <w:t>ожирение, системное заболевание соединительной ткани, гормональная заместительная терапия/приём оральных контрацептивов). В амбулаторной практике может быть рекомендовано  применение  прямых   пероральных   антикоагулянтов:   апиксабан   по 2,5 мг 2 раза в сутки или ривароксабан 10 мг 1 раз в сутки (Приложение 9-1). При этом следует уделять особое внимание наличию противопоказаний (прежде всего выраженная почечная недостаточность). Во время использования антикоагулянтов необходимо повторно оценивать риск и активно искать признаки</w:t>
      </w:r>
      <w:r>
        <w:rPr>
          <w:spacing w:val="17"/>
        </w:rPr>
        <w:t> </w:t>
      </w:r>
      <w:r>
        <w:rPr/>
        <w:t>кровотечений.</w:t>
      </w:r>
    </w:p>
    <w:p>
      <w:pPr>
        <w:spacing w:after="0" w:line="360" w:lineRule="auto"/>
        <w:sectPr>
          <w:pgSz w:w="11920" w:h="16850"/>
          <w:pgMar w:header="0" w:footer="620" w:top="1060" w:bottom="880" w:left="1380" w:right="600"/>
        </w:sectPr>
      </w:pPr>
    </w:p>
    <w:p>
      <w:pPr>
        <w:pStyle w:val="BodyText"/>
        <w:spacing w:line="360" w:lineRule="auto" w:before="78"/>
        <w:ind w:right="676"/>
      </w:pPr>
      <w:r>
        <w:rPr/>
        <w:t>Необходимо учитывать, что при амбулаторном лечении антикоагулянты в первичной профилактике ТГВ/ТЭЛА изучены недостаточно.</w:t>
      </w:r>
    </w:p>
    <w:p>
      <w:pPr>
        <w:pStyle w:val="BodyText"/>
        <w:spacing w:line="360" w:lineRule="auto"/>
        <w:ind w:right="673" w:firstLine="708"/>
      </w:pPr>
      <w:r>
        <w:rPr/>
        <w:t>Назначение     низкомолекулярных     гепаринов     (НМГ),     как     минимум,    в</w:t>
      </w:r>
      <w:r>
        <w:rPr>
          <w:spacing w:val="-3"/>
        </w:rPr>
        <w:t> </w:t>
      </w:r>
      <w:r>
        <w:rPr/>
        <w:t>профилактических</w:t>
      </w:r>
      <w:r>
        <w:rPr>
          <w:spacing w:val="-7"/>
        </w:rPr>
        <w:t> </w:t>
      </w:r>
      <w:r>
        <w:rPr/>
        <w:t>дозах</w:t>
      </w:r>
      <w:r>
        <w:rPr>
          <w:spacing w:val="-6"/>
        </w:rPr>
        <w:t> </w:t>
      </w:r>
      <w:r>
        <w:rPr/>
        <w:t>показано</w:t>
      </w:r>
      <w:r>
        <w:rPr>
          <w:spacing w:val="-10"/>
        </w:rPr>
        <w:t> </w:t>
      </w:r>
      <w:r>
        <w:rPr/>
        <w:t>ВСЕМ</w:t>
      </w:r>
      <w:r>
        <w:rPr>
          <w:spacing w:val="-8"/>
        </w:rPr>
        <w:t> </w:t>
      </w:r>
      <w:r>
        <w:rPr/>
        <w:t>госпитализированным</w:t>
      </w:r>
      <w:r>
        <w:rPr>
          <w:spacing w:val="-10"/>
        </w:rPr>
        <w:t> </w:t>
      </w:r>
      <w:r>
        <w:rPr/>
        <w:t>пациентам</w:t>
      </w:r>
      <w:r>
        <w:rPr>
          <w:spacing w:val="-9"/>
        </w:rPr>
        <w:t> </w:t>
      </w:r>
      <w:r>
        <w:rPr/>
        <w:t>и</w:t>
      </w:r>
      <w:r>
        <w:rPr>
          <w:spacing w:val="-9"/>
        </w:rPr>
        <w:t> </w:t>
      </w:r>
      <w:r>
        <w:rPr/>
        <w:t>должно продолжаться как минимум до выписки. Нет доказанных преимуществ какого-либо одного</w:t>
      </w:r>
      <w:r>
        <w:rPr>
          <w:spacing w:val="-18"/>
        </w:rPr>
        <w:t> </w:t>
      </w:r>
      <w:r>
        <w:rPr/>
        <w:t>НМГ</w:t>
      </w:r>
      <w:r>
        <w:rPr>
          <w:spacing w:val="-18"/>
        </w:rPr>
        <w:t> </w:t>
      </w:r>
      <w:r>
        <w:rPr/>
        <w:t>по</w:t>
      </w:r>
      <w:r>
        <w:rPr>
          <w:spacing w:val="-17"/>
        </w:rPr>
        <w:t> </w:t>
      </w:r>
      <w:r>
        <w:rPr/>
        <w:t>сравнению</w:t>
      </w:r>
      <w:r>
        <w:rPr>
          <w:spacing w:val="-17"/>
        </w:rPr>
        <w:t> </w:t>
      </w:r>
      <w:r>
        <w:rPr/>
        <w:t>с</w:t>
      </w:r>
      <w:r>
        <w:rPr>
          <w:spacing w:val="-18"/>
        </w:rPr>
        <w:t> </w:t>
      </w:r>
      <w:r>
        <w:rPr/>
        <w:t>другими.</w:t>
      </w:r>
      <w:r>
        <w:rPr>
          <w:spacing w:val="-17"/>
        </w:rPr>
        <w:t> </w:t>
      </w:r>
      <w:r>
        <w:rPr/>
        <w:t>При</w:t>
      </w:r>
      <w:r>
        <w:rPr>
          <w:spacing w:val="-16"/>
        </w:rPr>
        <w:t> </w:t>
      </w:r>
      <w:r>
        <w:rPr/>
        <w:t>недоступности</w:t>
      </w:r>
      <w:r>
        <w:rPr>
          <w:spacing w:val="-16"/>
        </w:rPr>
        <w:t> </w:t>
      </w:r>
      <w:r>
        <w:rPr/>
        <w:t>НМГ</w:t>
      </w:r>
      <w:r>
        <w:rPr>
          <w:spacing w:val="-16"/>
        </w:rPr>
        <w:t> </w:t>
      </w:r>
      <w:r>
        <w:rPr/>
        <w:t>или</w:t>
      </w:r>
      <w:r>
        <w:rPr>
          <w:spacing w:val="-18"/>
        </w:rPr>
        <w:t> </w:t>
      </w:r>
      <w:r>
        <w:rPr/>
        <w:t>противопоказаниях к ним возможно использование нефракционированного гепарина (НФГ). Увеличение дозы гепарина до промежуточной или лечебной может быть рассмотрено у больных   с высоким и крайне высоким уровнем D-димера, при наличии дополнительных факторов риска венозных тромбоэмболических осложнений, а также при тяжелых проявлениях</w:t>
      </w:r>
      <w:r>
        <w:rPr>
          <w:spacing w:val="-12"/>
        </w:rPr>
        <w:t> </w:t>
      </w:r>
      <w:r>
        <w:rPr/>
        <w:t>COVID-19,</w:t>
      </w:r>
      <w:r>
        <w:rPr>
          <w:spacing w:val="-14"/>
        </w:rPr>
        <w:t> </w:t>
      </w:r>
      <w:r>
        <w:rPr/>
        <w:t>лечении</w:t>
      </w:r>
      <w:r>
        <w:rPr>
          <w:spacing w:val="-13"/>
        </w:rPr>
        <w:t> </w:t>
      </w:r>
      <w:r>
        <w:rPr/>
        <w:t>в</w:t>
      </w:r>
      <w:r>
        <w:rPr>
          <w:spacing w:val="-14"/>
        </w:rPr>
        <w:t> </w:t>
      </w:r>
      <w:r>
        <w:rPr/>
        <w:t>блоке</w:t>
      </w:r>
      <w:r>
        <w:rPr>
          <w:spacing w:val="-15"/>
        </w:rPr>
        <w:t> </w:t>
      </w:r>
      <w:r>
        <w:rPr/>
        <w:t>ОРИТ.</w:t>
      </w:r>
      <w:r>
        <w:rPr>
          <w:spacing w:val="-15"/>
        </w:rPr>
        <w:t> </w:t>
      </w:r>
      <w:r>
        <w:rPr/>
        <w:t>У</w:t>
      </w:r>
      <w:r>
        <w:rPr>
          <w:spacing w:val="-13"/>
        </w:rPr>
        <w:t> </w:t>
      </w:r>
      <w:r>
        <w:rPr/>
        <w:t>больных</w:t>
      </w:r>
      <w:r>
        <w:rPr>
          <w:spacing w:val="-12"/>
        </w:rPr>
        <w:t> </w:t>
      </w:r>
      <w:r>
        <w:rPr/>
        <w:t>с</w:t>
      </w:r>
      <w:r>
        <w:rPr>
          <w:spacing w:val="-15"/>
        </w:rPr>
        <w:t> </w:t>
      </w:r>
      <w:r>
        <w:rPr/>
        <w:t>ожирением</w:t>
      </w:r>
      <w:r>
        <w:rPr>
          <w:spacing w:val="-15"/>
        </w:rPr>
        <w:t> </w:t>
      </w:r>
      <w:r>
        <w:rPr/>
        <w:t>(индекс</w:t>
      </w:r>
      <w:r>
        <w:rPr>
          <w:spacing w:val="-14"/>
        </w:rPr>
        <w:t> </w:t>
      </w:r>
      <w:r>
        <w:rPr/>
        <w:t>массы тела &gt; 30 кг/м</w:t>
      </w:r>
      <w:r>
        <w:rPr>
          <w:vertAlign w:val="superscript"/>
        </w:rPr>
        <w:t>2</w:t>
      </w:r>
      <w:r>
        <w:rPr>
          <w:vertAlign w:val="baseline"/>
        </w:rPr>
        <w:t>) следует рассмотреть увеличение профилактической дозы на</w:t>
      </w:r>
      <w:r>
        <w:rPr>
          <w:spacing w:val="-8"/>
          <w:vertAlign w:val="baseline"/>
        </w:rPr>
        <w:t> </w:t>
      </w:r>
      <w:r>
        <w:rPr>
          <w:vertAlign w:val="baseline"/>
        </w:rPr>
        <w:t>50%.</w:t>
      </w:r>
    </w:p>
    <w:p>
      <w:pPr>
        <w:pStyle w:val="BodyText"/>
        <w:ind w:left="1029"/>
      </w:pPr>
      <w:r>
        <w:rPr/>
        <w:t>Дозы препаратов гепарина представлены в </w:t>
      </w:r>
      <w:hyperlink w:history="true" w:anchor="_bookmark60">
        <w:r>
          <w:rPr>
            <w:color w:val="0562C1"/>
            <w:u w:val="single" w:color="0562C1"/>
          </w:rPr>
          <w:t>Приложении 9-2</w:t>
        </w:r>
        <w:r>
          <w:rPr/>
          <w:t>.</w:t>
        </w:r>
      </w:hyperlink>
    </w:p>
    <w:p>
      <w:pPr>
        <w:pStyle w:val="BodyText"/>
        <w:spacing w:line="360" w:lineRule="auto" w:before="137"/>
        <w:ind w:right="673" w:firstLine="708"/>
      </w:pPr>
      <w:r>
        <w:rPr/>
        <w:t>Продленная профилактика у больных с COVID-19 после выписки может быть рассмотрена при сохраняющемся повышенном риске венозных тромбоэмболических осложнений</w:t>
      </w:r>
      <w:r>
        <w:rPr>
          <w:spacing w:val="-18"/>
        </w:rPr>
        <w:t> </w:t>
      </w:r>
      <w:r>
        <w:rPr/>
        <w:t>и</w:t>
      </w:r>
      <w:r>
        <w:rPr>
          <w:spacing w:val="-16"/>
        </w:rPr>
        <w:t> </w:t>
      </w:r>
      <w:r>
        <w:rPr/>
        <w:t>низком</w:t>
      </w:r>
      <w:r>
        <w:rPr>
          <w:spacing w:val="-16"/>
        </w:rPr>
        <w:t> </w:t>
      </w:r>
      <w:r>
        <w:rPr/>
        <w:t>риске</w:t>
      </w:r>
      <w:r>
        <w:rPr>
          <w:spacing w:val="-18"/>
        </w:rPr>
        <w:t> </w:t>
      </w:r>
      <w:r>
        <w:rPr/>
        <w:t>кровотечений</w:t>
      </w:r>
      <w:r>
        <w:rPr>
          <w:spacing w:val="-16"/>
        </w:rPr>
        <w:t> </w:t>
      </w:r>
      <w:r>
        <w:rPr/>
        <w:t>в</w:t>
      </w:r>
      <w:r>
        <w:rPr>
          <w:spacing w:val="-16"/>
        </w:rPr>
        <w:t> </w:t>
      </w:r>
      <w:r>
        <w:rPr/>
        <w:t>случаях,</w:t>
      </w:r>
      <w:r>
        <w:rPr>
          <w:spacing w:val="-17"/>
        </w:rPr>
        <w:t> </w:t>
      </w:r>
      <w:r>
        <w:rPr/>
        <w:t>когда</w:t>
      </w:r>
      <w:r>
        <w:rPr>
          <w:spacing w:val="-17"/>
        </w:rPr>
        <w:t> </w:t>
      </w:r>
      <w:r>
        <w:rPr/>
        <w:t>не</w:t>
      </w:r>
      <w:r>
        <w:rPr>
          <w:spacing w:val="-18"/>
        </w:rPr>
        <w:t> </w:t>
      </w:r>
      <w:r>
        <w:rPr/>
        <w:t>требуются</w:t>
      </w:r>
      <w:r>
        <w:rPr>
          <w:spacing w:val="-17"/>
        </w:rPr>
        <w:t> </w:t>
      </w:r>
      <w:r>
        <w:rPr/>
        <w:t>лечебные</w:t>
      </w:r>
      <w:r>
        <w:rPr>
          <w:spacing w:val="-17"/>
        </w:rPr>
        <w:t> </w:t>
      </w:r>
      <w:r>
        <w:rPr/>
        <w:t>дозы антикоагулянта по другим показаниям. В качестве антикоагулянтов для продленной профилактики венозных тромбоэмболических осложнений имеется доказательная база для профилактических доз эноксапарина и ривароксабан в дозе 10 мг 1 раз в сутки. Кандидатами для продленной профилактики ТГВ (вплоть до 45 дней после выписки) могут быть больные пожилого возраста, больные, лечившиеся в блоке интенсивной терапии, с активным злокачественным новообразованием, ТГВ/ТЭЛА в анамнезе, сохраняющимся выраженным ограничением подвижности, концентрацией D-димера  в крови &gt; 2 раз выше верхней границы</w:t>
      </w:r>
      <w:r>
        <w:rPr>
          <w:spacing w:val="-2"/>
        </w:rPr>
        <w:t> </w:t>
      </w:r>
      <w:r>
        <w:rPr/>
        <w:t>нормы.</w:t>
      </w:r>
    </w:p>
    <w:p>
      <w:pPr>
        <w:pStyle w:val="BodyText"/>
        <w:spacing w:line="360" w:lineRule="auto" w:before="2"/>
        <w:ind w:right="675" w:firstLine="708"/>
      </w:pPr>
      <w:r>
        <w:rPr/>
        <w:t>При тромботических осложнениях следует использовать лечебные дозы НМГ/НФГ.    Применение  лечебных   доз  НМГ/НФГ  может  рассматриваться  также у больных с клиническим подозрением на тромботические осложнения, когда нет возможности   верифицировать   диагноз.   Лечение    ТГВ/ТЭЛА,    ассоциированных с</w:t>
      </w:r>
      <w:r>
        <w:rPr>
          <w:spacing w:val="-3"/>
        </w:rPr>
        <w:t> </w:t>
      </w:r>
      <w:r>
        <w:rPr/>
        <w:t>COVID-19,</w:t>
      </w:r>
      <w:r>
        <w:rPr>
          <w:spacing w:val="-12"/>
        </w:rPr>
        <w:t> </w:t>
      </w:r>
      <w:r>
        <w:rPr/>
        <w:t>антикоагулянтами</w:t>
      </w:r>
      <w:r>
        <w:rPr>
          <w:spacing w:val="-13"/>
        </w:rPr>
        <w:t> </w:t>
      </w:r>
      <w:r>
        <w:rPr/>
        <w:t>следует</w:t>
      </w:r>
      <w:r>
        <w:rPr>
          <w:spacing w:val="-13"/>
        </w:rPr>
        <w:t> </w:t>
      </w:r>
      <w:r>
        <w:rPr/>
        <w:t>продолжать</w:t>
      </w:r>
      <w:r>
        <w:rPr>
          <w:spacing w:val="-14"/>
        </w:rPr>
        <w:t> </w:t>
      </w:r>
      <w:r>
        <w:rPr/>
        <w:t>не</w:t>
      </w:r>
      <w:r>
        <w:rPr>
          <w:spacing w:val="-14"/>
        </w:rPr>
        <w:t> </w:t>
      </w:r>
      <w:r>
        <w:rPr/>
        <w:t>менее</w:t>
      </w:r>
      <w:r>
        <w:rPr>
          <w:spacing w:val="-15"/>
        </w:rPr>
        <w:t> </w:t>
      </w:r>
      <w:r>
        <w:rPr/>
        <w:t>3</w:t>
      </w:r>
      <w:r>
        <w:rPr>
          <w:spacing w:val="-13"/>
        </w:rPr>
        <w:t> </w:t>
      </w:r>
      <w:r>
        <w:rPr/>
        <w:t>месяцев;</w:t>
      </w:r>
      <w:r>
        <w:rPr>
          <w:spacing w:val="-14"/>
        </w:rPr>
        <w:t> </w:t>
      </w:r>
      <w:r>
        <w:rPr/>
        <w:t>после</w:t>
      </w:r>
      <w:r>
        <w:rPr>
          <w:spacing w:val="-14"/>
        </w:rPr>
        <w:t> </w:t>
      </w:r>
      <w:r>
        <w:rPr/>
        <w:t>выписки предпочтительно использовать прямые пероральные антикоагулянты, если к ним нет противопоказаний.</w:t>
      </w:r>
    </w:p>
    <w:p>
      <w:pPr>
        <w:pStyle w:val="BodyText"/>
        <w:spacing w:line="360" w:lineRule="auto"/>
        <w:ind w:right="678" w:firstLine="708"/>
      </w:pPr>
      <w:r>
        <w:rPr/>
        <w:t>Список     возможных     к      назначению      антикоагулянтов      представлен   в </w:t>
      </w:r>
      <w:hyperlink w:history="true" w:anchor="_bookmark60">
        <w:r>
          <w:rPr>
            <w:color w:val="0562C1"/>
            <w:u w:val="single" w:color="0562C1"/>
          </w:rPr>
          <w:t>Приложении</w:t>
        </w:r>
        <w:r>
          <w:rPr>
            <w:color w:val="0562C1"/>
            <w:spacing w:val="-1"/>
            <w:u w:val="single" w:color="0562C1"/>
          </w:rPr>
          <w:t> </w:t>
        </w:r>
        <w:r>
          <w:rPr>
            <w:color w:val="0562C1"/>
            <w:u w:val="single" w:color="0562C1"/>
          </w:rPr>
          <w:t>9-2</w:t>
        </w:r>
      </w:hyperlink>
      <w:r>
        <w:rPr/>
        <w:t>.</w:t>
      </w:r>
    </w:p>
    <w:p>
      <w:pPr>
        <w:spacing w:after="0" w:line="360" w:lineRule="auto"/>
        <w:sectPr>
          <w:pgSz w:w="11920" w:h="16850"/>
          <w:pgMar w:header="0" w:footer="620" w:top="1060" w:bottom="880" w:left="1380" w:right="600"/>
        </w:sectPr>
      </w:pPr>
    </w:p>
    <w:p>
      <w:pPr>
        <w:pStyle w:val="BodyText"/>
        <w:spacing w:line="360" w:lineRule="auto" w:before="78"/>
        <w:ind w:right="674" w:firstLine="708"/>
      </w:pPr>
      <w:r>
        <w:rPr/>
        <w:t>У</w:t>
      </w:r>
      <w:r>
        <w:rPr>
          <w:spacing w:val="-7"/>
        </w:rPr>
        <w:t> </w:t>
      </w:r>
      <w:r>
        <w:rPr/>
        <w:t>пациентов</w:t>
      </w:r>
      <w:r>
        <w:rPr>
          <w:spacing w:val="-7"/>
        </w:rPr>
        <w:t> </w:t>
      </w:r>
      <w:r>
        <w:rPr/>
        <w:t>с</w:t>
      </w:r>
      <w:r>
        <w:rPr>
          <w:spacing w:val="-10"/>
        </w:rPr>
        <w:t> </w:t>
      </w:r>
      <w:r>
        <w:rPr/>
        <w:t>иммунной</w:t>
      </w:r>
      <w:r>
        <w:rPr>
          <w:spacing w:val="-6"/>
        </w:rPr>
        <w:t> </w:t>
      </w:r>
      <w:r>
        <w:rPr/>
        <w:t>тромбоцитопенией,</w:t>
      </w:r>
      <w:r>
        <w:rPr>
          <w:spacing w:val="-9"/>
        </w:rPr>
        <w:t> </w:t>
      </w:r>
      <w:r>
        <w:rPr/>
        <w:t>вызванной</w:t>
      </w:r>
      <w:r>
        <w:rPr>
          <w:spacing w:val="-7"/>
        </w:rPr>
        <w:t> </w:t>
      </w:r>
      <w:r>
        <w:rPr/>
        <w:t>гепарином,</w:t>
      </w:r>
      <w:r>
        <w:rPr>
          <w:spacing w:val="-6"/>
        </w:rPr>
        <w:t> </w:t>
      </w:r>
      <w:r>
        <w:rPr/>
        <w:t>а</w:t>
      </w:r>
      <w:r>
        <w:rPr>
          <w:spacing w:val="-10"/>
        </w:rPr>
        <w:t> </w:t>
      </w:r>
      <w:r>
        <w:rPr/>
        <w:t>также</w:t>
      </w:r>
      <w:r>
        <w:rPr>
          <w:spacing w:val="-8"/>
        </w:rPr>
        <w:t> </w:t>
      </w:r>
      <w:r>
        <w:rPr/>
        <w:t>при исходно низком количестве тромбоцитов, для профилактики и лечения венозных тромбоэмболических</w:t>
      </w:r>
      <w:r>
        <w:rPr>
          <w:spacing w:val="-9"/>
        </w:rPr>
        <w:t> </w:t>
      </w:r>
      <w:r>
        <w:rPr/>
        <w:t>осложнений</w:t>
      </w:r>
      <w:r>
        <w:rPr>
          <w:spacing w:val="-10"/>
        </w:rPr>
        <w:t> </w:t>
      </w:r>
      <w:r>
        <w:rPr/>
        <w:t>рекомендуется</w:t>
      </w:r>
      <w:r>
        <w:rPr>
          <w:spacing w:val="-11"/>
        </w:rPr>
        <w:t> </w:t>
      </w:r>
      <w:r>
        <w:rPr/>
        <w:t>использовать</w:t>
      </w:r>
      <w:r>
        <w:rPr>
          <w:spacing w:val="-10"/>
        </w:rPr>
        <w:t> </w:t>
      </w:r>
      <w:r>
        <w:rPr/>
        <w:t>фондапаринукс</w:t>
      </w:r>
      <w:r>
        <w:rPr>
          <w:spacing w:val="-12"/>
        </w:rPr>
        <w:t> </w:t>
      </w:r>
      <w:r>
        <w:rPr/>
        <w:t>натрия. Фондапаринукс натрия, в отличие препаратов НМГ/НФГ, лишен потенциально благоприятных плейотропных эффектов, однако, с другой стороны, он не вызывает гепарин-индуцированную</w:t>
      </w:r>
      <w:r>
        <w:rPr>
          <w:spacing w:val="2"/>
        </w:rPr>
        <w:t> </w:t>
      </w:r>
      <w:r>
        <w:rPr/>
        <w:t>тромбоцитопению.</w:t>
      </w:r>
    </w:p>
    <w:p>
      <w:pPr>
        <w:pStyle w:val="BodyText"/>
        <w:spacing w:line="360" w:lineRule="auto"/>
        <w:ind w:right="675" w:firstLine="708"/>
      </w:pPr>
      <w:r>
        <w:rPr/>
        <w:t>НМГ,  фондапаринукс  натрия  не  рекомендуется  использовать  у  пациентов  с выраженной почечной недостаточностью или быстро меняющейся функцией</w:t>
      </w:r>
      <w:r>
        <w:rPr>
          <w:spacing w:val="-12"/>
        </w:rPr>
        <w:t> </w:t>
      </w:r>
      <w:r>
        <w:rPr/>
        <w:t>почек.</w:t>
      </w:r>
    </w:p>
    <w:p>
      <w:pPr>
        <w:pStyle w:val="BodyText"/>
        <w:spacing w:line="360" w:lineRule="auto"/>
        <w:ind w:right="673" w:firstLine="708"/>
      </w:pPr>
      <w:r>
        <w:rPr/>
        <w:t>Противопоказания для использования антикоагулянтов – продолжающееся кровотечение, уровень тромбоцитов в крови ниже 25*10</w:t>
      </w:r>
      <w:r>
        <w:rPr>
          <w:vertAlign w:val="superscript"/>
        </w:rPr>
        <w:t>9</w:t>
      </w:r>
      <w:r>
        <w:rPr>
          <w:vertAlign w:val="baseline"/>
        </w:rPr>
        <w:t>/л, выраженная почечная недостаточность (для НМГ и фондапаринукса натрия). Повышенное протромбиновое время</w:t>
      </w:r>
      <w:r>
        <w:rPr>
          <w:spacing w:val="-8"/>
          <w:vertAlign w:val="baseline"/>
        </w:rPr>
        <w:t> </w:t>
      </w:r>
      <w:r>
        <w:rPr>
          <w:vertAlign w:val="baseline"/>
        </w:rPr>
        <w:t>и</w:t>
      </w:r>
      <w:r>
        <w:rPr>
          <w:spacing w:val="-6"/>
          <w:vertAlign w:val="baseline"/>
        </w:rPr>
        <w:t> </w:t>
      </w:r>
      <w:r>
        <w:rPr>
          <w:vertAlign w:val="baseline"/>
        </w:rPr>
        <w:t>АЧТВ</w:t>
      </w:r>
      <w:r>
        <w:rPr>
          <w:spacing w:val="-9"/>
          <w:vertAlign w:val="baseline"/>
        </w:rPr>
        <w:t> </w:t>
      </w:r>
      <w:r>
        <w:rPr>
          <w:vertAlign w:val="baseline"/>
        </w:rPr>
        <w:t>не</w:t>
      </w:r>
      <w:r>
        <w:rPr>
          <w:spacing w:val="-8"/>
          <w:vertAlign w:val="baseline"/>
        </w:rPr>
        <w:t> </w:t>
      </w:r>
      <w:r>
        <w:rPr>
          <w:vertAlign w:val="baseline"/>
        </w:rPr>
        <w:t>относятся</w:t>
      </w:r>
      <w:r>
        <w:rPr>
          <w:spacing w:val="-7"/>
          <w:vertAlign w:val="baseline"/>
        </w:rPr>
        <w:t> </w:t>
      </w:r>
      <w:r>
        <w:rPr>
          <w:vertAlign w:val="baseline"/>
        </w:rPr>
        <w:t>к</w:t>
      </w:r>
      <w:r>
        <w:rPr>
          <w:spacing w:val="-9"/>
          <w:vertAlign w:val="baseline"/>
        </w:rPr>
        <w:t> </w:t>
      </w:r>
      <w:r>
        <w:rPr>
          <w:vertAlign w:val="baseline"/>
        </w:rPr>
        <w:t>противопоказаниям</w:t>
      </w:r>
      <w:r>
        <w:rPr>
          <w:spacing w:val="-9"/>
          <w:vertAlign w:val="baseline"/>
        </w:rPr>
        <w:t> </w:t>
      </w:r>
      <w:r>
        <w:rPr>
          <w:vertAlign w:val="baseline"/>
        </w:rPr>
        <w:t>к</w:t>
      </w:r>
      <w:r>
        <w:rPr>
          <w:spacing w:val="-9"/>
          <w:vertAlign w:val="baseline"/>
        </w:rPr>
        <w:t> </w:t>
      </w:r>
      <w:r>
        <w:rPr>
          <w:vertAlign w:val="baseline"/>
        </w:rPr>
        <w:t>назначению</w:t>
      </w:r>
      <w:r>
        <w:rPr>
          <w:spacing w:val="-9"/>
          <w:vertAlign w:val="baseline"/>
        </w:rPr>
        <w:t> </w:t>
      </w:r>
      <w:r>
        <w:rPr>
          <w:vertAlign w:val="baseline"/>
        </w:rPr>
        <w:t>антикоагулянтов.</w:t>
      </w:r>
      <w:r>
        <w:rPr>
          <w:spacing w:val="-7"/>
          <w:vertAlign w:val="baseline"/>
        </w:rPr>
        <w:t> </w:t>
      </w:r>
      <w:r>
        <w:rPr>
          <w:vertAlign w:val="baseline"/>
        </w:rPr>
        <w:t>Если антикоагулянты противопоказны, следует использовать механические способы профилактики ТГВ нижних конечностей (предпочтительно перемежающуюся пневматическую</w:t>
      </w:r>
      <w:r>
        <w:rPr>
          <w:spacing w:val="-1"/>
          <w:vertAlign w:val="baseline"/>
        </w:rPr>
        <w:t> </w:t>
      </w:r>
      <w:r>
        <w:rPr>
          <w:vertAlign w:val="baseline"/>
        </w:rPr>
        <w:t>компрессию).</w:t>
      </w:r>
    </w:p>
    <w:p>
      <w:pPr>
        <w:pStyle w:val="BodyText"/>
        <w:spacing w:line="360" w:lineRule="auto"/>
        <w:ind w:right="673" w:firstLine="566"/>
      </w:pPr>
      <w:r>
        <w:rPr/>
        <w:t>Данных о применении прямых пероральных антикоагулянтов при COVID-19 нет. Пациентам, получающим пероральные антикоагулянты по другим показаниям, при не тяжелых проявлениях COVID‑19, их прием можно продолжить. При неприемлемых лекарственных взаимодействиях с препаратами для лечения COVID‑19 (прием лопиновира/ритонавира), а также при тяжелой форме COVID‑19 рекомендуется переход на лечебные дозы гепарина (предпочтительно НМГ).</w:t>
      </w:r>
    </w:p>
    <w:p>
      <w:pPr>
        <w:pStyle w:val="BodyText"/>
        <w:spacing w:line="331" w:lineRule="auto" w:before="3"/>
        <w:ind w:right="673" w:firstLine="566"/>
      </w:pPr>
      <w:r>
        <w:rPr/>
        <w:t>Кратность  определения  D</w:t>
      </w:r>
      <w:r>
        <w:rPr>
          <w:rFonts w:ascii="MS Gothic" w:hAnsi="MS Gothic"/>
        </w:rPr>
        <w:t>-</w:t>
      </w:r>
      <w:r>
        <w:rPr/>
        <w:t>димера,  протромбинового  времени,  фибриногена   и количества тромбоцитов зависит от тяжести COVID‑19 инфекции, важна динамика как в сторону повышения, так и понижения показателей. У госпитализированных больных</w:t>
      </w:r>
      <w:r>
        <w:rPr>
          <w:spacing w:val="-4"/>
        </w:rPr>
        <w:t> </w:t>
      </w:r>
      <w:r>
        <w:rPr/>
        <w:t>при</w:t>
      </w:r>
      <w:r>
        <w:rPr>
          <w:spacing w:val="-5"/>
        </w:rPr>
        <w:t> </w:t>
      </w:r>
      <w:r>
        <w:rPr/>
        <w:t>легком</w:t>
      </w:r>
      <w:r>
        <w:rPr>
          <w:spacing w:val="-6"/>
        </w:rPr>
        <w:t> </w:t>
      </w:r>
      <w:r>
        <w:rPr/>
        <w:t>варианте</w:t>
      </w:r>
      <w:r>
        <w:rPr>
          <w:spacing w:val="-7"/>
        </w:rPr>
        <w:t> </w:t>
      </w:r>
      <w:r>
        <w:rPr/>
        <w:t>течения</w:t>
      </w:r>
      <w:r>
        <w:rPr>
          <w:spacing w:val="-6"/>
        </w:rPr>
        <w:t> </w:t>
      </w:r>
      <w:r>
        <w:rPr/>
        <w:t>1</w:t>
      </w:r>
      <w:r>
        <w:rPr>
          <w:spacing w:val="-6"/>
        </w:rPr>
        <w:t> </w:t>
      </w:r>
      <w:r>
        <w:rPr/>
        <w:t>раз</w:t>
      </w:r>
      <w:r>
        <w:rPr>
          <w:spacing w:val="-5"/>
        </w:rPr>
        <w:t> </w:t>
      </w:r>
      <w:r>
        <w:rPr/>
        <w:t>в</w:t>
      </w:r>
      <w:r>
        <w:rPr>
          <w:spacing w:val="-6"/>
        </w:rPr>
        <w:t> </w:t>
      </w:r>
      <w:r>
        <w:rPr/>
        <w:t>4‑5</w:t>
      </w:r>
      <w:r>
        <w:rPr>
          <w:spacing w:val="-6"/>
        </w:rPr>
        <w:t> </w:t>
      </w:r>
      <w:r>
        <w:rPr/>
        <w:t>дней,</w:t>
      </w:r>
      <w:r>
        <w:rPr>
          <w:spacing w:val="-6"/>
        </w:rPr>
        <w:t> </w:t>
      </w:r>
      <w:r>
        <w:rPr/>
        <w:t>при</w:t>
      </w:r>
      <w:r>
        <w:rPr>
          <w:spacing w:val="-5"/>
        </w:rPr>
        <w:t> </w:t>
      </w:r>
      <w:r>
        <w:rPr/>
        <w:t>средней</w:t>
      </w:r>
      <w:r>
        <w:rPr>
          <w:spacing w:val="-5"/>
        </w:rPr>
        <w:t> </w:t>
      </w:r>
      <w:r>
        <w:rPr/>
        <w:t>тяжести</w:t>
      </w:r>
      <w:r>
        <w:rPr>
          <w:spacing w:val="-5"/>
        </w:rPr>
        <w:t> </w:t>
      </w:r>
      <w:r>
        <w:rPr/>
        <w:t>1</w:t>
      </w:r>
      <w:r>
        <w:rPr>
          <w:spacing w:val="-7"/>
        </w:rPr>
        <w:t> </w:t>
      </w:r>
      <w:r>
        <w:rPr/>
        <w:t>раз</w:t>
      </w:r>
      <w:r>
        <w:rPr>
          <w:spacing w:val="-4"/>
        </w:rPr>
        <w:t> </w:t>
      </w:r>
      <w:r>
        <w:rPr/>
        <w:t>в</w:t>
      </w:r>
      <w:r>
        <w:rPr>
          <w:spacing w:val="-4"/>
        </w:rPr>
        <w:t> </w:t>
      </w:r>
      <w:r>
        <w:rPr/>
        <w:t>два дня,</w:t>
      </w:r>
      <w:r>
        <w:rPr>
          <w:spacing w:val="-8"/>
        </w:rPr>
        <w:t> </w:t>
      </w:r>
      <w:r>
        <w:rPr/>
        <w:t>при</w:t>
      </w:r>
      <w:r>
        <w:rPr>
          <w:spacing w:val="-7"/>
        </w:rPr>
        <w:t> </w:t>
      </w:r>
      <w:r>
        <w:rPr/>
        <w:t>тяжелом</w:t>
      </w:r>
      <w:r>
        <w:rPr>
          <w:spacing w:val="-9"/>
        </w:rPr>
        <w:t> </w:t>
      </w:r>
      <w:r>
        <w:rPr/>
        <w:t>–</w:t>
      </w:r>
      <w:r>
        <w:rPr>
          <w:spacing w:val="-8"/>
        </w:rPr>
        <w:t> </w:t>
      </w:r>
      <w:r>
        <w:rPr/>
        <w:t>ежедневно.</w:t>
      </w:r>
      <w:r>
        <w:rPr>
          <w:spacing w:val="-7"/>
        </w:rPr>
        <w:t> </w:t>
      </w:r>
      <w:r>
        <w:rPr/>
        <w:t>Внеочередной</w:t>
      </w:r>
      <w:r>
        <w:rPr>
          <w:spacing w:val="-7"/>
        </w:rPr>
        <w:t> </w:t>
      </w:r>
      <w:r>
        <w:rPr/>
        <w:t>анализ</w:t>
      </w:r>
      <w:r>
        <w:rPr>
          <w:spacing w:val="-7"/>
        </w:rPr>
        <w:t> </w:t>
      </w:r>
      <w:r>
        <w:rPr/>
        <w:t>вышеперечисленных</w:t>
      </w:r>
      <w:r>
        <w:rPr>
          <w:spacing w:val="-6"/>
        </w:rPr>
        <w:t> </w:t>
      </w:r>
      <w:r>
        <w:rPr/>
        <w:t>показателей берется при усугублении тяжести по</w:t>
      </w:r>
      <w:r>
        <w:rPr>
          <w:spacing w:val="6"/>
        </w:rPr>
        <w:t> </w:t>
      </w:r>
      <w:r>
        <w:rPr/>
        <w:t>COVID‑19.</w:t>
      </w:r>
    </w:p>
    <w:p>
      <w:pPr>
        <w:pStyle w:val="BodyText"/>
        <w:spacing w:line="331" w:lineRule="auto" w:before="6"/>
        <w:ind w:right="675" w:firstLine="708"/>
      </w:pPr>
      <w:r>
        <w:rPr/>
        <w:t>Для диагностики ДВС-синдрома рекомендуется использовать критерии Международного общества тромбоза и гемостаза (таблица 2). Диагноз ДВС‑синдрома устанавливается при наличии 5 баллов по этим критериям.</w:t>
      </w:r>
    </w:p>
    <w:p>
      <w:pPr>
        <w:pStyle w:val="BodyText"/>
        <w:spacing w:before="1"/>
        <w:ind w:left="0"/>
        <w:jc w:val="left"/>
        <w:rPr>
          <w:sz w:val="22"/>
        </w:rPr>
      </w:pPr>
    </w:p>
    <w:p>
      <w:pPr>
        <w:pStyle w:val="BodyText"/>
        <w:jc w:val="left"/>
      </w:pPr>
      <w:r>
        <w:rPr>
          <w:b/>
        </w:rPr>
        <w:t>Таблица 2. </w:t>
      </w:r>
      <w:r>
        <w:rPr/>
        <w:t>Критерии явного ДВС Международного общества тромбоза и гемостаза.</w:t>
      </w:r>
    </w:p>
    <w:p>
      <w:pPr>
        <w:pStyle w:val="BodyText"/>
        <w:spacing w:before="6"/>
        <w:ind w:left="0"/>
        <w:jc w:val="left"/>
        <w:rPr>
          <w:sz w:val="10"/>
        </w:rPr>
      </w:pPr>
    </w:p>
    <w:tbl>
      <w:tblPr>
        <w:tblW w:w="0" w:type="auto"/>
        <w:jc w:val="left"/>
        <w:tblInd w:w="3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3624"/>
        <w:gridCol w:w="838"/>
        <w:gridCol w:w="4469"/>
      </w:tblGrid>
      <w:tr>
        <w:trPr>
          <w:trHeight w:val="282" w:hRule="atLeast"/>
        </w:trPr>
        <w:tc>
          <w:tcPr>
            <w:tcW w:w="3624" w:type="dxa"/>
            <w:shd w:val="clear" w:color="auto" w:fill="F1F1F1"/>
          </w:tcPr>
          <w:p>
            <w:pPr>
              <w:pStyle w:val="TableParagraph"/>
              <w:spacing w:line="263" w:lineRule="exact"/>
              <w:ind w:left="107"/>
              <w:rPr>
                <w:sz w:val="24"/>
              </w:rPr>
            </w:pPr>
            <w:r>
              <w:rPr>
                <w:sz w:val="24"/>
              </w:rPr>
              <w:t>Показатель</w:t>
            </w:r>
          </w:p>
        </w:tc>
        <w:tc>
          <w:tcPr>
            <w:tcW w:w="838" w:type="dxa"/>
            <w:shd w:val="clear" w:color="auto" w:fill="F1F1F1"/>
          </w:tcPr>
          <w:p>
            <w:pPr>
              <w:pStyle w:val="TableParagraph"/>
              <w:spacing w:line="263" w:lineRule="exact"/>
              <w:ind w:left="105"/>
              <w:rPr>
                <w:sz w:val="24"/>
              </w:rPr>
            </w:pPr>
            <w:r>
              <w:rPr>
                <w:sz w:val="24"/>
              </w:rPr>
              <w:t>Балл</w:t>
            </w:r>
          </w:p>
        </w:tc>
        <w:tc>
          <w:tcPr>
            <w:tcW w:w="4469" w:type="dxa"/>
            <w:shd w:val="clear" w:color="auto" w:fill="F1F1F1"/>
          </w:tcPr>
          <w:p>
            <w:pPr>
              <w:pStyle w:val="TableParagraph"/>
              <w:spacing w:line="263" w:lineRule="exact"/>
              <w:ind w:right="1159"/>
              <w:jc w:val="right"/>
              <w:rPr>
                <w:sz w:val="24"/>
              </w:rPr>
            </w:pPr>
            <w:r>
              <w:rPr>
                <w:sz w:val="24"/>
              </w:rPr>
              <w:t>Значения показателя</w:t>
            </w:r>
          </w:p>
        </w:tc>
      </w:tr>
      <w:tr>
        <w:trPr>
          <w:trHeight w:val="282" w:hRule="atLeast"/>
        </w:trPr>
        <w:tc>
          <w:tcPr>
            <w:tcW w:w="3624" w:type="dxa"/>
            <w:vMerge w:val="restart"/>
          </w:tcPr>
          <w:p>
            <w:pPr>
              <w:pStyle w:val="TableParagraph"/>
              <w:ind w:left="107" w:right="892"/>
              <w:rPr>
                <w:sz w:val="24"/>
              </w:rPr>
            </w:pPr>
            <w:r>
              <w:rPr>
                <w:sz w:val="24"/>
              </w:rPr>
              <w:t>Количество тромбоцитов (на 10</w:t>
            </w:r>
            <w:r>
              <w:rPr>
                <w:sz w:val="24"/>
                <w:vertAlign w:val="superscript"/>
              </w:rPr>
              <w:t>9</w:t>
            </w:r>
            <w:r>
              <w:rPr>
                <w:sz w:val="24"/>
                <w:vertAlign w:val="baseline"/>
              </w:rPr>
              <w:t>/л)</w:t>
            </w:r>
          </w:p>
        </w:tc>
        <w:tc>
          <w:tcPr>
            <w:tcW w:w="838" w:type="dxa"/>
          </w:tcPr>
          <w:p>
            <w:pPr>
              <w:pStyle w:val="TableParagraph"/>
              <w:spacing w:line="263" w:lineRule="exact"/>
              <w:ind w:left="2"/>
              <w:jc w:val="center"/>
              <w:rPr>
                <w:sz w:val="24"/>
              </w:rPr>
            </w:pPr>
            <w:r>
              <w:rPr>
                <w:sz w:val="24"/>
              </w:rPr>
              <w:t>2</w:t>
            </w:r>
          </w:p>
        </w:tc>
        <w:tc>
          <w:tcPr>
            <w:tcW w:w="4469" w:type="dxa"/>
          </w:tcPr>
          <w:p>
            <w:pPr>
              <w:pStyle w:val="TableParagraph"/>
              <w:spacing w:line="263" w:lineRule="exact"/>
              <w:ind w:left="880" w:right="1759"/>
              <w:jc w:val="center"/>
              <w:rPr>
                <w:sz w:val="24"/>
              </w:rPr>
            </w:pPr>
            <w:r>
              <w:rPr>
                <w:sz w:val="24"/>
              </w:rPr>
              <w:t>&lt; 50</w:t>
            </w:r>
          </w:p>
        </w:tc>
      </w:tr>
      <w:tr>
        <w:trPr>
          <w:trHeight w:val="282" w:hRule="atLeast"/>
        </w:trPr>
        <w:tc>
          <w:tcPr>
            <w:tcW w:w="3624" w:type="dxa"/>
            <w:vMerge/>
            <w:tcBorders>
              <w:top w:val="nil"/>
            </w:tcBorders>
          </w:tcPr>
          <w:p>
            <w:pPr>
              <w:rPr>
                <w:sz w:val="2"/>
                <w:szCs w:val="2"/>
              </w:rPr>
            </w:pPr>
          </w:p>
        </w:tc>
        <w:tc>
          <w:tcPr>
            <w:tcW w:w="838" w:type="dxa"/>
          </w:tcPr>
          <w:p>
            <w:pPr>
              <w:pStyle w:val="TableParagraph"/>
              <w:spacing w:line="263" w:lineRule="exact"/>
              <w:ind w:left="2"/>
              <w:jc w:val="center"/>
              <w:rPr>
                <w:sz w:val="24"/>
              </w:rPr>
            </w:pPr>
            <w:r>
              <w:rPr>
                <w:sz w:val="24"/>
              </w:rPr>
              <w:t>1</w:t>
            </w:r>
          </w:p>
        </w:tc>
        <w:tc>
          <w:tcPr>
            <w:tcW w:w="4469" w:type="dxa"/>
          </w:tcPr>
          <w:p>
            <w:pPr>
              <w:pStyle w:val="TableParagraph"/>
              <w:spacing w:line="263" w:lineRule="exact"/>
              <w:ind w:left="1552" w:right="1759"/>
              <w:jc w:val="center"/>
              <w:rPr>
                <w:sz w:val="24"/>
              </w:rPr>
            </w:pPr>
            <w:r>
              <w:rPr>
                <w:sz w:val="24"/>
              </w:rPr>
              <w:t>≥ 50, &lt; 100</w:t>
            </w:r>
          </w:p>
        </w:tc>
      </w:tr>
      <w:tr>
        <w:trPr>
          <w:trHeight w:val="285" w:hRule="atLeast"/>
        </w:trPr>
        <w:tc>
          <w:tcPr>
            <w:tcW w:w="3624" w:type="dxa"/>
            <w:shd w:val="clear" w:color="auto" w:fill="F1F1F1"/>
          </w:tcPr>
          <w:p>
            <w:pPr>
              <w:pStyle w:val="TableParagraph"/>
              <w:rPr>
                <w:sz w:val="20"/>
              </w:rPr>
            </w:pPr>
          </w:p>
        </w:tc>
        <w:tc>
          <w:tcPr>
            <w:tcW w:w="838" w:type="dxa"/>
            <w:shd w:val="clear" w:color="auto" w:fill="F1F1F1"/>
          </w:tcPr>
          <w:p>
            <w:pPr>
              <w:pStyle w:val="TableParagraph"/>
              <w:spacing w:line="265" w:lineRule="exact"/>
              <w:ind w:left="2"/>
              <w:jc w:val="center"/>
              <w:rPr>
                <w:sz w:val="24"/>
              </w:rPr>
            </w:pPr>
            <w:r>
              <w:rPr>
                <w:sz w:val="24"/>
              </w:rPr>
              <w:t>3</w:t>
            </w:r>
          </w:p>
        </w:tc>
        <w:tc>
          <w:tcPr>
            <w:tcW w:w="4469" w:type="dxa"/>
            <w:shd w:val="clear" w:color="auto" w:fill="F1F1F1"/>
          </w:tcPr>
          <w:p>
            <w:pPr>
              <w:pStyle w:val="TableParagraph"/>
              <w:spacing w:line="265" w:lineRule="exact"/>
              <w:ind w:right="1115"/>
              <w:jc w:val="right"/>
              <w:rPr>
                <w:sz w:val="24"/>
              </w:rPr>
            </w:pPr>
            <w:r>
              <w:rPr>
                <w:sz w:val="24"/>
              </w:rPr>
              <w:t>Сильно повышен</w:t>
            </w:r>
          </w:p>
        </w:tc>
      </w:tr>
    </w:tbl>
    <w:p>
      <w:pPr>
        <w:spacing w:after="0" w:line="265" w:lineRule="exact"/>
        <w:jc w:val="right"/>
        <w:rPr>
          <w:sz w:val="24"/>
        </w:rPr>
        <w:sectPr>
          <w:pgSz w:w="11920" w:h="16850"/>
          <w:pgMar w:header="0" w:footer="620" w:top="1060" w:bottom="880" w:left="1380" w:right="600"/>
        </w:sectPr>
      </w:pPr>
    </w:p>
    <w:tbl>
      <w:tblPr>
        <w:tblW w:w="0" w:type="auto"/>
        <w:jc w:val="left"/>
        <w:tblInd w:w="3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3626"/>
        <w:gridCol w:w="835"/>
        <w:gridCol w:w="4469"/>
      </w:tblGrid>
      <w:tr>
        <w:trPr>
          <w:trHeight w:val="551" w:hRule="atLeast"/>
        </w:trPr>
        <w:tc>
          <w:tcPr>
            <w:tcW w:w="3626" w:type="dxa"/>
            <w:shd w:val="clear" w:color="auto" w:fill="F1F1F1"/>
          </w:tcPr>
          <w:p>
            <w:pPr>
              <w:pStyle w:val="TableParagraph"/>
              <w:spacing w:line="276" w:lineRule="exact" w:before="2"/>
              <w:ind w:left="107" w:right="1239"/>
              <w:rPr>
                <w:sz w:val="24"/>
              </w:rPr>
            </w:pPr>
            <w:r>
              <w:rPr>
                <w:sz w:val="24"/>
              </w:rPr>
              <w:t>Продукты деградации фибрина/D-димер</w:t>
            </w:r>
          </w:p>
        </w:tc>
        <w:tc>
          <w:tcPr>
            <w:tcW w:w="835" w:type="dxa"/>
            <w:shd w:val="clear" w:color="auto" w:fill="F1F1F1"/>
          </w:tcPr>
          <w:p>
            <w:pPr>
              <w:pStyle w:val="TableParagraph"/>
              <w:spacing w:line="275" w:lineRule="exact"/>
              <w:ind w:left="1"/>
              <w:jc w:val="center"/>
              <w:rPr>
                <w:sz w:val="24"/>
              </w:rPr>
            </w:pPr>
            <w:r>
              <w:rPr>
                <w:sz w:val="24"/>
              </w:rPr>
              <w:t>2</w:t>
            </w:r>
          </w:p>
        </w:tc>
        <w:tc>
          <w:tcPr>
            <w:tcW w:w="4469" w:type="dxa"/>
            <w:shd w:val="clear" w:color="auto" w:fill="F1F1F1"/>
          </w:tcPr>
          <w:p>
            <w:pPr>
              <w:pStyle w:val="TableParagraph"/>
              <w:spacing w:line="275" w:lineRule="exact"/>
              <w:ind w:left="1572"/>
              <w:rPr>
                <w:sz w:val="24"/>
              </w:rPr>
            </w:pPr>
            <w:r>
              <w:rPr>
                <w:sz w:val="24"/>
              </w:rPr>
              <w:t>Умеренно повышен</w:t>
            </w:r>
          </w:p>
        </w:tc>
      </w:tr>
      <w:tr>
        <w:trPr>
          <w:trHeight w:val="280" w:hRule="atLeast"/>
        </w:trPr>
        <w:tc>
          <w:tcPr>
            <w:tcW w:w="3626" w:type="dxa"/>
            <w:vMerge w:val="restart"/>
          </w:tcPr>
          <w:p>
            <w:pPr>
              <w:pStyle w:val="TableParagraph"/>
              <w:spacing w:line="273" w:lineRule="exact"/>
              <w:ind w:left="107"/>
              <w:rPr>
                <w:sz w:val="24"/>
              </w:rPr>
            </w:pPr>
            <w:r>
              <w:rPr>
                <w:sz w:val="24"/>
              </w:rPr>
              <w:t>Протромбиновое время</w:t>
            </w:r>
          </w:p>
        </w:tc>
        <w:tc>
          <w:tcPr>
            <w:tcW w:w="835" w:type="dxa"/>
          </w:tcPr>
          <w:p>
            <w:pPr>
              <w:pStyle w:val="TableParagraph"/>
              <w:spacing w:line="260" w:lineRule="exact"/>
              <w:ind w:left="1"/>
              <w:jc w:val="center"/>
              <w:rPr>
                <w:sz w:val="24"/>
              </w:rPr>
            </w:pPr>
            <w:r>
              <w:rPr>
                <w:sz w:val="24"/>
              </w:rPr>
              <w:t>2</w:t>
            </w:r>
          </w:p>
        </w:tc>
        <w:tc>
          <w:tcPr>
            <w:tcW w:w="4469" w:type="dxa"/>
          </w:tcPr>
          <w:p>
            <w:pPr>
              <w:pStyle w:val="TableParagraph"/>
              <w:spacing w:line="260" w:lineRule="exact"/>
              <w:ind w:left="1572"/>
              <w:rPr>
                <w:sz w:val="24"/>
              </w:rPr>
            </w:pPr>
            <w:r>
              <w:rPr>
                <w:sz w:val="24"/>
              </w:rPr>
              <w:t>≥ 6 сек</w:t>
            </w:r>
          </w:p>
        </w:tc>
      </w:tr>
      <w:tr>
        <w:trPr>
          <w:trHeight w:val="282" w:hRule="atLeast"/>
        </w:trPr>
        <w:tc>
          <w:tcPr>
            <w:tcW w:w="3626" w:type="dxa"/>
            <w:vMerge/>
            <w:tcBorders>
              <w:top w:val="nil"/>
            </w:tcBorders>
          </w:tcPr>
          <w:p>
            <w:pPr>
              <w:rPr>
                <w:sz w:val="2"/>
                <w:szCs w:val="2"/>
              </w:rPr>
            </w:pPr>
          </w:p>
        </w:tc>
        <w:tc>
          <w:tcPr>
            <w:tcW w:w="835" w:type="dxa"/>
          </w:tcPr>
          <w:p>
            <w:pPr>
              <w:pStyle w:val="TableParagraph"/>
              <w:spacing w:line="263" w:lineRule="exact"/>
              <w:ind w:left="1"/>
              <w:jc w:val="center"/>
              <w:rPr>
                <w:sz w:val="24"/>
              </w:rPr>
            </w:pPr>
            <w:r>
              <w:rPr>
                <w:sz w:val="24"/>
              </w:rPr>
              <w:t>1</w:t>
            </w:r>
          </w:p>
        </w:tc>
        <w:tc>
          <w:tcPr>
            <w:tcW w:w="4469" w:type="dxa"/>
          </w:tcPr>
          <w:p>
            <w:pPr>
              <w:pStyle w:val="TableParagraph"/>
              <w:spacing w:line="263" w:lineRule="exact"/>
              <w:ind w:left="1572"/>
              <w:rPr>
                <w:sz w:val="24"/>
              </w:rPr>
            </w:pPr>
            <w:r>
              <w:rPr>
                <w:sz w:val="24"/>
              </w:rPr>
              <w:t>≥ 3 сек, &lt; 6 сек</w:t>
            </w:r>
          </w:p>
        </w:tc>
      </w:tr>
      <w:tr>
        <w:trPr>
          <w:trHeight w:val="285" w:hRule="atLeast"/>
        </w:trPr>
        <w:tc>
          <w:tcPr>
            <w:tcW w:w="3626" w:type="dxa"/>
            <w:shd w:val="clear" w:color="auto" w:fill="F1F1F1"/>
          </w:tcPr>
          <w:p>
            <w:pPr>
              <w:pStyle w:val="TableParagraph"/>
              <w:spacing w:line="265" w:lineRule="exact"/>
              <w:ind w:left="107"/>
              <w:rPr>
                <w:sz w:val="24"/>
              </w:rPr>
            </w:pPr>
            <w:r>
              <w:rPr>
                <w:sz w:val="24"/>
              </w:rPr>
              <w:t>Фибриноген (мг/мл)</w:t>
            </w:r>
          </w:p>
        </w:tc>
        <w:tc>
          <w:tcPr>
            <w:tcW w:w="835" w:type="dxa"/>
            <w:shd w:val="clear" w:color="auto" w:fill="F1F1F1"/>
          </w:tcPr>
          <w:p>
            <w:pPr>
              <w:pStyle w:val="TableParagraph"/>
              <w:spacing w:line="265" w:lineRule="exact"/>
              <w:ind w:left="1"/>
              <w:jc w:val="center"/>
              <w:rPr>
                <w:sz w:val="24"/>
              </w:rPr>
            </w:pPr>
            <w:r>
              <w:rPr>
                <w:sz w:val="24"/>
              </w:rPr>
              <w:t>1</w:t>
            </w:r>
          </w:p>
        </w:tc>
        <w:tc>
          <w:tcPr>
            <w:tcW w:w="4469" w:type="dxa"/>
            <w:shd w:val="clear" w:color="auto" w:fill="F1F1F1"/>
          </w:tcPr>
          <w:p>
            <w:pPr>
              <w:pStyle w:val="TableParagraph"/>
              <w:spacing w:line="265" w:lineRule="exact"/>
              <w:ind w:left="1572"/>
              <w:rPr>
                <w:sz w:val="24"/>
              </w:rPr>
            </w:pPr>
            <w:r>
              <w:rPr>
                <w:sz w:val="24"/>
              </w:rPr>
              <w:t>&lt; 100</w:t>
            </w:r>
          </w:p>
        </w:tc>
      </w:tr>
    </w:tbl>
    <w:p>
      <w:pPr>
        <w:pStyle w:val="BodyText"/>
        <w:spacing w:before="7"/>
        <w:ind w:left="0"/>
        <w:jc w:val="left"/>
        <w:rPr>
          <w:sz w:val="25"/>
        </w:rPr>
      </w:pPr>
    </w:p>
    <w:p>
      <w:pPr>
        <w:pStyle w:val="BodyText"/>
        <w:spacing w:line="324" w:lineRule="auto" w:before="90"/>
        <w:ind w:right="674" w:firstLine="708"/>
      </w:pPr>
      <w:r>
        <w:rPr/>
        <w:t>У</w:t>
      </w:r>
      <w:r>
        <w:rPr>
          <w:spacing w:val="-17"/>
        </w:rPr>
        <w:t> </w:t>
      </w:r>
      <w:r>
        <w:rPr/>
        <w:t>пациентов</w:t>
      </w:r>
      <w:r>
        <w:rPr>
          <w:spacing w:val="-17"/>
        </w:rPr>
        <w:t> </w:t>
      </w:r>
      <w:r>
        <w:rPr/>
        <w:t>с</w:t>
      </w:r>
      <w:r>
        <w:rPr>
          <w:spacing w:val="-18"/>
        </w:rPr>
        <w:t> </w:t>
      </w:r>
      <w:r>
        <w:rPr/>
        <w:t>коагулопатией</w:t>
      </w:r>
      <w:r>
        <w:rPr>
          <w:spacing w:val="-17"/>
        </w:rPr>
        <w:t> </w:t>
      </w:r>
      <w:r>
        <w:rPr/>
        <w:t>потребления</w:t>
      </w:r>
      <w:r>
        <w:rPr>
          <w:spacing w:val="-17"/>
        </w:rPr>
        <w:t> </w:t>
      </w:r>
      <w:r>
        <w:rPr/>
        <w:t>при</w:t>
      </w:r>
      <w:r>
        <w:rPr>
          <w:spacing w:val="-16"/>
        </w:rPr>
        <w:t> </w:t>
      </w:r>
      <w:r>
        <w:rPr/>
        <w:t>отсутствии</w:t>
      </w:r>
      <w:r>
        <w:rPr>
          <w:spacing w:val="-16"/>
        </w:rPr>
        <w:t> </w:t>
      </w:r>
      <w:r>
        <w:rPr/>
        <w:t>кровотечений</w:t>
      </w:r>
      <w:r>
        <w:rPr>
          <w:spacing w:val="-17"/>
        </w:rPr>
        <w:t> </w:t>
      </w:r>
      <w:r>
        <w:rPr/>
        <w:t>следует поддерживать количество тромбоцитов выше 20*10</w:t>
      </w:r>
      <w:r>
        <w:rPr>
          <w:vertAlign w:val="superscript"/>
        </w:rPr>
        <w:t>9</w:t>
      </w:r>
      <w:r>
        <w:rPr>
          <w:vertAlign w:val="baseline"/>
        </w:rPr>
        <w:t>/л, плазменную концентрацию фибриногена – выше 2,0 г/л. У пациентов с кровотечениями следует поддерживать количество тромбоцитов выше 50*10</w:t>
      </w:r>
      <w:r>
        <w:rPr>
          <w:vertAlign w:val="superscript"/>
        </w:rPr>
        <w:t>9</w:t>
      </w:r>
      <w:r>
        <w:rPr>
          <w:vertAlign w:val="baseline"/>
        </w:rPr>
        <w:t>/л, плазменную концентрацию фибриногена – выше 2,0 г/л, протромбиновое отношение &lt;</w:t>
      </w:r>
      <w:r>
        <w:rPr>
          <w:spacing w:val="-5"/>
          <w:vertAlign w:val="baseline"/>
        </w:rPr>
        <w:t> </w:t>
      </w:r>
      <w:r>
        <w:rPr>
          <w:vertAlign w:val="baseline"/>
        </w:rPr>
        <w:t>1,5.</w:t>
      </w:r>
    </w:p>
    <w:p>
      <w:pPr>
        <w:pStyle w:val="BodyText"/>
        <w:spacing w:line="324" w:lineRule="auto" w:before="14"/>
        <w:ind w:right="676" w:firstLine="708"/>
      </w:pPr>
      <w:r>
        <w:rPr/>
        <w:t>У больных в критическом состоянии, а также при использовании методов экстракорпоральной поддержки кровообращения, при отсутствии возможности мониторировать состояние системы гемостаза традиционными методами допустимо использовать глобальные тесты (тромбоэластография) при наличии опыта их применения и интерпретации.</w:t>
      </w:r>
    </w:p>
    <w:p>
      <w:pPr>
        <w:pStyle w:val="BodyText"/>
        <w:spacing w:line="312" w:lineRule="auto" w:before="14"/>
        <w:ind w:right="674" w:firstLine="708"/>
      </w:pPr>
      <w:r>
        <w:rPr/>
        <w:t>Основными критериями эффективности упреждающей противовоспалительной терапии являются динамика клинического ответа: снижение уровня лихорадки, </w:t>
      </w:r>
      <w:r>
        <w:rPr>
          <w:position w:val="2"/>
        </w:rPr>
        <w:t>улучшение</w:t>
      </w:r>
      <w:r>
        <w:rPr>
          <w:spacing w:val="-8"/>
          <w:position w:val="2"/>
        </w:rPr>
        <w:t> </w:t>
      </w:r>
      <w:r>
        <w:rPr>
          <w:position w:val="2"/>
        </w:rPr>
        <w:t>самочувствия,</w:t>
      </w:r>
      <w:r>
        <w:rPr>
          <w:spacing w:val="-6"/>
          <w:position w:val="2"/>
        </w:rPr>
        <w:t> </w:t>
      </w:r>
      <w:r>
        <w:rPr>
          <w:position w:val="2"/>
        </w:rPr>
        <w:t>появление</w:t>
      </w:r>
      <w:r>
        <w:rPr>
          <w:spacing w:val="-7"/>
          <w:position w:val="2"/>
        </w:rPr>
        <w:t> </w:t>
      </w:r>
      <w:r>
        <w:rPr>
          <w:position w:val="2"/>
        </w:rPr>
        <w:t>аппетита,</w:t>
      </w:r>
      <w:r>
        <w:rPr>
          <w:spacing w:val="-6"/>
          <w:position w:val="2"/>
        </w:rPr>
        <w:t> </w:t>
      </w:r>
      <w:r>
        <w:rPr>
          <w:position w:val="2"/>
        </w:rPr>
        <w:t>уменьшение</w:t>
      </w:r>
      <w:r>
        <w:rPr>
          <w:spacing w:val="-7"/>
          <w:position w:val="2"/>
        </w:rPr>
        <w:t> </w:t>
      </w:r>
      <w:r>
        <w:rPr>
          <w:position w:val="2"/>
        </w:rPr>
        <w:t>одышки,</w:t>
      </w:r>
      <w:r>
        <w:rPr>
          <w:spacing w:val="-9"/>
          <w:position w:val="2"/>
        </w:rPr>
        <w:t> </w:t>
      </w:r>
      <w:r>
        <w:rPr>
          <w:position w:val="2"/>
        </w:rPr>
        <w:t>повышение</w:t>
      </w:r>
      <w:r>
        <w:rPr>
          <w:spacing w:val="-7"/>
          <w:position w:val="2"/>
        </w:rPr>
        <w:t> </w:t>
      </w:r>
      <w:r>
        <w:rPr>
          <w:position w:val="2"/>
        </w:rPr>
        <w:t>SpО</w:t>
      </w:r>
      <w:r>
        <w:rPr>
          <w:sz w:val="16"/>
        </w:rPr>
        <w:t>2</w:t>
      </w:r>
      <w:r>
        <w:rPr>
          <w:position w:val="2"/>
        </w:rPr>
        <w:t>. </w:t>
      </w:r>
      <w:r>
        <w:rPr/>
        <w:t>При этом эффект от блокаторов ИЛ-6 наступает в течение 12 ч (чаще используются 1-2</w:t>
      </w:r>
      <w:r>
        <w:rPr>
          <w:spacing w:val="-11"/>
        </w:rPr>
        <w:t> </w:t>
      </w:r>
      <w:r>
        <w:rPr/>
        <w:t>инъекции),</w:t>
      </w:r>
      <w:r>
        <w:rPr>
          <w:spacing w:val="-11"/>
        </w:rPr>
        <w:t> </w:t>
      </w:r>
      <w:r>
        <w:rPr/>
        <w:t>лечения</w:t>
      </w:r>
      <w:r>
        <w:rPr>
          <w:spacing w:val="-11"/>
        </w:rPr>
        <w:t> </w:t>
      </w:r>
      <w:r>
        <w:rPr/>
        <w:t>ГК</w:t>
      </w:r>
      <w:r>
        <w:rPr>
          <w:spacing w:val="-9"/>
        </w:rPr>
        <w:t> </w:t>
      </w:r>
      <w:r>
        <w:rPr/>
        <w:t>–</w:t>
      </w:r>
      <w:r>
        <w:rPr>
          <w:spacing w:val="-11"/>
        </w:rPr>
        <w:t> </w:t>
      </w:r>
      <w:r>
        <w:rPr/>
        <w:t>от</w:t>
      </w:r>
      <w:r>
        <w:rPr>
          <w:spacing w:val="-10"/>
        </w:rPr>
        <w:t> </w:t>
      </w:r>
      <w:r>
        <w:rPr/>
        <w:t>12</w:t>
      </w:r>
      <w:r>
        <w:rPr>
          <w:spacing w:val="-11"/>
        </w:rPr>
        <w:t> </w:t>
      </w:r>
      <w:r>
        <w:rPr/>
        <w:t>до</w:t>
      </w:r>
      <w:r>
        <w:rPr>
          <w:spacing w:val="-10"/>
        </w:rPr>
        <w:t> </w:t>
      </w:r>
      <w:r>
        <w:rPr/>
        <w:t>72</w:t>
      </w:r>
      <w:r>
        <w:rPr>
          <w:spacing w:val="-9"/>
        </w:rPr>
        <w:t> </w:t>
      </w:r>
      <w:r>
        <w:rPr/>
        <w:t>ч</w:t>
      </w:r>
      <w:r>
        <w:rPr>
          <w:spacing w:val="-9"/>
        </w:rPr>
        <w:t> </w:t>
      </w:r>
      <w:r>
        <w:rPr/>
        <w:t>(курс</w:t>
      </w:r>
      <w:r>
        <w:rPr>
          <w:spacing w:val="-10"/>
        </w:rPr>
        <w:t> </w:t>
      </w:r>
      <w:r>
        <w:rPr/>
        <w:t>2-3</w:t>
      </w:r>
      <w:r>
        <w:rPr>
          <w:spacing w:val="-11"/>
        </w:rPr>
        <w:t> </w:t>
      </w:r>
      <w:r>
        <w:rPr/>
        <w:t>суток),</w:t>
      </w:r>
      <w:r>
        <w:rPr>
          <w:spacing w:val="-10"/>
        </w:rPr>
        <w:t> </w:t>
      </w:r>
      <w:r>
        <w:rPr/>
        <w:t>терапии</w:t>
      </w:r>
      <w:r>
        <w:rPr>
          <w:spacing w:val="-10"/>
        </w:rPr>
        <w:t> </w:t>
      </w:r>
      <w:r>
        <w:rPr/>
        <w:t>антикоагулянтами – от 120 ч (курс от 5 дней). Если эффект от упреждающей противовоспалительной терапии не получен, то необходимо предполагать другие причины ухудшения состояния (прогрессирование пневмонии, сепсис и</w:t>
      </w:r>
      <w:r>
        <w:rPr>
          <w:spacing w:val="-2"/>
        </w:rPr>
        <w:t> </w:t>
      </w:r>
      <w:r>
        <w:rPr/>
        <w:t>др.).</w:t>
      </w:r>
    </w:p>
    <w:p>
      <w:pPr>
        <w:pStyle w:val="BodyText"/>
        <w:spacing w:line="312" w:lineRule="auto" w:before="9"/>
        <w:ind w:right="674" w:firstLine="708"/>
      </w:pPr>
      <w:r>
        <w:rPr/>
        <w:t>При лечении COVID-19 необходимо обеспечивать достаточное поступление жидкости в организм. Восполнение суточной потребности в жидкости должно обеспечиваться преимущественно за счет пероральной регидратации. Суточная потребность в жидкости должна рассчитываться с учетом лихорадки, одышки, потерь жидкости при диарее, рвоте (в случае наличия у пациента таких симптомов). С целью профилактики отека легких пациентам следует ограничить объем вводимой жидкости, соблюдать нулевой или отрицательный гидробаланс. При выраженной интоксикации, а также при дискомфорте в животе, тошноте и/или рвоте показаны энтеросорбенты (диоксид кремния коллоидный, полиметилсилоксанаполигидрат и</w:t>
      </w:r>
      <w:r>
        <w:rPr>
          <w:spacing w:val="-8"/>
        </w:rPr>
        <w:t> </w:t>
      </w:r>
      <w:r>
        <w:rPr/>
        <w:t>другие).</w:t>
      </w:r>
    </w:p>
    <w:p>
      <w:pPr>
        <w:pStyle w:val="BodyText"/>
        <w:spacing w:line="312" w:lineRule="auto" w:before="16"/>
        <w:ind w:right="673" w:firstLine="708"/>
      </w:pPr>
      <w:r>
        <w:rPr/>
        <w:t>Пациентам в тяжелом состоянии (в ОРИТ) при наличии показаний проводится инфузионная терапия. Следует с осторожностью подходить к инфузионной терапии, поскольку избыточные трансфузии жидкостей могут ухудшить насыщение крови кислородом, особенно в условиях ограниченных возможностей ИВЛ, а также спровоцировать или усугубить проявления ОРДС. Объем инфузионной терапии должен составлять 10-15 мл/кг/сут.</w:t>
      </w:r>
    </w:p>
    <w:p>
      <w:pPr>
        <w:spacing w:after="0" w:line="312" w:lineRule="auto"/>
        <w:sectPr>
          <w:pgSz w:w="11920" w:h="16850"/>
          <w:pgMar w:header="0" w:footer="620" w:top="1140" w:bottom="880" w:left="1380" w:right="600"/>
        </w:sectPr>
      </w:pPr>
    </w:p>
    <w:p>
      <w:pPr>
        <w:pStyle w:val="BodyText"/>
        <w:spacing w:line="312" w:lineRule="auto" w:before="78"/>
        <w:ind w:right="674" w:firstLine="708"/>
      </w:pPr>
      <w:r>
        <w:rPr/>
        <w:t>При проведении инфузионной терапии важное значение имеет скорость введения жидкости: чем меньше скорость введения жидкости, тем безопаснее для пациента.</w:t>
      </w:r>
    </w:p>
    <w:p>
      <w:pPr>
        <w:pStyle w:val="BodyText"/>
        <w:spacing w:line="312" w:lineRule="auto" w:before="13"/>
        <w:ind w:right="675" w:firstLine="708"/>
      </w:pPr>
      <w:r>
        <w:rPr/>
        <w:t>В условиях проведения инфузионной терапии врач оценивает суточный диурез, динамику артериального давления, изменения аускультативной картины в легких, гематокрита (не ниже 0.35/л). При снижении объема диуреза, повышении артериального давления, увеличения количества хрипов в легких, снижении гематокрита объем парентерально вводимой жидкости должен быть уменьшен.</w:t>
      </w:r>
    </w:p>
    <w:p>
      <w:pPr>
        <w:pStyle w:val="BodyText"/>
        <w:spacing w:line="312" w:lineRule="auto" w:before="16"/>
        <w:ind w:right="673" w:firstLine="708"/>
      </w:pPr>
      <w:r>
        <w:rPr/>
        <w:t>Для</w:t>
      </w:r>
      <w:r>
        <w:rPr>
          <w:spacing w:val="-11"/>
        </w:rPr>
        <w:t> </w:t>
      </w:r>
      <w:r>
        <w:rPr/>
        <w:t>снижения</w:t>
      </w:r>
      <w:r>
        <w:rPr>
          <w:spacing w:val="-12"/>
        </w:rPr>
        <w:t> </w:t>
      </w:r>
      <w:r>
        <w:rPr/>
        <w:t>объема</w:t>
      </w:r>
      <w:r>
        <w:rPr>
          <w:spacing w:val="-12"/>
        </w:rPr>
        <w:t> </w:t>
      </w:r>
      <w:r>
        <w:rPr/>
        <w:t>инфузионной</w:t>
      </w:r>
      <w:r>
        <w:rPr>
          <w:spacing w:val="-11"/>
        </w:rPr>
        <w:t> </w:t>
      </w:r>
      <w:r>
        <w:rPr/>
        <w:t>терапии</w:t>
      </w:r>
      <w:r>
        <w:rPr>
          <w:spacing w:val="-12"/>
        </w:rPr>
        <w:t> </w:t>
      </w:r>
      <w:r>
        <w:rPr/>
        <w:t>поддержание</w:t>
      </w:r>
      <w:r>
        <w:rPr>
          <w:spacing w:val="-11"/>
        </w:rPr>
        <w:t> </w:t>
      </w:r>
      <w:r>
        <w:rPr/>
        <w:t>нутритивного</w:t>
      </w:r>
      <w:r>
        <w:rPr>
          <w:spacing w:val="-11"/>
        </w:rPr>
        <w:t> </w:t>
      </w:r>
      <w:r>
        <w:rPr/>
        <w:t>статуса пациента   при   необходимости   нужно   проводить    методом   зондового   питания   с использованием стандартных и полуэлементарных смесей для энтерального</w:t>
      </w:r>
      <w:r>
        <w:rPr>
          <w:spacing w:val="-44"/>
        </w:rPr>
        <w:t> </w:t>
      </w:r>
      <w:r>
        <w:rPr/>
        <w:t>питания. Питание должно быть  частым  и  дробным  для  исключения  переполнения  желудка и уменьшения экскурсии</w:t>
      </w:r>
      <w:r>
        <w:rPr>
          <w:spacing w:val="3"/>
        </w:rPr>
        <w:t> </w:t>
      </w:r>
      <w:r>
        <w:rPr/>
        <w:t>легких.</w:t>
      </w:r>
    </w:p>
    <w:p>
      <w:pPr>
        <w:pStyle w:val="BodyText"/>
        <w:spacing w:line="312" w:lineRule="auto" w:before="13"/>
        <w:ind w:right="675" w:firstLine="708"/>
      </w:pPr>
      <w:r>
        <w:rPr/>
        <w:t>С целью улучшения отхождения мокроты при продуктивном кашле назначают мукоактивные препараты (ацетилцистеин, амброксол, карбоцистеин). Бронхолитическая ингаляционная терапия с использованием сальбутамола, фенотерола, с применением комбинированных средств (ипратропия бромид+фенотерол) целесообразна при наличии бронхообструктивного синдрома.</w:t>
      </w:r>
    </w:p>
    <w:p>
      <w:pPr>
        <w:pStyle w:val="BodyText"/>
        <w:spacing w:before="9"/>
        <w:ind w:left="0"/>
        <w:jc w:val="left"/>
        <w:rPr>
          <w:sz w:val="20"/>
        </w:rPr>
      </w:pPr>
    </w:p>
    <w:p>
      <w:pPr>
        <w:pStyle w:val="Heading3"/>
        <w:jc w:val="left"/>
      </w:pPr>
      <w:bookmarkStart w:name="Патогенетическое лечение у беременных, р" w:id="49"/>
      <w:bookmarkEnd w:id="49"/>
      <w:r>
        <w:rPr>
          <w:b w:val="0"/>
        </w:rPr>
      </w:r>
      <w:r>
        <w:rPr>
          <w:color w:val="1F487C"/>
        </w:rPr>
        <w:t>Патогенетическое лечение у беременных, рожениц и родильниц</w:t>
      </w:r>
    </w:p>
    <w:p>
      <w:pPr>
        <w:pStyle w:val="BodyText"/>
        <w:spacing w:line="312" w:lineRule="auto" w:before="142"/>
        <w:ind w:right="677" w:firstLine="708"/>
      </w:pPr>
      <w:r>
        <w:rPr/>
        <w:t>Жаропонижающим препаратом первого выбора является парацетамол, который назначается по 500-1000 мг до 4 раз в день (не более 4 г в сутки).</w:t>
      </w:r>
    </w:p>
    <w:p>
      <w:pPr>
        <w:pStyle w:val="BodyText"/>
        <w:spacing w:before="10"/>
        <w:ind w:left="0"/>
        <w:jc w:val="left"/>
        <w:rPr>
          <w:sz w:val="20"/>
        </w:rPr>
      </w:pPr>
    </w:p>
    <w:p>
      <w:pPr>
        <w:pStyle w:val="Heading3"/>
        <w:numPr>
          <w:ilvl w:val="1"/>
          <w:numId w:val="18"/>
        </w:numPr>
        <w:tabs>
          <w:tab w:pos="1450" w:val="left" w:leader="none"/>
        </w:tabs>
        <w:spacing w:line="240" w:lineRule="auto" w:before="0" w:after="0"/>
        <w:ind w:left="1449" w:right="0" w:hanging="421"/>
        <w:jc w:val="left"/>
        <w:rPr>
          <w:color w:val="1F487C"/>
        </w:rPr>
      </w:pPr>
      <w:bookmarkStart w:name="5.3. СИМПТОМАТИЧЕСКОЕ ЛЕЧЕНИЕ" w:id="50"/>
      <w:bookmarkEnd w:id="50"/>
      <w:r>
        <w:rPr>
          <w:b w:val="0"/>
        </w:rPr>
      </w:r>
      <w:bookmarkStart w:name="_bookmark17" w:id="51"/>
      <w:bookmarkEnd w:id="51"/>
      <w:r>
        <w:rPr>
          <w:b w:val="0"/>
        </w:rPr>
      </w:r>
      <w:bookmarkStart w:name="_bookmark17" w:id="52"/>
      <w:bookmarkEnd w:id="52"/>
      <w:r>
        <w:rPr>
          <w:color w:val="1F487C"/>
        </w:rPr>
        <w:t>С</w:t>
      </w:r>
      <w:r>
        <w:rPr>
          <w:color w:val="1F487C"/>
        </w:rPr>
        <w:t>ИМПТОМАТИЧЕСКОЕ</w:t>
      </w:r>
      <w:r>
        <w:rPr>
          <w:color w:val="1F487C"/>
          <w:spacing w:val="-1"/>
        </w:rPr>
        <w:t> </w:t>
      </w:r>
      <w:r>
        <w:rPr>
          <w:color w:val="1F487C"/>
        </w:rPr>
        <w:t>ЛЕЧЕНИЕ</w:t>
      </w:r>
    </w:p>
    <w:p>
      <w:pPr>
        <w:pStyle w:val="BodyText"/>
        <w:spacing w:before="142"/>
        <w:ind w:left="1029"/>
        <w:jc w:val="left"/>
      </w:pPr>
      <w:r>
        <w:rPr/>
        <w:t>Симптоматическое лечение включает:</w:t>
      </w:r>
    </w:p>
    <w:p>
      <w:pPr>
        <w:pStyle w:val="BodyText"/>
        <w:spacing w:before="6"/>
        <w:ind w:left="0"/>
        <w:jc w:val="left"/>
        <w:rPr>
          <w:sz w:val="38"/>
        </w:rPr>
      </w:pPr>
    </w:p>
    <w:p>
      <w:pPr>
        <w:pStyle w:val="ListParagraph"/>
        <w:numPr>
          <w:ilvl w:val="0"/>
          <w:numId w:val="19"/>
        </w:numPr>
        <w:tabs>
          <w:tab w:pos="1000" w:val="left" w:leader="none"/>
          <w:tab w:pos="1001" w:val="left" w:leader="none"/>
          <w:tab w:pos="2771" w:val="left" w:leader="none"/>
          <w:tab w:pos="4269" w:val="left" w:leader="none"/>
          <w:tab w:pos="6650" w:val="left" w:leader="none"/>
          <w:tab w:pos="8203" w:val="left" w:leader="none"/>
        </w:tabs>
        <w:spacing w:line="304" w:lineRule="auto" w:before="0" w:after="0"/>
        <w:ind w:left="1000" w:right="674" w:hanging="339"/>
        <w:jc w:val="left"/>
        <w:rPr>
          <w:sz w:val="24"/>
        </w:rPr>
      </w:pPr>
      <w:r>
        <w:rPr>
          <w:sz w:val="24"/>
        </w:rPr>
        <w:t>Купирование</w:t>
        <w:tab/>
        <w:t>лихорадки</w:t>
        <w:tab/>
        <w:t>(жаропонижающие</w:t>
        <w:tab/>
        <w:t>препараты,</w:t>
        <w:tab/>
        <w:t>например, парацетамол);</w:t>
      </w:r>
    </w:p>
    <w:p>
      <w:pPr>
        <w:pStyle w:val="ListParagraph"/>
        <w:numPr>
          <w:ilvl w:val="0"/>
          <w:numId w:val="19"/>
        </w:numPr>
        <w:tabs>
          <w:tab w:pos="1000" w:val="left" w:leader="none"/>
          <w:tab w:pos="1001" w:val="left" w:leader="none"/>
          <w:tab w:pos="2728" w:val="left" w:leader="none"/>
          <w:tab w:pos="3899" w:val="left" w:leader="none"/>
          <w:tab w:pos="4910" w:val="left" w:leader="none"/>
          <w:tab w:pos="5774" w:val="left" w:leader="none"/>
          <w:tab w:pos="7643" w:val="left" w:leader="none"/>
        </w:tabs>
        <w:spacing w:line="304" w:lineRule="auto" w:before="13" w:after="0"/>
        <w:ind w:left="1000" w:right="675" w:hanging="339"/>
        <w:jc w:val="left"/>
        <w:rPr>
          <w:sz w:val="24"/>
        </w:rPr>
      </w:pPr>
      <w:r>
        <w:rPr>
          <w:sz w:val="24"/>
        </w:rPr>
        <w:t>Комплексную</w:t>
        <w:tab/>
        <w:t>терапию</w:t>
        <w:tab/>
        <w:t>ринита</w:t>
        <w:tab/>
        <w:t>и/или</w:t>
        <w:tab/>
        <w:t>ринофарингита</w:t>
        <w:tab/>
        <w:t>(увлажняющие/ элиминационные препараты, назальные</w:t>
      </w:r>
      <w:r>
        <w:rPr>
          <w:spacing w:val="-4"/>
          <w:sz w:val="24"/>
        </w:rPr>
        <w:t> </w:t>
      </w:r>
      <w:r>
        <w:rPr>
          <w:sz w:val="24"/>
        </w:rPr>
        <w:t>деконгестанты);</w:t>
      </w:r>
    </w:p>
    <w:p>
      <w:pPr>
        <w:pStyle w:val="ListParagraph"/>
        <w:numPr>
          <w:ilvl w:val="0"/>
          <w:numId w:val="19"/>
        </w:numPr>
        <w:tabs>
          <w:tab w:pos="1000" w:val="left" w:leader="none"/>
          <w:tab w:pos="1001" w:val="left" w:leader="none"/>
        </w:tabs>
        <w:spacing w:line="304" w:lineRule="auto" w:before="11" w:after="0"/>
        <w:ind w:left="1000" w:right="673" w:hanging="339"/>
        <w:jc w:val="left"/>
        <w:rPr>
          <w:sz w:val="24"/>
        </w:rPr>
      </w:pPr>
      <w:r>
        <w:rPr>
          <w:sz w:val="24"/>
        </w:rPr>
        <w:t>Комплексную терапию бронхита (мукоактивные, бронхолитические и прочие средства).</w:t>
      </w:r>
    </w:p>
    <w:p>
      <w:pPr>
        <w:pStyle w:val="BodyText"/>
        <w:spacing w:before="1"/>
        <w:ind w:left="0"/>
        <w:jc w:val="left"/>
        <w:rPr>
          <w:sz w:val="33"/>
        </w:rPr>
      </w:pPr>
    </w:p>
    <w:p>
      <w:pPr>
        <w:pStyle w:val="BodyText"/>
        <w:spacing w:line="312" w:lineRule="auto"/>
        <w:ind w:right="674" w:firstLine="708"/>
      </w:pPr>
      <w:r>
        <w:rPr/>
        <w:t>Жаропонижающие назначают при t тела &gt; 38,0-38,5 ºС. При плохой переносимости лихорадочного синдрома, головных болях, повышении артериального давления и выраженной тахикардии (особенно при наличии ишемических изменений или нарушениях ритма) жаропонижающие препараты используют и при более низких цифрах. Наиболее безопасным препаратом является парацетамол.</w:t>
      </w:r>
    </w:p>
    <w:p>
      <w:pPr>
        <w:pStyle w:val="BodyText"/>
        <w:spacing w:line="312" w:lineRule="auto" w:before="1"/>
        <w:ind w:right="673" w:firstLine="708"/>
      </w:pPr>
      <w:r>
        <w:rPr/>
        <w:t>Для местного лечения ринита, фарингита, при заложенности и/или выделениях из</w:t>
      </w:r>
      <w:r>
        <w:rPr>
          <w:spacing w:val="-5"/>
        </w:rPr>
        <w:t> </w:t>
      </w:r>
      <w:r>
        <w:rPr/>
        <w:t>носа</w:t>
      </w:r>
      <w:r>
        <w:rPr>
          <w:spacing w:val="-6"/>
        </w:rPr>
        <w:t> </w:t>
      </w:r>
      <w:r>
        <w:rPr/>
        <w:t>начинают</w:t>
      </w:r>
      <w:r>
        <w:rPr>
          <w:spacing w:val="-5"/>
        </w:rPr>
        <w:t> </w:t>
      </w:r>
      <w:r>
        <w:rPr/>
        <w:t>с</w:t>
      </w:r>
      <w:r>
        <w:rPr>
          <w:spacing w:val="-6"/>
        </w:rPr>
        <w:t> </w:t>
      </w:r>
      <w:r>
        <w:rPr/>
        <w:t>солевых</w:t>
      </w:r>
      <w:r>
        <w:rPr>
          <w:spacing w:val="-3"/>
        </w:rPr>
        <w:t> </w:t>
      </w:r>
      <w:r>
        <w:rPr/>
        <w:t>средств</w:t>
      </w:r>
      <w:r>
        <w:rPr>
          <w:spacing w:val="-3"/>
        </w:rPr>
        <w:t> </w:t>
      </w:r>
      <w:r>
        <w:rPr/>
        <w:t>для</w:t>
      </w:r>
      <w:r>
        <w:rPr>
          <w:spacing w:val="-6"/>
        </w:rPr>
        <w:t> </w:t>
      </w:r>
      <w:r>
        <w:rPr/>
        <w:t>местного</w:t>
      </w:r>
      <w:r>
        <w:rPr>
          <w:spacing w:val="-5"/>
        </w:rPr>
        <w:t> </w:t>
      </w:r>
      <w:r>
        <w:rPr/>
        <w:t>применения</w:t>
      </w:r>
      <w:r>
        <w:rPr>
          <w:spacing w:val="-5"/>
        </w:rPr>
        <w:t> </w:t>
      </w:r>
      <w:r>
        <w:rPr/>
        <w:t>на</w:t>
      </w:r>
      <w:r>
        <w:rPr>
          <w:spacing w:val="-6"/>
        </w:rPr>
        <w:t> </w:t>
      </w:r>
      <w:r>
        <w:rPr/>
        <w:t>основе</w:t>
      </w:r>
      <w:r>
        <w:rPr>
          <w:spacing w:val="-6"/>
        </w:rPr>
        <w:t> </w:t>
      </w:r>
      <w:r>
        <w:rPr/>
        <w:t>морской</w:t>
      </w:r>
      <w:r>
        <w:rPr>
          <w:spacing w:val="-4"/>
        </w:rPr>
        <w:t> </w:t>
      </w:r>
      <w:r>
        <w:rPr/>
        <w:t>воды</w:t>
      </w:r>
    </w:p>
    <w:p>
      <w:pPr>
        <w:spacing w:after="0" w:line="312" w:lineRule="auto"/>
        <w:sectPr>
          <w:pgSz w:w="11920" w:h="16850"/>
          <w:pgMar w:header="0" w:footer="620" w:top="1060" w:bottom="880" w:left="1380" w:right="600"/>
        </w:sectPr>
      </w:pPr>
    </w:p>
    <w:p>
      <w:pPr>
        <w:pStyle w:val="BodyText"/>
        <w:spacing w:line="312" w:lineRule="auto" w:before="78"/>
        <w:ind w:right="673"/>
      </w:pPr>
      <w:r>
        <w:rPr/>
        <w:t>(изотонических,</w:t>
      </w:r>
      <w:r>
        <w:rPr>
          <w:spacing w:val="-14"/>
        </w:rPr>
        <w:t> </w:t>
      </w:r>
      <w:r>
        <w:rPr/>
        <w:t>а</w:t>
      </w:r>
      <w:r>
        <w:rPr>
          <w:spacing w:val="-15"/>
        </w:rPr>
        <w:t> </w:t>
      </w:r>
      <w:r>
        <w:rPr/>
        <w:t>при</w:t>
      </w:r>
      <w:r>
        <w:rPr>
          <w:spacing w:val="-13"/>
        </w:rPr>
        <w:t> </w:t>
      </w:r>
      <w:r>
        <w:rPr/>
        <w:t>заложенности</w:t>
      </w:r>
      <w:r>
        <w:rPr>
          <w:spacing w:val="-13"/>
        </w:rPr>
        <w:t> </w:t>
      </w:r>
      <w:r>
        <w:rPr/>
        <w:t>–</w:t>
      </w:r>
      <w:r>
        <w:rPr>
          <w:spacing w:val="-13"/>
        </w:rPr>
        <w:t> </w:t>
      </w:r>
      <w:r>
        <w:rPr/>
        <w:t>гипертонических).</w:t>
      </w:r>
      <w:r>
        <w:rPr>
          <w:spacing w:val="-14"/>
        </w:rPr>
        <w:t> </w:t>
      </w:r>
      <w:r>
        <w:rPr/>
        <w:t>В</w:t>
      </w:r>
      <w:r>
        <w:rPr>
          <w:spacing w:val="-16"/>
        </w:rPr>
        <w:t> </w:t>
      </w:r>
      <w:r>
        <w:rPr/>
        <w:t>случае</w:t>
      </w:r>
      <w:r>
        <w:rPr>
          <w:spacing w:val="-14"/>
        </w:rPr>
        <w:t> </w:t>
      </w:r>
      <w:r>
        <w:rPr/>
        <w:t>их</w:t>
      </w:r>
      <w:r>
        <w:rPr>
          <w:spacing w:val="-12"/>
        </w:rPr>
        <w:t> </w:t>
      </w:r>
      <w:r>
        <w:rPr/>
        <w:t>неэффективности показаны назальные деконгенстанты. При неэффективности или выраженных симптомах могут быть использованы различные растворы с антисептическим действием.</w:t>
      </w:r>
    </w:p>
    <w:p>
      <w:pPr>
        <w:pStyle w:val="BodyText"/>
        <w:spacing w:before="10"/>
        <w:ind w:left="0"/>
        <w:jc w:val="left"/>
        <w:rPr>
          <w:sz w:val="20"/>
        </w:rPr>
      </w:pPr>
    </w:p>
    <w:p>
      <w:pPr>
        <w:pStyle w:val="Heading3"/>
      </w:pPr>
      <w:bookmarkStart w:name="Симптоматическое лечение у беременных, р" w:id="53"/>
      <w:bookmarkEnd w:id="53"/>
      <w:r>
        <w:rPr>
          <w:b w:val="0"/>
        </w:rPr>
      </w:r>
      <w:r>
        <w:rPr>
          <w:color w:val="1F487C"/>
        </w:rPr>
        <w:t>Симптоматическое лечение у беременных, рожениц и родильниц</w:t>
      </w:r>
    </w:p>
    <w:p>
      <w:pPr>
        <w:pStyle w:val="BodyText"/>
        <w:spacing w:line="312" w:lineRule="auto" w:before="142"/>
        <w:ind w:right="674" w:firstLine="708"/>
      </w:pPr>
      <w:r>
        <w:rPr/>
        <w:t>Во время беременности (II и III триместры), в послеродовом и постабортном периоде возможно применение муколитических средств с помощью mesh-небулайзера (амброксол</w:t>
      </w:r>
      <w:r>
        <w:rPr>
          <w:spacing w:val="-6"/>
        </w:rPr>
        <w:t> </w:t>
      </w:r>
      <w:r>
        <w:rPr/>
        <w:t>2-3</w:t>
      </w:r>
      <w:r>
        <w:rPr>
          <w:spacing w:val="-4"/>
        </w:rPr>
        <w:t> </w:t>
      </w:r>
      <w:r>
        <w:rPr/>
        <w:t>мл</w:t>
      </w:r>
      <w:r>
        <w:rPr>
          <w:spacing w:val="-5"/>
        </w:rPr>
        <w:t> </w:t>
      </w:r>
      <w:r>
        <w:rPr/>
        <w:t>с</w:t>
      </w:r>
      <w:r>
        <w:rPr>
          <w:spacing w:val="-5"/>
        </w:rPr>
        <w:t> </w:t>
      </w:r>
      <w:r>
        <w:rPr/>
        <w:t>изотоническим</w:t>
      </w:r>
      <w:r>
        <w:rPr>
          <w:spacing w:val="-7"/>
        </w:rPr>
        <w:t> </w:t>
      </w:r>
      <w:r>
        <w:rPr/>
        <w:t>раствором</w:t>
      </w:r>
      <w:r>
        <w:rPr>
          <w:spacing w:val="-4"/>
        </w:rPr>
        <w:t> </w:t>
      </w:r>
      <w:r>
        <w:rPr/>
        <w:t>2</w:t>
      </w:r>
      <w:r>
        <w:rPr>
          <w:spacing w:val="-6"/>
        </w:rPr>
        <w:t> </w:t>
      </w:r>
      <w:r>
        <w:rPr/>
        <w:t>мл</w:t>
      </w:r>
      <w:r>
        <w:rPr>
          <w:spacing w:val="-6"/>
        </w:rPr>
        <w:t> </w:t>
      </w:r>
      <w:r>
        <w:rPr/>
        <w:t>3</w:t>
      </w:r>
      <w:r>
        <w:rPr>
          <w:spacing w:val="-5"/>
        </w:rPr>
        <w:t> </w:t>
      </w:r>
      <w:r>
        <w:rPr/>
        <w:t>раза</w:t>
      </w:r>
      <w:r>
        <w:rPr>
          <w:spacing w:val="-5"/>
        </w:rPr>
        <w:t> </w:t>
      </w:r>
      <w:r>
        <w:rPr/>
        <w:t>в</w:t>
      </w:r>
      <w:r>
        <w:rPr>
          <w:spacing w:val="-7"/>
        </w:rPr>
        <w:t> </w:t>
      </w:r>
      <w:r>
        <w:rPr/>
        <w:t>день)</w:t>
      </w:r>
      <w:r>
        <w:rPr>
          <w:spacing w:val="-6"/>
        </w:rPr>
        <w:t> </w:t>
      </w:r>
      <w:r>
        <w:rPr/>
        <w:t>и</w:t>
      </w:r>
      <w:r>
        <w:rPr>
          <w:spacing w:val="-5"/>
        </w:rPr>
        <w:t> </w:t>
      </w:r>
      <w:r>
        <w:rPr/>
        <w:t>бронходилататоров (ипратропия</w:t>
      </w:r>
      <w:r>
        <w:rPr>
          <w:spacing w:val="-4"/>
        </w:rPr>
        <w:t> </w:t>
      </w:r>
      <w:r>
        <w:rPr/>
        <w:t>бромид</w:t>
      </w:r>
      <w:r>
        <w:rPr>
          <w:spacing w:val="-6"/>
        </w:rPr>
        <w:t> </w:t>
      </w:r>
      <w:r>
        <w:rPr/>
        <w:t>+</w:t>
      </w:r>
      <w:r>
        <w:rPr>
          <w:spacing w:val="-7"/>
        </w:rPr>
        <w:t> </w:t>
      </w:r>
      <w:r>
        <w:rPr/>
        <w:t>фенотерол</w:t>
      </w:r>
      <w:r>
        <w:rPr>
          <w:spacing w:val="-4"/>
        </w:rPr>
        <w:t> </w:t>
      </w:r>
      <w:r>
        <w:rPr/>
        <w:t>по</w:t>
      </w:r>
      <w:r>
        <w:rPr>
          <w:spacing w:val="-6"/>
        </w:rPr>
        <w:t> </w:t>
      </w:r>
      <w:r>
        <w:rPr/>
        <w:t>20</w:t>
      </w:r>
      <w:r>
        <w:rPr>
          <w:spacing w:val="-5"/>
        </w:rPr>
        <w:t> </w:t>
      </w:r>
      <w:r>
        <w:rPr/>
        <w:t>капель</w:t>
      </w:r>
      <w:r>
        <w:rPr>
          <w:spacing w:val="-5"/>
        </w:rPr>
        <w:t> </w:t>
      </w:r>
      <w:r>
        <w:rPr/>
        <w:t>в</w:t>
      </w:r>
      <w:r>
        <w:rPr>
          <w:spacing w:val="-4"/>
        </w:rPr>
        <w:t> </w:t>
      </w:r>
      <w:r>
        <w:rPr/>
        <w:t>2-4</w:t>
      </w:r>
      <w:r>
        <w:rPr>
          <w:spacing w:val="-4"/>
        </w:rPr>
        <w:t> </w:t>
      </w:r>
      <w:r>
        <w:rPr/>
        <w:t>мл</w:t>
      </w:r>
      <w:r>
        <w:rPr>
          <w:spacing w:val="-6"/>
        </w:rPr>
        <w:t> </w:t>
      </w:r>
      <w:r>
        <w:rPr/>
        <w:t>изотонического</w:t>
      </w:r>
      <w:r>
        <w:rPr>
          <w:spacing w:val="-3"/>
        </w:rPr>
        <w:t> </w:t>
      </w:r>
      <w:r>
        <w:rPr/>
        <w:t>раствора</w:t>
      </w:r>
      <w:r>
        <w:rPr>
          <w:spacing w:val="-5"/>
        </w:rPr>
        <w:t> </w:t>
      </w:r>
      <w:r>
        <w:rPr/>
        <w:t>2</w:t>
      </w:r>
      <w:r>
        <w:rPr>
          <w:spacing w:val="-4"/>
        </w:rPr>
        <w:t> </w:t>
      </w:r>
      <w:r>
        <w:rPr/>
        <w:t>раза в день). Во время беременности (I, II и III триместры), в послеродовом и постабортном периоде  в   качестве   бронходилататора   также   может   применяться   сальбутамол  с помощью mesh-небулайзера (2,5-5 мг 2 раза в</w:t>
      </w:r>
      <w:r>
        <w:rPr>
          <w:spacing w:val="-5"/>
        </w:rPr>
        <w:t> </w:t>
      </w:r>
      <w:r>
        <w:rPr/>
        <w:t>день).</w:t>
      </w:r>
    </w:p>
    <w:p>
      <w:pPr>
        <w:pStyle w:val="BodyText"/>
        <w:spacing w:line="312" w:lineRule="auto"/>
        <w:ind w:right="675" w:firstLine="708"/>
      </w:pPr>
      <w:r>
        <w:rPr/>
        <w:t>Необходимым компонентом комплексной терапии является адекватная респираторная поддержка.  Показатели  сатурации  кислорода  должны  определяться у всех   беременных   с    клиникой    острого    респираторного    заболевания    и/или с</w:t>
      </w:r>
      <w:r>
        <w:rPr>
          <w:spacing w:val="-1"/>
        </w:rPr>
        <w:t> </w:t>
      </w:r>
      <w:r>
        <w:rPr/>
        <w:t>пневмонией.</w:t>
      </w:r>
    </w:p>
    <w:p>
      <w:pPr>
        <w:pStyle w:val="BodyText"/>
        <w:spacing w:line="312" w:lineRule="auto"/>
        <w:ind w:right="674" w:firstLine="708"/>
      </w:pPr>
      <w:r>
        <w:rPr/>
        <w:t>Показаниями для перевода в ОРИТ при коронавирусной инфекции являются </w:t>
      </w:r>
      <w:r>
        <w:rPr>
          <w:position w:val="2"/>
        </w:rPr>
        <w:t>быстропрогрессирующая ОДН (ЧД &gt; 25 в 1 мин, SpO</w:t>
      </w:r>
      <w:r>
        <w:rPr>
          <w:sz w:val="16"/>
        </w:rPr>
        <w:t>2 </w:t>
      </w:r>
      <w:r>
        <w:rPr>
          <w:position w:val="2"/>
        </w:rPr>
        <w:t>&lt; 92%, а также другая органная </w:t>
      </w:r>
      <w:r>
        <w:rPr/>
        <w:t>недостаточность (2 и более балла по шкале SOFA).</w:t>
      </w:r>
    </w:p>
    <w:p>
      <w:pPr>
        <w:pStyle w:val="BodyText"/>
        <w:spacing w:before="7"/>
        <w:ind w:left="0"/>
        <w:jc w:val="left"/>
        <w:rPr>
          <w:sz w:val="20"/>
        </w:rPr>
      </w:pPr>
    </w:p>
    <w:p>
      <w:pPr>
        <w:pStyle w:val="Heading3"/>
        <w:spacing w:before="1"/>
      </w:pPr>
      <w:bookmarkStart w:name="Особенности ведения пациентов пожилого и" w:id="54"/>
      <w:bookmarkEnd w:id="54"/>
      <w:r>
        <w:rPr>
          <w:b w:val="0"/>
        </w:rPr>
      </w:r>
      <w:r>
        <w:rPr>
          <w:color w:val="1F487C"/>
        </w:rPr>
        <w:t>Особенности ведения пациентов пожилого и старческого возраста</w:t>
      </w:r>
    </w:p>
    <w:p>
      <w:pPr>
        <w:pStyle w:val="BodyText"/>
        <w:spacing w:line="312" w:lineRule="auto" w:before="141"/>
        <w:ind w:right="675" w:firstLine="708"/>
      </w:pPr>
      <w:r>
        <w:rPr/>
        <w:t>У пациентов пожилого и старческого возраста делирий может быть первой манифестацией заболевания или развиться по мере его прогрессирования. Госпитализация пациента, помещение в блок интенсивной терапии и на ИВЛ повышают риск развития делирия. Развитие делирия, особенно гиперактивной формы, может представлять собой дополнительные трудности лечения пациентов.</w:t>
      </w:r>
    </w:p>
    <w:p>
      <w:pPr>
        <w:pStyle w:val="BodyText"/>
        <w:spacing w:line="275" w:lineRule="exact"/>
        <w:ind w:left="1029"/>
        <w:jc w:val="left"/>
      </w:pPr>
      <w:r>
        <w:rPr/>
        <w:t>Рекомендации:</w:t>
      </w:r>
    </w:p>
    <w:p>
      <w:pPr>
        <w:pStyle w:val="ListParagraph"/>
        <w:numPr>
          <w:ilvl w:val="0"/>
          <w:numId w:val="22"/>
        </w:numPr>
        <w:tabs>
          <w:tab w:pos="1270" w:val="left" w:leader="none"/>
        </w:tabs>
        <w:spacing w:line="312" w:lineRule="auto" w:before="84" w:after="0"/>
        <w:ind w:left="321" w:right="677" w:firstLine="708"/>
        <w:jc w:val="both"/>
        <w:rPr>
          <w:sz w:val="24"/>
        </w:rPr>
      </w:pPr>
      <w:r>
        <w:rPr>
          <w:sz w:val="24"/>
        </w:rPr>
        <w:t>Регулярный скрининг делирия с использованием рекомендованных инструментов у всех пациентов пожилого и старческого возраста, госпитализированных в связи с</w:t>
      </w:r>
      <w:r>
        <w:rPr>
          <w:spacing w:val="-2"/>
          <w:sz w:val="24"/>
        </w:rPr>
        <w:t> </w:t>
      </w:r>
      <w:r>
        <w:rPr>
          <w:sz w:val="24"/>
        </w:rPr>
        <w:t>COVID-19.</w:t>
      </w:r>
    </w:p>
    <w:p>
      <w:pPr>
        <w:pStyle w:val="ListParagraph"/>
        <w:numPr>
          <w:ilvl w:val="0"/>
          <w:numId w:val="22"/>
        </w:numPr>
        <w:tabs>
          <w:tab w:pos="1270" w:val="left" w:leader="none"/>
        </w:tabs>
        <w:spacing w:line="312" w:lineRule="auto" w:before="0" w:after="0"/>
        <w:ind w:left="321" w:right="673" w:firstLine="708"/>
        <w:jc w:val="both"/>
        <w:rPr>
          <w:sz w:val="24"/>
        </w:rPr>
      </w:pPr>
      <w:r>
        <w:rPr>
          <w:sz w:val="24"/>
        </w:rPr>
        <w:t>Рекомендуется проводить профилактику делирия у всех пациентов пожилого и старческого возраста, госпитализированных в связи с COVID-19, путем коррекции его триггеров. Профилактические меры включают: регулярную ориентацию пациента в его личности, во времени и пространстве, профилактику запоров, лечение боли, лечение бактериальной пневмонии (высока вероятность ее присоединение у</w:t>
      </w:r>
      <w:r>
        <w:rPr>
          <w:spacing w:val="-43"/>
          <w:sz w:val="24"/>
        </w:rPr>
        <w:t> </w:t>
      </w:r>
      <w:r>
        <w:rPr>
          <w:sz w:val="24"/>
        </w:rPr>
        <w:t>пациентов с COVID-19), адекватную оксигенотерапию, профилактику задержки мочи, а также пересмотр сопуствующей терапии для минимизации назначения препаратов, повышающих риск</w:t>
      </w:r>
      <w:r>
        <w:rPr>
          <w:spacing w:val="2"/>
          <w:sz w:val="24"/>
        </w:rPr>
        <w:t> </w:t>
      </w:r>
      <w:r>
        <w:rPr>
          <w:sz w:val="24"/>
        </w:rPr>
        <w:t>делирия.</w:t>
      </w:r>
    </w:p>
    <w:p>
      <w:pPr>
        <w:spacing w:after="0" w:line="312" w:lineRule="auto"/>
        <w:jc w:val="both"/>
        <w:rPr>
          <w:sz w:val="24"/>
        </w:rPr>
        <w:sectPr>
          <w:pgSz w:w="11920" w:h="16850"/>
          <w:pgMar w:header="0" w:footer="620" w:top="1060" w:bottom="880" w:left="1380" w:right="600"/>
        </w:sectPr>
      </w:pPr>
    </w:p>
    <w:p>
      <w:pPr>
        <w:pStyle w:val="ListParagraph"/>
        <w:numPr>
          <w:ilvl w:val="0"/>
          <w:numId w:val="22"/>
        </w:numPr>
        <w:tabs>
          <w:tab w:pos="1270" w:val="left" w:leader="none"/>
        </w:tabs>
        <w:spacing w:line="312" w:lineRule="auto" w:before="78" w:after="0"/>
        <w:ind w:left="321" w:right="673" w:firstLine="708"/>
        <w:jc w:val="both"/>
        <w:rPr>
          <w:sz w:val="24"/>
        </w:rPr>
      </w:pPr>
      <w:r>
        <w:rPr>
          <w:sz w:val="24"/>
        </w:rPr>
        <w:t>При появлении поведенческих нарушений необходимо прежде всего оценить и провести коррекцию триггеров развития делирия (см. выше). При неэффективности этих мер и/или необходимости более быстрого контроля ситуации для снижения риска для пациента или окружающих может потребоваться более ранний, чем обычно, переход к фармакологическому</w:t>
      </w:r>
      <w:r>
        <w:rPr>
          <w:spacing w:val="-4"/>
          <w:sz w:val="24"/>
        </w:rPr>
        <w:t> </w:t>
      </w:r>
      <w:r>
        <w:rPr>
          <w:sz w:val="24"/>
        </w:rPr>
        <w:t>лечению.</w:t>
      </w:r>
    </w:p>
    <w:p>
      <w:pPr>
        <w:pStyle w:val="ListParagraph"/>
        <w:numPr>
          <w:ilvl w:val="0"/>
          <w:numId w:val="22"/>
        </w:numPr>
        <w:tabs>
          <w:tab w:pos="1270" w:val="left" w:leader="none"/>
        </w:tabs>
        <w:spacing w:line="312" w:lineRule="auto" w:before="0" w:after="0"/>
        <w:ind w:left="321" w:right="675" w:firstLine="708"/>
        <w:jc w:val="both"/>
        <w:rPr>
          <w:sz w:val="24"/>
        </w:rPr>
      </w:pPr>
      <w:r>
        <w:rPr>
          <w:sz w:val="24"/>
        </w:rPr>
        <w:t>При назначении быстро действующих транквилизаторов необходимо мониторировать развитие побочных эффектов, состояние жизненно важных</w:t>
      </w:r>
      <w:r>
        <w:rPr>
          <w:position w:val="2"/>
          <w:sz w:val="24"/>
        </w:rPr>
        <w:t> показателей (ЧДД, SрO</w:t>
      </w:r>
      <w:r>
        <w:rPr>
          <w:sz w:val="16"/>
        </w:rPr>
        <w:t>2</w:t>
      </w:r>
      <w:r>
        <w:rPr>
          <w:position w:val="2"/>
          <w:sz w:val="24"/>
        </w:rPr>
        <w:t>, АД, ЧСС), уровень гидратации и сознания, по крайней мере,</w:t>
      </w:r>
      <w:r>
        <w:rPr>
          <w:sz w:val="24"/>
        </w:rPr>
        <w:t> каждый час до тех пор, пока не будет убежденности в их стабильности. Следует помнить о том, что бенздиазепины угнетают дыхание, а также не превышать максимальные дозы препаратов галоперидола (2 мг/сутки независимо от пути введения), рисперидона (1 мг/сутки в несколько приемов), лоразепама (2 мг/сутки независимо от пути введения).</w:t>
      </w:r>
    </w:p>
    <w:p>
      <w:pPr>
        <w:pStyle w:val="BodyText"/>
        <w:spacing w:line="312" w:lineRule="auto"/>
        <w:ind w:right="673" w:firstLine="708"/>
      </w:pPr>
      <w:r>
        <w:rPr/>
        <w:t>У пациентов пожилого и старческого возраста COVID-19 повышает риск развития   недостаточности    питания.    Повышение    этого    риска    связано    как    с клиническими симптомами заболевания (снижение обоняния и вкуса, снижение аппетита, диарея, лихорадка, слабость), так и с социальными факторами (самоизоляция), которые в ряде случаев потенциируют предсуществующие риски. Пациенты старческого возраста с полиморбидностью в большей степени подвержены риску недостаточности питания и ассоциированной с ней саркопении, именно у этой группы прогноз при COVID-19 наиболее неблагоприятен. ИВЛ, особенно пролонгированная, является хорошо документированной причиной недостаточности питания с потерей мышечной массы и  функции, что, в свою  очередь, ассоциировано в</w:t>
      </w:r>
      <w:r>
        <w:rPr>
          <w:spacing w:val="-3"/>
        </w:rPr>
        <w:t> </w:t>
      </w:r>
      <w:r>
        <w:rPr/>
        <w:t>дальнейшем</w:t>
      </w:r>
      <w:r>
        <w:rPr>
          <w:spacing w:val="-9"/>
        </w:rPr>
        <w:t> </w:t>
      </w:r>
      <w:r>
        <w:rPr/>
        <w:t>со</w:t>
      </w:r>
      <w:r>
        <w:rPr>
          <w:spacing w:val="-9"/>
        </w:rPr>
        <w:t> </w:t>
      </w:r>
      <w:r>
        <w:rPr/>
        <w:t>снижением</w:t>
      </w:r>
      <w:r>
        <w:rPr>
          <w:spacing w:val="-9"/>
        </w:rPr>
        <w:t> </w:t>
      </w:r>
      <w:r>
        <w:rPr/>
        <w:t>качества</w:t>
      </w:r>
      <w:r>
        <w:rPr>
          <w:spacing w:val="-8"/>
        </w:rPr>
        <w:t> </w:t>
      </w:r>
      <w:r>
        <w:rPr/>
        <w:t>жизни</w:t>
      </w:r>
      <w:r>
        <w:rPr>
          <w:spacing w:val="-8"/>
        </w:rPr>
        <w:t> </w:t>
      </w:r>
      <w:r>
        <w:rPr/>
        <w:t>и</w:t>
      </w:r>
      <w:r>
        <w:rPr>
          <w:spacing w:val="-10"/>
        </w:rPr>
        <w:t> </w:t>
      </w:r>
      <w:r>
        <w:rPr/>
        <w:t>утратой</w:t>
      </w:r>
      <w:r>
        <w:rPr>
          <w:spacing w:val="-8"/>
        </w:rPr>
        <w:t> </w:t>
      </w:r>
      <w:r>
        <w:rPr/>
        <w:t>автономности</w:t>
      </w:r>
      <w:r>
        <w:rPr>
          <w:spacing w:val="-8"/>
        </w:rPr>
        <w:t> </w:t>
      </w:r>
      <w:r>
        <w:rPr/>
        <w:t>после</w:t>
      </w:r>
      <w:r>
        <w:rPr>
          <w:spacing w:val="-10"/>
        </w:rPr>
        <w:t> </w:t>
      </w:r>
      <w:r>
        <w:rPr/>
        <w:t>выписки</w:t>
      </w:r>
      <w:r>
        <w:rPr>
          <w:spacing w:val="-9"/>
        </w:rPr>
        <w:t> </w:t>
      </w:r>
      <w:r>
        <w:rPr/>
        <w:t>из стационара. Адекватная оценка пищевого статуса, профилактика и коррекция недостаточности питания эффективно снижают риск осложнений и улучшают клинические</w:t>
      </w:r>
      <w:r>
        <w:rPr>
          <w:spacing w:val="-2"/>
        </w:rPr>
        <w:t> </w:t>
      </w:r>
      <w:r>
        <w:rPr/>
        <w:t>исходы.</w:t>
      </w:r>
    </w:p>
    <w:p>
      <w:pPr>
        <w:pStyle w:val="BodyText"/>
        <w:ind w:left="1029"/>
        <w:jc w:val="left"/>
      </w:pPr>
      <w:r>
        <w:rPr/>
        <w:t>Рекомендуется:</w:t>
      </w:r>
    </w:p>
    <w:p>
      <w:pPr>
        <w:pStyle w:val="ListParagraph"/>
        <w:numPr>
          <w:ilvl w:val="0"/>
          <w:numId w:val="23"/>
        </w:numPr>
        <w:tabs>
          <w:tab w:pos="1270" w:val="left" w:leader="none"/>
        </w:tabs>
        <w:spacing w:line="312" w:lineRule="auto" w:before="81" w:after="0"/>
        <w:ind w:left="321" w:right="677" w:firstLine="708"/>
        <w:jc w:val="both"/>
        <w:rPr>
          <w:sz w:val="24"/>
        </w:rPr>
      </w:pPr>
      <w:r>
        <w:rPr>
          <w:sz w:val="24"/>
        </w:rPr>
        <w:t>У всех  пациентов пожилого и старческого возраста, госпитализированным   с COVID-19, проводить скрининг риска недостаточности питания с использованием валидированнных</w:t>
      </w:r>
      <w:r>
        <w:rPr>
          <w:spacing w:val="-1"/>
          <w:sz w:val="24"/>
        </w:rPr>
        <w:t> </w:t>
      </w:r>
      <w:r>
        <w:rPr>
          <w:sz w:val="24"/>
        </w:rPr>
        <w:t>инструментов.</w:t>
      </w:r>
    </w:p>
    <w:p>
      <w:pPr>
        <w:pStyle w:val="ListParagraph"/>
        <w:numPr>
          <w:ilvl w:val="0"/>
          <w:numId w:val="23"/>
        </w:numPr>
        <w:tabs>
          <w:tab w:pos="1270" w:val="left" w:leader="none"/>
        </w:tabs>
        <w:spacing w:line="275" w:lineRule="exact" w:before="0" w:after="0"/>
        <w:ind w:left="1269" w:right="0" w:hanging="241"/>
        <w:jc w:val="both"/>
        <w:rPr>
          <w:sz w:val="24"/>
        </w:rPr>
      </w:pPr>
      <w:r>
        <w:rPr>
          <w:sz w:val="24"/>
        </w:rPr>
        <w:t>Для пациентов, которые по результатам скрининга относятся</w:t>
      </w:r>
      <w:r>
        <w:rPr>
          <w:spacing w:val="-27"/>
          <w:sz w:val="24"/>
        </w:rPr>
        <w:t> </w:t>
      </w:r>
      <w:r>
        <w:rPr>
          <w:sz w:val="24"/>
        </w:rPr>
        <w:t>к категориям</w:t>
      </w:r>
    </w:p>
    <w:p>
      <w:pPr>
        <w:pStyle w:val="BodyText"/>
        <w:spacing w:line="312" w:lineRule="auto" w:before="84"/>
        <w:ind w:right="674"/>
      </w:pPr>
      <w:r>
        <w:rPr/>
        <w:t>«риск недостаточности питания» или «недостаточность питания», необходимо проводить коррекцию с использованием продуктов перорального энтерального питания (ПЭП).</w:t>
      </w:r>
    </w:p>
    <w:p>
      <w:pPr>
        <w:pStyle w:val="ListParagraph"/>
        <w:numPr>
          <w:ilvl w:val="0"/>
          <w:numId w:val="23"/>
        </w:numPr>
        <w:tabs>
          <w:tab w:pos="1270" w:val="left" w:leader="none"/>
        </w:tabs>
        <w:spacing w:line="312" w:lineRule="auto" w:before="0" w:after="0"/>
        <w:ind w:left="321" w:right="673" w:firstLine="708"/>
        <w:jc w:val="both"/>
        <w:rPr>
          <w:sz w:val="24"/>
        </w:rPr>
      </w:pPr>
      <w:r>
        <w:rPr>
          <w:sz w:val="24"/>
        </w:rPr>
        <w:t>Рекомендуется рассчитывать энергетическую ценность рациона пациента пожилого и старческого возраста, ориентируясь на  уровень 30 ккал на кг массы тела  в сутки, суточный уровень потребления белка должен составлять не менее 1,0-1,2 г</w:t>
      </w:r>
      <w:r>
        <w:rPr>
          <w:spacing w:val="54"/>
          <w:sz w:val="24"/>
        </w:rPr>
        <w:t> </w:t>
      </w:r>
      <w:r>
        <w:rPr>
          <w:sz w:val="24"/>
        </w:rPr>
        <w:t>на</w:t>
      </w:r>
    </w:p>
    <w:p>
      <w:pPr>
        <w:spacing w:after="0" w:line="312" w:lineRule="auto"/>
        <w:jc w:val="both"/>
        <w:rPr>
          <w:sz w:val="24"/>
        </w:rPr>
        <w:sectPr>
          <w:pgSz w:w="11920" w:h="16850"/>
          <w:pgMar w:header="0" w:footer="620" w:top="1060" w:bottom="880" w:left="1380" w:right="600"/>
        </w:sectPr>
      </w:pPr>
    </w:p>
    <w:p>
      <w:pPr>
        <w:pStyle w:val="BodyText"/>
        <w:spacing w:line="312" w:lineRule="auto" w:before="78"/>
        <w:ind w:right="676"/>
      </w:pPr>
      <w:r>
        <w:rPr/>
        <w:t>кг массы тела в сутки (при тяжелом течении заболевания и диагностированной недостаточностью питания – до 2,0 г/кг массы тела в сутки).</w:t>
      </w:r>
    </w:p>
    <w:p>
      <w:pPr>
        <w:pStyle w:val="ListParagraph"/>
        <w:numPr>
          <w:ilvl w:val="0"/>
          <w:numId w:val="23"/>
        </w:numPr>
        <w:tabs>
          <w:tab w:pos="1270" w:val="left" w:leader="none"/>
        </w:tabs>
        <w:spacing w:line="312" w:lineRule="auto" w:before="0" w:after="0"/>
        <w:ind w:left="321" w:right="673" w:firstLine="708"/>
        <w:jc w:val="both"/>
        <w:rPr>
          <w:sz w:val="24"/>
        </w:rPr>
      </w:pPr>
      <w:r>
        <w:rPr>
          <w:sz w:val="24"/>
        </w:rPr>
        <w:t>Рекомендуется назначать препараты ПЭП, которые обеспечивают поступление в организм энергии не менее 400 ккал/сут и белка не менее 30 г/сут. При отсутствии противопоказаний для обеспечения оптимального функционирования желудочно-кишечного тракта предпочтительны продукты ПЭП, содержащие пищевые волокна.</w:t>
      </w:r>
    </w:p>
    <w:p>
      <w:pPr>
        <w:pStyle w:val="ListParagraph"/>
        <w:numPr>
          <w:ilvl w:val="0"/>
          <w:numId w:val="23"/>
        </w:numPr>
        <w:tabs>
          <w:tab w:pos="1270" w:val="left" w:leader="none"/>
        </w:tabs>
        <w:spacing w:line="312" w:lineRule="auto" w:before="0" w:after="0"/>
        <w:ind w:left="321" w:right="678" w:firstLine="708"/>
        <w:jc w:val="both"/>
        <w:rPr>
          <w:sz w:val="24"/>
        </w:rPr>
      </w:pPr>
      <w:r>
        <w:rPr>
          <w:sz w:val="24"/>
        </w:rPr>
        <w:t>В случаях, когда пероральное питание невозможно, рекомендуется без промедлений начинать зондовое энтеральное питание</w:t>
      </w:r>
      <w:r>
        <w:rPr>
          <w:spacing w:val="-8"/>
          <w:sz w:val="24"/>
        </w:rPr>
        <w:t> </w:t>
      </w:r>
      <w:r>
        <w:rPr>
          <w:sz w:val="24"/>
        </w:rPr>
        <w:t>(ЗЭП).</w:t>
      </w:r>
    </w:p>
    <w:p>
      <w:pPr>
        <w:pStyle w:val="ListParagraph"/>
        <w:numPr>
          <w:ilvl w:val="0"/>
          <w:numId w:val="23"/>
        </w:numPr>
        <w:tabs>
          <w:tab w:pos="1270" w:val="left" w:leader="none"/>
        </w:tabs>
        <w:spacing w:line="312" w:lineRule="auto" w:before="0" w:after="0"/>
        <w:ind w:left="321" w:right="674" w:firstLine="708"/>
        <w:jc w:val="both"/>
        <w:rPr>
          <w:sz w:val="24"/>
        </w:rPr>
      </w:pPr>
      <w:r>
        <w:rPr>
          <w:sz w:val="24"/>
        </w:rPr>
        <w:t>При выписке из стационара пациентам с недостаточностью питания или риском ее развития рекомендуется применять ПЭП с целью оптимизации уровня потребления пищи и массы тела, а также с целью уменьшения риска снижения функциональных возможностей. Рекомендуется назначать ПЭП на срок не менее одного</w:t>
      </w:r>
      <w:r>
        <w:rPr>
          <w:spacing w:val="-7"/>
          <w:sz w:val="24"/>
        </w:rPr>
        <w:t> </w:t>
      </w:r>
      <w:r>
        <w:rPr>
          <w:sz w:val="24"/>
        </w:rPr>
        <w:t>месяца</w:t>
      </w:r>
      <w:r>
        <w:rPr>
          <w:spacing w:val="-7"/>
          <w:sz w:val="24"/>
        </w:rPr>
        <w:t> </w:t>
      </w:r>
      <w:r>
        <w:rPr>
          <w:sz w:val="24"/>
        </w:rPr>
        <w:t>и</w:t>
      </w:r>
      <w:r>
        <w:rPr>
          <w:spacing w:val="-5"/>
          <w:sz w:val="24"/>
        </w:rPr>
        <w:t> </w:t>
      </w:r>
      <w:r>
        <w:rPr>
          <w:sz w:val="24"/>
        </w:rPr>
        <w:t>оценивать</w:t>
      </w:r>
      <w:r>
        <w:rPr>
          <w:spacing w:val="-5"/>
          <w:sz w:val="24"/>
        </w:rPr>
        <w:t> </w:t>
      </w:r>
      <w:r>
        <w:rPr>
          <w:sz w:val="24"/>
        </w:rPr>
        <w:t>эффективность</w:t>
      </w:r>
      <w:r>
        <w:rPr>
          <w:spacing w:val="-8"/>
          <w:sz w:val="24"/>
        </w:rPr>
        <w:t> </w:t>
      </w:r>
      <w:r>
        <w:rPr>
          <w:sz w:val="24"/>
        </w:rPr>
        <w:t>и</w:t>
      </w:r>
      <w:r>
        <w:rPr>
          <w:spacing w:val="-5"/>
          <w:sz w:val="24"/>
        </w:rPr>
        <w:t> </w:t>
      </w:r>
      <w:r>
        <w:rPr>
          <w:sz w:val="24"/>
        </w:rPr>
        <w:t>ожидаемую</w:t>
      </w:r>
      <w:r>
        <w:rPr>
          <w:spacing w:val="-6"/>
          <w:sz w:val="24"/>
        </w:rPr>
        <w:t> </w:t>
      </w:r>
      <w:r>
        <w:rPr>
          <w:sz w:val="24"/>
        </w:rPr>
        <w:t>пользу</w:t>
      </w:r>
      <w:r>
        <w:rPr>
          <w:spacing w:val="-11"/>
          <w:sz w:val="24"/>
        </w:rPr>
        <w:t> </w:t>
      </w:r>
      <w:r>
        <w:rPr>
          <w:sz w:val="24"/>
        </w:rPr>
        <w:t>ПЭП</w:t>
      </w:r>
      <w:r>
        <w:rPr>
          <w:spacing w:val="-7"/>
          <w:sz w:val="24"/>
        </w:rPr>
        <w:t> </w:t>
      </w:r>
      <w:r>
        <w:rPr>
          <w:sz w:val="24"/>
        </w:rPr>
        <w:t>один</w:t>
      </w:r>
      <w:r>
        <w:rPr>
          <w:spacing w:val="-6"/>
          <w:sz w:val="24"/>
        </w:rPr>
        <w:t> </w:t>
      </w:r>
      <w:r>
        <w:rPr>
          <w:sz w:val="24"/>
        </w:rPr>
        <w:t>раз</w:t>
      </w:r>
      <w:r>
        <w:rPr>
          <w:spacing w:val="-5"/>
          <w:sz w:val="24"/>
        </w:rPr>
        <w:t> </w:t>
      </w:r>
      <w:r>
        <w:rPr>
          <w:sz w:val="24"/>
        </w:rPr>
        <w:t>в</w:t>
      </w:r>
      <w:r>
        <w:rPr>
          <w:spacing w:val="-7"/>
          <w:sz w:val="24"/>
        </w:rPr>
        <w:t> </w:t>
      </w:r>
      <w:r>
        <w:rPr>
          <w:sz w:val="24"/>
        </w:rPr>
        <w:t>месяц.</w:t>
      </w:r>
    </w:p>
    <w:p>
      <w:pPr>
        <w:pStyle w:val="BodyText"/>
        <w:ind w:left="0"/>
        <w:jc w:val="left"/>
        <w:rPr>
          <w:sz w:val="21"/>
        </w:rPr>
      </w:pPr>
    </w:p>
    <w:p>
      <w:pPr>
        <w:pStyle w:val="Heading2"/>
        <w:numPr>
          <w:ilvl w:val="1"/>
          <w:numId w:val="18"/>
        </w:numPr>
        <w:tabs>
          <w:tab w:pos="1522" w:val="left" w:leader="none"/>
        </w:tabs>
        <w:spacing w:line="240" w:lineRule="auto" w:before="0" w:after="0"/>
        <w:ind w:left="1521" w:right="0" w:hanging="493"/>
        <w:jc w:val="left"/>
        <w:rPr>
          <w:color w:val="1F487C"/>
        </w:rPr>
      </w:pPr>
      <w:bookmarkStart w:name="5.4. АНТИБАКТЕРИАЛЬНАЯ ТЕРАПИЯ ПРИ ОСЛОЖ" w:id="55"/>
      <w:bookmarkEnd w:id="55"/>
      <w:r>
        <w:rPr>
          <w:b w:val="0"/>
        </w:rPr>
      </w:r>
      <w:bookmarkStart w:name="_bookmark18" w:id="56"/>
      <w:bookmarkEnd w:id="56"/>
      <w:r>
        <w:rPr>
          <w:b w:val="0"/>
        </w:rPr>
      </w:r>
      <w:bookmarkStart w:name="_bookmark18" w:id="57"/>
      <w:bookmarkEnd w:id="57"/>
      <w:r>
        <w:rPr>
          <w:color w:val="1F487C"/>
        </w:rPr>
        <w:t>А</w:t>
      </w:r>
      <w:r>
        <w:rPr>
          <w:color w:val="1F487C"/>
        </w:rPr>
        <w:t>НТИБАКТЕРИАЛЬНАЯ</w:t>
      </w:r>
      <w:r>
        <w:rPr>
          <w:color w:val="1F487C"/>
          <w:spacing w:val="-3"/>
        </w:rPr>
        <w:t> </w:t>
      </w:r>
      <w:r>
        <w:rPr>
          <w:color w:val="1F487C"/>
        </w:rPr>
        <w:t>ТЕРАПИЯ</w:t>
      </w:r>
    </w:p>
    <w:p>
      <w:pPr>
        <w:spacing w:before="26"/>
        <w:ind w:left="1029" w:right="0" w:firstLine="0"/>
        <w:jc w:val="left"/>
        <w:rPr>
          <w:b/>
          <w:sz w:val="28"/>
        </w:rPr>
      </w:pPr>
      <w:r>
        <w:rPr>
          <w:b/>
          <w:color w:val="1F487C"/>
          <w:sz w:val="28"/>
        </w:rPr>
        <w:t>ПРИ ОСЛОЖНЕННЫХ ФОРМАХ ИНФЕКЦИИ</w:t>
      </w:r>
    </w:p>
    <w:p>
      <w:pPr>
        <w:pStyle w:val="BodyText"/>
        <w:spacing w:line="312" w:lineRule="auto" w:before="143"/>
        <w:ind w:right="675" w:firstLine="708"/>
      </w:pPr>
      <w:r>
        <w:rPr/>
        <w:t>Антибактериальная терапия назначается при наличии убедительных признаков присоединения   бактериальной   инфекции   (повышение   прокальцитонина   более 0,5 нг/мл, лейкоцитоз &gt; 10*10</w:t>
      </w:r>
      <w:r>
        <w:rPr>
          <w:vertAlign w:val="superscript"/>
        </w:rPr>
        <w:t>9</w:t>
      </w:r>
      <w:r>
        <w:rPr>
          <w:vertAlign w:val="baseline"/>
        </w:rPr>
        <w:t>/л, появление гнойной</w:t>
      </w:r>
      <w:r>
        <w:rPr>
          <w:spacing w:val="-2"/>
          <w:vertAlign w:val="baseline"/>
        </w:rPr>
        <w:t> </w:t>
      </w:r>
      <w:r>
        <w:rPr>
          <w:vertAlign w:val="baseline"/>
        </w:rPr>
        <w:t>мокроты).</w:t>
      </w:r>
    </w:p>
    <w:p>
      <w:pPr>
        <w:pStyle w:val="BodyText"/>
        <w:spacing w:line="312" w:lineRule="auto" w:before="1"/>
        <w:ind w:right="674" w:firstLine="708"/>
      </w:pPr>
      <w:r>
        <w:rPr/>
        <w:t>Выбор антибиотиков и способ их введения осуществляется на основании тяжести состояния пациента, анализе факторов риска встречи с резистентными микроорганизмами (наличие сопутствующих заболеваний, предшествующий прием антибиотиков и др.), результатов микробиологической диагностики. С целью уменьшения нагрузки на медицинский персонал целесообразно использовать пероральные формы антимикробных препаратов, ступенчатую терапию (амоксициллин/клавулановая кислота в/м, в/в – переход на прием амоксициллина/клавулановой  кислоты  per  os,  цефтриаксон,  цефотаксим  в/м,  в/в    с последующим переходом на цефдиторен per</w:t>
      </w:r>
      <w:r>
        <w:rPr>
          <w:spacing w:val="-5"/>
        </w:rPr>
        <w:t> </w:t>
      </w:r>
      <w:r>
        <w:rPr/>
        <w:t>os).</w:t>
      </w:r>
    </w:p>
    <w:p>
      <w:pPr>
        <w:pStyle w:val="BodyText"/>
        <w:spacing w:line="312" w:lineRule="auto"/>
        <w:ind w:right="674" w:firstLine="708"/>
      </w:pPr>
      <w:r>
        <w:rPr/>
        <w:t>Пациентам</w:t>
      </w:r>
      <w:r>
        <w:rPr>
          <w:spacing w:val="-8"/>
        </w:rPr>
        <w:t> </w:t>
      </w:r>
      <w:r>
        <w:rPr/>
        <w:t>в</w:t>
      </w:r>
      <w:r>
        <w:rPr>
          <w:spacing w:val="-7"/>
        </w:rPr>
        <w:t> </w:t>
      </w:r>
      <w:r>
        <w:rPr/>
        <w:t>тяжелом</w:t>
      </w:r>
      <w:r>
        <w:rPr>
          <w:spacing w:val="-8"/>
        </w:rPr>
        <w:t> </w:t>
      </w:r>
      <w:r>
        <w:rPr/>
        <w:t>состоянии</w:t>
      </w:r>
      <w:r>
        <w:rPr>
          <w:spacing w:val="-8"/>
        </w:rPr>
        <w:t> </w:t>
      </w:r>
      <w:r>
        <w:rPr/>
        <w:t>(ОРИТ)</w:t>
      </w:r>
      <w:r>
        <w:rPr>
          <w:spacing w:val="-1"/>
        </w:rPr>
        <w:t> </w:t>
      </w:r>
      <w:r>
        <w:rPr/>
        <w:t>при</w:t>
      </w:r>
      <w:r>
        <w:rPr>
          <w:spacing w:val="-8"/>
        </w:rPr>
        <w:t> </w:t>
      </w:r>
      <w:r>
        <w:rPr/>
        <w:t>наличии</w:t>
      </w:r>
      <w:r>
        <w:rPr>
          <w:spacing w:val="-8"/>
        </w:rPr>
        <w:t> </w:t>
      </w:r>
      <w:r>
        <w:rPr/>
        <w:t>признаков</w:t>
      </w:r>
      <w:r>
        <w:rPr>
          <w:spacing w:val="-10"/>
        </w:rPr>
        <w:t> </w:t>
      </w:r>
      <w:r>
        <w:rPr/>
        <w:t>бактериальной инфекции (повышение ПКТ более 0,5 нг/мл, появление гнойной мокроты) рекомендована комбинированная терапия: защищенные аминопенициллины (амоксициллин/клавулановая кислота, амоксициллин/сульбактам), цефалоспорины (цефтриаксон, цефотаксим цефтаролина фосамил,) в/в комбинации с азитромицином или кларитромицином в/в. Альтернативой является применение цефалоспоринов третьего поколения (цефтриаксон, цефтотаксим) в/в комбинации с респираторным фторхинолоном (левофлоксацин, моксифлоксацин) в/в. При совместном использовании фторхинолонов с препаратами группы 4-аминохинолонов (гидроксихлорохин) следует учитывать риск потенциирования кардиотоксического эффекта.</w:t>
      </w:r>
    </w:p>
    <w:p>
      <w:pPr>
        <w:spacing w:after="0" w:line="312" w:lineRule="auto"/>
        <w:sectPr>
          <w:pgSz w:w="11920" w:h="16850"/>
          <w:pgMar w:header="0" w:footer="620" w:top="1060" w:bottom="880" w:left="1380" w:right="600"/>
        </w:sectPr>
      </w:pPr>
    </w:p>
    <w:p>
      <w:pPr>
        <w:pStyle w:val="BodyText"/>
        <w:spacing w:line="312" w:lineRule="auto" w:before="78"/>
        <w:ind w:right="674" w:firstLine="708"/>
      </w:pPr>
      <w:r>
        <w:rPr/>
        <w:t>Пациентам с наличием факторов риска инфицирования </w:t>
      </w:r>
      <w:r>
        <w:rPr>
          <w:i/>
        </w:rPr>
        <w:t>Staphylococcus aureus </w:t>
      </w:r>
      <w:r>
        <w:rPr/>
        <w:t>(недавно перенесенные хирургические вмешательства, госпитализации или пребывание</w:t>
      </w:r>
      <w:r>
        <w:rPr>
          <w:spacing w:val="-17"/>
        </w:rPr>
        <w:t> </w:t>
      </w:r>
      <w:r>
        <w:rPr/>
        <w:t>в</w:t>
      </w:r>
      <w:r>
        <w:rPr>
          <w:spacing w:val="-16"/>
        </w:rPr>
        <w:t> </w:t>
      </w:r>
      <w:r>
        <w:rPr/>
        <w:t>доме</w:t>
      </w:r>
      <w:r>
        <w:rPr>
          <w:spacing w:val="-17"/>
        </w:rPr>
        <w:t> </w:t>
      </w:r>
      <w:r>
        <w:rPr/>
        <w:t>престарелых,</w:t>
      </w:r>
      <w:r>
        <w:rPr>
          <w:spacing w:val="-15"/>
        </w:rPr>
        <w:t> </w:t>
      </w:r>
      <w:r>
        <w:rPr/>
        <w:t>наличие</w:t>
      </w:r>
      <w:r>
        <w:rPr>
          <w:spacing w:val="-17"/>
        </w:rPr>
        <w:t> </w:t>
      </w:r>
      <w:r>
        <w:rPr/>
        <w:t>постоянного</w:t>
      </w:r>
      <w:r>
        <w:rPr>
          <w:spacing w:val="-16"/>
        </w:rPr>
        <w:t> </w:t>
      </w:r>
      <w:r>
        <w:rPr/>
        <w:t>внутривенного</w:t>
      </w:r>
      <w:r>
        <w:rPr>
          <w:spacing w:val="-15"/>
        </w:rPr>
        <w:t> </w:t>
      </w:r>
      <w:r>
        <w:rPr/>
        <w:t>катетера,</w:t>
      </w:r>
      <w:r>
        <w:rPr>
          <w:spacing w:val="-16"/>
        </w:rPr>
        <w:t> </w:t>
      </w:r>
      <w:r>
        <w:rPr/>
        <w:t>диализ) целесообразно эмпирическое назначение препаратов, обладающих антистафилококковой активностью (цефтаролина фосамил, линезолид, ванкомицин)   в комбинации с респираторным фторхинолоном</w:t>
      </w:r>
      <w:r>
        <w:rPr>
          <w:spacing w:val="-4"/>
        </w:rPr>
        <w:t> </w:t>
      </w:r>
      <w:r>
        <w:rPr/>
        <w:t>в/в.</w:t>
      </w:r>
    </w:p>
    <w:p>
      <w:pPr>
        <w:pStyle w:val="BodyText"/>
        <w:spacing w:line="312" w:lineRule="auto"/>
        <w:ind w:right="674" w:firstLine="708"/>
      </w:pPr>
      <w:r>
        <w:rPr/>
        <w:t>Пациентам</w:t>
      </w:r>
      <w:r>
        <w:rPr>
          <w:spacing w:val="-15"/>
        </w:rPr>
        <w:t> </w:t>
      </w:r>
      <w:r>
        <w:rPr/>
        <w:t>с</w:t>
      </w:r>
      <w:r>
        <w:rPr>
          <w:spacing w:val="-14"/>
        </w:rPr>
        <w:t> </w:t>
      </w:r>
      <w:r>
        <w:rPr/>
        <w:t>факторами</w:t>
      </w:r>
      <w:r>
        <w:rPr>
          <w:spacing w:val="-10"/>
        </w:rPr>
        <w:t> </w:t>
      </w:r>
      <w:r>
        <w:rPr/>
        <w:t>риска</w:t>
      </w:r>
      <w:r>
        <w:rPr>
          <w:spacing w:val="-14"/>
        </w:rPr>
        <w:t> </w:t>
      </w:r>
      <w:r>
        <w:rPr/>
        <w:t>инфицирования</w:t>
      </w:r>
      <w:r>
        <w:rPr>
          <w:spacing w:val="-16"/>
        </w:rPr>
        <w:t> </w:t>
      </w:r>
      <w:r>
        <w:rPr/>
        <w:t>P.</w:t>
      </w:r>
      <w:r>
        <w:rPr>
          <w:spacing w:val="-13"/>
        </w:rPr>
        <w:t> </w:t>
      </w:r>
      <w:r>
        <w:rPr/>
        <w:t>aeruginosa</w:t>
      </w:r>
      <w:r>
        <w:rPr>
          <w:spacing w:val="-12"/>
        </w:rPr>
        <w:t> </w:t>
      </w:r>
      <w:r>
        <w:rPr/>
        <w:t>(длительная</w:t>
      </w:r>
      <w:r>
        <w:rPr>
          <w:spacing w:val="-13"/>
        </w:rPr>
        <w:t> </w:t>
      </w:r>
      <w:r>
        <w:rPr/>
        <w:t>терапия системными ГКС, муковисцидоз, вторичные бронхоэктазы, недавний прием системных  антибиотиков) рекомендованы –  комбинация β-лактамного антибиотика  с антисинегнойной активностью (пиперациллин/тазобактам, меропенем, имипенем/циластатин, дорипенем) с ципрофлоксацином или левофлоксацином; альтернатива – комбинация β-лактамного препарата с антисинегнойной активностью  с аминогликозидами II-III поколения и макролидами, либо респираторным фторхинолоном.</w:t>
      </w:r>
    </w:p>
    <w:p>
      <w:pPr>
        <w:pStyle w:val="BodyText"/>
        <w:spacing w:line="312" w:lineRule="auto"/>
        <w:ind w:right="674" w:firstLine="708"/>
      </w:pPr>
      <w:r>
        <w:rPr/>
        <w:t>В случае клинической неэффективности или развития нозокомиальных осложнений выбор режима антимикробной терапии необходимо осуществлять на основании выявления факторов риска резистентных возбудителей, анализа предшествующей терапии, результатов микробиологической диагностики (пиперациллин/тазобактам, цефепим/сульбактам, меропенем, дорипенем, имипенем/циластатин, цефтолозан/тазобактам, цефтазидим/авибактам, тигециклин, азтреонам, амикацин, телаванцин и др.).</w:t>
      </w:r>
    </w:p>
    <w:p>
      <w:pPr>
        <w:pStyle w:val="Heading3"/>
        <w:spacing w:line="312" w:lineRule="auto" w:before="119"/>
        <w:ind w:left="321" w:right="675" w:firstLine="708"/>
      </w:pPr>
      <w:bookmarkStart w:name="Особенности антибактериальной терапии у " w:id="58"/>
      <w:bookmarkEnd w:id="58"/>
      <w:r>
        <w:rPr>
          <w:b w:val="0"/>
        </w:rPr>
      </w:r>
      <w:r>
        <w:rPr>
          <w:color w:val="1F487C"/>
        </w:rPr>
        <w:t>Особенности   антибактериальной   терапии    у    беременных,    рожениц  и</w:t>
      </w:r>
      <w:r>
        <w:rPr>
          <w:color w:val="1F487C"/>
          <w:spacing w:val="-1"/>
        </w:rPr>
        <w:t> </w:t>
      </w:r>
      <w:r>
        <w:rPr>
          <w:color w:val="1F487C"/>
        </w:rPr>
        <w:t>родильниц</w:t>
      </w:r>
    </w:p>
    <w:p>
      <w:pPr>
        <w:pStyle w:val="BodyText"/>
        <w:spacing w:line="312" w:lineRule="auto" w:before="121"/>
        <w:ind w:right="673" w:firstLine="708"/>
      </w:pPr>
      <w:r>
        <w:rPr/>
        <w:t>Начать лечение эмпирическими антибиотиками после постановки диагноза пневмонии в течение 4 ч, при тяжелой пневмонии – в течение 1 ч.</w:t>
      </w:r>
    </w:p>
    <w:p>
      <w:pPr>
        <w:pStyle w:val="BodyText"/>
        <w:spacing w:line="312" w:lineRule="auto"/>
        <w:ind w:right="673" w:firstLine="708"/>
      </w:pPr>
      <w:r>
        <w:rPr/>
        <w:t>Пациенткам с тяжелым течением заболевания антибактериальные препараты вводятся внутривенно.</w:t>
      </w:r>
    </w:p>
    <w:p>
      <w:pPr>
        <w:spacing w:line="312" w:lineRule="auto" w:before="0"/>
        <w:ind w:left="321" w:right="674" w:firstLine="708"/>
        <w:jc w:val="both"/>
        <w:rPr>
          <w:sz w:val="24"/>
        </w:rPr>
      </w:pPr>
      <w:r>
        <w:rPr>
          <w:sz w:val="24"/>
        </w:rPr>
        <w:t>При вторичной вирусно-бактериальной пневмонии (наиболее вероятные возбудители</w:t>
      </w:r>
      <w:r>
        <w:rPr>
          <w:spacing w:val="-7"/>
          <w:sz w:val="24"/>
        </w:rPr>
        <w:t> </w:t>
      </w:r>
      <w:r>
        <w:rPr>
          <w:sz w:val="24"/>
        </w:rPr>
        <w:t>–</w:t>
      </w:r>
      <w:r>
        <w:rPr>
          <w:spacing w:val="-7"/>
          <w:sz w:val="24"/>
        </w:rPr>
        <w:t> </w:t>
      </w:r>
      <w:r>
        <w:rPr>
          <w:i/>
          <w:sz w:val="24"/>
        </w:rPr>
        <w:t>Streptococcus</w:t>
      </w:r>
      <w:r>
        <w:rPr>
          <w:i/>
          <w:spacing w:val="-7"/>
          <w:sz w:val="24"/>
        </w:rPr>
        <w:t> </w:t>
      </w:r>
      <w:r>
        <w:rPr>
          <w:i/>
          <w:sz w:val="24"/>
        </w:rPr>
        <w:t>pneumoniae</w:t>
      </w:r>
      <w:r>
        <w:rPr>
          <w:sz w:val="24"/>
        </w:rPr>
        <w:t>,</w:t>
      </w:r>
      <w:r>
        <w:rPr>
          <w:spacing w:val="-7"/>
          <w:sz w:val="24"/>
        </w:rPr>
        <w:t> </w:t>
      </w:r>
      <w:r>
        <w:rPr>
          <w:i/>
          <w:sz w:val="24"/>
        </w:rPr>
        <w:t>Staphylococcus</w:t>
      </w:r>
      <w:r>
        <w:rPr>
          <w:i/>
          <w:spacing w:val="-7"/>
          <w:sz w:val="24"/>
        </w:rPr>
        <w:t> </w:t>
      </w:r>
      <w:r>
        <w:rPr>
          <w:i/>
          <w:sz w:val="24"/>
        </w:rPr>
        <w:t>aureus</w:t>
      </w:r>
      <w:r>
        <w:rPr>
          <w:i/>
          <w:spacing w:val="-7"/>
          <w:sz w:val="24"/>
        </w:rPr>
        <w:t> </w:t>
      </w:r>
      <w:r>
        <w:rPr>
          <w:sz w:val="24"/>
        </w:rPr>
        <w:t>и</w:t>
      </w:r>
      <w:r>
        <w:rPr>
          <w:spacing w:val="-6"/>
          <w:sz w:val="24"/>
        </w:rPr>
        <w:t> </w:t>
      </w:r>
      <w:r>
        <w:rPr>
          <w:i/>
          <w:sz w:val="24"/>
        </w:rPr>
        <w:t>Haemophilus</w:t>
      </w:r>
      <w:r>
        <w:rPr>
          <w:i/>
          <w:spacing w:val="-7"/>
          <w:sz w:val="24"/>
        </w:rPr>
        <w:t> </w:t>
      </w:r>
      <w:r>
        <w:rPr>
          <w:i/>
          <w:sz w:val="24"/>
        </w:rPr>
        <w:t>influenza</w:t>
      </w:r>
      <w:r>
        <w:rPr>
          <w:sz w:val="24"/>
        </w:rPr>
        <w:t>) предпочтительнее использовать следующие схемы</w:t>
      </w:r>
      <w:r>
        <w:rPr>
          <w:spacing w:val="-4"/>
          <w:sz w:val="24"/>
        </w:rPr>
        <w:t> </w:t>
      </w:r>
      <w:r>
        <w:rPr>
          <w:sz w:val="24"/>
        </w:rPr>
        <w:t>антибиотикотерапии:</w:t>
      </w:r>
    </w:p>
    <w:p>
      <w:pPr>
        <w:pStyle w:val="ListParagraph"/>
        <w:numPr>
          <w:ilvl w:val="0"/>
          <w:numId w:val="19"/>
        </w:numPr>
        <w:tabs>
          <w:tab w:pos="1001" w:val="left" w:leader="none"/>
        </w:tabs>
        <w:spacing w:line="240" w:lineRule="auto" w:before="3" w:after="0"/>
        <w:ind w:left="1000" w:right="0" w:hanging="339"/>
        <w:jc w:val="both"/>
        <w:rPr>
          <w:sz w:val="24"/>
        </w:rPr>
      </w:pPr>
      <w:r>
        <w:rPr>
          <w:sz w:val="24"/>
        </w:rPr>
        <w:t>Цефалоспорин III поколения ±</w:t>
      </w:r>
      <w:r>
        <w:rPr>
          <w:spacing w:val="-2"/>
          <w:sz w:val="24"/>
        </w:rPr>
        <w:t> </w:t>
      </w:r>
      <w:r>
        <w:rPr>
          <w:sz w:val="24"/>
        </w:rPr>
        <w:t>макролид;</w:t>
      </w:r>
    </w:p>
    <w:p>
      <w:pPr>
        <w:pStyle w:val="ListParagraph"/>
        <w:numPr>
          <w:ilvl w:val="0"/>
          <w:numId w:val="19"/>
        </w:numPr>
        <w:tabs>
          <w:tab w:pos="1001" w:val="left" w:leader="none"/>
        </w:tabs>
        <w:spacing w:line="240" w:lineRule="auto" w:before="80" w:after="0"/>
        <w:ind w:left="1000" w:right="0" w:hanging="339"/>
        <w:jc w:val="both"/>
        <w:rPr>
          <w:sz w:val="24"/>
        </w:rPr>
      </w:pPr>
      <w:r>
        <w:rPr>
          <w:sz w:val="24"/>
        </w:rPr>
        <w:t>Защищенный аминопенициллин ±</w:t>
      </w:r>
      <w:r>
        <w:rPr>
          <w:spacing w:val="1"/>
          <w:sz w:val="24"/>
        </w:rPr>
        <w:t> </w:t>
      </w:r>
      <w:r>
        <w:rPr>
          <w:sz w:val="24"/>
        </w:rPr>
        <w:t>макролид;</w:t>
      </w:r>
    </w:p>
    <w:p>
      <w:pPr>
        <w:pStyle w:val="BodyText"/>
        <w:spacing w:line="312" w:lineRule="auto" w:before="96"/>
        <w:ind w:right="674" w:firstLine="708"/>
      </w:pPr>
      <w:r>
        <w:rPr/>
        <w:t>При третичной бактериальной пневмонии (наиболее вероятные возбудители – метициллинрезистентные штаммы </w:t>
      </w:r>
      <w:r>
        <w:rPr>
          <w:i/>
        </w:rPr>
        <w:t>Staphylococcus aureus</w:t>
      </w:r>
      <w:r>
        <w:rPr/>
        <w:t>, </w:t>
      </w:r>
      <w:r>
        <w:rPr>
          <w:i/>
        </w:rPr>
        <w:t>Haemophilus influenza</w:t>
      </w:r>
      <w:r>
        <w:rPr/>
        <w:t>) обосновано назначение следующих препаратов (в различных комбинациях):</w:t>
      </w:r>
    </w:p>
    <w:p>
      <w:pPr>
        <w:pStyle w:val="ListParagraph"/>
        <w:numPr>
          <w:ilvl w:val="0"/>
          <w:numId w:val="19"/>
        </w:numPr>
        <w:tabs>
          <w:tab w:pos="1000" w:val="left" w:leader="none"/>
          <w:tab w:pos="1001" w:val="left" w:leader="none"/>
        </w:tabs>
        <w:spacing w:line="240" w:lineRule="auto" w:before="0" w:after="0"/>
        <w:ind w:left="1000" w:right="0" w:hanging="339"/>
        <w:jc w:val="left"/>
        <w:rPr>
          <w:sz w:val="24"/>
        </w:rPr>
      </w:pPr>
      <w:r>
        <w:rPr>
          <w:sz w:val="24"/>
        </w:rPr>
        <w:t>Цефалоспорин </w:t>
      </w:r>
      <w:r>
        <w:rPr>
          <w:spacing w:val="-3"/>
          <w:sz w:val="24"/>
        </w:rPr>
        <w:t>IV </w:t>
      </w:r>
      <w:r>
        <w:rPr>
          <w:sz w:val="24"/>
        </w:rPr>
        <w:t>поколения ±</w:t>
      </w:r>
      <w:r>
        <w:rPr>
          <w:spacing w:val="5"/>
          <w:sz w:val="24"/>
        </w:rPr>
        <w:t> </w:t>
      </w:r>
      <w:r>
        <w:rPr>
          <w:sz w:val="24"/>
        </w:rPr>
        <w:t>макролид;</w:t>
      </w:r>
    </w:p>
    <w:p>
      <w:pPr>
        <w:pStyle w:val="ListParagraph"/>
        <w:numPr>
          <w:ilvl w:val="0"/>
          <w:numId w:val="19"/>
        </w:numPr>
        <w:tabs>
          <w:tab w:pos="1000" w:val="left" w:leader="none"/>
          <w:tab w:pos="1001" w:val="left" w:leader="none"/>
        </w:tabs>
        <w:spacing w:line="240" w:lineRule="auto" w:before="83" w:after="0"/>
        <w:ind w:left="1000" w:right="0" w:hanging="339"/>
        <w:jc w:val="left"/>
        <w:rPr>
          <w:sz w:val="24"/>
        </w:rPr>
      </w:pPr>
      <w:r>
        <w:rPr>
          <w:sz w:val="24"/>
        </w:rPr>
        <w:t>Карбапенемы;</w:t>
      </w:r>
    </w:p>
    <w:p>
      <w:pPr>
        <w:pStyle w:val="ListParagraph"/>
        <w:numPr>
          <w:ilvl w:val="0"/>
          <w:numId w:val="19"/>
        </w:numPr>
        <w:tabs>
          <w:tab w:pos="1000" w:val="left" w:leader="none"/>
          <w:tab w:pos="1001" w:val="left" w:leader="none"/>
        </w:tabs>
        <w:spacing w:line="240" w:lineRule="auto" w:before="83" w:after="0"/>
        <w:ind w:left="1000" w:right="0" w:hanging="339"/>
        <w:jc w:val="left"/>
        <w:rPr>
          <w:sz w:val="24"/>
        </w:rPr>
      </w:pPr>
      <w:r>
        <w:rPr>
          <w:sz w:val="24"/>
        </w:rPr>
        <w:t>Ванкомицин;</w:t>
      </w:r>
    </w:p>
    <w:p>
      <w:pPr>
        <w:spacing w:after="0" w:line="240" w:lineRule="auto"/>
        <w:jc w:val="left"/>
        <w:rPr>
          <w:sz w:val="24"/>
        </w:rPr>
        <w:sectPr>
          <w:pgSz w:w="11920" w:h="16850"/>
          <w:pgMar w:header="0" w:footer="620" w:top="1060" w:bottom="880" w:left="1380" w:right="600"/>
        </w:sectPr>
      </w:pPr>
    </w:p>
    <w:p>
      <w:pPr>
        <w:pStyle w:val="ListParagraph"/>
        <w:numPr>
          <w:ilvl w:val="0"/>
          <w:numId w:val="19"/>
        </w:numPr>
        <w:tabs>
          <w:tab w:pos="1000" w:val="left" w:leader="none"/>
          <w:tab w:pos="1001" w:val="left" w:leader="none"/>
        </w:tabs>
        <w:spacing w:line="240" w:lineRule="auto" w:before="80" w:after="0"/>
        <w:ind w:left="1000" w:right="0" w:hanging="339"/>
        <w:jc w:val="left"/>
        <w:rPr>
          <w:sz w:val="24"/>
        </w:rPr>
      </w:pPr>
      <w:r>
        <w:rPr>
          <w:sz w:val="24"/>
        </w:rPr>
        <w:t>Линезолид.</w:t>
      </w:r>
    </w:p>
    <w:p>
      <w:pPr>
        <w:pStyle w:val="BodyText"/>
        <w:spacing w:line="312" w:lineRule="auto" w:before="93"/>
        <w:ind w:right="675" w:firstLine="708"/>
      </w:pPr>
      <w:r>
        <w:rPr/>
        <w:t>К антибактериальным лекарственным средствам противопоказанным при беременности, относятся тетрациклины, фторхинолоны, сульфаниламиды.</w:t>
      </w:r>
    </w:p>
    <w:p>
      <w:pPr>
        <w:pStyle w:val="BodyText"/>
        <w:spacing w:before="11"/>
        <w:ind w:left="0"/>
        <w:jc w:val="left"/>
        <w:rPr>
          <w:sz w:val="20"/>
        </w:rPr>
      </w:pPr>
    </w:p>
    <w:p>
      <w:pPr>
        <w:pStyle w:val="Heading2"/>
        <w:numPr>
          <w:ilvl w:val="1"/>
          <w:numId w:val="18"/>
        </w:numPr>
        <w:tabs>
          <w:tab w:pos="1592" w:val="left" w:leader="none"/>
        </w:tabs>
        <w:spacing w:line="240" w:lineRule="auto" w:before="0" w:after="0"/>
        <w:ind w:left="1591" w:right="0" w:hanging="563"/>
        <w:jc w:val="left"/>
        <w:rPr>
          <w:color w:val="1F487C"/>
        </w:rPr>
      </w:pPr>
      <w:bookmarkStart w:name="5.5.  АКУШЕРСКАЯ ТАКТИКА ПРИ COVID-19" w:id="59"/>
      <w:bookmarkEnd w:id="59"/>
      <w:r>
        <w:rPr>
          <w:b w:val="0"/>
        </w:rPr>
      </w:r>
      <w:bookmarkStart w:name="_bookmark19" w:id="60"/>
      <w:bookmarkEnd w:id="60"/>
      <w:r>
        <w:rPr>
          <w:b w:val="0"/>
        </w:rPr>
      </w:r>
      <w:bookmarkStart w:name="_bookmark19" w:id="61"/>
      <w:bookmarkEnd w:id="61"/>
      <w:r>
        <w:rPr>
          <w:color w:val="1F487C"/>
        </w:rPr>
        <w:t>А</w:t>
      </w:r>
      <w:r>
        <w:rPr>
          <w:color w:val="1F487C"/>
        </w:rPr>
        <w:t>КУШЕРСКАЯ ТАКТИКА ПРИ</w:t>
      </w:r>
      <w:r>
        <w:rPr>
          <w:color w:val="1F487C"/>
          <w:spacing w:val="-6"/>
        </w:rPr>
        <w:t> </w:t>
      </w:r>
      <w:r>
        <w:rPr>
          <w:color w:val="1F487C"/>
        </w:rPr>
        <w:t>COVID-19</w:t>
      </w:r>
    </w:p>
    <w:p>
      <w:pPr>
        <w:pStyle w:val="BodyText"/>
        <w:spacing w:line="312" w:lineRule="auto" w:before="145"/>
        <w:ind w:right="674" w:firstLine="708"/>
      </w:pPr>
      <w:r>
        <w:rPr/>
        <w:t>Акушерская тактика определяется несколькими аспектами: тяжестью</w:t>
      </w:r>
      <w:r>
        <w:rPr>
          <w:spacing w:val="-40"/>
        </w:rPr>
        <w:t> </w:t>
      </w:r>
      <w:r>
        <w:rPr/>
        <w:t>состояния пациентки,  состоянием  плода,  сроком   гестации.  При  средней  степени   тяжести   и тяжелом течении заболевания до 12-й недели гестации в связи с высоким риском перинатальных осложнений, связанных как  с воздействием вирусной  инфекции, так и эмбриотоксичным действием лекарственных препаратов, возможно прерывание беременности после излечения инфекционного процесса. При отказе пациентки </w:t>
      </w:r>
      <w:r>
        <w:rPr>
          <w:spacing w:val="-3"/>
        </w:rPr>
        <w:t>от </w:t>
      </w:r>
      <w:r>
        <w:rPr/>
        <w:t>прерывания  беременности  необходима  биопсия  ворсин   хориона   или   плаценты до 12-14-й недель или амниоцентез с 16 недель гестации для выявления хромосомных аномалий плода, которые проводятся по желанию</w:t>
      </w:r>
      <w:r>
        <w:rPr>
          <w:spacing w:val="-1"/>
        </w:rPr>
        <w:t> </w:t>
      </w:r>
      <w:r>
        <w:rPr/>
        <w:t>женщины.</w:t>
      </w:r>
    </w:p>
    <w:p>
      <w:pPr>
        <w:pStyle w:val="BodyText"/>
        <w:spacing w:line="312" w:lineRule="auto" w:before="1"/>
        <w:ind w:right="673" w:firstLine="708"/>
      </w:pPr>
      <w:r>
        <w:rPr/>
        <w:t>Прерывание беременности и родоразрешение в разгар заболевания сопряжено  с увеличением показателя материнской летальности и большим числом осложнений: утяжеление   основного   заболевания   и    вызванных    им    осложнений,    развитие и прогрессирование дыхательной недостаточности, возникновение акушерских кровотечений, интранатальная гибель плода, послеродовые гнойно-септические осложнения. Однако при невозможности устранения гипоксии на фоне ИВЛ или при прогрессировании дыхательной недостаточности, развитии альвеолярного отека легких, а  также  при  рефрактерном  септическом  шоке  по  жизненным  показаниям  в интересах матери и плода показано экстренное абдоминальное родоразрешение (кесарево сечение) с проведением всех необходимых мероприятий по профилактике коагулопатического и гипотонического акушерского</w:t>
      </w:r>
      <w:r>
        <w:rPr>
          <w:spacing w:val="-1"/>
        </w:rPr>
        <w:t> </w:t>
      </w:r>
      <w:r>
        <w:rPr/>
        <w:t>кровотечения.</w:t>
      </w:r>
    </w:p>
    <w:p>
      <w:pPr>
        <w:pStyle w:val="BodyText"/>
        <w:spacing w:line="312" w:lineRule="auto"/>
        <w:ind w:right="674" w:firstLine="708"/>
      </w:pPr>
      <w:r>
        <w:rPr/>
        <w:t>В  сроке  беременности  до  20  недель  экстренное  кесарево  сечение  можно  не проводить, так как беременная матка в этом сроке не влияет на сердечный выброс. В сроке беременности 20-23 недели экстренное кесарево сечение проводится для сохранения</w:t>
      </w:r>
      <w:r>
        <w:rPr>
          <w:spacing w:val="-6"/>
        </w:rPr>
        <w:t> </w:t>
      </w:r>
      <w:r>
        <w:rPr/>
        <w:t>жизни</w:t>
      </w:r>
      <w:r>
        <w:rPr>
          <w:spacing w:val="-5"/>
        </w:rPr>
        <w:t> </w:t>
      </w:r>
      <w:r>
        <w:rPr/>
        <w:t>матери,</w:t>
      </w:r>
      <w:r>
        <w:rPr>
          <w:spacing w:val="-4"/>
        </w:rPr>
        <w:t> </w:t>
      </w:r>
      <w:r>
        <w:rPr/>
        <w:t>но</w:t>
      </w:r>
      <w:r>
        <w:rPr>
          <w:spacing w:val="-6"/>
        </w:rPr>
        <w:t> </w:t>
      </w:r>
      <w:r>
        <w:rPr/>
        <w:t>не</w:t>
      </w:r>
      <w:r>
        <w:rPr>
          <w:spacing w:val="-4"/>
        </w:rPr>
        <w:t> </w:t>
      </w:r>
      <w:r>
        <w:rPr/>
        <w:t>плода,</w:t>
      </w:r>
      <w:r>
        <w:rPr>
          <w:spacing w:val="-4"/>
        </w:rPr>
        <w:t> </w:t>
      </w:r>
      <w:r>
        <w:rPr/>
        <w:t>а</w:t>
      </w:r>
      <w:r>
        <w:rPr>
          <w:spacing w:val="-5"/>
        </w:rPr>
        <w:t> </w:t>
      </w:r>
      <w:r>
        <w:rPr/>
        <w:t>в</w:t>
      </w:r>
      <w:r>
        <w:rPr>
          <w:spacing w:val="-4"/>
        </w:rPr>
        <w:t> </w:t>
      </w:r>
      <w:r>
        <w:rPr/>
        <w:t>сроке</w:t>
      </w:r>
      <w:r>
        <w:rPr>
          <w:spacing w:val="-4"/>
        </w:rPr>
        <w:t> </w:t>
      </w:r>
      <w:r>
        <w:rPr/>
        <w:t>более</w:t>
      </w:r>
      <w:r>
        <w:rPr>
          <w:spacing w:val="-5"/>
        </w:rPr>
        <w:t> </w:t>
      </w:r>
      <w:r>
        <w:rPr/>
        <w:t>24</w:t>
      </w:r>
      <w:r>
        <w:rPr>
          <w:spacing w:val="-4"/>
        </w:rPr>
        <w:t> </w:t>
      </w:r>
      <w:r>
        <w:rPr/>
        <w:t>недель</w:t>
      </w:r>
      <w:r>
        <w:rPr>
          <w:spacing w:val="-3"/>
        </w:rPr>
        <w:t> </w:t>
      </w:r>
      <w:r>
        <w:rPr/>
        <w:t>–</w:t>
      </w:r>
      <w:r>
        <w:rPr>
          <w:spacing w:val="-3"/>
        </w:rPr>
        <w:t> </w:t>
      </w:r>
      <w:r>
        <w:rPr/>
        <w:t>для</w:t>
      </w:r>
      <w:r>
        <w:rPr>
          <w:spacing w:val="-4"/>
        </w:rPr>
        <w:t> </w:t>
      </w:r>
      <w:r>
        <w:rPr/>
        <w:t>спасения</w:t>
      </w:r>
      <w:r>
        <w:rPr>
          <w:spacing w:val="-4"/>
        </w:rPr>
        <w:t> </w:t>
      </w:r>
      <w:r>
        <w:rPr/>
        <w:t>жизни матери и</w:t>
      </w:r>
      <w:r>
        <w:rPr>
          <w:spacing w:val="1"/>
        </w:rPr>
        <w:t> </w:t>
      </w:r>
      <w:r>
        <w:rPr/>
        <w:t>плода.</w:t>
      </w:r>
    </w:p>
    <w:p>
      <w:pPr>
        <w:pStyle w:val="BodyText"/>
        <w:spacing w:line="312" w:lineRule="auto"/>
        <w:ind w:right="675" w:firstLine="708"/>
      </w:pPr>
      <w:r>
        <w:rPr/>
        <w:t>В случае развития спонтанной родовой деятельности в разгар заболевания (пневмонии) роды предпочтительно вести через естественные родовые пути под мониторным контролем состояния матери и плода.</w:t>
      </w:r>
    </w:p>
    <w:p>
      <w:pPr>
        <w:pStyle w:val="BodyText"/>
        <w:tabs>
          <w:tab w:pos="2109" w:val="left" w:leader="none"/>
          <w:tab w:pos="4715" w:val="left" w:leader="none"/>
          <w:tab w:pos="7237" w:val="left" w:leader="none"/>
        </w:tabs>
        <w:spacing w:line="312" w:lineRule="auto"/>
        <w:ind w:right="675" w:firstLine="708"/>
      </w:pPr>
      <w:r>
        <w:rPr/>
        <w:t>Предпочтительным</w:t>
      </w:r>
      <w:r>
        <w:rPr>
          <w:spacing w:val="-15"/>
        </w:rPr>
        <w:t> </w:t>
      </w:r>
      <w:r>
        <w:rPr/>
        <w:t>методом</w:t>
      </w:r>
      <w:r>
        <w:rPr>
          <w:spacing w:val="-15"/>
        </w:rPr>
        <w:t> </w:t>
      </w:r>
      <w:r>
        <w:rPr/>
        <w:t>обезболивания</w:t>
      </w:r>
      <w:r>
        <w:rPr>
          <w:spacing w:val="-17"/>
        </w:rPr>
        <w:t> </w:t>
      </w:r>
      <w:r>
        <w:rPr/>
        <w:t>является</w:t>
      </w:r>
      <w:r>
        <w:rPr>
          <w:spacing w:val="-14"/>
        </w:rPr>
        <w:t> </w:t>
      </w:r>
      <w:r>
        <w:rPr/>
        <w:t>регионарная</w:t>
      </w:r>
      <w:r>
        <w:rPr>
          <w:spacing w:val="-14"/>
        </w:rPr>
        <w:t> </w:t>
      </w:r>
      <w:r>
        <w:rPr/>
        <w:t>аналгезия</w:t>
      </w:r>
      <w:r>
        <w:rPr>
          <w:spacing w:val="-13"/>
        </w:rPr>
        <w:t> </w:t>
      </w:r>
      <w:r>
        <w:rPr/>
        <w:t>при отсутствии</w:t>
        <w:tab/>
        <w:t>противопоказаний.</w:t>
        <w:tab/>
        <w:t>Противовирусная,</w:t>
        <w:tab/>
        <w:t>антибактериальная, детоксикационная терапия, респираторная поддержка проводятся по</w:t>
      </w:r>
      <w:r>
        <w:rPr>
          <w:spacing w:val="-6"/>
        </w:rPr>
        <w:t> </w:t>
      </w:r>
      <w:r>
        <w:rPr/>
        <w:t>показаниям.</w:t>
      </w:r>
    </w:p>
    <w:p>
      <w:pPr>
        <w:pStyle w:val="BodyText"/>
        <w:spacing w:line="312" w:lineRule="auto"/>
        <w:ind w:right="676" w:firstLine="708"/>
      </w:pPr>
      <w:r>
        <w:rPr/>
        <w:t>Во втором периоде для профилактики развития дыхательной и сердечно- сосудистой недостаточности следует ослабить потуги. С целью ускорения процесса родоразрешения при дистрессе плода, слабости родовой деятельности и/или</w:t>
      </w:r>
    </w:p>
    <w:p>
      <w:pPr>
        <w:spacing w:after="0" w:line="312" w:lineRule="auto"/>
        <w:sectPr>
          <w:pgSz w:w="11920" w:h="16850"/>
          <w:pgMar w:header="0" w:footer="620" w:top="1060" w:bottom="880" w:left="1380" w:right="600"/>
        </w:sectPr>
      </w:pPr>
    </w:p>
    <w:p>
      <w:pPr>
        <w:pStyle w:val="BodyText"/>
        <w:spacing w:line="312" w:lineRule="auto" w:before="78"/>
        <w:ind w:right="676"/>
      </w:pPr>
      <w:r>
        <w:rPr/>
        <w:t>ухудшении состояния женщины возможно применение вакуум-экстракции или акушерских щипцов.</w:t>
      </w:r>
    </w:p>
    <w:p>
      <w:pPr>
        <w:pStyle w:val="BodyText"/>
        <w:spacing w:line="312" w:lineRule="auto"/>
        <w:ind w:right="673" w:firstLine="708"/>
      </w:pPr>
      <w:r>
        <w:rPr/>
        <w:t>Кесарево сечение выполняется по стандартным акушерским показаниям. Однако при невозможности устранения гипоксии на фоне ИВЛ или при прогрессировании дыхательной недостаточности, развитии альвеолярного отека легких, а  также  при  рефрактерном  септическом  шоке  по  жизненным  показаниям  в интересах матери и плода показано экстренное абдоминальное родоразрешение (кесарево сечение) с проведением всех необходимых мероприятий по профилактике коагулопатического и гипотонического акушерского кровотечения. При тяжелой форме течения COVID-19 предпочтительным доступом является нижнесрединная лапаротомия.</w:t>
      </w:r>
    </w:p>
    <w:p>
      <w:pPr>
        <w:pStyle w:val="BodyText"/>
        <w:spacing w:line="312" w:lineRule="auto"/>
        <w:ind w:right="674" w:firstLine="708"/>
      </w:pPr>
      <w:r>
        <w:rPr/>
        <w:t>Анестезиологическое обеспечение операции кесарева сечения при тяжелом течении заболевания: в отсутствии признаков выраженной полиорганной недостаточности (до 2 баллов по шкале SOFA) возможно применение регионарных методов обезболивания на фоне респираторной поддержки, при выраженной полиорганной недостаточности – тотальной внутривенной анестезии с ИВЛ.</w:t>
      </w:r>
    </w:p>
    <w:p>
      <w:pPr>
        <w:pStyle w:val="BodyText"/>
        <w:spacing w:line="312" w:lineRule="auto" w:before="1"/>
        <w:ind w:right="675" w:firstLine="708"/>
      </w:pPr>
      <w:r>
        <w:rPr/>
        <w:t>Всем пациенткам, независимо от срока беременности, показана профилактика кровотечения.</w:t>
      </w:r>
    </w:p>
    <w:p>
      <w:pPr>
        <w:pStyle w:val="BodyText"/>
        <w:spacing w:line="312" w:lineRule="auto"/>
        <w:ind w:right="679" w:firstLine="708"/>
      </w:pPr>
      <w:r>
        <w:rPr/>
        <w:t>Во всех случаях вопрос о времени и методе родоразрешения решается индивидуально.</w:t>
      </w:r>
    </w:p>
    <w:p>
      <w:pPr>
        <w:pStyle w:val="BodyText"/>
        <w:spacing w:line="312" w:lineRule="auto"/>
        <w:ind w:right="676" w:firstLine="708"/>
      </w:pPr>
      <w:r>
        <w:rPr/>
        <w:t>Клиническими критериями выписки из стационара беременных и родильниц являются:</w:t>
      </w:r>
    </w:p>
    <w:p>
      <w:pPr>
        <w:pStyle w:val="BodyText"/>
        <w:spacing w:before="3"/>
        <w:ind w:left="0"/>
        <w:jc w:val="left"/>
        <w:rPr>
          <w:sz w:val="31"/>
        </w:rPr>
      </w:pPr>
    </w:p>
    <w:p>
      <w:pPr>
        <w:pStyle w:val="ListParagraph"/>
        <w:numPr>
          <w:ilvl w:val="0"/>
          <w:numId w:val="19"/>
        </w:numPr>
        <w:tabs>
          <w:tab w:pos="1000" w:val="left" w:leader="none"/>
          <w:tab w:pos="1001" w:val="left" w:leader="none"/>
        </w:tabs>
        <w:spacing w:line="240" w:lineRule="auto" w:before="0" w:after="0"/>
        <w:ind w:left="1000" w:right="0" w:hanging="339"/>
        <w:jc w:val="left"/>
        <w:rPr>
          <w:sz w:val="24"/>
        </w:rPr>
      </w:pPr>
      <w:r>
        <w:rPr>
          <w:sz w:val="24"/>
        </w:rPr>
        <w:t>Нормальная t тела в течение 3-х</w:t>
      </w:r>
      <w:r>
        <w:rPr>
          <w:spacing w:val="-2"/>
          <w:sz w:val="24"/>
        </w:rPr>
        <w:t> </w:t>
      </w:r>
      <w:r>
        <w:rPr>
          <w:sz w:val="24"/>
        </w:rPr>
        <w:t>дней;</w:t>
      </w:r>
    </w:p>
    <w:p>
      <w:pPr>
        <w:pStyle w:val="ListParagraph"/>
        <w:numPr>
          <w:ilvl w:val="0"/>
          <w:numId w:val="19"/>
        </w:numPr>
        <w:tabs>
          <w:tab w:pos="1000" w:val="left" w:leader="none"/>
          <w:tab w:pos="1001" w:val="left" w:leader="none"/>
        </w:tabs>
        <w:spacing w:line="240" w:lineRule="auto" w:before="83" w:after="0"/>
        <w:ind w:left="1000" w:right="0" w:hanging="339"/>
        <w:jc w:val="left"/>
        <w:rPr>
          <w:sz w:val="24"/>
        </w:rPr>
      </w:pPr>
      <w:r>
        <w:rPr>
          <w:sz w:val="24"/>
        </w:rPr>
        <w:t>Отсутствие симптомов поражения респираторного</w:t>
      </w:r>
      <w:r>
        <w:rPr>
          <w:spacing w:val="-1"/>
          <w:sz w:val="24"/>
        </w:rPr>
        <w:t> </w:t>
      </w:r>
      <w:r>
        <w:rPr>
          <w:sz w:val="24"/>
        </w:rPr>
        <w:t>тракта;</w:t>
      </w:r>
    </w:p>
    <w:p>
      <w:pPr>
        <w:pStyle w:val="ListParagraph"/>
        <w:numPr>
          <w:ilvl w:val="0"/>
          <w:numId w:val="19"/>
        </w:numPr>
        <w:tabs>
          <w:tab w:pos="1000" w:val="left" w:leader="none"/>
          <w:tab w:pos="1001" w:val="left" w:leader="none"/>
        </w:tabs>
        <w:spacing w:line="240" w:lineRule="auto" w:before="82" w:after="0"/>
        <w:ind w:left="1000" w:right="0" w:hanging="339"/>
        <w:jc w:val="left"/>
        <w:rPr>
          <w:sz w:val="24"/>
        </w:rPr>
      </w:pPr>
      <w:r>
        <w:rPr>
          <w:sz w:val="24"/>
        </w:rPr>
        <w:t>Восстановление нарушенных лабораторных показателей;</w:t>
      </w:r>
    </w:p>
    <w:p>
      <w:pPr>
        <w:pStyle w:val="ListParagraph"/>
        <w:numPr>
          <w:ilvl w:val="0"/>
          <w:numId w:val="19"/>
        </w:numPr>
        <w:tabs>
          <w:tab w:pos="1000" w:val="left" w:leader="none"/>
          <w:tab w:pos="1001" w:val="left" w:leader="none"/>
        </w:tabs>
        <w:spacing w:line="240" w:lineRule="auto" w:before="81" w:after="0"/>
        <w:ind w:left="1000" w:right="0" w:hanging="339"/>
        <w:jc w:val="left"/>
        <w:rPr>
          <w:sz w:val="24"/>
        </w:rPr>
      </w:pPr>
      <w:r>
        <w:rPr>
          <w:sz w:val="24"/>
        </w:rPr>
        <w:t>Отсутствие акушерских осложнений (беременности, послеродового</w:t>
      </w:r>
      <w:r>
        <w:rPr>
          <w:spacing w:val="-2"/>
          <w:sz w:val="24"/>
        </w:rPr>
        <w:t> </w:t>
      </w:r>
      <w:r>
        <w:rPr>
          <w:sz w:val="24"/>
        </w:rPr>
        <w:t>периода).</w:t>
      </w:r>
    </w:p>
    <w:p>
      <w:pPr>
        <w:pStyle w:val="BodyText"/>
        <w:spacing w:line="312" w:lineRule="auto" w:before="95"/>
        <w:ind w:right="674" w:firstLine="708"/>
      </w:pPr>
      <w:r>
        <w:rPr/>
        <w:t>Прогноз для матери и плода зависит от триместра гестации, в котором</w:t>
      </w:r>
      <w:r>
        <w:rPr>
          <w:spacing w:val="-38"/>
        </w:rPr>
        <w:t> </w:t>
      </w:r>
      <w:r>
        <w:rPr/>
        <w:t>возникло заболевание, наличия преморбидного фона (курение, ожирение, фоновые заболевания органов дыхательной системы и ЛОР-органов, сахарный диабет, ВИЧ-инфекция), степени тяжести инфекционного процесса, наличия осложнений и своевременности начала противовирусной терапии.</w:t>
      </w:r>
    </w:p>
    <w:p>
      <w:pPr>
        <w:pStyle w:val="BodyText"/>
        <w:spacing w:before="9"/>
        <w:ind w:left="0"/>
        <w:jc w:val="left"/>
        <w:rPr>
          <w:sz w:val="20"/>
        </w:rPr>
      </w:pPr>
    </w:p>
    <w:p>
      <w:pPr>
        <w:pStyle w:val="Heading3"/>
        <w:jc w:val="left"/>
      </w:pPr>
      <w:bookmarkStart w:name="Тактика ведения новорожденных в условиях" w:id="62"/>
      <w:bookmarkEnd w:id="62"/>
      <w:r>
        <w:rPr>
          <w:b w:val="0"/>
        </w:rPr>
      </w:r>
      <w:r>
        <w:rPr>
          <w:color w:val="1F487C"/>
        </w:rPr>
        <w:t>Тактика ведения новорожденных в условиях пандемии COVID-19</w:t>
      </w:r>
    </w:p>
    <w:p>
      <w:pPr>
        <w:pStyle w:val="BodyText"/>
        <w:spacing w:line="312" w:lineRule="auto" w:before="142"/>
        <w:ind w:right="615" w:firstLine="708"/>
        <w:jc w:val="left"/>
      </w:pPr>
      <w:r>
        <w:rPr/>
        <w:t>Маршрутизация новорожденных высокого риска по развитию COVID-19 основывается на выделении групп риска в зависимости от инфицирования матери.</w:t>
      </w:r>
    </w:p>
    <w:p>
      <w:pPr>
        <w:pStyle w:val="Heading3"/>
        <w:spacing w:before="120"/>
        <w:jc w:val="left"/>
      </w:pPr>
      <w:r>
        <w:rPr/>
        <w:t>Потенциально инфицированным SARS-CoV-2 считается ребенок:</w:t>
      </w:r>
    </w:p>
    <w:p>
      <w:pPr>
        <w:pStyle w:val="ListParagraph"/>
        <w:numPr>
          <w:ilvl w:val="1"/>
          <w:numId w:val="19"/>
        </w:numPr>
        <w:tabs>
          <w:tab w:pos="1174" w:val="left" w:leader="none"/>
        </w:tabs>
        <w:spacing w:line="304" w:lineRule="auto" w:before="206" w:after="0"/>
        <w:ind w:left="321" w:right="679" w:firstLine="566"/>
        <w:jc w:val="left"/>
        <w:rPr>
          <w:sz w:val="24"/>
        </w:rPr>
      </w:pPr>
      <w:r>
        <w:rPr>
          <w:sz w:val="24"/>
        </w:rPr>
        <w:t>Рожденный от матери, у которой выявлен подтвержденный случай COVID-19 за 14 дней до родов;</w:t>
      </w:r>
    </w:p>
    <w:p>
      <w:pPr>
        <w:spacing w:after="0" w:line="304" w:lineRule="auto"/>
        <w:jc w:val="left"/>
        <w:rPr>
          <w:sz w:val="24"/>
        </w:rPr>
        <w:sectPr>
          <w:pgSz w:w="11920" w:h="16850"/>
          <w:pgMar w:header="0" w:footer="620" w:top="1060" w:bottom="880" w:left="1380" w:right="600"/>
        </w:sectPr>
      </w:pPr>
    </w:p>
    <w:p>
      <w:pPr>
        <w:pStyle w:val="ListParagraph"/>
        <w:numPr>
          <w:ilvl w:val="1"/>
          <w:numId w:val="19"/>
        </w:numPr>
        <w:tabs>
          <w:tab w:pos="1174" w:val="left" w:leader="none"/>
        </w:tabs>
        <w:spacing w:line="309" w:lineRule="auto" w:before="80" w:after="0"/>
        <w:ind w:left="321" w:right="673" w:firstLine="566"/>
        <w:jc w:val="both"/>
        <w:rPr>
          <w:sz w:val="24"/>
        </w:rPr>
      </w:pPr>
      <w:r>
        <w:rPr>
          <w:sz w:val="24"/>
        </w:rPr>
        <w:t>Рожденный от матери с подозрением на инфицирование SARS-CoV-2, в том числе находившейся на самоизоляции (из группы подлежащих карантину по контакту с инфицированным</w:t>
      </w:r>
      <w:r>
        <w:rPr>
          <w:spacing w:val="-3"/>
          <w:sz w:val="24"/>
        </w:rPr>
        <w:t> </w:t>
      </w:r>
      <w:r>
        <w:rPr>
          <w:sz w:val="24"/>
        </w:rPr>
        <w:t>SARS-CoV-2);</w:t>
      </w:r>
    </w:p>
    <w:p>
      <w:pPr>
        <w:pStyle w:val="ListParagraph"/>
        <w:numPr>
          <w:ilvl w:val="1"/>
          <w:numId w:val="19"/>
        </w:numPr>
        <w:tabs>
          <w:tab w:pos="1174" w:val="left" w:leader="none"/>
        </w:tabs>
        <w:spacing w:line="309" w:lineRule="auto" w:before="3" w:after="0"/>
        <w:ind w:left="321" w:right="673" w:firstLine="566"/>
        <w:jc w:val="both"/>
        <w:rPr>
          <w:sz w:val="24"/>
        </w:rPr>
      </w:pPr>
      <w:r>
        <w:rPr>
          <w:sz w:val="24"/>
        </w:rPr>
        <w:t>Новорожденный до 28 дней постнатального периода в случаях его контакта    с инфицированными/потенциально инфицированными SARS-CoV-2 (включая членов семьи, опекунов, медицинский персонал и</w:t>
      </w:r>
      <w:r>
        <w:rPr>
          <w:spacing w:val="-2"/>
          <w:sz w:val="24"/>
        </w:rPr>
        <w:t> </w:t>
      </w:r>
      <w:r>
        <w:rPr>
          <w:sz w:val="24"/>
        </w:rPr>
        <w:t>посетителей).</w:t>
      </w:r>
    </w:p>
    <w:p>
      <w:pPr>
        <w:pStyle w:val="BodyText"/>
        <w:spacing w:line="312" w:lineRule="auto"/>
        <w:ind w:right="674" w:firstLine="708"/>
      </w:pPr>
      <w:bookmarkStart w:name="Инфицированным новорожденный считается п" w:id="63"/>
      <w:bookmarkEnd w:id="63"/>
      <w:r>
        <w:rPr/>
      </w:r>
      <w:r>
        <w:rPr>
          <w:b/>
        </w:rPr>
        <w:t>Инфицированным новорожденный </w:t>
      </w:r>
      <w:r>
        <w:rPr/>
        <w:t>считается при положительном результате исследования биоматериала на РНК SARS-CoV-2 МАНК вне зависимости от наличия или отсутствия клинической картины.</w:t>
      </w:r>
    </w:p>
    <w:p>
      <w:pPr>
        <w:pStyle w:val="BodyText"/>
        <w:spacing w:before="10"/>
        <w:ind w:left="0"/>
        <w:jc w:val="left"/>
        <w:rPr>
          <w:sz w:val="20"/>
        </w:rPr>
      </w:pPr>
    </w:p>
    <w:p>
      <w:pPr>
        <w:pStyle w:val="Heading3"/>
        <w:spacing w:line="259" w:lineRule="auto"/>
        <w:ind w:right="1435"/>
      </w:pPr>
      <w:bookmarkStart w:name="Ведение потенциально инфицированных COVI" w:id="64"/>
      <w:bookmarkEnd w:id="64"/>
      <w:r>
        <w:rPr>
          <w:b w:val="0"/>
        </w:rPr>
      </w:r>
      <w:r>
        <w:rPr>
          <w:color w:val="1F487C"/>
        </w:rPr>
        <w:t>Ведение потенциально инфицированных COVID-19 новорожденных в родильном зале</w:t>
      </w:r>
    </w:p>
    <w:p>
      <w:pPr>
        <w:pStyle w:val="BodyText"/>
        <w:spacing w:line="312" w:lineRule="auto" w:before="119"/>
        <w:ind w:right="675" w:firstLine="708"/>
      </w:pPr>
      <w:r>
        <w:rPr/>
        <w:t>Подробная информация о диагностике, профилактике и лечении новорожденных</w:t>
      </w:r>
      <w:r>
        <w:rPr>
          <w:spacing w:val="-8"/>
        </w:rPr>
        <w:t> </w:t>
      </w:r>
      <w:r>
        <w:rPr/>
        <w:t>детей</w:t>
      </w:r>
      <w:r>
        <w:rPr>
          <w:spacing w:val="-11"/>
        </w:rPr>
        <w:t> </w:t>
      </w:r>
      <w:r>
        <w:rPr/>
        <w:t>представлена</w:t>
      </w:r>
      <w:r>
        <w:rPr>
          <w:spacing w:val="-12"/>
        </w:rPr>
        <w:t> </w:t>
      </w:r>
      <w:r>
        <w:rPr/>
        <w:t>в</w:t>
      </w:r>
      <w:r>
        <w:rPr>
          <w:spacing w:val="-10"/>
        </w:rPr>
        <w:t> </w:t>
      </w:r>
      <w:r>
        <w:rPr/>
        <w:t>методических</w:t>
      </w:r>
      <w:r>
        <w:rPr>
          <w:spacing w:val="-7"/>
        </w:rPr>
        <w:t> </w:t>
      </w:r>
      <w:r>
        <w:rPr/>
        <w:t>рекомендациях</w:t>
      </w:r>
      <w:r>
        <w:rPr>
          <w:spacing w:val="-11"/>
        </w:rPr>
        <w:t> </w:t>
      </w:r>
      <w:r>
        <w:rPr/>
        <w:t>Минздрава</w:t>
      </w:r>
      <w:r>
        <w:rPr>
          <w:spacing w:val="-11"/>
        </w:rPr>
        <w:t> </w:t>
      </w:r>
      <w:r>
        <w:rPr/>
        <w:t>России</w:t>
      </w:r>
    </w:p>
    <w:p>
      <w:pPr>
        <w:pStyle w:val="BodyText"/>
        <w:spacing w:line="312" w:lineRule="auto"/>
        <w:ind w:right="674"/>
      </w:pPr>
      <w:r>
        <w:rPr>
          <w:color w:val="1F487C"/>
        </w:rPr>
        <w:t>«Организация оказания медицинской помощи беременным, роженицам, родильницам и новорожденным при новой коронавирусной инфекции COVID-19»</w:t>
      </w:r>
      <w:r>
        <w:rPr/>
        <w:t>.</w:t>
      </w:r>
    </w:p>
    <w:p>
      <w:pPr>
        <w:pStyle w:val="BodyText"/>
        <w:spacing w:line="312" w:lineRule="auto"/>
        <w:ind w:right="675" w:firstLine="708"/>
      </w:pPr>
      <w:r>
        <w:rPr/>
        <w:t>Для присутствия на родах и перемещения ребенка должна быть заранее выделенная</w:t>
      </w:r>
      <w:r>
        <w:rPr>
          <w:spacing w:val="-10"/>
        </w:rPr>
        <w:t> </w:t>
      </w:r>
      <w:r>
        <w:rPr/>
        <w:t>врачебно-сестринская</w:t>
      </w:r>
      <w:r>
        <w:rPr>
          <w:spacing w:val="-10"/>
        </w:rPr>
        <w:t> </w:t>
      </w:r>
      <w:r>
        <w:rPr/>
        <w:t>бригада</w:t>
      </w:r>
      <w:r>
        <w:rPr>
          <w:spacing w:val="-11"/>
        </w:rPr>
        <w:t> </w:t>
      </w:r>
      <w:r>
        <w:rPr/>
        <w:t>для</w:t>
      </w:r>
      <w:r>
        <w:rPr>
          <w:spacing w:val="-7"/>
        </w:rPr>
        <w:t> </w:t>
      </w:r>
      <w:r>
        <w:rPr/>
        <w:t>новорожденного,</w:t>
      </w:r>
      <w:r>
        <w:rPr>
          <w:spacing w:val="-10"/>
        </w:rPr>
        <w:t> </w:t>
      </w:r>
      <w:r>
        <w:rPr/>
        <w:t>которая</w:t>
      </w:r>
      <w:r>
        <w:rPr>
          <w:spacing w:val="-10"/>
        </w:rPr>
        <w:t> </w:t>
      </w:r>
      <w:r>
        <w:rPr/>
        <w:t>приглашается в родильный зал не ранее начала потужного периода или начала анестезии при кесаревом сечении, ожидает рождения ребенка на расстоянии не менее 2-х метров от роженицы. Использование СИЗ</w:t>
      </w:r>
      <w:r>
        <w:rPr>
          <w:spacing w:val="-3"/>
        </w:rPr>
        <w:t> </w:t>
      </w:r>
      <w:r>
        <w:rPr/>
        <w:t>обязательно.</w:t>
      </w:r>
    </w:p>
    <w:p>
      <w:pPr>
        <w:pStyle w:val="BodyText"/>
        <w:spacing w:line="312" w:lineRule="auto"/>
        <w:ind w:right="675" w:firstLine="708"/>
      </w:pPr>
      <w:r>
        <w:rPr/>
        <w:t>Число людей, оказывающих помощь в помещении, должно быть минимизировано, чтобы уменьшить контакт с больным.</w:t>
      </w:r>
    </w:p>
    <w:p>
      <w:pPr>
        <w:pStyle w:val="BodyText"/>
        <w:spacing w:line="312" w:lineRule="auto"/>
        <w:ind w:right="674" w:firstLine="708"/>
      </w:pPr>
      <w:r>
        <w:rPr/>
        <w:t>Не рекомендовано отсроченное пережатие пуповины; не рекомендован контакт мать-ребенок;</w:t>
      </w:r>
      <w:r>
        <w:rPr>
          <w:spacing w:val="-9"/>
        </w:rPr>
        <w:t> </w:t>
      </w:r>
      <w:r>
        <w:rPr/>
        <w:t>ребенок</w:t>
      </w:r>
      <w:r>
        <w:rPr>
          <w:spacing w:val="-9"/>
        </w:rPr>
        <w:t> </w:t>
      </w:r>
      <w:r>
        <w:rPr/>
        <w:t>к</w:t>
      </w:r>
      <w:r>
        <w:rPr>
          <w:spacing w:val="-8"/>
        </w:rPr>
        <w:t> </w:t>
      </w:r>
      <w:r>
        <w:rPr/>
        <w:t>груди</w:t>
      </w:r>
      <w:r>
        <w:rPr>
          <w:spacing w:val="-9"/>
        </w:rPr>
        <w:t> </w:t>
      </w:r>
      <w:r>
        <w:rPr/>
        <w:t>не</w:t>
      </w:r>
      <w:r>
        <w:rPr>
          <w:spacing w:val="-11"/>
        </w:rPr>
        <w:t> </w:t>
      </w:r>
      <w:r>
        <w:rPr/>
        <w:t>прикладывается</w:t>
      </w:r>
      <w:r>
        <w:rPr>
          <w:spacing w:val="-9"/>
        </w:rPr>
        <w:t> </w:t>
      </w:r>
      <w:r>
        <w:rPr/>
        <w:t>для</w:t>
      </w:r>
      <w:r>
        <w:rPr>
          <w:spacing w:val="-10"/>
        </w:rPr>
        <w:t> </w:t>
      </w:r>
      <w:r>
        <w:rPr/>
        <w:t>предотвращения</w:t>
      </w:r>
      <w:r>
        <w:rPr>
          <w:spacing w:val="-9"/>
        </w:rPr>
        <w:t> </w:t>
      </w:r>
      <w:r>
        <w:rPr/>
        <w:t>постнатального инфицирования, максимально быстро выносится из родильного</w:t>
      </w:r>
      <w:r>
        <w:rPr>
          <w:spacing w:val="-5"/>
        </w:rPr>
        <w:t> </w:t>
      </w:r>
      <w:r>
        <w:rPr/>
        <w:t>зала.</w:t>
      </w:r>
    </w:p>
    <w:p>
      <w:pPr>
        <w:pStyle w:val="BodyText"/>
        <w:spacing w:line="312" w:lineRule="auto" w:before="1"/>
        <w:ind w:right="674" w:firstLine="708"/>
      </w:pPr>
      <w:r>
        <w:rPr/>
        <w:t>В зависимости от клинического состояния женщины возможно поддержание лактации для последующего грудного вскармливания ребенка после выздоровления матери.</w:t>
      </w:r>
    </w:p>
    <w:p>
      <w:pPr>
        <w:pStyle w:val="BodyText"/>
        <w:spacing w:line="312" w:lineRule="auto"/>
        <w:ind w:right="674" w:firstLine="708"/>
      </w:pPr>
      <w:r>
        <w:rPr/>
        <w:t>Первичная   и    реанимационная    помощь    новорожденному    оказывается    в свободном родильном зале или в специально выделенном помещении с учетом минимизации применения технологий, способствующих образованию внешнего инфицированного аэрозоля (санация трахеи, вентиляция мешком Амбу, неинвазивное введение сурфактанта и</w:t>
      </w:r>
      <w:r>
        <w:rPr>
          <w:spacing w:val="-2"/>
        </w:rPr>
        <w:t> </w:t>
      </w:r>
      <w:r>
        <w:rPr/>
        <w:t>другие).</w:t>
      </w:r>
    </w:p>
    <w:p>
      <w:pPr>
        <w:pStyle w:val="BodyText"/>
        <w:spacing w:line="312" w:lineRule="auto"/>
        <w:ind w:right="678" w:firstLine="708"/>
      </w:pPr>
      <w:r>
        <w:rPr/>
        <w:t>Предметы диагностики и лечения (стетоскоп, термометр и др.) и средства</w:t>
      </w:r>
      <w:r>
        <w:rPr>
          <w:spacing w:val="-37"/>
        </w:rPr>
        <w:t> </w:t>
      </w:r>
      <w:r>
        <w:rPr/>
        <w:t>ухода должны</w:t>
      </w:r>
      <w:r>
        <w:rPr>
          <w:spacing w:val="-17"/>
        </w:rPr>
        <w:t> </w:t>
      </w:r>
      <w:r>
        <w:rPr/>
        <w:t>быть</w:t>
      </w:r>
      <w:r>
        <w:rPr>
          <w:spacing w:val="-18"/>
        </w:rPr>
        <w:t> </w:t>
      </w:r>
      <w:r>
        <w:rPr/>
        <w:t>индивидуального</w:t>
      </w:r>
      <w:r>
        <w:rPr>
          <w:spacing w:val="-17"/>
        </w:rPr>
        <w:t> </w:t>
      </w:r>
      <w:r>
        <w:rPr/>
        <w:t>использования</w:t>
      </w:r>
      <w:r>
        <w:rPr>
          <w:spacing w:val="-22"/>
        </w:rPr>
        <w:t> </w:t>
      </w:r>
      <w:r>
        <w:rPr/>
        <w:t>для</w:t>
      </w:r>
      <w:r>
        <w:rPr>
          <w:spacing w:val="-17"/>
        </w:rPr>
        <w:t> </w:t>
      </w:r>
      <w:r>
        <w:rPr/>
        <w:t>каждого</w:t>
      </w:r>
      <w:r>
        <w:rPr>
          <w:spacing w:val="-17"/>
        </w:rPr>
        <w:t> </w:t>
      </w:r>
      <w:r>
        <w:rPr/>
        <w:t>ребенка,</w:t>
      </w:r>
      <w:r>
        <w:rPr>
          <w:spacing w:val="-17"/>
        </w:rPr>
        <w:t> </w:t>
      </w:r>
      <w:r>
        <w:rPr/>
        <w:t>после</w:t>
      </w:r>
      <w:r>
        <w:rPr>
          <w:spacing w:val="-17"/>
        </w:rPr>
        <w:t> </w:t>
      </w:r>
      <w:r>
        <w:rPr/>
        <w:t>его</w:t>
      </w:r>
      <w:r>
        <w:rPr>
          <w:spacing w:val="-17"/>
        </w:rPr>
        <w:t> </w:t>
      </w:r>
      <w:r>
        <w:rPr/>
        <w:t>перевода должны быть обработаны в соответствии с</w:t>
      </w:r>
      <w:r>
        <w:rPr>
          <w:spacing w:val="-4"/>
        </w:rPr>
        <w:t> </w:t>
      </w:r>
      <w:r>
        <w:rPr/>
        <w:t>правилами.</w:t>
      </w:r>
    </w:p>
    <w:p>
      <w:pPr>
        <w:pStyle w:val="BodyText"/>
        <w:spacing w:line="312" w:lineRule="auto"/>
        <w:ind w:right="674" w:firstLine="708"/>
      </w:pPr>
      <w:r>
        <w:rPr/>
        <w:t>Врачи, медсестры и другой персонал, контактирующий с ребенком, должны находиться в СИЗ.</w:t>
      </w:r>
    </w:p>
    <w:p>
      <w:pPr>
        <w:spacing w:after="0" w:line="312" w:lineRule="auto"/>
        <w:sectPr>
          <w:pgSz w:w="11920" w:h="16850"/>
          <w:pgMar w:header="0" w:footer="620" w:top="1060" w:bottom="880" w:left="1380" w:right="600"/>
        </w:sectPr>
      </w:pPr>
    </w:p>
    <w:p>
      <w:pPr>
        <w:pStyle w:val="BodyText"/>
        <w:spacing w:line="312" w:lineRule="auto" w:before="78"/>
        <w:ind w:right="673" w:firstLine="708"/>
      </w:pPr>
      <w:r>
        <w:rPr/>
        <w:t>После</w:t>
      </w:r>
      <w:r>
        <w:rPr>
          <w:spacing w:val="-15"/>
        </w:rPr>
        <w:t> </w:t>
      </w:r>
      <w:r>
        <w:rPr/>
        <w:t>рождения</w:t>
      </w:r>
      <w:r>
        <w:rPr>
          <w:spacing w:val="-14"/>
        </w:rPr>
        <w:t> </w:t>
      </w:r>
      <w:r>
        <w:rPr/>
        <w:t>ребенок</w:t>
      </w:r>
      <w:r>
        <w:rPr>
          <w:spacing w:val="-13"/>
        </w:rPr>
        <w:t> </w:t>
      </w:r>
      <w:r>
        <w:rPr/>
        <w:t>должен</w:t>
      </w:r>
      <w:r>
        <w:rPr>
          <w:spacing w:val="-12"/>
        </w:rPr>
        <w:t> </w:t>
      </w:r>
      <w:r>
        <w:rPr/>
        <w:t>быть</w:t>
      </w:r>
      <w:r>
        <w:rPr>
          <w:spacing w:val="-14"/>
        </w:rPr>
        <w:t> </w:t>
      </w:r>
      <w:r>
        <w:rPr/>
        <w:t>выведен</w:t>
      </w:r>
      <w:r>
        <w:rPr>
          <w:spacing w:val="-13"/>
        </w:rPr>
        <w:t> </w:t>
      </w:r>
      <w:r>
        <w:rPr/>
        <w:t>из</w:t>
      </w:r>
      <w:r>
        <w:rPr>
          <w:spacing w:val="-13"/>
        </w:rPr>
        <w:t> </w:t>
      </w:r>
      <w:r>
        <w:rPr/>
        <w:t>помещений,</w:t>
      </w:r>
      <w:r>
        <w:rPr>
          <w:spacing w:val="-14"/>
        </w:rPr>
        <w:t> </w:t>
      </w:r>
      <w:r>
        <w:rPr/>
        <w:t>предназначенных для беременных, рожениц и родильниц с COVID-19 и изолирован в специально выделенном отделении (обычно отделение детской больницы). Транспортировка производится в транспортном кувезе, персонал использует СИЗ. Специально выделенный медицинский автотранспорт подлежит дезинфекции по правилам работы с особо опасными</w:t>
      </w:r>
      <w:r>
        <w:rPr>
          <w:spacing w:val="-1"/>
        </w:rPr>
        <w:t> </w:t>
      </w:r>
      <w:r>
        <w:rPr/>
        <w:t>инфекциями.</w:t>
      </w:r>
    </w:p>
    <w:p>
      <w:pPr>
        <w:pStyle w:val="BodyText"/>
        <w:spacing w:line="312" w:lineRule="auto"/>
        <w:ind w:right="673" w:firstLine="708"/>
      </w:pPr>
      <w:r>
        <w:rPr/>
        <w:t>У новорожденного ребенка берутся мазки из носа и ротоглотки на COVID-19 сразу после перемещения из родильного зала или сразу после установления постнатального контакта с COVID-19- позитивными людьми из его окружения. Далее исследование на РНК SARS-CoV-2 повторяется через 2-3 суток. Если оба результата исследования отрицательные, то ребенок считается неинфицированным SARS-CoV-2. Если</w:t>
      </w:r>
      <w:r>
        <w:rPr>
          <w:spacing w:val="-6"/>
        </w:rPr>
        <w:t> </w:t>
      </w:r>
      <w:r>
        <w:rPr/>
        <w:t>ребенок</w:t>
      </w:r>
      <w:r>
        <w:rPr>
          <w:spacing w:val="-5"/>
        </w:rPr>
        <w:t> </w:t>
      </w:r>
      <w:r>
        <w:rPr/>
        <w:t>по</w:t>
      </w:r>
      <w:r>
        <w:rPr>
          <w:spacing w:val="-7"/>
        </w:rPr>
        <w:t> </w:t>
      </w:r>
      <w:r>
        <w:rPr/>
        <w:t>эпидемиологическим</w:t>
      </w:r>
      <w:r>
        <w:rPr>
          <w:spacing w:val="-7"/>
        </w:rPr>
        <w:t> </w:t>
      </w:r>
      <w:r>
        <w:rPr/>
        <w:t>показаниям</w:t>
      </w:r>
      <w:r>
        <w:rPr>
          <w:spacing w:val="-8"/>
        </w:rPr>
        <w:t> </w:t>
      </w:r>
      <w:r>
        <w:rPr/>
        <w:t>должен</w:t>
      </w:r>
      <w:r>
        <w:rPr>
          <w:spacing w:val="-5"/>
        </w:rPr>
        <w:t> </w:t>
      </w:r>
      <w:r>
        <w:rPr/>
        <w:t>находиться</w:t>
      </w:r>
      <w:r>
        <w:rPr>
          <w:spacing w:val="-7"/>
        </w:rPr>
        <w:t> </w:t>
      </w:r>
      <w:r>
        <w:rPr/>
        <w:t>на</w:t>
      </w:r>
      <w:r>
        <w:rPr>
          <w:spacing w:val="-7"/>
        </w:rPr>
        <w:t> </w:t>
      </w:r>
      <w:r>
        <w:rPr/>
        <w:t>карантине,</w:t>
      </w:r>
      <w:r>
        <w:rPr>
          <w:spacing w:val="-10"/>
        </w:rPr>
        <w:t> </w:t>
      </w:r>
      <w:r>
        <w:rPr/>
        <w:t>то контрольные исследования биологического материала из носа, ротоглотки, а также стула</w:t>
      </w:r>
      <w:r>
        <w:rPr>
          <w:spacing w:val="-13"/>
        </w:rPr>
        <w:t> </w:t>
      </w:r>
      <w:r>
        <w:rPr/>
        <w:t>проводятся</w:t>
      </w:r>
      <w:r>
        <w:rPr>
          <w:spacing w:val="-11"/>
        </w:rPr>
        <w:t> </w:t>
      </w:r>
      <w:r>
        <w:rPr/>
        <w:t>на</w:t>
      </w:r>
      <w:r>
        <w:rPr>
          <w:spacing w:val="-13"/>
        </w:rPr>
        <w:t> </w:t>
      </w:r>
      <w:r>
        <w:rPr/>
        <w:t>10-12-е</w:t>
      </w:r>
      <w:r>
        <w:rPr>
          <w:spacing w:val="-12"/>
        </w:rPr>
        <w:t> </w:t>
      </w:r>
      <w:r>
        <w:rPr/>
        <w:t>сутки</w:t>
      </w:r>
      <w:r>
        <w:rPr>
          <w:spacing w:val="-10"/>
        </w:rPr>
        <w:t> </w:t>
      </w:r>
      <w:r>
        <w:rPr/>
        <w:t>карантина</w:t>
      </w:r>
      <w:r>
        <w:rPr>
          <w:spacing w:val="-13"/>
        </w:rPr>
        <w:t> </w:t>
      </w:r>
      <w:r>
        <w:rPr/>
        <w:t>с</w:t>
      </w:r>
      <w:r>
        <w:rPr>
          <w:spacing w:val="-14"/>
        </w:rPr>
        <w:t> </w:t>
      </w:r>
      <w:r>
        <w:rPr/>
        <w:t>целью</w:t>
      </w:r>
      <w:r>
        <w:rPr>
          <w:spacing w:val="-13"/>
        </w:rPr>
        <w:t> </w:t>
      </w:r>
      <w:r>
        <w:rPr/>
        <w:t>принятия</w:t>
      </w:r>
      <w:r>
        <w:rPr>
          <w:spacing w:val="-15"/>
        </w:rPr>
        <w:t> </w:t>
      </w:r>
      <w:r>
        <w:rPr/>
        <w:t>решения</w:t>
      </w:r>
      <w:r>
        <w:rPr>
          <w:spacing w:val="-11"/>
        </w:rPr>
        <w:t> </w:t>
      </w:r>
      <w:r>
        <w:rPr/>
        <w:t>о</w:t>
      </w:r>
      <w:r>
        <w:rPr>
          <w:spacing w:val="-11"/>
        </w:rPr>
        <w:t> </w:t>
      </w:r>
      <w:r>
        <w:rPr/>
        <w:t>возможности его прекращения к 14 суткам. Если один из результатов исследования на РНК SARS-CoV-2</w:t>
      </w:r>
      <w:r>
        <w:rPr>
          <w:spacing w:val="-11"/>
        </w:rPr>
        <w:t> </w:t>
      </w:r>
      <w:r>
        <w:rPr/>
        <w:t>положительный,</w:t>
      </w:r>
      <w:r>
        <w:rPr>
          <w:spacing w:val="-12"/>
        </w:rPr>
        <w:t> </w:t>
      </w:r>
      <w:r>
        <w:rPr/>
        <w:t>то</w:t>
      </w:r>
      <w:r>
        <w:rPr>
          <w:spacing w:val="-10"/>
        </w:rPr>
        <w:t> </w:t>
      </w:r>
      <w:r>
        <w:rPr/>
        <w:t>ребенок</w:t>
      </w:r>
      <w:r>
        <w:rPr>
          <w:spacing w:val="-9"/>
        </w:rPr>
        <w:t> </w:t>
      </w:r>
      <w:r>
        <w:rPr/>
        <w:t>считается</w:t>
      </w:r>
      <w:r>
        <w:rPr>
          <w:spacing w:val="-10"/>
        </w:rPr>
        <w:t> </w:t>
      </w:r>
      <w:r>
        <w:rPr/>
        <w:t>инфицированным</w:t>
      </w:r>
      <w:r>
        <w:rPr>
          <w:spacing w:val="-14"/>
        </w:rPr>
        <w:t> </w:t>
      </w:r>
      <w:r>
        <w:rPr/>
        <w:t>данным</w:t>
      </w:r>
      <w:r>
        <w:rPr>
          <w:spacing w:val="-10"/>
        </w:rPr>
        <w:t> </w:t>
      </w:r>
      <w:r>
        <w:rPr/>
        <w:t>вирусом и</w:t>
      </w:r>
      <w:r>
        <w:rPr>
          <w:spacing w:val="-16"/>
        </w:rPr>
        <w:t> </w:t>
      </w:r>
      <w:r>
        <w:rPr/>
        <w:t>дальнейшие</w:t>
      </w:r>
      <w:r>
        <w:rPr>
          <w:spacing w:val="-18"/>
        </w:rPr>
        <w:t> </w:t>
      </w:r>
      <w:r>
        <w:rPr/>
        <w:t>контрольные</w:t>
      </w:r>
      <w:r>
        <w:rPr>
          <w:spacing w:val="-16"/>
        </w:rPr>
        <w:t> </w:t>
      </w:r>
      <w:r>
        <w:rPr/>
        <w:t>исследования</w:t>
      </w:r>
      <w:r>
        <w:rPr>
          <w:spacing w:val="-17"/>
        </w:rPr>
        <w:t> </w:t>
      </w:r>
      <w:r>
        <w:rPr/>
        <w:t>проводятся</w:t>
      </w:r>
      <w:r>
        <w:rPr>
          <w:spacing w:val="-16"/>
        </w:rPr>
        <w:t> </w:t>
      </w:r>
      <w:r>
        <w:rPr/>
        <w:t>в</w:t>
      </w:r>
      <w:r>
        <w:rPr>
          <w:spacing w:val="-17"/>
        </w:rPr>
        <w:t> </w:t>
      </w:r>
      <w:r>
        <w:rPr/>
        <w:t>соответствии</w:t>
      </w:r>
      <w:r>
        <w:rPr>
          <w:spacing w:val="-16"/>
        </w:rPr>
        <w:t> </w:t>
      </w:r>
      <w:r>
        <w:rPr/>
        <w:t>с</w:t>
      </w:r>
      <w:r>
        <w:rPr>
          <w:spacing w:val="-14"/>
        </w:rPr>
        <w:t> </w:t>
      </w:r>
      <w:r>
        <w:rPr/>
        <w:t>рекомендациями по ведению пациентов с</w:t>
      </w:r>
      <w:r>
        <w:rPr>
          <w:spacing w:val="-6"/>
        </w:rPr>
        <w:t> </w:t>
      </w:r>
      <w:r>
        <w:rPr/>
        <w:t>COVID-19.</w:t>
      </w:r>
    </w:p>
    <w:p>
      <w:pPr>
        <w:pStyle w:val="BodyText"/>
        <w:spacing w:before="1"/>
        <w:ind w:left="1029"/>
      </w:pPr>
      <w:r>
        <w:rPr/>
        <w:t>Вакцинация и неонатальный скрининг откладываются до установления</w:t>
      </w:r>
    </w:p>
    <w:p>
      <w:pPr>
        <w:pStyle w:val="BodyText"/>
        <w:spacing w:before="81"/>
      </w:pPr>
      <w:r>
        <w:rPr/>
        <w:t>SARS-CoV-2-отрицательного статуса.</w:t>
      </w:r>
    </w:p>
    <w:p>
      <w:pPr>
        <w:pStyle w:val="BodyText"/>
        <w:spacing w:line="312" w:lineRule="auto" w:before="84"/>
        <w:ind w:right="679" w:firstLine="708"/>
      </w:pPr>
      <w:r>
        <w:rPr/>
        <w:t>При   необходимости   медицинская   помощь   новорожденному   оказывается в соответствии с клиническими</w:t>
      </w:r>
      <w:r>
        <w:rPr>
          <w:spacing w:val="-1"/>
        </w:rPr>
        <w:t> </w:t>
      </w:r>
      <w:r>
        <w:rPr/>
        <w:t>рекомендациями.</w:t>
      </w:r>
    </w:p>
    <w:p>
      <w:pPr>
        <w:pStyle w:val="BodyText"/>
        <w:ind w:left="0"/>
        <w:jc w:val="left"/>
        <w:rPr>
          <w:sz w:val="21"/>
        </w:rPr>
      </w:pPr>
    </w:p>
    <w:p>
      <w:pPr>
        <w:pStyle w:val="Heading2"/>
        <w:numPr>
          <w:ilvl w:val="1"/>
          <w:numId w:val="18"/>
        </w:numPr>
        <w:tabs>
          <w:tab w:pos="1522" w:val="left" w:leader="none"/>
        </w:tabs>
        <w:spacing w:line="256" w:lineRule="auto" w:before="0" w:after="0"/>
        <w:ind w:left="1029" w:right="1113" w:firstLine="0"/>
        <w:jc w:val="both"/>
        <w:rPr>
          <w:color w:val="1F487C"/>
        </w:rPr>
      </w:pPr>
      <w:bookmarkStart w:name="5.6. ОСНОВНЫЕ ПРИНЦИПЫ ТЕРАПИИ НЕОТЛОЖНЫ" w:id="65"/>
      <w:bookmarkEnd w:id="65"/>
      <w:r>
        <w:rPr>
          <w:b w:val="0"/>
        </w:rPr>
      </w:r>
      <w:bookmarkStart w:name="_bookmark20" w:id="66"/>
      <w:bookmarkEnd w:id="66"/>
      <w:r>
        <w:rPr>
          <w:b w:val="0"/>
        </w:rPr>
      </w:r>
      <w:bookmarkStart w:name="_bookmark20" w:id="67"/>
      <w:bookmarkEnd w:id="67"/>
      <w:r>
        <w:rPr>
          <w:color w:val="1F487C"/>
        </w:rPr>
        <w:t>О</w:t>
      </w:r>
      <w:r>
        <w:rPr>
          <w:color w:val="1F487C"/>
        </w:rPr>
        <w:t>СНОВНЫЕ ПРИНЦИПЫ ТЕРАПИИ НЕОТЛОЖНЫХ СОСТОЯНИЙ</w:t>
      </w:r>
    </w:p>
    <w:p>
      <w:pPr>
        <w:pStyle w:val="Heading3"/>
        <w:numPr>
          <w:ilvl w:val="2"/>
          <w:numId w:val="18"/>
        </w:numPr>
        <w:tabs>
          <w:tab w:pos="1630" w:val="left" w:leader="none"/>
        </w:tabs>
        <w:spacing w:line="240" w:lineRule="auto" w:before="243" w:after="0"/>
        <w:ind w:left="1629" w:right="0" w:hanging="601"/>
        <w:jc w:val="both"/>
      </w:pPr>
      <w:bookmarkStart w:name="5.6.1. Показания к переводу в ОРИТ" w:id="68"/>
      <w:bookmarkEnd w:id="68"/>
      <w:r>
        <w:rPr>
          <w:b w:val="0"/>
        </w:rPr>
      </w:r>
      <w:bookmarkStart w:name="5.6.1. Показания к переводу в ОРИТ" w:id="69"/>
      <w:bookmarkEnd w:id="69"/>
      <w:r>
        <w:rPr>
          <w:color w:val="1F487C"/>
        </w:rPr>
        <w:t>Пока</w:t>
      </w:r>
      <w:r>
        <w:rPr>
          <w:color w:val="1F487C"/>
        </w:rPr>
        <w:t>зания к переводу в</w:t>
      </w:r>
      <w:r>
        <w:rPr>
          <w:color w:val="1F487C"/>
          <w:spacing w:val="-5"/>
        </w:rPr>
        <w:t> </w:t>
      </w:r>
      <w:r>
        <w:rPr>
          <w:color w:val="1F487C"/>
        </w:rPr>
        <w:t>ОРИТ</w:t>
      </w:r>
    </w:p>
    <w:p>
      <w:pPr>
        <w:pStyle w:val="BodyText"/>
        <w:spacing w:line="312" w:lineRule="auto" w:before="142"/>
        <w:ind w:right="674" w:firstLine="540"/>
      </w:pPr>
      <w:r>
        <w:rPr/>
        <w:t>Согласно Приказу №459н Минздрава РФ от 18 мая 2020 г., пациенты, находящиеся в крайне тяжелом состоянии, госпитализируются в структурное подразделение медицинской организации для лечения COVID-19 на койки для пациентов, находящихся в крайне тяжелом состоянии, требующих проведения ИВЛ, исходя из наличия двух из следующих критериев:</w:t>
      </w:r>
    </w:p>
    <w:p>
      <w:pPr>
        <w:pStyle w:val="BodyText"/>
        <w:spacing w:before="1"/>
        <w:ind w:left="861"/>
      </w:pPr>
      <w:r>
        <w:rPr/>
        <w:t>а) нарушение сознания;</w:t>
      </w:r>
    </w:p>
    <w:p>
      <w:pPr>
        <w:pStyle w:val="BodyText"/>
        <w:spacing w:line="312" w:lineRule="auto" w:before="81"/>
        <w:ind w:left="861" w:right="4553"/>
      </w:pPr>
      <w:r>
        <w:rPr>
          <w:position w:val="2"/>
        </w:rPr>
        <w:t>б) SpO</w:t>
      </w:r>
      <w:r>
        <w:rPr>
          <w:sz w:val="16"/>
        </w:rPr>
        <w:t>2 </w:t>
      </w:r>
      <w:r>
        <w:rPr>
          <w:position w:val="2"/>
        </w:rPr>
        <w:t>&lt; 92% (на фоне кислородотерапии); </w:t>
      </w:r>
      <w:r>
        <w:rPr/>
        <w:t>в) ЧДД &gt;35 мин</w:t>
      </w:r>
      <w:r>
        <w:rPr>
          <w:vertAlign w:val="superscript"/>
        </w:rPr>
        <w:t>-1</w:t>
      </w:r>
      <w:r>
        <w:rPr>
          <w:vertAlign w:val="baseline"/>
        </w:rPr>
        <w:t>.</w:t>
      </w:r>
    </w:p>
    <w:p>
      <w:pPr>
        <w:pStyle w:val="Heading3"/>
        <w:numPr>
          <w:ilvl w:val="2"/>
          <w:numId w:val="18"/>
        </w:numPr>
        <w:tabs>
          <w:tab w:pos="1630" w:val="left" w:leader="none"/>
        </w:tabs>
        <w:spacing w:line="240" w:lineRule="auto" w:before="238" w:after="0"/>
        <w:ind w:left="1629" w:right="0" w:hanging="601"/>
        <w:jc w:val="both"/>
      </w:pPr>
      <w:bookmarkStart w:name="5.6.2. Мониторинг состояния пациента в о" w:id="70"/>
      <w:bookmarkEnd w:id="70"/>
      <w:r>
        <w:rPr>
          <w:b w:val="0"/>
        </w:rPr>
      </w:r>
      <w:bookmarkStart w:name="5.6.2. Мониторинг состояния пациента в о" w:id="71"/>
      <w:bookmarkEnd w:id="71"/>
      <w:r>
        <w:rPr>
          <w:color w:val="1F487C"/>
        </w:rPr>
        <w:t>М</w:t>
      </w:r>
      <w:r>
        <w:rPr>
          <w:color w:val="1F487C"/>
        </w:rPr>
        <w:t>ониторинг состояния пациента в отделении</w:t>
      </w:r>
      <w:r>
        <w:rPr>
          <w:color w:val="1F487C"/>
          <w:spacing w:val="-5"/>
        </w:rPr>
        <w:t> </w:t>
      </w:r>
      <w:r>
        <w:rPr>
          <w:color w:val="1F487C"/>
        </w:rPr>
        <w:t>реанимации</w:t>
      </w:r>
    </w:p>
    <w:p>
      <w:pPr>
        <w:pStyle w:val="BodyText"/>
        <w:spacing w:line="312" w:lineRule="auto" w:before="142"/>
        <w:ind w:right="674" w:firstLine="708"/>
      </w:pPr>
      <w:r>
        <w:rPr/>
        <w:t>У пациентов с COVID-19, находящихся в ОРИТ, рекомендуется рутинно </w:t>
      </w:r>
      <w:r>
        <w:rPr>
          <w:position w:val="2"/>
        </w:rPr>
        <w:t>мониторировать   SpO</w:t>
      </w:r>
      <w:r>
        <w:rPr>
          <w:sz w:val="16"/>
        </w:rPr>
        <w:t>2</w:t>
      </w:r>
      <w:r>
        <w:rPr>
          <w:position w:val="2"/>
        </w:rPr>
        <w:t>,   ЭКГ   с   подсчетом   ЧСС,   неинвазивное   измерение   АД   </w:t>
      </w:r>
      <w:r>
        <w:rPr/>
        <w:t>и температуру тела. При проведении ИВЛ дополнительно</w:t>
      </w:r>
      <w:r>
        <w:rPr>
          <w:spacing w:val="59"/>
        </w:rPr>
        <w:t> </w:t>
      </w:r>
      <w:r>
        <w:rPr/>
        <w:t>рекомендуется</w:t>
      </w:r>
    </w:p>
    <w:p>
      <w:pPr>
        <w:spacing w:after="0" w:line="312" w:lineRule="auto"/>
        <w:sectPr>
          <w:pgSz w:w="11920" w:h="16850"/>
          <w:pgMar w:header="0" w:footer="620" w:top="1060" w:bottom="880" w:left="1380" w:right="600"/>
        </w:sectPr>
      </w:pPr>
    </w:p>
    <w:p>
      <w:pPr>
        <w:pStyle w:val="BodyText"/>
        <w:spacing w:line="309" w:lineRule="auto" w:before="78"/>
        <w:ind w:right="674"/>
      </w:pPr>
      <w:r>
        <w:rPr/>
        <w:t>мониторировать  газовый  состав   и   кислотно-основное   состояние   артериальной   </w:t>
      </w:r>
      <w:r>
        <w:rPr>
          <w:position w:val="2"/>
        </w:rPr>
        <w:t>и венозной крови, содержание кислорода во вдыхаемой смеси (FiO</w:t>
      </w:r>
      <w:r>
        <w:rPr>
          <w:sz w:val="16"/>
        </w:rPr>
        <w:t>2</w:t>
      </w:r>
      <w:r>
        <w:rPr>
          <w:position w:val="2"/>
        </w:rPr>
        <w:t>), содержание углекислого газа в конце выдоха (EtCO</w:t>
      </w:r>
      <w:r>
        <w:rPr>
          <w:sz w:val="16"/>
        </w:rPr>
        <w:t>2</w:t>
      </w:r>
      <w:r>
        <w:rPr>
          <w:position w:val="2"/>
        </w:rPr>
        <w:t>) и давление в дыхательных путях. Если определение</w:t>
      </w:r>
      <w:r>
        <w:rPr>
          <w:spacing w:val="-15"/>
          <w:position w:val="2"/>
        </w:rPr>
        <w:t> </w:t>
      </w:r>
      <w:r>
        <w:rPr>
          <w:position w:val="2"/>
        </w:rPr>
        <w:t>РaO</w:t>
      </w:r>
      <w:r>
        <w:rPr>
          <w:sz w:val="16"/>
        </w:rPr>
        <w:t>2</w:t>
      </w:r>
      <w:r>
        <w:rPr>
          <w:spacing w:val="8"/>
          <w:sz w:val="16"/>
        </w:rPr>
        <w:t> </w:t>
      </w:r>
      <w:r>
        <w:rPr>
          <w:position w:val="2"/>
        </w:rPr>
        <w:t>недоступно,</w:t>
      </w:r>
      <w:r>
        <w:rPr>
          <w:spacing w:val="-13"/>
          <w:position w:val="2"/>
        </w:rPr>
        <w:t> </w:t>
      </w:r>
      <w:r>
        <w:rPr>
          <w:position w:val="2"/>
        </w:rPr>
        <w:t>рекомендуется</w:t>
      </w:r>
      <w:r>
        <w:rPr>
          <w:spacing w:val="-12"/>
          <w:position w:val="2"/>
        </w:rPr>
        <w:t> </w:t>
      </w:r>
      <w:r>
        <w:rPr>
          <w:position w:val="2"/>
        </w:rPr>
        <w:t>использовать</w:t>
      </w:r>
      <w:r>
        <w:rPr>
          <w:spacing w:val="-12"/>
          <w:position w:val="2"/>
        </w:rPr>
        <w:t> </w:t>
      </w:r>
      <w:r>
        <w:rPr>
          <w:position w:val="2"/>
        </w:rPr>
        <w:t>показатель</w:t>
      </w:r>
      <w:r>
        <w:rPr>
          <w:spacing w:val="-13"/>
          <w:position w:val="2"/>
        </w:rPr>
        <w:t> </w:t>
      </w:r>
      <w:r>
        <w:rPr>
          <w:position w:val="2"/>
        </w:rPr>
        <w:t>SpO</w:t>
      </w:r>
      <w:r>
        <w:rPr>
          <w:sz w:val="16"/>
        </w:rPr>
        <w:t>2</w:t>
      </w:r>
      <w:r>
        <w:rPr>
          <w:position w:val="2"/>
        </w:rPr>
        <w:t>/FiO</w:t>
      </w:r>
      <w:r>
        <w:rPr>
          <w:sz w:val="16"/>
        </w:rPr>
        <w:t>2</w:t>
      </w:r>
      <w:r>
        <w:rPr>
          <w:position w:val="2"/>
        </w:rPr>
        <w:t>:</w:t>
      </w:r>
      <w:r>
        <w:rPr>
          <w:spacing w:val="-13"/>
          <w:position w:val="2"/>
        </w:rPr>
        <w:t> </w:t>
      </w:r>
      <w:r>
        <w:rPr>
          <w:position w:val="2"/>
        </w:rPr>
        <w:t>если </w:t>
      </w:r>
      <w:r>
        <w:rPr/>
        <w:t>его максимально достижимое значение ниже или равно 315, то это свидетельствует об ОРДС (в том числе у пациентов без</w:t>
      </w:r>
      <w:r>
        <w:rPr>
          <w:spacing w:val="-5"/>
        </w:rPr>
        <w:t> </w:t>
      </w:r>
      <w:r>
        <w:rPr/>
        <w:t>ИВЛ).</w:t>
      </w:r>
    </w:p>
    <w:p>
      <w:pPr>
        <w:pStyle w:val="BodyText"/>
        <w:spacing w:line="312" w:lineRule="auto" w:before="9"/>
        <w:ind w:right="674" w:firstLine="708"/>
      </w:pPr>
      <w:r>
        <w:rPr/>
        <w:t>У</w:t>
      </w:r>
      <w:r>
        <w:rPr>
          <w:spacing w:val="-12"/>
        </w:rPr>
        <w:t> </w:t>
      </w:r>
      <w:r>
        <w:rPr/>
        <w:t>пациентов</w:t>
      </w:r>
      <w:r>
        <w:rPr>
          <w:spacing w:val="-13"/>
        </w:rPr>
        <w:t> </w:t>
      </w:r>
      <w:r>
        <w:rPr/>
        <w:t>с</w:t>
      </w:r>
      <w:r>
        <w:rPr>
          <w:spacing w:val="-12"/>
        </w:rPr>
        <w:t> </w:t>
      </w:r>
      <w:r>
        <w:rPr/>
        <w:t>шоком</w:t>
      </w:r>
      <w:r>
        <w:rPr>
          <w:spacing w:val="-13"/>
        </w:rPr>
        <w:t> </w:t>
      </w:r>
      <w:r>
        <w:rPr/>
        <w:t>на</w:t>
      </w:r>
      <w:r>
        <w:rPr>
          <w:spacing w:val="-13"/>
        </w:rPr>
        <w:t> </w:t>
      </w:r>
      <w:r>
        <w:rPr/>
        <w:t>фоне</w:t>
      </w:r>
      <w:r>
        <w:rPr>
          <w:spacing w:val="-12"/>
        </w:rPr>
        <w:t> </w:t>
      </w:r>
      <w:r>
        <w:rPr/>
        <w:t>COVID-19</w:t>
      </w:r>
      <w:r>
        <w:rPr>
          <w:spacing w:val="-10"/>
        </w:rPr>
        <w:t> </w:t>
      </w:r>
      <w:r>
        <w:rPr/>
        <w:t>следует</w:t>
      </w:r>
      <w:r>
        <w:rPr>
          <w:spacing w:val="-11"/>
        </w:rPr>
        <w:t> </w:t>
      </w:r>
      <w:r>
        <w:rPr/>
        <w:t>при</w:t>
      </w:r>
      <w:r>
        <w:rPr>
          <w:spacing w:val="-11"/>
        </w:rPr>
        <w:t> </w:t>
      </w:r>
      <w:r>
        <w:rPr/>
        <w:t>наличии</w:t>
      </w:r>
      <w:r>
        <w:rPr>
          <w:spacing w:val="-10"/>
        </w:rPr>
        <w:t> </w:t>
      </w:r>
      <w:r>
        <w:rPr/>
        <w:t>соответствующих технических возможностей комплексно мониторировать гемодинамику согласно рекомендациям Европейского общества медицины критических состояний (ESICM). Для оценки ответа на волемическую нагрузку рекомендуется по возможности использовать не статические показатели преднагрузки (ЦВД, ДЗЛА, ИГКДО и др.),     а динамические параметры – изменчивость ударного объема (SVV) и пульсового давления (PPV), температуру кожи, время наполнения капилляров и/или уровень лактата.</w:t>
      </w:r>
      <w:r>
        <w:rPr>
          <w:spacing w:val="-5"/>
        </w:rPr>
        <w:t> </w:t>
      </w:r>
      <w:r>
        <w:rPr/>
        <w:t>Необходимо</w:t>
      </w:r>
      <w:r>
        <w:rPr>
          <w:spacing w:val="-6"/>
        </w:rPr>
        <w:t> </w:t>
      </w:r>
      <w:r>
        <w:rPr/>
        <w:t>помнить,</w:t>
      </w:r>
      <w:r>
        <w:rPr>
          <w:spacing w:val="-6"/>
        </w:rPr>
        <w:t> </w:t>
      </w:r>
      <w:r>
        <w:rPr/>
        <w:t>что</w:t>
      </w:r>
      <w:r>
        <w:rPr>
          <w:spacing w:val="-4"/>
        </w:rPr>
        <w:t> </w:t>
      </w:r>
      <w:r>
        <w:rPr/>
        <w:t>SVV</w:t>
      </w:r>
      <w:r>
        <w:rPr>
          <w:spacing w:val="-7"/>
        </w:rPr>
        <w:t> </w:t>
      </w:r>
      <w:r>
        <w:rPr/>
        <w:t>и</w:t>
      </w:r>
      <w:r>
        <w:rPr>
          <w:spacing w:val="-3"/>
        </w:rPr>
        <w:t> </w:t>
      </w:r>
      <w:r>
        <w:rPr/>
        <w:t>PPV</w:t>
      </w:r>
      <w:r>
        <w:rPr>
          <w:spacing w:val="-4"/>
        </w:rPr>
        <w:t> </w:t>
      </w:r>
      <w:r>
        <w:rPr/>
        <w:t>применимы</w:t>
      </w:r>
      <w:r>
        <w:rPr>
          <w:spacing w:val="-4"/>
        </w:rPr>
        <w:t> </w:t>
      </w:r>
      <w:r>
        <w:rPr/>
        <w:t>только</w:t>
      </w:r>
      <w:r>
        <w:rPr>
          <w:spacing w:val="-2"/>
        </w:rPr>
        <w:t> </w:t>
      </w:r>
      <w:r>
        <w:rPr/>
        <w:t>у</w:t>
      </w:r>
      <w:r>
        <w:rPr>
          <w:spacing w:val="-11"/>
        </w:rPr>
        <w:t> </w:t>
      </w:r>
      <w:r>
        <w:rPr/>
        <w:t>пациентов</w:t>
      </w:r>
      <w:r>
        <w:rPr>
          <w:spacing w:val="-7"/>
        </w:rPr>
        <w:t> </w:t>
      </w:r>
      <w:r>
        <w:rPr/>
        <w:t>на</w:t>
      </w:r>
      <w:r>
        <w:rPr>
          <w:spacing w:val="-5"/>
        </w:rPr>
        <w:t> </w:t>
      </w:r>
      <w:r>
        <w:rPr/>
        <w:t>ИВЛ без попыток самостоятельного</w:t>
      </w:r>
      <w:r>
        <w:rPr>
          <w:spacing w:val="1"/>
        </w:rPr>
        <w:t> </w:t>
      </w:r>
      <w:r>
        <w:rPr/>
        <w:t>дыхания.</w:t>
      </w:r>
    </w:p>
    <w:p>
      <w:pPr>
        <w:pStyle w:val="BodyText"/>
        <w:spacing w:line="312" w:lineRule="auto"/>
        <w:ind w:right="674" w:firstLine="708"/>
      </w:pPr>
      <w:r>
        <w:rPr/>
        <w:t>При множественной органной дисфункции на фоне COVID-19 рекомендуется мониторировать суточный и  кумулятивный  гидробаланс,  избегая  гипергидратации, а тяжесть полиорганной недостаточности количественно оценивать по шкале SOFA (таблица</w:t>
      </w:r>
      <w:r>
        <w:rPr>
          <w:spacing w:val="-1"/>
        </w:rPr>
        <w:t> </w:t>
      </w:r>
      <w:r>
        <w:rPr/>
        <w:t>3).</w:t>
      </w:r>
    </w:p>
    <w:p>
      <w:pPr>
        <w:pStyle w:val="BodyText"/>
        <w:ind w:left="0"/>
        <w:jc w:val="left"/>
        <w:rPr>
          <w:sz w:val="26"/>
        </w:rPr>
      </w:pPr>
    </w:p>
    <w:p>
      <w:pPr>
        <w:pStyle w:val="BodyText"/>
        <w:ind w:left="0"/>
        <w:jc w:val="left"/>
        <w:rPr>
          <w:sz w:val="26"/>
        </w:rPr>
      </w:pPr>
    </w:p>
    <w:p>
      <w:pPr>
        <w:pStyle w:val="BodyText"/>
        <w:ind w:left="0"/>
        <w:jc w:val="left"/>
        <w:rPr>
          <w:sz w:val="26"/>
        </w:rPr>
      </w:pPr>
    </w:p>
    <w:p>
      <w:pPr>
        <w:pStyle w:val="BodyText"/>
        <w:ind w:left="0"/>
        <w:jc w:val="left"/>
        <w:rPr>
          <w:sz w:val="26"/>
        </w:rPr>
      </w:pPr>
    </w:p>
    <w:p>
      <w:pPr>
        <w:pStyle w:val="BodyText"/>
        <w:spacing w:before="8"/>
        <w:ind w:left="0"/>
        <w:jc w:val="left"/>
        <w:rPr>
          <w:sz w:val="20"/>
        </w:rPr>
      </w:pPr>
    </w:p>
    <w:p>
      <w:pPr>
        <w:pStyle w:val="Heading3"/>
        <w:ind w:left="321"/>
      </w:pPr>
      <w:r>
        <w:rPr/>
        <w:t>Таблица 3. Шкала оценки органной дисфункции SOFA</w:t>
      </w:r>
    </w:p>
    <w:p>
      <w:pPr>
        <w:pStyle w:val="BodyText"/>
        <w:spacing w:before="4"/>
        <w:ind w:left="0"/>
        <w:jc w:val="left"/>
        <w:rPr>
          <w:b/>
          <w:sz w:val="7"/>
        </w:rPr>
      </w:pPr>
    </w:p>
    <w:tbl>
      <w:tblPr>
        <w:tblW w:w="0" w:type="auto"/>
        <w:jc w:val="left"/>
        <w:tblInd w:w="3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625"/>
        <w:gridCol w:w="2403"/>
        <w:gridCol w:w="567"/>
        <w:gridCol w:w="929"/>
        <w:gridCol w:w="946"/>
        <w:gridCol w:w="1318"/>
        <w:gridCol w:w="1088"/>
      </w:tblGrid>
      <w:tr>
        <w:trPr>
          <w:trHeight w:val="251" w:hRule="atLeast"/>
        </w:trPr>
        <w:tc>
          <w:tcPr>
            <w:tcW w:w="1625" w:type="dxa"/>
            <w:vMerge w:val="restart"/>
            <w:shd w:val="clear" w:color="auto" w:fill="F1F1F1"/>
          </w:tcPr>
          <w:p>
            <w:pPr>
              <w:pStyle w:val="TableParagraph"/>
              <w:spacing w:before="130"/>
              <w:ind w:left="167"/>
              <w:rPr>
                <w:b/>
                <w:sz w:val="22"/>
              </w:rPr>
            </w:pPr>
            <w:r>
              <w:rPr>
                <w:b/>
                <w:sz w:val="22"/>
              </w:rPr>
              <w:t>Функция</w:t>
            </w:r>
          </w:p>
        </w:tc>
        <w:tc>
          <w:tcPr>
            <w:tcW w:w="2403" w:type="dxa"/>
            <w:vMerge w:val="restart"/>
            <w:shd w:val="clear" w:color="auto" w:fill="F1F1F1"/>
          </w:tcPr>
          <w:p>
            <w:pPr>
              <w:pStyle w:val="TableParagraph"/>
              <w:spacing w:before="130"/>
              <w:ind w:left="119"/>
              <w:rPr>
                <w:b/>
                <w:sz w:val="22"/>
              </w:rPr>
            </w:pPr>
            <w:r>
              <w:rPr>
                <w:b/>
                <w:sz w:val="22"/>
              </w:rPr>
              <w:t>Показатель</w:t>
            </w:r>
          </w:p>
        </w:tc>
        <w:tc>
          <w:tcPr>
            <w:tcW w:w="4848" w:type="dxa"/>
            <w:gridSpan w:val="5"/>
            <w:shd w:val="clear" w:color="auto" w:fill="F1F1F1"/>
          </w:tcPr>
          <w:p>
            <w:pPr>
              <w:pStyle w:val="TableParagraph"/>
              <w:spacing w:line="232" w:lineRule="exact"/>
              <w:ind w:left="126"/>
              <w:rPr>
                <w:b/>
                <w:sz w:val="22"/>
              </w:rPr>
            </w:pPr>
            <w:r>
              <w:rPr>
                <w:b/>
                <w:sz w:val="22"/>
              </w:rPr>
              <w:t>Баллы</w:t>
            </w:r>
          </w:p>
        </w:tc>
      </w:tr>
      <w:tr>
        <w:trPr>
          <w:trHeight w:val="253" w:hRule="atLeast"/>
        </w:trPr>
        <w:tc>
          <w:tcPr>
            <w:tcW w:w="1625" w:type="dxa"/>
            <w:vMerge/>
            <w:tcBorders>
              <w:top w:val="nil"/>
            </w:tcBorders>
            <w:shd w:val="clear" w:color="auto" w:fill="F1F1F1"/>
          </w:tcPr>
          <w:p>
            <w:pPr>
              <w:rPr>
                <w:sz w:val="2"/>
                <w:szCs w:val="2"/>
              </w:rPr>
            </w:pPr>
          </w:p>
        </w:tc>
        <w:tc>
          <w:tcPr>
            <w:tcW w:w="2403" w:type="dxa"/>
            <w:vMerge/>
            <w:tcBorders>
              <w:top w:val="nil"/>
            </w:tcBorders>
            <w:shd w:val="clear" w:color="auto" w:fill="F1F1F1"/>
          </w:tcPr>
          <w:p>
            <w:pPr>
              <w:rPr>
                <w:sz w:val="2"/>
                <w:szCs w:val="2"/>
              </w:rPr>
            </w:pPr>
          </w:p>
        </w:tc>
        <w:tc>
          <w:tcPr>
            <w:tcW w:w="567" w:type="dxa"/>
            <w:shd w:val="clear" w:color="auto" w:fill="F1F1F1"/>
          </w:tcPr>
          <w:p>
            <w:pPr>
              <w:pStyle w:val="TableParagraph"/>
              <w:spacing w:line="234" w:lineRule="exact"/>
              <w:ind w:left="2"/>
              <w:jc w:val="center"/>
              <w:rPr>
                <w:b/>
                <w:sz w:val="22"/>
              </w:rPr>
            </w:pPr>
            <w:r>
              <w:rPr>
                <w:b/>
                <w:w w:val="100"/>
                <w:sz w:val="22"/>
              </w:rPr>
              <w:t>0</w:t>
            </w:r>
          </w:p>
        </w:tc>
        <w:tc>
          <w:tcPr>
            <w:tcW w:w="929" w:type="dxa"/>
            <w:shd w:val="clear" w:color="auto" w:fill="F1F1F1"/>
          </w:tcPr>
          <w:p>
            <w:pPr>
              <w:pStyle w:val="TableParagraph"/>
              <w:spacing w:line="234" w:lineRule="exact"/>
              <w:jc w:val="center"/>
              <w:rPr>
                <w:b/>
                <w:sz w:val="22"/>
              </w:rPr>
            </w:pPr>
            <w:r>
              <w:rPr>
                <w:b/>
                <w:w w:val="100"/>
                <w:sz w:val="22"/>
              </w:rPr>
              <w:t>1</w:t>
            </w:r>
          </w:p>
        </w:tc>
        <w:tc>
          <w:tcPr>
            <w:tcW w:w="946" w:type="dxa"/>
            <w:shd w:val="clear" w:color="auto" w:fill="F1F1F1"/>
          </w:tcPr>
          <w:p>
            <w:pPr>
              <w:pStyle w:val="TableParagraph"/>
              <w:spacing w:line="234" w:lineRule="exact"/>
              <w:ind w:left="1"/>
              <w:jc w:val="center"/>
              <w:rPr>
                <w:b/>
                <w:sz w:val="22"/>
              </w:rPr>
            </w:pPr>
            <w:r>
              <w:rPr>
                <w:b/>
                <w:w w:val="100"/>
                <w:sz w:val="22"/>
              </w:rPr>
              <w:t>2</w:t>
            </w:r>
          </w:p>
        </w:tc>
        <w:tc>
          <w:tcPr>
            <w:tcW w:w="1318" w:type="dxa"/>
            <w:shd w:val="clear" w:color="auto" w:fill="F1F1F1"/>
          </w:tcPr>
          <w:p>
            <w:pPr>
              <w:pStyle w:val="TableParagraph"/>
              <w:spacing w:line="234" w:lineRule="exact"/>
              <w:ind w:left="2"/>
              <w:jc w:val="center"/>
              <w:rPr>
                <w:b/>
                <w:sz w:val="22"/>
              </w:rPr>
            </w:pPr>
            <w:r>
              <w:rPr>
                <w:b/>
                <w:w w:val="100"/>
                <w:sz w:val="22"/>
              </w:rPr>
              <w:t>3</w:t>
            </w:r>
          </w:p>
        </w:tc>
        <w:tc>
          <w:tcPr>
            <w:tcW w:w="1088" w:type="dxa"/>
            <w:shd w:val="clear" w:color="auto" w:fill="F1F1F1"/>
          </w:tcPr>
          <w:p>
            <w:pPr>
              <w:pStyle w:val="TableParagraph"/>
              <w:spacing w:line="234" w:lineRule="exact"/>
              <w:ind w:left="1"/>
              <w:jc w:val="center"/>
              <w:rPr>
                <w:b/>
                <w:sz w:val="22"/>
              </w:rPr>
            </w:pPr>
            <w:r>
              <w:rPr>
                <w:b/>
                <w:w w:val="100"/>
                <w:sz w:val="22"/>
              </w:rPr>
              <w:t>4</w:t>
            </w:r>
          </w:p>
        </w:tc>
      </w:tr>
      <w:tr>
        <w:trPr>
          <w:trHeight w:val="340" w:hRule="atLeast"/>
        </w:trPr>
        <w:tc>
          <w:tcPr>
            <w:tcW w:w="1625" w:type="dxa"/>
          </w:tcPr>
          <w:p>
            <w:pPr>
              <w:pStyle w:val="TableParagraph"/>
              <w:spacing w:line="251" w:lineRule="exact"/>
              <w:ind w:left="107"/>
              <w:rPr>
                <w:b/>
                <w:sz w:val="22"/>
              </w:rPr>
            </w:pPr>
            <w:r>
              <w:rPr>
                <w:b/>
                <w:sz w:val="22"/>
              </w:rPr>
              <w:t>ЦНС</w:t>
            </w:r>
          </w:p>
        </w:tc>
        <w:tc>
          <w:tcPr>
            <w:tcW w:w="2403" w:type="dxa"/>
          </w:tcPr>
          <w:p>
            <w:pPr>
              <w:pStyle w:val="TableParagraph"/>
              <w:spacing w:line="251" w:lineRule="exact"/>
              <w:ind w:left="78"/>
              <w:rPr>
                <w:sz w:val="22"/>
              </w:rPr>
            </w:pPr>
            <w:r>
              <w:rPr>
                <w:sz w:val="22"/>
              </w:rPr>
              <w:t>Оценка по ШКГ, баллы</w:t>
            </w:r>
          </w:p>
        </w:tc>
        <w:tc>
          <w:tcPr>
            <w:tcW w:w="567" w:type="dxa"/>
          </w:tcPr>
          <w:p>
            <w:pPr>
              <w:pStyle w:val="TableParagraph"/>
              <w:spacing w:line="251" w:lineRule="exact"/>
              <w:ind w:left="3" w:right="1"/>
              <w:jc w:val="center"/>
              <w:rPr>
                <w:sz w:val="22"/>
              </w:rPr>
            </w:pPr>
            <w:r>
              <w:rPr>
                <w:sz w:val="22"/>
              </w:rPr>
              <w:t>15</w:t>
            </w:r>
          </w:p>
        </w:tc>
        <w:tc>
          <w:tcPr>
            <w:tcW w:w="929" w:type="dxa"/>
          </w:tcPr>
          <w:p>
            <w:pPr>
              <w:pStyle w:val="TableParagraph"/>
              <w:spacing w:line="251" w:lineRule="exact"/>
              <w:ind w:left="71" w:right="73"/>
              <w:jc w:val="center"/>
              <w:rPr>
                <w:sz w:val="22"/>
              </w:rPr>
            </w:pPr>
            <w:r>
              <w:rPr>
                <w:sz w:val="22"/>
              </w:rPr>
              <w:t>13-14</w:t>
            </w:r>
          </w:p>
        </w:tc>
        <w:tc>
          <w:tcPr>
            <w:tcW w:w="946" w:type="dxa"/>
          </w:tcPr>
          <w:p>
            <w:pPr>
              <w:pStyle w:val="TableParagraph"/>
              <w:spacing w:line="251" w:lineRule="exact"/>
              <w:ind w:left="80" w:right="81"/>
              <w:jc w:val="center"/>
              <w:rPr>
                <w:sz w:val="22"/>
              </w:rPr>
            </w:pPr>
            <w:r>
              <w:rPr>
                <w:sz w:val="22"/>
              </w:rPr>
              <w:t>10-12</w:t>
            </w:r>
          </w:p>
        </w:tc>
        <w:tc>
          <w:tcPr>
            <w:tcW w:w="1318" w:type="dxa"/>
          </w:tcPr>
          <w:p>
            <w:pPr>
              <w:pStyle w:val="TableParagraph"/>
              <w:spacing w:line="251" w:lineRule="exact"/>
              <w:ind w:left="431" w:right="431"/>
              <w:jc w:val="center"/>
              <w:rPr>
                <w:sz w:val="22"/>
              </w:rPr>
            </w:pPr>
            <w:r>
              <w:rPr>
                <w:sz w:val="22"/>
              </w:rPr>
              <w:t>6-9</w:t>
            </w:r>
          </w:p>
        </w:tc>
        <w:tc>
          <w:tcPr>
            <w:tcW w:w="1088" w:type="dxa"/>
          </w:tcPr>
          <w:p>
            <w:pPr>
              <w:pStyle w:val="TableParagraph"/>
              <w:spacing w:line="251" w:lineRule="exact"/>
              <w:ind w:left="211" w:right="207"/>
              <w:jc w:val="center"/>
              <w:rPr>
                <w:sz w:val="22"/>
              </w:rPr>
            </w:pPr>
            <w:r>
              <w:rPr>
                <w:sz w:val="22"/>
              </w:rPr>
              <w:t>&lt; 6</w:t>
            </w:r>
          </w:p>
        </w:tc>
      </w:tr>
      <w:tr>
        <w:trPr>
          <w:trHeight w:val="340" w:hRule="atLeast"/>
        </w:trPr>
        <w:tc>
          <w:tcPr>
            <w:tcW w:w="1625" w:type="dxa"/>
            <w:shd w:val="clear" w:color="auto" w:fill="F1F1F1"/>
          </w:tcPr>
          <w:p>
            <w:pPr>
              <w:pStyle w:val="TableParagraph"/>
              <w:spacing w:line="251" w:lineRule="exact"/>
              <w:ind w:left="107"/>
              <w:rPr>
                <w:b/>
                <w:sz w:val="22"/>
              </w:rPr>
            </w:pPr>
            <w:r>
              <w:rPr>
                <w:b/>
                <w:sz w:val="22"/>
              </w:rPr>
              <w:t>Оксигенация</w:t>
            </w:r>
          </w:p>
        </w:tc>
        <w:tc>
          <w:tcPr>
            <w:tcW w:w="2403" w:type="dxa"/>
            <w:shd w:val="clear" w:color="auto" w:fill="F1F1F1"/>
          </w:tcPr>
          <w:p>
            <w:pPr>
              <w:pStyle w:val="TableParagraph"/>
              <w:spacing w:line="253" w:lineRule="exact"/>
              <w:ind w:left="78"/>
              <w:rPr>
                <w:sz w:val="22"/>
              </w:rPr>
            </w:pPr>
            <w:r>
              <w:rPr>
                <w:position w:val="2"/>
                <w:sz w:val="22"/>
              </w:rPr>
              <w:t>PaO</w:t>
            </w:r>
            <w:r>
              <w:rPr>
                <w:sz w:val="14"/>
              </w:rPr>
              <w:t>2</w:t>
            </w:r>
            <w:r>
              <w:rPr>
                <w:position w:val="2"/>
                <w:sz w:val="22"/>
              </w:rPr>
              <w:t>/FiO</w:t>
            </w:r>
            <w:r>
              <w:rPr>
                <w:sz w:val="14"/>
              </w:rPr>
              <w:t>2</w:t>
            </w:r>
            <w:r>
              <w:rPr>
                <w:position w:val="2"/>
                <w:sz w:val="22"/>
              </w:rPr>
              <w:t>, мм рт.ст.</w:t>
            </w:r>
          </w:p>
        </w:tc>
        <w:tc>
          <w:tcPr>
            <w:tcW w:w="567" w:type="dxa"/>
            <w:shd w:val="clear" w:color="auto" w:fill="F1F1F1"/>
          </w:tcPr>
          <w:p>
            <w:pPr>
              <w:pStyle w:val="TableParagraph"/>
              <w:spacing w:line="269" w:lineRule="exact"/>
              <w:ind w:left="8" w:right="1"/>
              <w:jc w:val="center"/>
              <w:rPr>
                <w:sz w:val="22"/>
              </w:rPr>
            </w:pPr>
            <w:r>
              <w:rPr>
                <w:rFonts w:ascii="Symbol" w:hAnsi="Symbol"/>
                <w:sz w:val="22"/>
              </w:rPr>
              <w:t></w:t>
            </w:r>
            <w:r>
              <w:rPr>
                <w:sz w:val="22"/>
              </w:rPr>
              <w:t> 400</w:t>
            </w:r>
          </w:p>
        </w:tc>
        <w:tc>
          <w:tcPr>
            <w:tcW w:w="929" w:type="dxa"/>
            <w:shd w:val="clear" w:color="auto" w:fill="F1F1F1"/>
          </w:tcPr>
          <w:p>
            <w:pPr>
              <w:pStyle w:val="TableParagraph"/>
              <w:spacing w:line="251" w:lineRule="exact"/>
              <w:ind w:left="71" w:right="70"/>
              <w:jc w:val="center"/>
              <w:rPr>
                <w:sz w:val="22"/>
              </w:rPr>
            </w:pPr>
            <w:r>
              <w:rPr>
                <w:sz w:val="22"/>
              </w:rPr>
              <w:t>&lt; 400</w:t>
            </w:r>
          </w:p>
        </w:tc>
        <w:tc>
          <w:tcPr>
            <w:tcW w:w="946" w:type="dxa"/>
            <w:shd w:val="clear" w:color="auto" w:fill="F1F1F1"/>
          </w:tcPr>
          <w:p>
            <w:pPr>
              <w:pStyle w:val="TableParagraph"/>
              <w:spacing w:line="251" w:lineRule="exact"/>
              <w:ind w:left="80" w:right="77"/>
              <w:jc w:val="center"/>
              <w:rPr>
                <w:sz w:val="22"/>
              </w:rPr>
            </w:pPr>
            <w:r>
              <w:rPr>
                <w:sz w:val="22"/>
              </w:rPr>
              <w:t>&lt; 300</w:t>
            </w:r>
          </w:p>
        </w:tc>
        <w:tc>
          <w:tcPr>
            <w:tcW w:w="1318" w:type="dxa"/>
            <w:shd w:val="clear" w:color="auto" w:fill="F1F1F1"/>
          </w:tcPr>
          <w:p>
            <w:pPr>
              <w:pStyle w:val="TableParagraph"/>
              <w:spacing w:line="251" w:lineRule="exact"/>
              <w:ind w:right="338"/>
              <w:jc w:val="right"/>
              <w:rPr>
                <w:sz w:val="22"/>
              </w:rPr>
            </w:pPr>
            <w:r>
              <w:rPr>
                <w:sz w:val="22"/>
              </w:rPr>
              <w:t>&lt; 200*</w:t>
            </w:r>
          </w:p>
        </w:tc>
        <w:tc>
          <w:tcPr>
            <w:tcW w:w="1088" w:type="dxa"/>
            <w:shd w:val="clear" w:color="auto" w:fill="F1F1F1"/>
          </w:tcPr>
          <w:p>
            <w:pPr>
              <w:pStyle w:val="TableParagraph"/>
              <w:spacing w:line="251" w:lineRule="exact"/>
              <w:ind w:left="211" w:right="207"/>
              <w:jc w:val="center"/>
              <w:rPr>
                <w:sz w:val="22"/>
              </w:rPr>
            </w:pPr>
            <w:r>
              <w:rPr>
                <w:sz w:val="22"/>
              </w:rPr>
              <w:t>&lt; 100*</w:t>
            </w:r>
          </w:p>
        </w:tc>
      </w:tr>
      <w:tr>
        <w:trPr>
          <w:trHeight w:val="1132" w:hRule="atLeast"/>
        </w:trPr>
        <w:tc>
          <w:tcPr>
            <w:tcW w:w="1625" w:type="dxa"/>
          </w:tcPr>
          <w:p>
            <w:pPr>
              <w:pStyle w:val="TableParagraph"/>
              <w:rPr>
                <w:b/>
                <w:sz w:val="24"/>
              </w:rPr>
            </w:pPr>
          </w:p>
          <w:p>
            <w:pPr>
              <w:pStyle w:val="TableParagraph"/>
              <w:spacing w:before="157"/>
              <w:ind w:left="107"/>
              <w:rPr>
                <w:b/>
                <w:sz w:val="22"/>
              </w:rPr>
            </w:pPr>
            <w:r>
              <w:rPr>
                <w:b/>
                <w:sz w:val="22"/>
              </w:rPr>
              <w:t>Гемодинамика</w:t>
            </w:r>
          </w:p>
        </w:tc>
        <w:tc>
          <w:tcPr>
            <w:tcW w:w="2403" w:type="dxa"/>
          </w:tcPr>
          <w:p>
            <w:pPr>
              <w:pStyle w:val="TableParagraph"/>
              <w:spacing w:line="244" w:lineRule="auto"/>
              <w:ind w:left="78" w:right="216"/>
              <w:rPr>
                <w:sz w:val="22"/>
              </w:rPr>
            </w:pPr>
            <w:r>
              <w:rPr>
                <w:sz w:val="22"/>
              </w:rPr>
              <w:t>Среднее АД, мм </w:t>
            </w:r>
            <w:r>
              <w:rPr>
                <w:spacing w:val="-3"/>
                <w:sz w:val="22"/>
              </w:rPr>
              <w:t>рт.ст. </w:t>
            </w:r>
            <w:r>
              <w:rPr>
                <w:sz w:val="22"/>
              </w:rPr>
              <w:t>или дозы катехоламинов, мкг/кг в</w:t>
            </w:r>
            <w:r>
              <w:rPr>
                <w:spacing w:val="-2"/>
                <w:sz w:val="22"/>
              </w:rPr>
              <w:t> </w:t>
            </w:r>
            <w:r>
              <w:rPr>
                <w:sz w:val="22"/>
              </w:rPr>
              <w:t>мин</w:t>
            </w:r>
          </w:p>
        </w:tc>
        <w:tc>
          <w:tcPr>
            <w:tcW w:w="567" w:type="dxa"/>
          </w:tcPr>
          <w:p>
            <w:pPr>
              <w:pStyle w:val="TableParagraph"/>
              <w:spacing w:line="269" w:lineRule="exact"/>
              <w:ind w:left="8" w:right="1"/>
              <w:jc w:val="center"/>
              <w:rPr>
                <w:sz w:val="22"/>
              </w:rPr>
            </w:pPr>
            <w:r>
              <w:rPr>
                <w:rFonts w:ascii="Symbol" w:hAnsi="Symbol"/>
                <w:sz w:val="22"/>
              </w:rPr>
              <w:t></w:t>
            </w:r>
            <w:r>
              <w:rPr>
                <w:sz w:val="22"/>
              </w:rPr>
              <w:t> 70</w:t>
            </w:r>
          </w:p>
        </w:tc>
        <w:tc>
          <w:tcPr>
            <w:tcW w:w="929" w:type="dxa"/>
          </w:tcPr>
          <w:p>
            <w:pPr>
              <w:pStyle w:val="TableParagraph"/>
              <w:spacing w:before="1"/>
              <w:ind w:left="71" w:right="70"/>
              <w:jc w:val="center"/>
              <w:rPr>
                <w:sz w:val="22"/>
              </w:rPr>
            </w:pPr>
            <w:r>
              <w:rPr>
                <w:sz w:val="22"/>
              </w:rPr>
              <w:t>&lt; 70</w:t>
            </w:r>
          </w:p>
        </w:tc>
        <w:tc>
          <w:tcPr>
            <w:tcW w:w="946" w:type="dxa"/>
          </w:tcPr>
          <w:p>
            <w:pPr>
              <w:pStyle w:val="TableParagraph"/>
              <w:ind w:left="82" w:right="77" w:hanging="2"/>
              <w:jc w:val="center"/>
              <w:rPr>
                <w:sz w:val="22"/>
              </w:rPr>
            </w:pPr>
            <w:r>
              <w:rPr>
                <w:sz w:val="22"/>
              </w:rPr>
              <w:t>Доф &lt; 5 или Доб (любая доза)</w:t>
            </w:r>
          </w:p>
        </w:tc>
        <w:tc>
          <w:tcPr>
            <w:tcW w:w="1318" w:type="dxa"/>
          </w:tcPr>
          <w:p>
            <w:pPr>
              <w:pStyle w:val="TableParagraph"/>
              <w:spacing w:line="244" w:lineRule="auto" w:before="1"/>
              <w:ind w:left="170" w:right="167" w:firstLine="283"/>
              <w:rPr>
                <w:sz w:val="22"/>
              </w:rPr>
            </w:pPr>
            <w:r>
              <w:rPr>
                <w:sz w:val="22"/>
              </w:rPr>
              <w:t>Доф 5,1-15 или Эпи (Нор)</w:t>
            </w:r>
          </w:p>
          <w:p>
            <w:pPr>
              <w:pStyle w:val="TableParagraph"/>
              <w:spacing w:line="267" w:lineRule="exact"/>
              <w:ind w:left="429"/>
              <w:rPr>
                <w:sz w:val="22"/>
              </w:rPr>
            </w:pPr>
            <w:r>
              <w:rPr>
                <w:rFonts w:ascii="Symbol" w:hAnsi="Symbol"/>
                <w:sz w:val="22"/>
              </w:rPr>
              <w:t></w:t>
            </w:r>
            <w:r>
              <w:rPr>
                <w:sz w:val="22"/>
              </w:rPr>
              <w:t> 0,1</w:t>
            </w:r>
          </w:p>
        </w:tc>
        <w:tc>
          <w:tcPr>
            <w:tcW w:w="1088" w:type="dxa"/>
          </w:tcPr>
          <w:p>
            <w:pPr>
              <w:pStyle w:val="TableParagraph"/>
              <w:ind w:left="50" w:right="44" w:firstLine="88"/>
              <w:jc w:val="both"/>
              <w:rPr>
                <w:sz w:val="22"/>
              </w:rPr>
            </w:pPr>
            <w:r>
              <w:rPr>
                <w:sz w:val="22"/>
              </w:rPr>
              <w:t>Доф &gt;15 или Эпи (Нор) &gt;0,1</w:t>
            </w:r>
          </w:p>
        </w:tc>
      </w:tr>
      <w:tr>
        <w:trPr>
          <w:trHeight w:val="340" w:hRule="atLeast"/>
        </w:trPr>
        <w:tc>
          <w:tcPr>
            <w:tcW w:w="1625" w:type="dxa"/>
            <w:shd w:val="clear" w:color="auto" w:fill="F1F1F1"/>
          </w:tcPr>
          <w:p>
            <w:pPr>
              <w:pStyle w:val="TableParagraph"/>
              <w:spacing w:before="1"/>
              <w:ind w:left="107"/>
              <w:rPr>
                <w:b/>
                <w:sz w:val="22"/>
              </w:rPr>
            </w:pPr>
            <w:r>
              <w:rPr>
                <w:b/>
                <w:sz w:val="22"/>
              </w:rPr>
              <w:t>Гемостаз</w:t>
            </w:r>
          </w:p>
        </w:tc>
        <w:tc>
          <w:tcPr>
            <w:tcW w:w="2403" w:type="dxa"/>
            <w:shd w:val="clear" w:color="auto" w:fill="F1F1F1"/>
          </w:tcPr>
          <w:p>
            <w:pPr>
              <w:pStyle w:val="TableParagraph"/>
              <w:spacing w:line="269" w:lineRule="exact"/>
              <w:ind w:left="78"/>
              <w:rPr>
                <w:sz w:val="22"/>
              </w:rPr>
            </w:pPr>
            <w:r>
              <w:rPr>
                <w:sz w:val="22"/>
              </w:rPr>
              <w:t>Тромбоциты, </w:t>
            </w:r>
            <w:r>
              <w:rPr>
                <w:rFonts w:ascii="Symbol" w:hAnsi="Symbol"/>
                <w:sz w:val="22"/>
              </w:rPr>
              <w:t></w:t>
            </w:r>
            <w:r>
              <w:rPr>
                <w:sz w:val="22"/>
              </w:rPr>
              <w:t>10</w:t>
            </w:r>
            <w:r>
              <w:rPr>
                <w:sz w:val="22"/>
                <w:vertAlign w:val="superscript"/>
              </w:rPr>
              <w:t>9</w:t>
            </w:r>
            <w:r>
              <w:rPr>
                <w:sz w:val="22"/>
                <w:vertAlign w:val="baseline"/>
              </w:rPr>
              <w:t>/мкл</w:t>
            </w:r>
          </w:p>
        </w:tc>
        <w:tc>
          <w:tcPr>
            <w:tcW w:w="567" w:type="dxa"/>
            <w:shd w:val="clear" w:color="auto" w:fill="F1F1F1"/>
          </w:tcPr>
          <w:p>
            <w:pPr>
              <w:pStyle w:val="TableParagraph"/>
              <w:spacing w:line="269" w:lineRule="exact"/>
              <w:ind w:left="8" w:right="1"/>
              <w:jc w:val="center"/>
              <w:rPr>
                <w:sz w:val="22"/>
              </w:rPr>
            </w:pPr>
            <w:r>
              <w:rPr>
                <w:rFonts w:ascii="Symbol" w:hAnsi="Symbol"/>
                <w:sz w:val="22"/>
              </w:rPr>
              <w:t></w:t>
            </w:r>
            <w:r>
              <w:rPr>
                <w:sz w:val="22"/>
              </w:rPr>
              <w:t> 150</w:t>
            </w:r>
          </w:p>
        </w:tc>
        <w:tc>
          <w:tcPr>
            <w:tcW w:w="929" w:type="dxa"/>
            <w:shd w:val="clear" w:color="auto" w:fill="F1F1F1"/>
          </w:tcPr>
          <w:p>
            <w:pPr>
              <w:pStyle w:val="TableParagraph"/>
              <w:spacing w:before="1"/>
              <w:ind w:left="71" w:right="70"/>
              <w:jc w:val="center"/>
              <w:rPr>
                <w:sz w:val="22"/>
              </w:rPr>
            </w:pPr>
            <w:r>
              <w:rPr>
                <w:sz w:val="22"/>
              </w:rPr>
              <w:t>&lt; 150</w:t>
            </w:r>
          </w:p>
        </w:tc>
        <w:tc>
          <w:tcPr>
            <w:tcW w:w="946" w:type="dxa"/>
            <w:shd w:val="clear" w:color="auto" w:fill="F1F1F1"/>
          </w:tcPr>
          <w:p>
            <w:pPr>
              <w:pStyle w:val="TableParagraph"/>
              <w:spacing w:before="1"/>
              <w:ind w:left="80" w:right="77"/>
              <w:jc w:val="center"/>
              <w:rPr>
                <w:sz w:val="22"/>
              </w:rPr>
            </w:pPr>
            <w:r>
              <w:rPr>
                <w:sz w:val="22"/>
              </w:rPr>
              <w:t>&lt; 100</w:t>
            </w:r>
          </w:p>
        </w:tc>
        <w:tc>
          <w:tcPr>
            <w:tcW w:w="1318" w:type="dxa"/>
            <w:shd w:val="clear" w:color="auto" w:fill="F1F1F1"/>
          </w:tcPr>
          <w:p>
            <w:pPr>
              <w:pStyle w:val="TableParagraph"/>
              <w:spacing w:before="1"/>
              <w:ind w:left="436" w:right="431"/>
              <w:jc w:val="center"/>
              <w:rPr>
                <w:sz w:val="22"/>
              </w:rPr>
            </w:pPr>
            <w:r>
              <w:rPr>
                <w:sz w:val="22"/>
              </w:rPr>
              <w:t>&lt; 50</w:t>
            </w:r>
          </w:p>
        </w:tc>
        <w:tc>
          <w:tcPr>
            <w:tcW w:w="1088" w:type="dxa"/>
            <w:shd w:val="clear" w:color="auto" w:fill="F1F1F1"/>
          </w:tcPr>
          <w:p>
            <w:pPr>
              <w:pStyle w:val="TableParagraph"/>
              <w:spacing w:before="1"/>
              <w:ind w:left="211" w:right="207"/>
              <w:jc w:val="center"/>
              <w:rPr>
                <w:sz w:val="22"/>
              </w:rPr>
            </w:pPr>
            <w:r>
              <w:rPr>
                <w:sz w:val="22"/>
              </w:rPr>
              <w:t>&lt; 20</w:t>
            </w:r>
          </w:p>
        </w:tc>
      </w:tr>
      <w:tr>
        <w:trPr>
          <w:trHeight w:val="340" w:hRule="atLeast"/>
        </w:trPr>
        <w:tc>
          <w:tcPr>
            <w:tcW w:w="1625" w:type="dxa"/>
          </w:tcPr>
          <w:p>
            <w:pPr>
              <w:pStyle w:val="TableParagraph"/>
              <w:spacing w:before="1"/>
              <w:ind w:left="107"/>
              <w:rPr>
                <w:b/>
                <w:sz w:val="22"/>
              </w:rPr>
            </w:pPr>
            <w:r>
              <w:rPr>
                <w:b/>
                <w:sz w:val="22"/>
              </w:rPr>
              <w:t>Печень</w:t>
            </w:r>
          </w:p>
        </w:tc>
        <w:tc>
          <w:tcPr>
            <w:tcW w:w="2403" w:type="dxa"/>
          </w:tcPr>
          <w:p>
            <w:pPr>
              <w:pStyle w:val="TableParagraph"/>
              <w:spacing w:before="1"/>
              <w:ind w:left="78"/>
              <w:rPr>
                <w:sz w:val="22"/>
              </w:rPr>
            </w:pPr>
            <w:r>
              <w:rPr>
                <w:sz w:val="22"/>
              </w:rPr>
              <w:t>Билирубин, мкмоль/л</w:t>
            </w:r>
          </w:p>
        </w:tc>
        <w:tc>
          <w:tcPr>
            <w:tcW w:w="567" w:type="dxa"/>
          </w:tcPr>
          <w:p>
            <w:pPr>
              <w:pStyle w:val="TableParagraph"/>
              <w:spacing w:before="1"/>
              <w:ind w:left="6" w:right="1"/>
              <w:jc w:val="center"/>
              <w:rPr>
                <w:sz w:val="22"/>
              </w:rPr>
            </w:pPr>
            <w:r>
              <w:rPr>
                <w:sz w:val="22"/>
              </w:rPr>
              <w:t>&lt; 20</w:t>
            </w:r>
          </w:p>
        </w:tc>
        <w:tc>
          <w:tcPr>
            <w:tcW w:w="929" w:type="dxa"/>
          </w:tcPr>
          <w:p>
            <w:pPr>
              <w:pStyle w:val="TableParagraph"/>
              <w:spacing w:before="1"/>
              <w:ind w:left="71" w:right="73"/>
              <w:jc w:val="center"/>
              <w:rPr>
                <w:sz w:val="22"/>
              </w:rPr>
            </w:pPr>
            <w:r>
              <w:rPr>
                <w:sz w:val="22"/>
              </w:rPr>
              <w:t>20-32</w:t>
            </w:r>
          </w:p>
        </w:tc>
        <w:tc>
          <w:tcPr>
            <w:tcW w:w="946" w:type="dxa"/>
          </w:tcPr>
          <w:p>
            <w:pPr>
              <w:pStyle w:val="TableParagraph"/>
              <w:spacing w:before="1"/>
              <w:ind w:left="80" w:right="81"/>
              <w:jc w:val="center"/>
              <w:rPr>
                <w:sz w:val="22"/>
              </w:rPr>
            </w:pPr>
            <w:r>
              <w:rPr>
                <w:sz w:val="22"/>
              </w:rPr>
              <w:t>33-101</w:t>
            </w:r>
          </w:p>
        </w:tc>
        <w:tc>
          <w:tcPr>
            <w:tcW w:w="1318" w:type="dxa"/>
          </w:tcPr>
          <w:p>
            <w:pPr>
              <w:pStyle w:val="TableParagraph"/>
              <w:spacing w:before="1"/>
              <w:ind w:right="285"/>
              <w:jc w:val="right"/>
              <w:rPr>
                <w:sz w:val="22"/>
              </w:rPr>
            </w:pPr>
            <w:r>
              <w:rPr>
                <w:sz w:val="22"/>
              </w:rPr>
              <w:t>102-204</w:t>
            </w:r>
          </w:p>
        </w:tc>
        <w:tc>
          <w:tcPr>
            <w:tcW w:w="1088" w:type="dxa"/>
          </w:tcPr>
          <w:p>
            <w:pPr>
              <w:pStyle w:val="TableParagraph"/>
              <w:spacing w:before="1"/>
              <w:ind w:left="211" w:right="207"/>
              <w:jc w:val="center"/>
              <w:rPr>
                <w:sz w:val="22"/>
              </w:rPr>
            </w:pPr>
            <w:r>
              <w:rPr>
                <w:sz w:val="22"/>
              </w:rPr>
              <w:t>&gt; 204</w:t>
            </w:r>
          </w:p>
        </w:tc>
      </w:tr>
      <w:tr>
        <w:trPr>
          <w:trHeight w:val="282" w:hRule="atLeast"/>
        </w:trPr>
        <w:tc>
          <w:tcPr>
            <w:tcW w:w="1625" w:type="dxa"/>
            <w:vMerge w:val="restart"/>
            <w:shd w:val="clear" w:color="auto" w:fill="F1F1F1"/>
          </w:tcPr>
          <w:p>
            <w:pPr>
              <w:pStyle w:val="TableParagraph"/>
              <w:spacing w:before="154"/>
              <w:ind w:left="107"/>
              <w:rPr>
                <w:b/>
                <w:sz w:val="22"/>
              </w:rPr>
            </w:pPr>
            <w:r>
              <w:rPr>
                <w:b/>
                <w:sz w:val="22"/>
              </w:rPr>
              <w:t>Почки</w:t>
            </w:r>
          </w:p>
        </w:tc>
        <w:tc>
          <w:tcPr>
            <w:tcW w:w="2403" w:type="dxa"/>
            <w:shd w:val="clear" w:color="auto" w:fill="F1F1F1"/>
          </w:tcPr>
          <w:p>
            <w:pPr>
              <w:pStyle w:val="TableParagraph"/>
              <w:spacing w:before="1"/>
              <w:ind w:left="78"/>
              <w:rPr>
                <w:sz w:val="22"/>
              </w:rPr>
            </w:pPr>
            <w:r>
              <w:rPr>
                <w:sz w:val="22"/>
              </w:rPr>
              <w:t>Креатинин, моль/л</w:t>
            </w:r>
          </w:p>
        </w:tc>
        <w:tc>
          <w:tcPr>
            <w:tcW w:w="567" w:type="dxa"/>
            <w:shd w:val="clear" w:color="auto" w:fill="F1F1F1"/>
          </w:tcPr>
          <w:p>
            <w:pPr>
              <w:pStyle w:val="TableParagraph"/>
              <w:spacing w:before="1"/>
              <w:ind w:left="6" w:right="1"/>
              <w:jc w:val="center"/>
              <w:rPr>
                <w:sz w:val="22"/>
              </w:rPr>
            </w:pPr>
            <w:r>
              <w:rPr>
                <w:sz w:val="22"/>
              </w:rPr>
              <w:t>&lt; 100</w:t>
            </w:r>
          </w:p>
        </w:tc>
        <w:tc>
          <w:tcPr>
            <w:tcW w:w="929" w:type="dxa"/>
            <w:shd w:val="clear" w:color="auto" w:fill="F1F1F1"/>
          </w:tcPr>
          <w:p>
            <w:pPr>
              <w:pStyle w:val="TableParagraph"/>
              <w:spacing w:before="1"/>
              <w:ind w:left="71" w:right="73"/>
              <w:jc w:val="center"/>
              <w:rPr>
                <w:sz w:val="22"/>
              </w:rPr>
            </w:pPr>
            <w:r>
              <w:rPr>
                <w:sz w:val="22"/>
              </w:rPr>
              <w:t>110-170</w:t>
            </w:r>
          </w:p>
        </w:tc>
        <w:tc>
          <w:tcPr>
            <w:tcW w:w="946" w:type="dxa"/>
            <w:shd w:val="clear" w:color="auto" w:fill="F1F1F1"/>
          </w:tcPr>
          <w:p>
            <w:pPr>
              <w:pStyle w:val="TableParagraph"/>
              <w:spacing w:before="1"/>
              <w:ind w:left="80" w:right="81"/>
              <w:jc w:val="center"/>
              <w:rPr>
                <w:sz w:val="22"/>
              </w:rPr>
            </w:pPr>
            <w:r>
              <w:rPr>
                <w:sz w:val="22"/>
              </w:rPr>
              <w:t>171-299</w:t>
            </w:r>
          </w:p>
        </w:tc>
        <w:tc>
          <w:tcPr>
            <w:tcW w:w="1318" w:type="dxa"/>
            <w:shd w:val="clear" w:color="auto" w:fill="F1F1F1"/>
          </w:tcPr>
          <w:p>
            <w:pPr>
              <w:pStyle w:val="TableParagraph"/>
              <w:spacing w:before="1"/>
              <w:ind w:right="285"/>
              <w:jc w:val="right"/>
              <w:rPr>
                <w:sz w:val="22"/>
              </w:rPr>
            </w:pPr>
            <w:r>
              <w:rPr>
                <w:sz w:val="22"/>
              </w:rPr>
              <w:t>300-440</w:t>
            </w:r>
          </w:p>
        </w:tc>
        <w:tc>
          <w:tcPr>
            <w:tcW w:w="1088" w:type="dxa"/>
            <w:shd w:val="clear" w:color="auto" w:fill="F1F1F1"/>
          </w:tcPr>
          <w:p>
            <w:pPr>
              <w:pStyle w:val="TableParagraph"/>
              <w:spacing w:before="1"/>
              <w:ind w:left="211" w:right="207"/>
              <w:jc w:val="center"/>
              <w:rPr>
                <w:sz w:val="22"/>
              </w:rPr>
            </w:pPr>
            <w:r>
              <w:rPr>
                <w:sz w:val="22"/>
              </w:rPr>
              <w:t>&gt; 440</w:t>
            </w:r>
          </w:p>
        </w:tc>
      </w:tr>
      <w:tr>
        <w:trPr>
          <w:trHeight w:val="282" w:hRule="atLeast"/>
        </w:trPr>
        <w:tc>
          <w:tcPr>
            <w:tcW w:w="1625" w:type="dxa"/>
            <w:vMerge/>
            <w:tcBorders>
              <w:top w:val="nil"/>
            </w:tcBorders>
            <w:shd w:val="clear" w:color="auto" w:fill="F1F1F1"/>
          </w:tcPr>
          <w:p>
            <w:pPr>
              <w:rPr>
                <w:sz w:val="2"/>
                <w:szCs w:val="2"/>
              </w:rPr>
            </w:pPr>
          </w:p>
        </w:tc>
        <w:tc>
          <w:tcPr>
            <w:tcW w:w="2403" w:type="dxa"/>
          </w:tcPr>
          <w:p>
            <w:pPr>
              <w:pStyle w:val="TableParagraph"/>
              <w:spacing w:before="1"/>
              <w:ind w:left="78"/>
              <w:rPr>
                <w:sz w:val="22"/>
              </w:rPr>
            </w:pPr>
            <w:r>
              <w:rPr>
                <w:sz w:val="22"/>
              </w:rPr>
              <w:t>Диурез, мл/сут</w:t>
            </w:r>
          </w:p>
        </w:tc>
        <w:tc>
          <w:tcPr>
            <w:tcW w:w="567" w:type="dxa"/>
          </w:tcPr>
          <w:p>
            <w:pPr>
              <w:pStyle w:val="TableParagraph"/>
              <w:rPr>
                <w:sz w:val="20"/>
              </w:rPr>
            </w:pPr>
          </w:p>
        </w:tc>
        <w:tc>
          <w:tcPr>
            <w:tcW w:w="929" w:type="dxa"/>
          </w:tcPr>
          <w:p>
            <w:pPr>
              <w:pStyle w:val="TableParagraph"/>
              <w:rPr>
                <w:sz w:val="20"/>
              </w:rPr>
            </w:pPr>
          </w:p>
        </w:tc>
        <w:tc>
          <w:tcPr>
            <w:tcW w:w="946" w:type="dxa"/>
          </w:tcPr>
          <w:p>
            <w:pPr>
              <w:pStyle w:val="TableParagraph"/>
              <w:rPr>
                <w:sz w:val="20"/>
              </w:rPr>
            </w:pPr>
          </w:p>
        </w:tc>
        <w:tc>
          <w:tcPr>
            <w:tcW w:w="1318" w:type="dxa"/>
          </w:tcPr>
          <w:p>
            <w:pPr>
              <w:pStyle w:val="TableParagraph"/>
              <w:spacing w:before="1"/>
              <w:ind w:right="393"/>
              <w:jc w:val="right"/>
              <w:rPr>
                <w:sz w:val="22"/>
              </w:rPr>
            </w:pPr>
            <w:r>
              <w:rPr>
                <w:sz w:val="22"/>
              </w:rPr>
              <w:t>&lt; 500</w:t>
            </w:r>
          </w:p>
        </w:tc>
        <w:tc>
          <w:tcPr>
            <w:tcW w:w="1088" w:type="dxa"/>
          </w:tcPr>
          <w:p>
            <w:pPr>
              <w:pStyle w:val="TableParagraph"/>
              <w:spacing w:before="1"/>
              <w:ind w:left="211" w:right="207"/>
              <w:jc w:val="center"/>
              <w:rPr>
                <w:sz w:val="22"/>
              </w:rPr>
            </w:pPr>
            <w:r>
              <w:rPr>
                <w:sz w:val="22"/>
              </w:rPr>
              <w:t>&lt; 200</w:t>
            </w:r>
          </w:p>
        </w:tc>
      </w:tr>
    </w:tbl>
    <w:p>
      <w:pPr>
        <w:pStyle w:val="ListParagraph"/>
        <w:numPr>
          <w:ilvl w:val="0"/>
          <w:numId w:val="24"/>
        </w:numPr>
        <w:tabs>
          <w:tab w:pos="471" w:val="left" w:leader="none"/>
        </w:tabs>
        <w:spacing w:line="240" w:lineRule="auto" w:before="1" w:after="0"/>
        <w:ind w:left="470" w:right="0" w:hanging="150"/>
        <w:jc w:val="both"/>
        <w:rPr>
          <w:sz w:val="20"/>
        </w:rPr>
      </w:pPr>
      <w:r>
        <w:rPr>
          <w:sz w:val="20"/>
        </w:rPr>
        <w:t>на фоне респираторной поддержки;</w:t>
      </w:r>
    </w:p>
    <w:p>
      <w:pPr>
        <w:spacing w:before="1"/>
        <w:ind w:left="321" w:right="937" w:firstLine="0"/>
        <w:jc w:val="left"/>
        <w:rPr>
          <w:sz w:val="20"/>
        </w:rPr>
      </w:pPr>
      <w:r>
        <w:rPr>
          <w:sz w:val="20"/>
        </w:rPr>
        <w:t>обозначения: Доф – дофамин , Доб – добутамин, Эпи – эпинефрин (адреналин), Нор – норэпинефрин (норадреналин).</w:t>
      </w:r>
    </w:p>
    <w:p>
      <w:pPr>
        <w:spacing w:after="0"/>
        <w:jc w:val="left"/>
        <w:rPr>
          <w:sz w:val="20"/>
        </w:rPr>
        <w:sectPr>
          <w:pgSz w:w="11920" w:h="16850"/>
          <w:pgMar w:header="0" w:footer="620" w:top="1060" w:bottom="880" w:left="1380" w:right="600"/>
        </w:sectPr>
      </w:pPr>
    </w:p>
    <w:p>
      <w:pPr>
        <w:pStyle w:val="Heading3"/>
        <w:numPr>
          <w:ilvl w:val="2"/>
          <w:numId w:val="18"/>
        </w:numPr>
        <w:tabs>
          <w:tab w:pos="1630" w:val="left" w:leader="none"/>
        </w:tabs>
        <w:spacing w:line="240" w:lineRule="auto" w:before="78" w:after="0"/>
        <w:ind w:left="1629" w:right="0" w:hanging="601"/>
        <w:jc w:val="both"/>
      </w:pPr>
      <w:bookmarkStart w:name="5.6.3. Интенсивная терапия острой дыхате" w:id="72"/>
      <w:bookmarkEnd w:id="72"/>
      <w:r>
        <w:rPr>
          <w:b w:val="0"/>
        </w:rPr>
      </w:r>
      <w:bookmarkStart w:name="5.6.3. Интенсивная терапия острой дыхате" w:id="73"/>
      <w:bookmarkEnd w:id="73"/>
      <w:r>
        <w:rPr>
          <w:color w:val="1F487C"/>
        </w:rPr>
        <w:t>Ин</w:t>
      </w:r>
      <w:r>
        <w:rPr>
          <w:color w:val="1F487C"/>
        </w:rPr>
        <w:t>тенсивная терапия острой дыхательной</w:t>
      </w:r>
      <w:r>
        <w:rPr>
          <w:color w:val="1F487C"/>
          <w:spacing w:val="-8"/>
        </w:rPr>
        <w:t> </w:t>
      </w:r>
      <w:r>
        <w:rPr>
          <w:color w:val="1F487C"/>
        </w:rPr>
        <w:t>недостаточности</w:t>
      </w:r>
    </w:p>
    <w:p>
      <w:pPr>
        <w:pStyle w:val="BodyText"/>
        <w:spacing w:line="312" w:lineRule="auto" w:before="142"/>
        <w:ind w:right="674" w:firstLine="708"/>
      </w:pPr>
      <w:r>
        <w:rPr/>
        <w:t>ОДН является одним из наиболее частых осложнений COVID-19. У пациентов с тяжелым и крайне тяжелым течением (10-15%) после 5-го дня болезни сохраняется лихорадка, появляются симптомы дыхательной недостаточности, прогрессируют инфильтративные изменения в легких (вирусная пневмония), ОРДС. Даже при легком течении COVID-19 у большинства пациентов при КТ легких видны инфильтративные изменения. Так, SARS-CoV-2 обнаруживался в носоглоточных смывах у 59% пациентов,</w:t>
      </w:r>
      <w:r>
        <w:rPr>
          <w:spacing w:val="-13"/>
        </w:rPr>
        <w:t> </w:t>
      </w:r>
      <w:r>
        <w:rPr/>
        <w:t>а</w:t>
      </w:r>
      <w:r>
        <w:rPr>
          <w:spacing w:val="-16"/>
        </w:rPr>
        <w:t> </w:t>
      </w:r>
      <w:r>
        <w:rPr/>
        <w:t>инфильтративные</w:t>
      </w:r>
      <w:r>
        <w:rPr>
          <w:spacing w:val="-14"/>
        </w:rPr>
        <w:t> </w:t>
      </w:r>
      <w:r>
        <w:rPr/>
        <w:t>изменения</w:t>
      </w:r>
      <w:r>
        <w:rPr>
          <w:spacing w:val="-15"/>
        </w:rPr>
        <w:t> </w:t>
      </w:r>
      <w:r>
        <w:rPr/>
        <w:t>на</w:t>
      </w:r>
      <w:r>
        <w:rPr>
          <w:spacing w:val="-14"/>
        </w:rPr>
        <w:t> </w:t>
      </w:r>
      <w:r>
        <w:rPr/>
        <w:t>КТ</w:t>
      </w:r>
      <w:r>
        <w:rPr>
          <w:spacing w:val="-13"/>
        </w:rPr>
        <w:t> </w:t>
      </w:r>
      <w:r>
        <w:rPr/>
        <w:t>легких</w:t>
      </w:r>
      <w:r>
        <w:rPr>
          <w:spacing w:val="-11"/>
        </w:rPr>
        <w:t> </w:t>
      </w:r>
      <w:r>
        <w:rPr/>
        <w:t>–</w:t>
      </w:r>
      <w:r>
        <w:rPr>
          <w:spacing w:val="-10"/>
        </w:rPr>
        <w:t> </w:t>
      </w:r>
      <w:r>
        <w:rPr/>
        <w:t>у</w:t>
      </w:r>
      <w:r>
        <w:rPr>
          <w:spacing w:val="-21"/>
        </w:rPr>
        <w:t> </w:t>
      </w:r>
      <w:r>
        <w:rPr/>
        <w:t>88%</w:t>
      </w:r>
      <w:r>
        <w:rPr>
          <w:spacing w:val="-13"/>
        </w:rPr>
        <w:t> </w:t>
      </w:r>
      <w:r>
        <w:rPr/>
        <w:t>пациентов</w:t>
      </w:r>
      <w:r>
        <w:rPr>
          <w:spacing w:val="-14"/>
        </w:rPr>
        <w:t> </w:t>
      </w:r>
      <w:r>
        <w:rPr/>
        <w:t>с</w:t>
      </w:r>
      <w:r>
        <w:rPr>
          <w:spacing w:val="-13"/>
        </w:rPr>
        <w:t> </w:t>
      </w:r>
      <w:r>
        <w:rPr/>
        <w:t>вероятным COVID-19.</w:t>
      </w:r>
    </w:p>
    <w:p>
      <w:pPr>
        <w:pStyle w:val="BodyText"/>
        <w:spacing w:before="10"/>
        <w:ind w:left="0"/>
        <w:jc w:val="left"/>
        <w:rPr>
          <w:sz w:val="20"/>
        </w:rPr>
      </w:pPr>
    </w:p>
    <w:p>
      <w:pPr>
        <w:pStyle w:val="Heading3"/>
      </w:pPr>
      <w:bookmarkStart w:name="Особенности вирусной пневмонии и ОРДС пр" w:id="74"/>
      <w:bookmarkEnd w:id="74"/>
      <w:r>
        <w:rPr>
          <w:b w:val="0"/>
        </w:rPr>
      </w:r>
      <w:r>
        <w:rPr>
          <w:color w:val="1F487C"/>
        </w:rPr>
        <w:t>Особенности вирусной пневмонии и ОРДС при COVID-19</w:t>
      </w:r>
    </w:p>
    <w:p>
      <w:pPr>
        <w:pStyle w:val="BodyText"/>
        <w:spacing w:line="312" w:lineRule="auto" w:before="142"/>
        <w:ind w:right="673" w:firstLine="708"/>
      </w:pPr>
      <w:r>
        <w:rPr/>
        <w:t>ОРДС при COVID-19 диагностируют в среднем на 8-е сутки от начала болезни, </w:t>
      </w:r>
      <w:r>
        <w:rPr>
          <w:position w:val="2"/>
        </w:rPr>
        <w:t>при поступлении в ОРИТ частота ОРДС около 60%, индекс PaO</w:t>
      </w:r>
      <w:r>
        <w:rPr>
          <w:sz w:val="16"/>
        </w:rPr>
        <w:t>2</w:t>
      </w:r>
      <w:r>
        <w:rPr>
          <w:position w:val="2"/>
        </w:rPr>
        <w:t>/FiO</w:t>
      </w:r>
      <w:r>
        <w:rPr>
          <w:sz w:val="16"/>
        </w:rPr>
        <w:t>2 </w:t>
      </w:r>
      <w:r>
        <w:rPr>
          <w:position w:val="2"/>
        </w:rPr>
        <w:t>– 136 (103-234) </w:t>
      </w:r>
      <w:r>
        <w:rPr/>
        <w:t>мм рт.ст.</w:t>
      </w:r>
    </w:p>
    <w:p>
      <w:pPr>
        <w:pStyle w:val="BodyText"/>
        <w:spacing w:line="275" w:lineRule="exact"/>
        <w:ind w:left="1029"/>
      </w:pPr>
      <w:r>
        <w:rPr/>
        <w:t>При ОРДС вследствие COVID-19 описаны два варианта поражений легких:</w:t>
      </w:r>
    </w:p>
    <w:p>
      <w:pPr>
        <w:pStyle w:val="BodyText"/>
        <w:spacing w:before="6"/>
        <w:ind w:left="0"/>
        <w:jc w:val="left"/>
        <w:rPr>
          <w:sz w:val="38"/>
        </w:rPr>
      </w:pPr>
    </w:p>
    <w:p>
      <w:pPr>
        <w:pStyle w:val="ListParagraph"/>
        <w:numPr>
          <w:ilvl w:val="1"/>
          <w:numId w:val="24"/>
        </w:numPr>
        <w:tabs>
          <w:tab w:pos="1001" w:val="left" w:leader="none"/>
        </w:tabs>
        <w:spacing w:line="309" w:lineRule="auto" w:before="0" w:after="0"/>
        <w:ind w:left="1000" w:right="674" w:hanging="339"/>
        <w:jc w:val="both"/>
        <w:rPr>
          <w:sz w:val="24"/>
        </w:rPr>
      </w:pPr>
      <w:r>
        <w:rPr>
          <w:b/>
          <w:sz w:val="24"/>
        </w:rPr>
        <w:t>Малорекрутабельные легкие </w:t>
      </w:r>
      <w:r>
        <w:rPr>
          <w:sz w:val="24"/>
        </w:rPr>
        <w:t>(вирусная пневмония, часто более ранняя стадия):</w:t>
      </w:r>
      <w:r>
        <w:rPr>
          <w:spacing w:val="-15"/>
          <w:sz w:val="24"/>
        </w:rPr>
        <w:t> </w:t>
      </w:r>
      <w:r>
        <w:rPr>
          <w:sz w:val="24"/>
        </w:rPr>
        <w:t>нормальный</w:t>
      </w:r>
      <w:r>
        <w:rPr>
          <w:spacing w:val="-16"/>
          <w:sz w:val="24"/>
        </w:rPr>
        <w:t> </w:t>
      </w:r>
      <w:r>
        <w:rPr>
          <w:sz w:val="24"/>
        </w:rPr>
        <w:t>или</w:t>
      </w:r>
      <w:r>
        <w:rPr>
          <w:spacing w:val="-13"/>
          <w:sz w:val="24"/>
        </w:rPr>
        <w:t> </w:t>
      </w:r>
      <w:r>
        <w:rPr>
          <w:sz w:val="24"/>
        </w:rPr>
        <w:t>немного</w:t>
      </w:r>
      <w:r>
        <w:rPr>
          <w:spacing w:val="-15"/>
          <w:sz w:val="24"/>
        </w:rPr>
        <w:t> </w:t>
      </w:r>
      <w:r>
        <w:rPr>
          <w:sz w:val="24"/>
        </w:rPr>
        <w:t>сниженный</w:t>
      </w:r>
      <w:r>
        <w:rPr>
          <w:spacing w:val="-15"/>
          <w:sz w:val="24"/>
        </w:rPr>
        <w:t> </w:t>
      </w:r>
      <w:r>
        <w:rPr>
          <w:sz w:val="24"/>
        </w:rPr>
        <w:t>комплайенс,</w:t>
      </w:r>
      <w:r>
        <w:rPr>
          <w:spacing w:val="-15"/>
          <w:sz w:val="24"/>
        </w:rPr>
        <w:t> </w:t>
      </w:r>
      <w:r>
        <w:rPr>
          <w:sz w:val="24"/>
        </w:rPr>
        <w:t>на</w:t>
      </w:r>
      <w:r>
        <w:rPr>
          <w:spacing w:val="-15"/>
          <w:sz w:val="24"/>
        </w:rPr>
        <w:t> </w:t>
      </w:r>
      <w:r>
        <w:rPr>
          <w:sz w:val="24"/>
        </w:rPr>
        <w:t>КТ</w:t>
      </w:r>
      <w:r>
        <w:rPr>
          <w:spacing w:val="-16"/>
          <w:sz w:val="24"/>
        </w:rPr>
        <w:t> </w:t>
      </w:r>
      <w:r>
        <w:rPr>
          <w:sz w:val="24"/>
        </w:rPr>
        <w:t>только</w:t>
      </w:r>
      <w:r>
        <w:rPr>
          <w:spacing w:val="-12"/>
          <w:sz w:val="24"/>
        </w:rPr>
        <w:t> </w:t>
      </w:r>
      <w:r>
        <w:rPr>
          <w:sz w:val="24"/>
        </w:rPr>
        <w:t>участки матового стекла, расположенные субплеврально и вдоль междолевых щелей, низкая рекрутабельность легких. Показан пошаговый</w:t>
      </w:r>
      <w:r>
        <w:rPr>
          <w:spacing w:val="-1"/>
          <w:sz w:val="24"/>
        </w:rPr>
        <w:t> </w:t>
      </w:r>
      <w:r>
        <w:rPr>
          <w:sz w:val="24"/>
        </w:rPr>
        <w:t>подход.</w:t>
      </w:r>
    </w:p>
    <w:p>
      <w:pPr>
        <w:pStyle w:val="ListParagraph"/>
        <w:numPr>
          <w:ilvl w:val="1"/>
          <w:numId w:val="24"/>
        </w:numPr>
        <w:tabs>
          <w:tab w:pos="1001" w:val="left" w:leader="none"/>
        </w:tabs>
        <w:spacing w:line="309" w:lineRule="auto" w:before="5" w:after="0"/>
        <w:ind w:left="1000" w:right="672" w:hanging="339"/>
        <w:jc w:val="both"/>
        <w:rPr>
          <w:sz w:val="24"/>
        </w:rPr>
      </w:pPr>
      <w:r>
        <w:rPr>
          <w:b/>
          <w:sz w:val="24"/>
        </w:rPr>
        <w:t>Рекрутабельные легкие </w:t>
      </w:r>
      <w:r>
        <w:rPr>
          <w:sz w:val="24"/>
        </w:rPr>
        <w:t>(собственно ОРДС, 20-30 % от всех ОРДС): низкий комплайенс,   коллапс   и    ателектазирование    альвеол,    «влажные    легкие» в сочетании с различной рекрутабельностью. Показана инвазивная ИВЛ в прон- позиции, РЕЕР 10-20 см вод.ст. в зависимости от рекрутабельности и индекса массы</w:t>
      </w:r>
      <w:r>
        <w:rPr>
          <w:spacing w:val="-2"/>
          <w:sz w:val="24"/>
        </w:rPr>
        <w:t> </w:t>
      </w:r>
      <w:r>
        <w:rPr>
          <w:sz w:val="24"/>
        </w:rPr>
        <w:t>тела.</w:t>
      </w:r>
    </w:p>
    <w:p>
      <w:pPr>
        <w:pStyle w:val="BodyText"/>
        <w:spacing w:line="312" w:lineRule="auto" w:before="19"/>
        <w:ind w:right="675" w:firstLine="708"/>
      </w:pPr>
      <w:r>
        <w:rPr/>
        <w:t>При</w:t>
      </w:r>
      <w:r>
        <w:rPr>
          <w:spacing w:val="-16"/>
        </w:rPr>
        <w:t> </w:t>
      </w:r>
      <w:r>
        <w:rPr/>
        <w:t>ОДН</w:t>
      </w:r>
      <w:r>
        <w:rPr>
          <w:spacing w:val="-13"/>
        </w:rPr>
        <w:t> </w:t>
      </w:r>
      <w:r>
        <w:rPr/>
        <w:t>у</w:t>
      </w:r>
      <w:r>
        <w:rPr>
          <w:spacing w:val="-21"/>
        </w:rPr>
        <w:t> </w:t>
      </w:r>
      <w:r>
        <w:rPr/>
        <w:t>пациентов</w:t>
      </w:r>
      <w:r>
        <w:rPr>
          <w:spacing w:val="-17"/>
        </w:rPr>
        <w:t> </w:t>
      </w:r>
      <w:r>
        <w:rPr/>
        <w:t>с</w:t>
      </w:r>
      <w:r>
        <w:rPr>
          <w:spacing w:val="-14"/>
        </w:rPr>
        <w:t> </w:t>
      </w:r>
      <w:r>
        <w:rPr/>
        <w:t>COVID-19</w:t>
      </w:r>
      <w:r>
        <w:rPr>
          <w:spacing w:val="-14"/>
        </w:rPr>
        <w:t> </w:t>
      </w:r>
      <w:r>
        <w:rPr/>
        <w:t>высока</w:t>
      </w:r>
      <w:r>
        <w:rPr>
          <w:spacing w:val="-14"/>
        </w:rPr>
        <w:t> </w:t>
      </w:r>
      <w:r>
        <w:rPr/>
        <w:t>частота</w:t>
      </w:r>
      <w:r>
        <w:rPr>
          <w:spacing w:val="-18"/>
        </w:rPr>
        <w:t> </w:t>
      </w:r>
      <w:r>
        <w:rPr/>
        <w:t>гиперкапнии,</w:t>
      </w:r>
      <w:r>
        <w:rPr>
          <w:spacing w:val="-16"/>
        </w:rPr>
        <w:t> </w:t>
      </w:r>
      <w:r>
        <w:rPr/>
        <w:t>сохраняющейся даже на фоне инвазивной ИВЛ из-за нарушений вентиляционно-перфузионных соотношений: роста альвеолярного мертвого пространства (микротромбоз легочных капилляров, тромбоэмболия легочной артерии) и/или увеличения шунта (венозного </w:t>
      </w:r>
      <w:r>
        <w:rPr>
          <w:position w:val="2"/>
        </w:rPr>
        <w:t>примешивания), что ведет к большой (выше 5 мм рт.ст.) разнице напряжений СО</w:t>
      </w:r>
      <w:r>
        <w:rPr>
          <w:sz w:val="16"/>
        </w:rPr>
        <w:t>2          </w:t>
      </w:r>
      <w:r>
        <w:rPr/>
        <w:t>в артериальной крови и в конце</w:t>
      </w:r>
      <w:r>
        <w:rPr>
          <w:spacing w:val="-6"/>
        </w:rPr>
        <w:t> </w:t>
      </w:r>
      <w:r>
        <w:rPr/>
        <w:t>выдоха.</w:t>
      </w:r>
    </w:p>
    <w:p>
      <w:pPr>
        <w:pStyle w:val="BodyText"/>
        <w:spacing w:before="7"/>
        <w:ind w:left="0"/>
        <w:jc w:val="left"/>
        <w:rPr>
          <w:sz w:val="20"/>
        </w:rPr>
      </w:pPr>
    </w:p>
    <w:p>
      <w:pPr>
        <w:pStyle w:val="Heading3"/>
      </w:pPr>
      <w:bookmarkStart w:name="Алгоритм оказания помощи при ОДН" w:id="75"/>
      <w:bookmarkEnd w:id="75"/>
      <w:r>
        <w:rPr>
          <w:b w:val="0"/>
        </w:rPr>
      </w:r>
      <w:r>
        <w:rPr>
          <w:color w:val="1F487C"/>
        </w:rPr>
        <w:t>Алгоритм оказания помощи при ОДН</w:t>
      </w:r>
    </w:p>
    <w:p>
      <w:pPr>
        <w:pStyle w:val="BodyText"/>
        <w:spacing w:line="312" w:lineRule="auto" w:before="142"/>
        <w:ind w:right="674" w:firstLine="708"/>
      </w:pPr>
      <w:r>
        <w:rPr/>
        <w:t>Поражения легких при COVID-19 отличается выраженной артериальной гипоксемией, не соответствующей снижению комплайенса. В отличие от типичного ОРДС, у этих пациентов, как правило, нет других причин для интубации трахеи – нарушения сознания, мышечной слабости (дисфункция диафрагмы при полинейромиопатии критических состояний), нестабильной гемодинамики, интраабдоминальной гипертензии, низкой податливости грудной стенки, нарушений биомеханики дыхания, ведущих к повышенной работе дыхания. Вследствие этого</w:t>
      </w:r>
    </w:p>
    <w:p>
      <w:pPr>
        <w:spacing w:after="0" w:line="312" w:lineRule="auto"/>
        <w:sectPr>
          <w:pgSz w:w="11920" w:h="16850"/>
          <w:pgMar w:header="0" w:footer="620" w:top="1060" w:bottom="880" w:left="1380" w:right="600"/>
        </w:sectPr>
      </w:pPr>
    </w:p>
    <w:p>
      <w:pPr>
        <w:pStyle w:val="BodyText"/>
        <w:spacing w:line="312" w:lineRule="auto" w:before="78"/>
        <w:ind w:right="677"/>
      </w:pPr>
      <w:r>
        <w:rPr/>
        <w:t>у значимой части таких пациентов компенсация гипоксемии и ОДН достигается неинвазивными методами – оксигенотерапией и неинвазивной ИВЛ (НИВЛ) даже при </w:t>
      </w:r>
      <w:r>
        <w:rPr>
          <w:position w:val="2"/>
        </w:rPr>
        <w:t>снижении индекса PaO</w:t>
      </w:r>
      <w:r>
        <w:rPr>
          <w:sz w:val="16"/>
        </w:rPr>
        <w:t>2</w:t>
      </w:r>
      <w:r>
        <w:rPr>
          <w:position w:val="2"/>
        </w:rPr>
        <w:t>/FiO</w:t>
      </w:r>
      <w:r>
        <w:rPr>
          <w:sz w:val="16"/>
        </w:rPr>
        <w:t>2 </w:t>
      </w:r>
      <w:r>
        <w:rPr>
          <w:position w:val="2"/>
        </w:rPr>
        <w:t>до 100 мм рт.ст., а у некоторых – и ниже.</w:t>
      </w:r>
    </w:p>
    <w:p>
      <w:pPr>
        <w:pStyle w:val="BodyText"/>
        <w:spacing w:line="272" w:lineRule="exact"/>
        <w:ind w:left="1029"/>
      </w:pPr>
      <w:r>
        <w:rPr/>
        <w:t>Рекомендован пошаговый подход в респираторной терапии (схема 1):</w:t>
      </w:r>
    </w:p>
    <w:p>
      <w:pPr>
        <w:pStyle w:val="ListParagraph"/>
        <w:numPr>
          <w:ilvl w:val="0"/>
          <w:numId w:val="25"/>
        </w:numPr>
        <w:tabs>
          <w:tab w:pos="1210" w:val="left" w:leader="none"/>
        </w:tabs>
        <w:spacing w:line="309" w:lineRule="auto" w:before="83" w:after="0"/>
        <w:ind w:left="321" w:right="675" w:firstLine="708"/>
        <w:jc w:val="both"/>
        <w:rPr>
          <w:sz w:val="24"/>
        </w:rPr>
      </w:pPr>
      <w:r>
        <w:rPr>
          <w:b/>
          <w:position w:val="2"/>
          <w:sz w:val="24"/>
        </w:rPr>
        <w:t>шаг </w:t>
      </w:r>
      <w:r>
        <w:rPr>
          <w:position w:val="2"/>
          <w:sz w:val="24"/>
        </w:rPr>
        <w:t>– при SpO</w:t>
      </w:r>
      <w:r>
        <w:rPr>
          <w:sz w:val="16"/>
        </w:rPr>
        <w:t>2 </w:t>
      </w:r>
      <w:r>
        <w:rPr>
          <w:position w:val="2"/>
          <w:sz w:val="24"/>
        </w:rPr>
        <w:t>&lt; 92% начать обычную О</w:t>
      </w:r>
      <w:r>
        <w:rPr>
          <w:sz w:val="16"/>
        </w:rPr>
        <w:t>2</w:t>
      </w:r>
      <w:r>
        <w:rPr>
          <w:position w:val="2"/>
          <w:sz w:val="24"/>
        </w:rPr>
        <w:t>-терапию (через лицевую маску или назальные канюли, лучше маска с расходным мешком) потоком до 15 л/мин до SpO</w:t>
      </w:r>
      <w:r>
        <w:rPr>
          <w:sz w:val="16"/>
        </w:rPr>
        <w:t>2 </w:t>
      </w:r>
      <w:r>
        <w:rPr>
          <w:sz w:val="24"/>
        </w:rPr>
        <w:t>96-98%; у пациентов с сопутствующими заболеваниями (ХОБЛ, хронической сердечной недостаточностью) вместо шага 1 следует сразу переходить к шагу</w:t>
      </w:r>
      <w:r>
        <w:rPr>
          <w:spacing w:val="-12"/>
          <w:sz w:val="24"/>
        </w:rPr>
        <w:t> </w:t>
      </w:r>
      <w:r>
        <w:rPr>
          <w:sz w:val="24"/>
        </w:rPr>
        <w:t>2.</w:t>
      </w:r>
    </w:p>
    <w:p>
      <w:pPr>
        <w:pStyle w:val="ListParagraph"/>
        <w:numPr>
          <w:ilvl w:val="0"/>
          <w:numId w:val="25"/>
        </w:numPr>
        <w:tabs>
          <w:tab w:pos="1227" w:val="left" w:leader="none"/>
        </w:tabs>
        <w:spacing w:line="312" w:lineRule="auto" w:before="7" w:after="0"/>
        <w:ind w:left="321" w:right="675" w:firstLine="708"/>
        <w:jc w:val="both"/>
        <w:rPr>
          <w:sz w:val="24"/>
        </w:rPr>
      </w:pPr>
      <w:r>
        <w:rPr>
          <w:b/>
          <w:sz w:val="24"/>
        </w:rPr>
        <w:t>шаг </w:t>
      </w:r>
      <w:r>
        <w:rPr>
          <w:sz w:val="24"/>
        </w:rPr>
        <w:t>(при неэффективности шага 1) – прон-позиция не менее 12-16 ч в сутки  с высокопоточной оксигенацией (ВПО, рекомендуется надеть на пациента защитную маску) потоком  30-60  л/мин  или  НИВЛ  (НИВЛ:  Pressure  Support,  S,  S/T,  BIPAP) в режиме СРАР 7-10 см вод.ст. (см. клинические рекомендации Федерации анестезиологов-реаниматологов «Применение неинвазивной вентиляции</w:t>
      </w:r>
      <w:r>
        <w:rPr>
          <w:spacing w:val="-4"/>
          <w:sz w:val="24"/>
        </w:rPr>
        <w:t> </w:t>
      </w:r>
      <w:r>
        <w:rPr>
          <w:sz w:val="24"/>
        </w:rPr>
        <w:t>легких»);</w:t>
      </w:r>
    </w:p>
    <w:p>
      <w:pPr>
        <w:pStyle w:val="ListParagraph"/>
        <w:numPr>
          <w:ilvl w:val="0"/>
          <w:numId w:val="25"/>
        </w:numPr>
        <w:tabs>
          <w:tab w:pos="1263" w:val="left" w:leader="none"/>
        </w:tabs>
        <w:spacing w:line="312" w:lineRule="auto" w:before="0" w:after="0"/>
        <w:ind w:left="321" w:right="675" w:firstLine="708"/>
        <w:jc w:val="both"/>
        <w:rPr>
          <w:sz w:val="24"/>
        </w:rPr>
      </w:pPr>
      <w:r>
        <w:rPr>
          <w:b/>
          <w:position w:val="2"/>
          <w:sz w:val="24"/>
        </w:rPr>
        <w:t>шаг </w:t>
      </w:r>
      <w:r>
        <w:rPr>
          <w:position w:val="2"/>
          <w:sz w:val="24"/>
        </w:rPr>
        <w:t>– при сохранении гипоксемии (SpO</w:t>
      </w:r>
      <w:r>
        <w:rPr>
          <w:sz w:val="16"/>
        </w:rPr>
        <w:t>2 </w:t>
      </w:r>
      <w:r>
        <w:rPr>
          <w:position w:val="2"/>
          <w:sz w:val="24"/>
        </w:rPr>
        <w:t>&lt; 92%), признаках повышенной</w:t>
      </w:r>
      <w:r>
        <w:rPr>
          <w:sz w:val="24"/>
        </w:rPr>
        <w:t> работы дыхания (участие вспомогательной мускулатуры, частое глубокое дыхание), усталости</w:t>
      </w:r>
      <w:r>
        <w:rPr>
          <w:spacing w:val="24"/>
          <w:sz w:val="24"/>
        </w:rPr>
        <w:t> </w:t>
      </w:r>
      <w:r>
        <w:rPr>
          <w:sz w:val="24"/>
        </w:rPr>
        <w:t>пациента,</w:t>
      </w:r>
      <w:r>
        <w:rPr>
          <w:spacing w:val="22"/>
          <w:sz w:val="24"/>
        </w:rPr>
        <w:t> </w:t>
      </w:r>
      <w:r>
        <w:rPr>
          <w:sz w:val="24"/>
        </w:rPr>
        <w:t>нарушении</w:t>
      </w:r>
      <w:r>
        <w:rPr>
          <w:spacing w:val="24"/>
          <w:sz w:val="24"/>
        </w:rPr>
        <w:t> </w:t>
      </w:r>
      <w:r>
        <w:rPr>
          <w:sz w:val="24"/>
        </w:rPr>
        <w:t>сознания,</w:t>
      </w:r>
      <w:r>
        <w:rPr>
          <w:spacing w:val="22"/>
          <w:sz w:val="24"/>
        </w:rPr>
        <w:t> </w:t>
      </w:r>
      <w:r>
        <w:rPr>
          <w:sz w:val="24"/>
        </w:rPr>
        <w:t>нестабильной</w:t>
      </w:r>
      <w:r>
        <w:rPr>
          <w:spacing w:val="24"/>
          <w:sz w:val="24"/>
        </w:rPr>
        <w:t> </w:t>
      </w:r>
      <w:r>
        <w:rPr>
          <w:sz w:val="24"/>
        </w:rPr>
        <w:t>динамике,</w:t>
      </w:r>
      <w:r>
        <w:rPr>
          <w:spacing w:val="24"/>
          <w:sz w:val="24"/>
        </w:rPr>
        <w:t> </w:t>
      </w:r>
      <w:r>
        <w:rPr>
          <w:sz w:val="24"/>
        </w:rPr>
        <w:t>появлении</w:t>
      </w:r>
    </w:p>
    <w:p>
      <w:pPr>
        <w:pStyle w:val="BodyText"/>
        <w:spacing w:line="312" w:lineRule="auto"/>
        <w:ind w:right="674"/>
      </w:pPr>
      <w:r>
        <w:rPr/>
        <w:t>«провалов»</w:t>
      </w:r>
      <w:r>
        <w:rPr>
          <w:spacing w:val="-18"/>
        </w:rPr>
        <w:t> </w:t>
      </w:r>
      <w:r>
        <w:rPr/>
        <w:t>давления</w:t>
      </w:r>
      <w:r>
        <w:rPr>
          <w:spacing w:val="-15"/>
        </w:rPr>
        <w:t> </w:t>
      </w:r>
      <w:r>
        <w:rPr/>
        <w:t>на</w:t>
      </w:r>
      <w:r>
        <w:rPr>
          <w:spacing w:val="-13"/>
        </w:rPr>
        <w:t> </w:t>
      </w:r>
      <w:r>
        <w:rPr/>
        <w:t>2</w:t>
      </w:r>
      <w:r>
        <w:rPr>
          <w:spacing w:val="-16"/>
        </w:rPr>
        <w:t> </w:t>
      </w:r>
      <w:r>
        <w:rPr/>
        <w:t>и</w:t>
      </w:r>
      <w:r>
        <w:rPr>
          <w:spacing w:val="-14"/>
        </w:rPr>
        <w:t> </w:t>
      </w:r>
      <w:r>
        <w:rPr/>
        <w:t>более</w:t>
      </w:r>
      <w:r>
        <w:rPr>
          <w:spacing w:val="-13"/>
        </w:rPr>
        <w:t> </w:t>
      </w:r>
      <w:r>
        <w:rPr/>
        <w:t>см</w:t>
      </w:r>
      <w:r>
        <w:rPr>
          <w:spacing w:val="-14"/>
        </w:rPr>
        <w:t> </w:t>
      </w:r>
      <w:r>
        <w:rPr/>
        <w:t>вод.ст.</w:t>
      </w:r>
      <w:r>
        <w:rPr>
          <w:spacing w:val="-12"/>
        </w:rPr>
        <w:t> </w:t>
      </w:r>
      <w:r>
        <w:rPr/>
        <w:t>ниже</w:t>
      </w:r>
      <w:r>
        <w:rPr>
          <w:spacing w:val="-11"/>
        </w:rPr>
        <w:t> </w:t>
      </w:r>
      <w:r>
        <w:rPr/>
        <w:t>уровня</w:t>
      </w:r>
      <w:r>
        <w:rPr>
          <w:spacing w:val="-16"/>
        </w:rPr>
        <w:t> </w:t>
      </w:r>
      <w:r>
        <w:rPr/>
        <w:t>СРАР</w:t>
      </w:r>
      <w:r>
        <w:rPr>
          <w:spacing w:val="-14"/>
        </w:rPr>
        <w:t> </w:t>
      </w:r>
      <w:r>
        <w:rPr/>
        <w:t>на</w:t>
      </w:r>
      <w:r>
        <w:rPr>
          <w:spacing w:val="-16"/>
        </w:rPr>
        <w:t> </w:t>
      </w:r>
      <w:r>
        <w:rPr/>
        <w:t>фоне</w:t>
      </w:r>
      <w:r>
        <w:rPr>
          <w:spacing w:val="-17"/>
        </w:rPr>
        <w:t> </w:t>
      </w:r>
      <w:r>
        <w:rPr/>
        <w:t>шага</w:t>
      </w:r>
      <w:r>
        <w:rPr>
          <w:spacing w:val="-16"/>
        </w:rPr>
        <w:t> </w:t>
      </w:r>
      <w:r>
        <w:rPr/>
        <w:t>2</w:t>
      </w:r>
      <w:r>
        <w:rPr>
          <w:spacing w:val="-15"/>
        </w:rPr>
        <w:t> </w:t>
      </w:r>
      <w:r>
        <w:rPr/>
        <w:t>показана интубация трахеи и инвазивная ИВЛ в сочетании с прон-позицией (схема 1). Важно, что изолированное увеличение ЧД до 30-35 в мин при отсутствии вышеописанных признаков не является показанием для интубации трахеи. При неэффективности шага 2 у пациентов с COVID-19 не рекомендуется задерживать интубацию трахеи и начало ИВЛ, так как отсрочка интубации трахеи ухудшает прогноз. Важно помнить, что дыхательная недостаточность может прогрессировать чрезвычайно</w:t>
      </w:r>
      <w:r>
        <w:rPr>
          <w:spacing w:val="-6"/>
        </w:rPr>
        <w:t> </w:t>
      </w:r>
      <w:r>
        <w:rPr/>
        <w:t>быстро.</w:t>
      </w:r>
    </w:p>
    <w:p>
      <w:pPr>
        <w:pStyle w:val="BodyText"/>
        <w:ind w:left="0"/>
        <w:jc w:val="left"/>
        <w:rPr>
          <w:sz w:val="26"/>
        </w:rPr>
      </w:pPr>
    </w:p>
    <w:p>
      <w:pPr>
        <w:pStyle w:val="BodyText"/>
        <w:ind w:left="0"/>
        <w:jc w:val="left"/>
        <w:rPr>
          <w:sz w:val="26"/>
        </w:rPr>
      </w:pPr>
    </w:p>
    <w:p>
      <w:pPr>
        <w:pStyle w:val="BodyText"/>
        <w:spacing w:before="159"/>
        <w:ind w:left="1029"/>
      </w:pPr>
      <w:r>
        <w:rPr/>
        <w:t>Применение НИВЛ рекомендовано только при следующих условиях:</w:t>
      </w:r>
    </w:p>
    <w:p>
      <w:pPr>
        <w:pStyle w:val="BodyText"/>
        <w:ind w:left="0"/>
        <w:jc w:val="left"/>
        <w:rPr>
          <w:sz w:val="26"/>
        </w:rPr>
      </w:pPr>
    </w:p>
    <w:p>
      <w:pPr>
        <w:pStyle w:val="ListParagraph"/>
        <w:numPr>
          <w:ilvl w:val="1"/>
          <w:numId w:val="24"/>
        </w:numPr>
        <w:tabs>
          <w:tab w:pos="1000" w:val="left" w:leader="none"/>
          <w:tab w:pos="1001" w:val="left" w:leader="none"/>
        </w:tabs>
        <w:spacing w:line="240" w:lineRule="auto" w:before="171" w:after="0"/>
        <w:ind w:left="1000" w:right="0" w:hanging="339"/>
        <w:jc w:val="left"/>
        <w:rPr>
          <w:sz w:val="24"/>
        </w:rPr>
      </w:pPr>
      <w:r>
        <w:rPr>
          <w:sz w:val="24"/>
        </w:rPr>
        <w:t>Сохранность сознания, стабильная</w:t>
      </w:r>
      <w:r>
        <w:rPr>
          <w:spacing w:val="-3"/>
          <w:sz w:val="24"/>
        </w:rPr>
        <w:t> </w:t>
      </w:r>
      <w:r>
        <w:rPr>
          <w:sz w:val="24"/>
        </w:rPr>
        <w:t>гемодинамика;</w:t>
      </w:r>
    </w:p>
    <w:p>
      <w:pPr>
        <w:pStyle w:val="ListParagraph"/>
        <w:numPr>
          <w:ilvl w:val="1"/>
          <w:numId w:val="24"/>
        </w:numPr>
        <w:tabs>
          <w:tab w:pos="1000" w:val="left" w:leader="none"/>
          <w:tab w:pos="1001" w:val="left" w:leader="none"/>
        </w:tabs>
        <w:spacing w:line="240" w:lineRule="auto" w:before="83" w:after="0"/>
        <w:ind w:left="1000" w:right="0" w:hanging="339"/>
        <w:jc w:val="left"/>
        <w:rPr>
          <w:sz w:val="24"/>
        </w:rPr>
      </w:pPr>
      <w:r>
        <w:rPr>
          <w:sz w:val="24"/>
        </w:rPr>
        <w:t>Возможность сотрудничать с</w:t>
      </w:r>
      <w:r>
        <w:rPr>
          <w:spacing w:val="-2"/>
          <w:sz w:val="24"/>
        </w:rPr>
        <w:t> </w:t>
      </w:r>
      <w:r>
        <w:rPr>
          <w:sz w:val="24"/>
        </w:rPr>
        <w:t>персоналом;</w:t>
      </w:r>
    </w:p>
    <w:p>
      <w:pPr>
        <w:pStyle w:val="ListParagraph"/>
        <w:numPr>
          <w:ilvl w:val="1"/>
          <w:numId w:val="24"/>
        </w:numPr>
        <w:tabs>
          <w:tab w:pos="1000" w:val="left" w:leader="none"/>
          <w:tab w:pos="1001" w:val="left" w:leader="none"/>
        </w:tabs>
        <w:spacing w:line="240" w:lineRule="auto" w:before="83" w:after="0"/>
        <w:ind w:left="1000" w:right="0" w:hanging="339"/>
        <w:jc w:val="left"/>
        <w:rPr>
          <w:sz w:val="24"/>
        </w:rPr>
      </w:pPr>
      <w:r>
        <w:rPr>
          <w:sz w:val="24"/>
        </w:rPr>
        <w:t>Отсутствие клаустрофобии (при применении шлемов;</w:t>
      </w:r>
    </w:p>
    <w:p>
      <w:pPr>
        <w:pStyle w:val="ListParagraph"/>
        <w:numPr>
          <w:ilvl w:val="1"/>
          <w:numId w:val="24"/>
        </w:numPr>
        <w:tabs>
          <w:tab w:pos="1000" w:val="left" w:leader="none"/>
          <w:tab w:pos="1001" w:val="left" w:leader="none"/>
        </w:tabs>
        <w:spacing w:line="240" w:lineRule="auto" w:before="80" w:after="0"/>
        <w:ind w:left="1000" w:right="0" w:hanging="339"/>
        <w:jc w:val="left"/>
        <w:rPr>
          <w:sz w:val="24"/>
        </w:rPr>
      </w:pPr>
      <w:r>
        <w:rPr>
          <w:sz w:val="24"/>
        </w:rPr>
        <w:t>Сохранение механизма откашливания</w:t>
      </w:r>
      <w:r>
        <w:rPr>
          <w:spacing w:val="-4"/>
          <w:sz w:val="24"/>
        </w:rPr>
        <w:t> </w:t>
      </w:r>
      <w:r>
        <w:rPr>
          <w:sz w:val="24"/>
        </w:rPr>
        <w:t>мокроты.</w:t>
      </w:r>
    </w:p>
    <w:p>
      <w:pPr>
        <w:pStyle w:val="BodyText"/>
        <w:spacing w:before="7"/>
        <w:ind w:left="0"/>
        <w:jc w:val="left"/>
        <w:rPr>
          <w:sz w:val="40"/>
        </w:rPr>
      </w:pPr>
    </w:p>
    <w:p>
      <w:pPr>
        <w:pStyle w:val="BodyText"/>
        <w:ind w:left="1029"/>
      </w:pPr>
      <w:r>
        <w:rPr/>
        <w:t>НИВЛ не рекомендуется при:</w:t>
      </w:r>
    </w:p>
    <w:p>
      <w:pPr>
        <w:pStyle w:val="BodyText"/>
        <w:ind w:left="0"/>
        <w:jc w:val="left"/>
        <w:rPr>
          <w:sz w:val="26"/>
        </w:rPr>
      </w:pPr>
    </w:p>
    <w:p>
      <w:pPr>
        <w:pStyle w:val="ListParagraph"/>
        <w:numPr>
          <w:ilvl w:val="1"/>
          <w:numId w:val="24"/>
        </w:numPr>
        <w:tabs>
          <w:tab w:pos="1000" w:val="left" w:leader="none"/>
          <w:tab w:pos="1001" w:val="left" w:leader="none"/>
        </w:tabs>
        <w:spacing w:line="240" w:lineRule="auto" w:before="174" w:after="0"/>
        <w:ind w:left="1000" w:right="0" w:hanging="339"/>
        <w:jc w:val="left"/>
        <w:rPr>
          <w:sz w:val="24"/>
        </w:rPr>
      </w:pPr>
      <w:r>
        <w:rPr>
          <w:sz w:val="24"/>
        </w:rPr>
        <w:t>Отсутствии самостоятельного дыхания</w:t>
      </w:r>
      <w:r>
        <w:rPr>
          <w:spacing w:val="-1"/>
          <w:sz w:val="24"/>
        </w:rPr>
        <w:t> </w:t>
      </w:r>
      <w:r>
        <w:rPr>
          <w:sz w:val="24"/>
        </w:rPr>
        <w:t>(апноэ);</w:t>
      </w:r>
    </w:p>
    <w:p>
      <w:pPr>
        <w:pStyle w:val="ListParagraph"/>
        <w:numPr>
          <w:ilvl w:val="1"/>
          <w:numId w:val="24"/>
        </w:numPr>
        <w:tabs>
          <w:tab w:pos="1000" w:val="left" w:leader="none"/>
          <w:tab w:pos="1001" w:val="left" w:leader="none"/>
        </w:tabs>
        <w:spacing w:line="304" w:lineRule="auto" w:before="80" w:after="0"/>
        <w:ind w:left="1000" w:right="678" w:hanging="339"/>
        <w:jc w:val="left"/>
        <w:rPr>
          <w:sz w:val="24"/>
        </w:rPr>
      </w:pPr>
      <w:r>
        <w:rPr>
          <w:sz w:val="24"/>
        </w:rPr>
        <w:t>Нестабильной гемодинамике (гипотензия, ишемия или инфаркт миокарда, жизнеугрожающая аритмия, неконтролируемая артериальная</w:t>
      </w:r>
      <w:r>
        <w:rPr>
          <w:spacing w:val="-6"/>
          <w:sz w:val="24"/>
        </w:rPr>
        <w:t> </w:t>
      </w:r>
      <w:r>
        <w:rPr>
          <w:sz w:val="24"/>
        </w:rPr>
        <w:t>гипертензия);</w:t>
      </w:r>
    </w:p>
    <w:p>
      <w:pPr>
        <w:pStyle w:val="ListParagraph"/>
        <w:numPr>
          <w:ilvl w:val="1"/>
          <w:numId w:val="24"/>
        </w:numPr>
        <w:tabs>
          <w:tab w:pos="1000" w:val="left" w:leader="none"/>
          <w:tab w:pos="1001" w:val="left" w:leader="none"/>
        </w:tabs>
        <w:spacing w:line="304" w:lineRule="auto" w:before="13" w:after="0"/>
        <w:ind w:left="1000" w:right="677" w:hanging="339"/>
        <w:jc w:val="left"/>
        <w:rPr>
          <w:sz w:val="24"/>
        </w:rPr>
      </w:pPr>
      <w:r>
        <w:rPr>
          <w:sz w:val="24"/>
        </w:rPr>
        <w:t>Невозможности  обеспечить  защиту  дыхательных  путей  (нарушение  кашля  и глотания) и высокий риск</w:t>
      </w:r>
      <w:r>
        <w:rPr>
          <w:spacing w:val="-4"/>
          <w:sz w:val="24"/>
        </w:rPr>
        <w:t> </w:t>
      </w:r>
      <w:r>
        <w:rPr>
          <w:sz w:val="24"/>
        </w:rPr>
        <w:t>аспирации;</w:t>
      </w:r>
    </w:p>
    <w:p>
      <w:pPr>
        <w:spacing w:after="0" w:line="304" w:lineRule="auto"/>
        <w:jc w:val="left"/>
        <w:rPr>
          <w:sz w:val="24"/>
        </w:rPr>
        <w:sectPr>
          <w:pgSz w:w="11920" w:h="16850"/>
          <w:pgMar w:header="0" w:footer="620" w:top="1060" w:bottom="880" w:left="1380" w:right="600"/>
        </w:sectPr>
      </w:pPr>
    </w:p>
    <w:p>
      <w:pPr>
        <w:pStyle w:val="ListParagraph"/>
        <w:numPr>
          <w:ilvl w:val="1"/>
          <w:numId w:val="24"/>
        </w:numPr>
        <w:tabs>
          <w:tab w:pos="1000" w:val="left" w:leader="none"/>
          <w:tab w:pos="1001" w:val="left" w:leader="none"/>
        </w:tabs>
        <w:spacing w:line="240" w:lineRule="auto" w:before="80" w:after="0"/>
        <w:ind w:left="1000" w:right="0" w:hanging="339"/>
        <w:jc w:val="left"/>
        <w:rPr>
          <w:sz w:val="24"/>
        </w:rPr>
      </w:pPr>
      <w:r>
        <w:rPr>
          <w:sz w:val="24"/>
        </w:rPr>
        <w:t>Избыточной бронхиальной</w:t>
      </w:r>
      <w:r>
        <w:rPr>
          <w:spacing w:val="1"/>
          <w:sz w:val="24"/>
        </w:rPr>
        <w:t> </w:t>
      </w:r>
      <w:r>
        <w:rPr>
          <w:sz w:val="24"/>
        </w:rPr>
        <w:t>секреции;</w:t>
      </w:r>
    </w:p>
    <w:p>
      <w:pPr>
        <w:pStyle w:val="ListParagraph"/>
        <w:numPr>
          <w:ilvl w:val="1"/>
          <w:numId w:val="24"/>
        </w:numPr>
        <w:tabs>
          <w:tab w:pos="1000" w:val="left" w:leader="none"/>
          <w:tab w:pos="1001" w:val="left" w:leader="none"/>
          <w:tab w:pos="2301" w:val="left" w:leader="none"/>
          <w:tab w:pos="3635" w:val="left" w:leader="none"/>
          <w:tab w:pos="4766" w:val="left" w:leader="none"/>
          <w:tab w:pos="6376" w:val="left" w:leader="none"/>
          <w:tab w:pos="6959" w:val="left" w:leader="none"/>
          <w:tab w:pos="8188" w:val="left" w:leader="none"/>
        </w:tabs>
        <w:spacing w:line="304" w:lineRule="auto" w:before="83" w:after="0"/>
        <w:ind w:left="1000" w:right="674" w:hanging="339"/>
        <w:jc w:val="left"/>
        <w:rPr>
          <w:sz w:val="24"/>
        </w:rPr>
      </w:pPr>
      <w:r>
        <w:rPr>
          <w:sz w:val="24"/>
        </w:rPr>
        <w:t>Признаках</w:t>
        <w:tab/>
        <w:t>нарушения</w:t>
        <w:tab/>
        <w:t>сознания</w:t>
        <w:tab/>
        <w:t>(возбуждение</w:t>
        <w:tab/>
        <w:t>или</w:t>
        <w:tab/>
        <w:t>угнетение</w:t>
        <w:tab/>
        <w:t>сознания), неспособности пациента к сотрудничеству;</w:t>
      </w:r>
    </w:p>
    <w:p>
      <w:pPr>
        <w:pStyle w:val="ListParagraph"/>
        <w:numPr>
          <w:ilvl w:val="1"/>
          <w:numId w:val="24"/>
        </w:numPr>
        <w:tabs>
          <w:tab w:pos="1000" w:val="left" w:leader="none"/>
          <w:tab w:pos="1001" w:val="left" w:leader="none"/>
        </w:tabs>
        <w:spacing w:line="304" w:lineRule="auto" w:before="10" w:after="0"/>
        <w:ind w:left="1000" w:right="678" w:hanging="339"/>
        <w:jc w:val="left"/>
        <w:rPr>
          <w:sz w:val="24"/>
        </w:rPr>
      </w:pPr>
      <w:r>
        <w:rPr>
          <w:sz w:val="24"/>
        </w:rPr>
        <w:t>Травме или ожоге лица, анатомических дефектах, препятствующих установке маски;</w:t>
      </w:r>
    </w:p>
    <w:p>
      <w:pPr>
        <w:pStyle w:val="ListParagraph"/>
        <w:numPr>
          <w:ilvl w:val="1"/>
          <w:numId w:val="24"/>
        </w:numPr>
        <w:tabs>
          <w:tab w:pos="1000" w:val="left" w:leader="none"/>
          <w:tab w:pos="1001" w:val="left" w:leader="none"/>
        </w:tabs>
        <w:spacing w:line="240" w:lineRule="auto" w:before="11" w:after="0"/>
        <w:ind w:left="1000" w:right="0" w:hanging="339"/>
        <w:jc w:val="left"/>
        <w:rPr>
          <w:sz w:val="24"/>
        </w:rPr>
      </w:pPr>
      <w:r>
        <w:rPr>
          <w:sz w:val="24"/>
        </w:rPr>
        <w:t>Неспособности пациента убрать маску с лица в случае</w:t>
      </w:r>
      <w:r>
        <w:rPr>
          <w:spacing w:val="-6"/>
          <w:sz w:val="24"/>
        </w:rPr>
        <w:t> </w:t>
      </w:r>
      <w:r>
        <w:rPr>
          <w:sz w:val="24"/>
        </w:rPr>
        <w:t>рвоты;</w:t>
      </w:r>
    </w:p>
    <w:p>
      <w:pPr>
        <w:pStyle w:val="ListParagraph"/>
        <w:numPr>
          <w:ilvl w:val="1"/>
          <w:numId w:val="24"/>
        </w:numPr>
        <w:tabs>
          <w:tab w:pos="1000" w:val="left" w:leader="none"/>
          <w:tab w:pos="1001" w:val="left" w:leader="none"/>
        </w:tabs>
        <w:spacing w:line="240" w:lineRule="auto" w:before="83" w:after="0"/>
        <w:ind w:left="1000" w:right="0" w:hanging="339"/>
        <w:jc w:val="left"/>
        <w:rPr>
          <w:sz w:val="24"/>
        </w:rPr>
      </w:pPr>
      <w:r>
        <w:rPr>
          <w:sz w:val="24"/>
        </w:rPr>
        <w:t>Активном кровотечении из желудочно-кишечного тракта;</w:t>
      </w:r>
    </w:p>
    <w:p>
      <w:pPr>
        <w:pStyle w:val="ListParagraph"/>
        <w:numPr>
          <w:ilvl w:val="1"/>
          <w:numId w:val="24"/>
        </w:numPr>
        <w:tabs>
          <w:tab w:pos="1000" w:val="left" w:leader="none"/>
          <w:tab w:pos="1001" w:val="left" w:leader="none"/>
        </w:tabs>
        <w:spacing w:line="240" w:lineRule="auto" w:before="80" w:after="0"/>
        <w:ind w:left="1000" w:right="0" w:hanging="339"/>
        <w:jc w:val="left"/>
        <w:rPr>
          <w:sz w:val="24"/>
        </w:rPr>
      </w:pPr>
      <w:r>
        <w:rPr>
          <w:sz w:val="24"/>
        </w:rPr>
        <w:t>Обструкции верхних дыхательных</w:t>
      </w:r>
      <w:r>
        <w:rPr>
          <w:spacing w:val="1"/>
          <w:sz w:val="24"/>
        </w:rPr>
        <w:t> </w:t>
      </w:r>
      <w:r>
        <w:rPr>
          <w:sz w:val="24"/>
        </w:rPr>
        <w:t>путей;</w:t>
      </w:r>
    </w:p>
    <w:p>
      <w:pPr>
        <w:pStyle w:val="ListParagraph"/>
        <w:numPr>
          <w:ilvl w:val="1"/>
          <w:numId w:val="24"/>
        </w:numPr>
        <w:tabs>
          <w:tab w:pos="1000" w:val="left" w:leader="none"/>
          <w:tab w:pos="1001" w:val="left" w:leader="none"/>
        </w:tabs>
        <w:spacing w:line="240" w:lineRule="auto" w:before="83" w:after="0"/>
        <w:ind w:left="1000" w:right="0" w:hanging="339"/>
        <w:jc w:val="left"/>
        <w:rPr>
          <w:sz w:val="24"/>
        </w:rPr>
      </w:pPr>
      <w:r>
        <w:rPr>
          <w:sz w:val="24"/>
        </w:rPr>
        <w:t>Дискомфорте от</w:t>
      </w:r>
      <w:r>
        <w:rPr>
          <w:spacing w:val="-2"/>
          <w:sz w:val="24"/>
        </w:rPr>
        <w:t> </w:t>
      </w:r>
      <w:r>
        <w:rPr>
          <w:sz w:val="24"/>
        </w:rPr>
        <w:t>маски.</w:t>
      </w:r>
    </w:p>
    <w:p>
      <w:pPr>
        <w:pStyle w:val="BodyText"/>
        <w:ind w:left="0"/>
        <w:jc w:val="left"/>
        <w:rPr>
          <w:sz w:val="28"/>
        </w:rPr>
      </w:pPr>
    </w:p>
    <w:p>
      <w:pPr>
        <w:pStyle w:val="BodyText"/>
        <w:spacing w:before="2"/>
        <w:ind w:left="0"/>
        <w:jc w:val="left"/>
        <w:rPr>
          <w:sz w:val="32"/>
        </w:rPr>
      </w:pPr>
    </w:p>
    <w:p>
      <w:pPr>
        <w:pStyle w:val="Heading3"/>
        <w:spacing w:before="1"/>
      </w:pPr>
      <w:bookmarkStart w:name="Терапия гелий-кислородными газовыми смес" w:id="76"/>
      <w:bookmarkEnd w:id="76"/>
      <w:r>
        <w:rPr>
          <w:b w:val="0"/>
        </w:rPr>
      </w:r>
      <w:r>
        <w:rPr>
          <w:color w:val="1F487C"/>
        </w:rPr>
        <w:t>Терапия гелий-кислородными газовыми смесями</w:t>
      </w:r>
    </w:p>
    <w:p>
      <w:pPr>
        <w:pStyle w:val="BodyText"/>
        <w:spacing w:line="312" w:lineRule="auto" w:before="141"/>
        <w:ind w:right="674" w:firstLine="708"/>
      </w:pPr>
      <w:r>
        <w:rPr/>
        <w:t>В настоящее время изучается эффективность подогреваемой кислородно- гелиевой смеси гелиокс (70% гелий/30% кислород) в комплексной интенсивной терапии больных на начальных стадиях гипоксемии при COVID-19 для улучшения аэрации участков легких с нарушенной бронхиальной проходимостью.</w:t>
      </w:r>
    </w:p>
    <w:p>
      <w:pPr>
        <w:pStyle w:val="BodyText"/>
        <w:spacing w:line="312" w:lineRule="auto"/>
        <w:ind w:right="674" w:firstLine="708"/>
      </w:pPr>
      <w:r>
        <w:rPr/>
        <w:t>Терапия гелий-кислородными газовыми смесями проводится с помощью специальных аппаратов, обеспечивающих эффективную и безопасную ингаляцию термической гелий-кислородной смесью, позволяющих изменять процентное соотношение гелия  и  кислорода,  а  также  температуры  в  любой  момент  времени  в течение одной процедуры. Аппарат позволяет создавать однородную гелий- кислородную смесь, многократно изменять и мониторировать процентное содержание гелия и кислорода, температуру ингалируемой газовой смеси во время одной процедуры с целью определения наиболее эффективного режима для каждого пациента, обеспечивать во время процедуры соответствие фактического состава гелия, кислорода и температуры заданным параметрам, мониторировать во время процедуры необходимые параметры (дыхательный объем, частоту дыхания, сатурацию), формировать равномерный ламинарный поток газовой смеси, подавать необходимые фармпрепараты через небулайзер встроенный в дыхательный</w:t>
      </w:r>
      <w:r>
        <w:rPr>
          <w:spacing w:val="-9"/>
        </w:rPr>
        <w:t> </w:t>
      </w:r>
      <w:r>
        <w:rPr/>
        <w:t>контур.</w:t>
      </w:r>
    </w:p>
    <w:p>
      <w:pPr>
        <w:pStyle w:val="BodyText"/>
        <w:spacing w:line="312" w:lineRule="auto"/>
        <w:ind w:right="673" w:firstLine="708"/>
      </w:pPr>
      <w:r>
        <w:rPr/>
        <w:t>Следует отметить, что ограничивает такую терапию невозможность создания </w:t>
      </w:r>
      <w:r>
        <w:rPr>
          <w:position w:val="2"/>
        </w:rPr>
        <w:t>FiO</w:t>
      </w:r>
      <w:r>
        <w:rPr>
          <w:sz w:val="16"/>
        </w:rPr>
        <w:t>2 </w:t>
      </w:r>
      <w:r>
        <w:rPr>
          <w:position w:val="2"/>
        </w:rPr>
        <w:t>выше 30%, так как терапия гелием эффективна только при концентрациях, </w:t>
      </w:r>
      <w:r>
        <w:rPr/>
        <w:t>превышающих 70%.</w:t>
      </w:r>
    </w:p>
    <w:p>
      <w:pPr>
        <w:pStyle w:val="BodyText"/>
        <w:spacing w:before="8"/>
        <w:ind w:left="0"/>
        <w:jc w:val="left"/>
        <w:rPr>
          <w:sz w:val="20"/>
        </w:rPr>
      </w:pPr>
    </w:p>
    <w:p>
      <w:pPr>
        <w:pStyle w:val="Heading3"/>
        <w:jc w:val="left"/>
      </w:pPr>
      <w:bookmarkStart w:name="Показания для интубации трахеи (достаточ" w:id="77"/>
      <w:bookmarkEnd w:id="77"/>
      <w:r>
        <w:rPr>
          <w:b w:val="0"/>
        </w:rPr>
      </w:r>
      <w:r>
        <w:rPr>
          <w:color w:val="1F487C"/>
        </w:rPr>
        <w:t>Показания для интубации трахеи (достаточно одного критерия):</w:t>
      </w:r>
    </w:p>
    <w:p>
      <w:pPr>
        <w:pStyle w:val="ListParagraph"/>
        <w:numPr>
          <w:ilvl w:val="2"/>
          <w:numId w:val="24"/>
        </w:numPr>
        <w:tabs>
          <w:tab w:pos="1316" w:val="left" w:leader="none"/>
        </w:tabs>
        <w:spacing w:line="304" w:lineRule="auto" w:before="143" w:after="0"/>
        <w:ind w:left="604" w:right="910" w:firstLine="424"/>
        <w:jc w:val="left"/>
        <w:rPr>
          <w:sz w:val="24"/>
        </w:rPr>
      </w:pPr>
      <w:r>
        <w:rPr>
          <w:position w:val="2"/>
          <w:sz w:val="24"/>
        </w:rPr>
        <w:t>Гипоксемия (SpO</w:t>
      </w:r>
      <w:r>
        <w:rPr>
          <w:sz w:val="16"/>
        </w:rPr>
        <w:t>2 </w:t>
      </w:r>
      <w:r>
        <w:rPr>
          <w:position w:val="2"/>
          <w:sz w:val="24"/>
        </w:rPr>
        <w:t>&lt; 92%), несмотря на высокопоточную оксигенотерапию или НИВЛ в положении лежа на животе с FiO</w:t>
      </w:r>
      <w:r>
        <w:rPr>
          <w:sz w:val="16"/>
        </w:rPr>
        <w:t>2</w:t>
      </w:r>
      <w:r>
        <w:rPr>
          <w:spacing w:val="16"/>
          <w:sz w:val="16"/>
        </w:rPr>
        <w:t> </w:t>
      </w:r>
      <w:r>
        <w:rPr>
          <w:position w:val="2"/>
          <w:sz w:val="24"/>
        </w:rPr>
        <w:t>100%;</w:t>
      </w:r>
    </w:p>
    <w:p>
      <w:pPr>
        <w:pStyle w:val="ListParagraph"/>
        <w:numPr>
          <w:ilvl w:val="2"/>
          <w:numId w:val="24"/>
        </w:numPr>
        <w:tabs>
          <w:tab w:pos="1316" w:val="left" w:leader="none"/>
        </w:tabs>
        <w:spacing w:line="240" w:lineRule="auto" w:before="6" w:after="0"/>
        <w:ind w:left="1315" w:right="0" w:hanging="287"/>
        <w:jc w:val="left"/>
        <w:rPr>
          <w:sz w:val="24"/>
        </w:rPr>
      </w:pPr>
      <w:r>
        <w:rPr>
          <w:position w:val="2"/>
          <w:sz w:val="24"/>
        </w:rPr>
        <w:t>Усталость пациента на фоне ВПО или НИВЛ в прон-позиции с FiO</w:t>
      </w:r>
      <w:r>
        <w:rPr>
          <w:sz w:val="16"/>
        </w:rPr>
        <w:t>2</w:t>
      </w:r>
      <w:r>
        <w:rPr>
          <w:spacing w:val="13"/>
          <w:sz w:val="16"/>
        </w:rPr>
        <w:t> </w:t>
      </w:r>
      <w:r>
        <w:rPr>
          <w:position w:val="2"/>
          <w:sz w:val="24"/>
        </w:rPr>
        <w:t>100%;</w:t>
      </w:r>
    </w:p>
    <w:p>
      <w:pPr>
        <w:spacing w:after="0" w:line="240" w:lineRule="auto"/>
        <w:jc w:val="left"/>
        <w:rPr>
          <w:sz w:val="24"/>
        </w:rPr>
        <w:sectPr>
          <w:pgSz w:w="11920" w:h="16850"/>
          <w:pgMar w:header="0" w:footer="620" w:top="1060" w:bottom="880" w:left="1380" w:right="600"/>
        </w:sectPr>
      </w:pPr>
    </w:p>
    <w:p>
      <w:pPr>
        <w:pStyle w:val="ListParagraph"/>
        <w:numPr>
          <w:ilvl w:val="2"/>
          <w:numId w:val="24"/>
        </w:numPr>
        <w:tabs>
          <w:tab w:pos="1316" w:val="left" w:leader="none"/>
        </w:tabs>
        <w:spacing w:line="307" w:lineRule="auto" w:before="80" w:after="0"/>
        <w:ind w:left="604" w:right="944" w:firstLine="424"/>
        <w:jc w:val="left"/>
        <w:rPr>
          <w:sz w:val="24"/>
        </w:rPr>
      </w:pPr>
      <w:r>
        <w:rPr>
          <w:sz w:val="24"/>
        </w:rPr>
        <w:t>Нарастание видимых экскурсий грудной клетки и/или участие вспомогательных дыхательных мышц, несмотря на ВПО или НИВЛ в положении</w:t>
      </w:r>
      <w:r>
        <w:rPr>
          <w:position w:val="2"/>
          <w:sz w:val="24"/>
        </w:rPr>
        <w:t> лежа на животе с FiO</w:t>
      </w:r>
      <w:r>
        <w:rPr>
          <w:sz w:val="16"/>
        </w:rPr>
        <w:t>2</w:t>
      </w:r>
      <w:r>
        <w:rPr>
          <w:spacing w:val="18"/>
          <w:sz w:val="16"/>
        </w:rPr>
        <w:t> </w:t>
      </w:r>
      <w:r>
        <w:rPr>
          <w:position w:val="2"/>
          <w:sz w:val="24"/>
        </w:rPr>
        <w:t>100%;</w:t>
      </w:r>
    </w:p>
    <w:p>
      <w:pPr>
        <w:pStyle w:val="ListParagraph"/>
        <w:numPr>
          <w:ilvl w:val="2"/>
          <w:numId w:val="24"/>
        </w:numPr>
        <w:tabs>
          <w:tab w:pos="1316" w:val="left" w:leader="none"/>
        </w:tabs>
        <w:spacing w:line="240" w:lineRule="auto" w:before="9" w:after="0"/>
        <w:ind w:left="1315" w:right="0" w:hanging="287"/>
        <w:jc w:val="left"/>
        <w:rPr>
          <w:sz w:val="24"/>
        </w:rPr>
      </w:pPr>
      <w:r>
        <w:rPr>
          <w:sz w:val="24"/>
        </w:rPr>
        <w:t>Угнетение сознания или</w:t>
      </w:r>
      <w:r>
        <w:rPr>
          <w:spacing w:val="-1"/>
          <w:sz w:val="24"/>
        </w:rPr>
        <w:t> </w:t>
      </w:r>
      <w:r>
        <w:rPr>
          <w:sz w:val="24"/>
        </w:rPr>
        <w:t>возбуждение;</w:t>
      </w:r>
    </w:p>
    <w:p>
      <w:pPr>
        <w:pStyle w:val="ListParagraph"/>
        <w:numPr>
          <w:ilvl w:val="2"/>
          <w:numId w:val="24"/>
        </w:numPr>
        <w:tabs>
          <w:tab w:pos="1316" w:val="left" w:leader="none"/>
        </w:tabs>
        <w:spacing w:line="240" w:lineRule="auto" w:before="80" w:after="0"/>
        <w:ind w:left="1315" w:right="0" w:hanging="287"/>
        <w:jc w:val="left"/>
        <w:rPr>
          <w:sz w:val="24"/>
        </w:rPr>
      </w:pPr>
      <w:r>
        <w:rPr>
          <w:sz w:val="24"/>
        </w:rPr>
        <w:t>Остановка</w:t>
      </w:r>
      <w:r>
        <w:rPr>
          <w:spacing w:val="-1"/>
          <w:sz w:val="24"/>
        </w:rPr>
        <w:t> </w:t>
      </w:r>
      <w:r>
        <w:rPr>
          <w:sz w:val="24"/>
        </w:rPr>
        <w:t>дыхания;</w:t>
      </w:r>
    </w:p>
    <w:p>
      <w:pPr>
        <w:pStyle w:val="ListParagraph"/>
        <w:numPr>
          <w:ilvl w:val="2"/>
          <w:numId w:val="24"/>
        </w:numPr>
        <w:tabs>
          <w:tab w:pos="1316" w:val="left" w:leader="none"/>
        </w:tabs>
        <w:spacing w:line="240" w:lineRule="auto" w:before="83" w:after="0"/>
        <w:ind w:left="1315" w:right="0" w:hanging="287"/>
        <w:jc w:val="left"/>
        <w:rPr>
          <w:sz w:val="24"/>
        </w:rPr>
      </w:pPr>
      <w:r>
        <w:rPr>
          <w:sz w:val="24"/>
        </w:rPr>
        <w:t>Нестабильная</w:t>
      </w:r>
      <w:r>
        <w:rPr>
          <w:spacing w:val="-2"/>
          <w:sz w:val="24"/>
        </w:rPr>
        <w:t> </w:t>
      </w:r>
      <w:r>
        <w:rPr>
          <w:sz w:val="24"/>
        </w:rPr>
        <w:t>гемодинамика.</w:t>
      </w:r>
    </w:p>
    <w:p>
      <w:pPr>
        <w:pStyle w:val="BodyText"/>
        <w:spacing w:before="10"/>
        <w:ind w:left="0"/>
        <w:jc w:val="left"/>
        <w:rPr>
          <w:sz w:val="27"/>
        </w:rPr>
      </w:pPr>
    </w:p>
    <w:p>
      <w:pPr>
        <w:pStyle w:val="Heading3"/>
      </w:pPr>
      <w:bookmarkStart w:name="Прон-позиция и положение лежа на боку у " w:id="78"/>
      <w:bookmarkEnd w:id="78"/>
      <w:r>
        <w:rPr>
          <w:b w:val="0"/>
        </w:rPr>
      </w:r>
      <w:r>
        <w:rPr>
          <w:color w:val="1F487C"/>
        </w:rPr>
        <w:t>Прон-позиция и положение лежа на боку у неинтубированных пациентов</w:t>
      </w:r>
    </w:p>
    <w:p>
      <w:pPr>
        <w:pStyle w:val="BodyText"/>
        <w:spacing w:line="312" w:lineRule="auto" w:before="142"/>
        <w:ind w:right="675" w:firstLine="708"/>
      </w:pPr>
      <w:r>
        <w:rPr/>
        <w:t>У пациентов с COVID-19 формируются ателектазы в дорсальных отделках легких, в связи с чем самостоятельная прон-позиция (положение лежа на животе) высокоэффективна и у неинтубированных пациентов, которые получают кислородотерапию или НИВЛ. Прон-позиция проводится не реже </w:t>
      </w:r>
      <w:r>
        <w:rPr>
          <w:spacing w:val="-3"/>
        </w:rPr>
        <w:t>двух </w:t>
      </w:r>
      <w:r>
        <w:rPr/>
        <w:t>раз в сутки (оптимально</w:t>
      </w:r>
      <w:r>
        <w:rPr>
          <w:spacing w:val="-13"/>
        </w:rPr>
        <w:t> </w:t>
      </w:r>
      <w:r>
        <w:rPr/>
        <w:t>общее</w:t>
      </w:r>
      <w:r>
        <w:rPr>
          <w:spacing w:val="-14"/>
        </w:rPr>
        <w:t> </w:t>
      </w:r>
      <w:r>
        <w:rPr/>
        <w:t>время</w:t>
      </w:r>
      <w:r>
        <w:rPr>
          <w:spacing w:val="-13"/>
        </w:rPr>
        <w:t> </w:t>
      </w:r>
      <w:r>
        <w:rPr/>
        <w:t>на</w:t>
      </w:r>
      <w:r>
        <w:rPr>
          <w:spacing w:val="-14"/>
        </w:rPr>
        <w:t> </w:t>
      </w:r>
      <w:r>
        <w:rPr/>
        <w:t>животе</w:t>
      </w:r>
      <w:r>
        <w:rPr>
          <w:spacing w:val="-14"/>
        </w:rPr>
        <w:t> </w:t>
      </w:r>
      <w:r>
        <w:rPr/>
        <w:t>12-16</w:t>
      </w:r>
      <w:r>
        <w:rPr>
          <w:spacing w:val="-13"/>
        </w:rPr>
        <w:t> </w:t>
      </w:r>
      <w:r>
        <w:rPr/>
        <w:t>ч</w:t>
      </w:r>
      <w:r>
        <w:rPr>
          <w:spacing w:val="-14"/>
        </w:rPr>
        <w:t> </w:t>
      </w:r>
      <w:r>
        <w:rPr/>
        <w:t>в</w:t>
      </w:r>
      <w:r>
        <w:rPr>
          <w:spacing w:val="-12"/>
        </w:rPr>
        <w:t> </w:t>
      </w:r>
      <w:r>
        <w:rPr/>
        <w:t>сутки).</w:t>
      </w:r>
      <w:r>
        <w:rPr>
          <w:spacing w:val="-13"/>
        </w:rPr>
        <w:t> </w:t>
      </w:r>
      <w:r>
        <w:rPr/>
        <w:t>Раннее</w:t>
      </w:r>
      <w:r>
        <w:rPr>
          <w:spacing w:val="-14"/>
        </w:rPr>
        <w:t> </w:t>
      </w:r>
      <w:r>
        <w:rPr/>
        <w:t>применение</w:t>
      </w:r>
      <w:r>
        <w:rPr>
          <w:spacing w:val="-14"/>
        </w:rPr>
        <w:t> </w:t>
      </w:r>
      <w:r>
        <w:rPr/>
        <w:t>прон-позиции в сочетании с кислородотерапией или с НИВЛ помогает избежать интубации у многих пациентов.</w:t>
      </w:r>
    </w:p>
    <w:p>
      <w:pPr>
        <w:pStyle w:val="BodyText"/>
        <w:spacing w:before="2"/>
        <w:ind w:left="0"/>
        <w:jc w:val="left"/>
        <w:rPr>
          <w:sz w:val="31"/>
        </w:rPr>
      </w:pPr>
    </w:p>
    <w:p>
      <w:pPr>
        <w:pStyle w:val="BodyText"/>
        <w:spacing w:before="1"/>
        <w:ind w:left="1029"/>
        <w:jc w:val="left"/>
      </w:pPr>
      <w:r>
        <w:rPr>
          <w:color w:val="1F487C"/>
        </w:rPr>
        <w:t>Основные механизмы действия прон-позиции:</w:t>
      </w:r>
    </w:p>
    <w:p>
      <w:pPr>
        <w:pStyle w:val="ListParagraph"/>
        <w:numPr>
          <w:ilvl w:val="1"/>
          <w:numId w:val="24"/>
        </w:numPr>
        <w:tabs>
          <w:tab w:pos="1000" w:val="left" w:leader="none"/>
          <w:tab w:pos="1001" w:val="left" w:leader="none"/>
        </w:tabs>
        <w:spacing w:line="240" w:lineRule="auto" w:before="83" w:after="0"/>
        <w:ind w:left="1000" w:right="0" w:hanging="339"/>
        <w:jc w:val="left"/>
        <w:rPr>
          <w:sz w:val="24"/>
        </w:rPr>
      </w:pPr>
      <w:r>
        <w:rPr>
          <w:sz w:val="24"/>
        </w:rPr>
        <w:t>Расправление гравитационно-зависимых ателектазов;</w:t>
      </w:r>
    </w:p>
    <w:p>
      <w:pPr>
        <w:pStyle w:val="ListParagraph"/>
        <w:numPr>
          <w:ilvl w:val="1"/>
          <w:numId w:val="24"/>
        </w:numPr>
        <w:tabs>
          <w:tab w:pos="1000" w:val="left" w:leader="none"/>
          <w:tab w:pos="1001" w:val="left" w:leader="none"/>
        </w:tabs>
        <w:spacing w:line="240" w:lineRule="auto" w:before="83" w:after="0"/>
        <w:ind w:left="1000" w:right="0" w:hanging="339"/>
        <w:jc w:val="left"/>
        <w:rPr>
          <w:sz w:val="24"/>
        </w:rPr>
      </w:pPr>
      <w:r>
        <w:rPr>
          <w:sz w:val="24"/>
        </w:rPr>
        <w:t>Улучшение вентиляционно-перфузионных соотношений;</w:t>
      </w:r>
    </w:p>
    <w:p>
      <w:pPr>
        <w:pStyle w:val="ListParagraph"/>
        <w:numPr>
          <w:ilvl w:val="1"/>
          <w:numId w:val="24"/>
        </w:numPr>
        <w:tabs>
          <w:tab w:pos="1000" w:val="left" w:leader="none"/>
          <w:tab w:pos="1001" w:val="left" w:leader="none"/>
        </w:tabs>
        <w:spacing w:line="240" w:lineRule="auto" w:before="80" w:after="0"/>
        <w:ind w:left="1000" w:right="0" w:hanging="339"/>
        <w:jc w:val="left"/>
        <w:rPr>
          <w:sz w:val="24"/>
        </w:rPr>
      </w:pPr>
      <w:r>
        <w:rPr>
          <w:sz w:val="24"/>
        </w:rPr>
        <w:t>Улучшение дренажа секрета дыхательных</w:t>
      </w:r>
      <w:r>
        <w:rPr>
          <w:spacing w:val="-5"/>
          <w:sz w:val="24"/>
        </w:rPr>
        <w:t> </w:t>
      </w:r>
      <w:r>
        <w:rPr>
          <w:sz w:val="24"/>
        </w:rPr>
        <w:t>путей;</w:t>
      </w:r>
    </w:p>
    <w:p>
      <w:pPr>
        <w:pStyle w:val="ListParagraph"/>
        <w:numPr>
          <w:ilvl w:val="1"/>
          <w:numId w:val="24"/>
        </w:numPr>
        <w:tabs>
          <w:tab w:pos="1000" w:val="left" w:leader="none"/>
          <w:tab w:pos="1001" w:val="left" w:leader="none"/>
        </w:tabs>
        <w:spacing w:line="240" w:lineRule="auto" w:before="83" w:after="0"/>
        <w:ind w:left="1000" w:right="0" w:hanging="339"/>
        <w:jc w:val="left"/>
        <w:rPr>
          <w:sz w:val="24"/>
        </w:rPr>
      </w:pPr>
      <w:r>
        <w:rPr>
          <w:sz w:val="24"/>
        </w:rPr>
        <w:t>На фоне СРАР вентиляция распределяется более</w:t>
      </w:r>
      <w:r>
        <w:rPr>
          <w:spacing w:val="-5"/>
          <w:sz w:val="24"/>
        </w:rPr>
        <w:t> </w:t>
      </w:r>
      <w:r>
        <w:rPr>
          <w:sz w:val="24"/>
        </w:rPr>
        <w:t>равномерно.</w:t>
      </w:r>
    </w:p>
    <w:p>
      <w:pPr>
        <w:pStyle w:val="BodyText"/>
        <w:spacing w:before="4"/>
        <w:ind w:left="0"/>
        <w:jc w:val="left"/>
        <w:rPr>
          <w:sz w:val="39"/>
        </w:rPr>
      </w:pPr>
    </w:p>
    <w:p>
      <w:pPr>
        <w:pStyle w:val="BodyText"/>
        <w:ind w:left="1029"/>
        <w:jc w:val="left"/>
      </w:pPr>
      <w:r>
        <w:rPr>
          <w:color w:val="1F487C"/>
        </w:rPr>
        <w:t>Противопоказания к самостоятельной прон-позиции:</w:t>
      </w:r>
    </w:p>
    <w:p>
      <w:pPr>
        <w:pStyle w:val="ListParagraph"/>
        <w:numPr>
          <w:ilvl w:val="1"/>
          <w:numId w:val="24"/>
        </w:numPr>
        <w:tabs>
          <w:tab w:pos="1000" w:val="left" w:leader="none"/>
          <w:tab w:pos="1001" w:val="left" w:leader="none"/>
        </w:tabs>
        <w:spacing w:line="240" w:lineRule="auto" w:before="86" w:after="0"/>
        <w:ind w:left="1000" w:right="0" w:hanging="339"/>
        <w:jc w:val="left"/>
        <w:rPr>
          <w:sz w:val="24"/>
        </w:rPr>
      </w:pPr>
      <w:r>
        <w:rPr>
          <w:sz w:val="24"/>
        </w:rPr>
        <w:t>Нарушение сознания (угнетение или</w:t>
      </w:r>
      <w:r>
        <w:rPr>
          <w:spacing w:val="-3"/>
          <w:sz w:val="24"/>
        </w:rPr>
        <w:t> </w:t>
      </w:r>
      <w:r>
        <w:rPr>
          <w:sz w:val="24"/>
        </w:rPr>
        <w:t>ажитация);</w:t>
      </w:r>
    </w:p>
    <w:p>
      <w:pPr>
        <w:pStyle w:val="ListParagraph"/>
        <w:numPr>
          <w:ilvl w:val="1"/>
          <w:numId w:val="24"/>
        </w:numPr>
        <w:tabs>
          <w:tab w:pos="1000" w:val="left" w:leader="none"/>
          <w:tab w:pos="1001" w:val="left" w:leader="none"/>
        </w:tabs>
        <w:spacing w:line="240" w:lineRule="auto" w:before="81" w:after="0"/>
        <w:ind w:left="1000" w:right="0" w:hanging="339"/>
        <w:jc w:val="left"/>
        <w:rPr>
          <w:sz w:val="24"/>
        </w:rPr>
      </w:pPr>
      <w:r>
        <w:rPr>
          <w:sz w:val="24"/>
        </w:rPr>
        <w:t>Гипотензия;</w:t>
      </w:r>
    </w:p>
    <w:p>
      <w:pPr>
        <w:pStyle w:val="ListParagraph"/>
        <w:numPr>
          <w:ilvl w:val="1"/>
          <w:numId w:val="24"/>
        </w:numPr>
        <w:tabs>
          <w:tab w:pos="1000" w:val="left" w:leader="none"/>
          <w:tab w:pos="1001" w:val="left" w:leader="none"/>
        </w:tabs>
        <w:spacing w:line="240" w:lineRule="auto" w:before="83" w:after="0"/>
        <w:ind w:left="1000" w:right="0" w:hanging="339"/>
        <w:jc w:val="left"/>
        <w:rPr>
          <w:sz w:val="24"/>
        </w:rPr>
      </w:pPr>
      <w:r>
        <w:rPr>
          <w:sz w:val="24"/>
        </w:rPr>
        <w:t>Недавняя операция на брюшной или грудной</w:t>
      </w:r>
      <w:r>
        <w:rPr>
          <w:spacing w:val="-3"/>
          <w:sz w:val="24"/>
        </w:rPr>
        <w:t> </w:t>
      </w:r>
      <w:r>
        <w:rPr>
          <w:sz w:val="24"/>
        </w:rPr>
        <w:t>полостях;</w:t>
      </w:r>
    </w:p>
    <w:p>
      <w:pPr>
        <w:pStyle w:val="ListParagraph"/>
        <w:numPr>
          <w:ilvl w:val="1"/>
          <w:numId w:val="24"/>
        </w:numPr>
        <w:tabs>
          <w:tab w:pos="1000" w:val="left" w:leader="none"/>
          <w:tab w:pos="1001" w:val="left" w:leader="none"/>
        </w:tabs>
        <w:spacing w:line="240" w:lineRule="auto" w:before="82" w:after="0"/>
        <w:ind w:left="1000" w:right="0" w:hanging="339"/>
        <w:jc w:val="left"/>
        <w:rPr>
          <w:sz w:val="24"/>
        </w:rPr>
      </w:pPr>
      <w:r>
        <w:rPr>
          <w:sz w:val="24"/>
        </w:rPr>
        <w:t>Выраженное</w:t>
      </w:r>
      <w:r>
        <w:rPr>
          <w:spacing w:val="-2"/>
          <w:sz w:val="24"/>
        </w:rPr>
        <w:t> </w:t>
      </w:r>
      <w:r>
        <w:rPr>
          <w:sz w:val="24"/>
        </w:rPr>
        <w:t>ожирение;</w:t>
      </w:r>
    </w:p>
    <w:p>
      <w:pPr>
        <w:pStyle w:val="ListParagraph"/>
        <w:numPr>
          <w:ilvl w:val="1"/>
          <w:numId w:val="24"/>
        </w:numPr>
        <w:tabs>
          <w:tab w:pos="1000" w:val="left" w:leader="none"/>
          <w:tab w:pos="1001" w:val="left" w:leader="none"/>
        </w:tabs>
        <w:spacing w:line="240" w:lineRule="auto" w:before="81" w:after="0"/>
        <w:ind w:left="1000" w:right="0" w:hanging="339"/>
        <w:jc w:val="left"/>
        <w:rPr>
          <w:sz w:val="24"/>
        </w:rPr>
      </w:pPr>
      <w:r>
        <w:rPr>
          <w:sz w:val="24"/>
        </w:rPr>
        <w:t>Массивное</w:t>
      </w:r>
      <w:r>
        <w:rPr>
          <w:spacing w:val="-2"/>
          <w:sz w:val="24"/>
        </w:rPr>
        <w:t> </w:t>
      </w:r>
      <w:r>
        <w:rPr>
          <w:sz w:val="24"/>
        </w:rPr>
        <w:t>кровотечение;</w:t>
      </w:r>
    </w:p>
    <w:p>
      <w:pPr>
        <w:pStyle w:val="ListParagraph"/>
        <w:numPr>
          <w:ilvl w:val="1"/>
          <w:numId w:val="24"/>
        </w:numPr>
        <w:tabs>
          <w:tab w:pos="1000" w:val="left" w:leader="none"/>
          <w:tab w:pos="1001" w:val="left" w:leader="none"/>
        </w:tabs>
        <w:spacing w:line="240" w:lineRule="auto" w:before="82" w:after="0"/>
        <w:ind w:left="1000" w:right="0" w:hanging="339"/>
        <w:jc w:val="left"/>
        <w:rPr>
          <w:sz w:val="24"/>
        </w:rPr>
      </w:pPr>
      <w:r>
        <w:rPr>
          <w:sz w:val="24"/>
        </w:rPr>
        <w:t>Повреждения спинного</w:t>
      </w:r>
      <w:r>
        <w:rPr>
          <w:spacing w:val="-5"/>
          <w:sz w:val="24"/>
        </w:rPr>
        <w:t> </w:t>
      </w:r>
      <w:r>
        <w:rPr>
          <w:sz w:val="24"/>
        </w:rPr>
        <w:t>мозга;</w:t>
      </w:r>
    </w:p>
    <w:p>
      <w:pPr>
        <w:pStyle w:val="ListParagraph"/>
        <w:numPr>
          <w:ilvl w:val="1"/>
          <w:numId w:val="24"/>
        </w:numPr>
        <w:tabs>
          <w:tab w:pos="1000" w:val="left" w:leader="none"/>
          <w:tab w:pos="1001" w:val="left" w:leader="none"/>
        </w:tabs>
        <w:spacing w:line="240" w:lineRule="auto" w:before="83" w:after="0"/>
        <w:ind w:left="1000" w:right="0" w:hanging="339"/>
        <w:jc w:val="left"/>
        <w:rPr>
          <w:sz w:val="24"/>
        </w:rPr>
      </w:pPr>
      <w:r>
        <w:rPr>
          <w:sz w:val="24"/>
        </w:rPr>
        <w:t>Нарушения ритма, могущие потребовать дефибрилляции и/или массажа</w:t>
      </w:r>
      <w:r>
        <w:rPr>
          <w:spacing w:val="-10"/>
          <w:sz w:val="24"/>
        </w:rPr>
        <w:t> </w:t>
      </w:r>
      <w:r>
        <w:rPr>
          <w:sz w:val="24"/>
        </w:rPr>
        <w:t>сердца.</w:t>
      </w:r>
    </w:p>
    <w:p>
      <w:pPr>
        <w:pStyle w:val="BodyText"/>
        <w:spacing w:before="4"/>
        <w:ind w:left="0"/>
        <w:jc w:val="left"/>
        <w:rPr>
          <w:sz w:val="39"/>
        </w:rPr>
      </w:pPr>
    </w:p>
    <w:p>
      <w:pPr>
        <w:pStyle w:val="BodyText"/>
        <w:spacing w:line="312" w:lineRule="auto" w:before="1"/>
        <w:ind w:right="676" w:firstLine="708"/>
      </w:pPr>
      <w:r>
        <w:rPr/>
        <w:t>У</w:t>
      </w:r>
      <w:r>
        <w:rPr>
          <w:spacing w:val="-8"/>
        </w:rPr>
        <w:t> </w:t>
      </w:r>
      <w:r>
        <w:rPr/>
        <w:t>пациентов</w:t>
      </w:r>
      <w:r>
        <w:rPr>
          <w:spacing w:val="-9"/>
        </w:rPr>
        <w:t> </w:t>
      </w:r>
      <w:r>
        <w:rPr/>
        <w:t>с</w:t>
      </w:r>
      <w:r>
        <w:rPr>
          <w:spacing w:val="-9"/>
        </w:rPr>
        <w:t> </w:t>
      </w:r>
      <w:r>
        <w:rPr/>
        <w:t>выраженным</w:t>
      </w:r>
      <w:r>
        <w:rPr>
          <w:spacing w:val="-8"/>
        </w:rPr>
        <w:t> </w:t>
      </w:r>
      <w:r>
        <w:rPr/>
        <w:t>ожирением</w:t>
      </w:r>
      <w:r>
        <w:rPr>
          <w:spacing w:val="-9"/>
        </w:rPr>
        <w:t> </w:t>
      </w:r>
      <w:r>
        <w:rPr/>
        <w:t>вместо</w:t>
      </w:r>
      <w:r>
        <w:rPr>
          <w:spacing w:val="-8"/>
        </w:rPr>
        <w:t> </w:t>
      </w:r>
      <w:r>
        <w:rPr/>
        <w:t>прон-позиции</w:t>
      </w:r>
      <w:r>
        <w:rPr>
          <w:spacing w:val="-7"/>
        </w:rPr>
        <w:t> </w:t>
      </w:r>
      <w:r>
        <w:rPr/>
        <w:t>предпочтительнее использовать положение лежа на боку со сменой стороны несколько раз в</w:t>
      </w:r>
      <w:r>
        <w:rPr>
          <w:spacing w:val="-13"/>
        </w:rPr>
        <w:t> </w:t>
      </w:r>
      <w:r>
        <w:rPr/>
        <w:t>сутки.</w:t>
      </w:r>
    </w:p>
    <w:p>
      <w:pPr>
        <w:pStyle w:val="BodyText"/>
        <w:spacing w:before="9"/>
        <w:ind w:left="0"/>
        <w:jc w:val="left"/>
        <w:rPr>
          <w:sz w:val="20"/>
        </w:rPr>
      </w:pPr>
    </w:p>
    <w:p>
      <w:pPr>
        <w:pStyle w:val="Heading3"/>
        <w:spacing w:before="1"/>
        <w:jc w:val="left"/>
      </w:pPr>
      <w:bookmarkStart w:name="Инвазивная ИВЛ" w:id="79"/>
      <w:bookmarkEnd w:id="79"/>
      <w:r>
        <w:rPr>
          <w:b w:val="0"/>
        </w:rPr>
      </w:r>
      <w:r>
        <w:rPr>
          <w:color w:val="1F487C"/>
        </w:rPr>
        <w:t>Инвазивная ИВЛ</w:t>
      </w:r>
    </w:p>
    <w:p>
      <w:pPr>
        <w:pStyle w:val="BodyText"/>
        <w:spacing w:line="312" w:lineRule="auto" w:before="141"/>
        <w:ind w:right="674" w:firstLine="708"/>
      </w:pPr>
      <w:r>
        <w:rPr/>
        <w:t>ИВЛ направлена не только на обеспечение адекватного газообмена, стабилизацию коллабированных альвеол, но и минимизацию потенциального индуцированного пациентом или ятрогенного повреждения легких. Стратегия применения ИВЛ при COVID-19 основана на временных клинических</w:t>
      </w:r>
      <w:r>
        <w:rPr>
          <w:spacing w:val="56"/>
        </w:rPr>
        <w:t> </w:t>
      </w:r>
      <w:r>
        <w:rPr/>
        <w:t>рекомендациях</w:t>
      </w:r>
    </w:p>
    <w:p>
      <w:pPr>
        <w:spacing w:after="0" w:line="312" w:lineRule="auto"/>
        <w:sectPr>
          <w:pgSz w:w="11920" w:h="16850"/>
          <w:pgMar w:header="0" w:footer="620" w:top="1060" w:bottom="880" w:left="1380" w:right="600"/>
        </w:sectPr>
      </w:pPr>
    </w:p>
    <w:p>
      <w:pPr>
        <w:pStyle w:val="BodyText"/>
        <w:spacing w:line="312" w:lineRule="auto" w:before="78"/>
        <w:ind w:right="1115"/>
        <w:jc w:val="left"/>
      </w:pPr>
      <w:r>
        <w:rPr/>
        <w:t>Федерации анестезиологов-реаниматологов «Диагностика и интенсивная терапия острого респираторного дистресс-синдрома», 2020.</w:t>
      </w:r>
    </w:p>
    <w:p>
      <w:pPr>
        <w:pStyle w:val="BodyText"/>
        <w:spacing w:before="38"/>
        <w:ind w:left="1029"/>
        <w:jc w:val="left"/>
      </w:pPr>
      <w:r>
        <w:rPr/>
        <w:t>Целевые показатели при ИВЛ, ассоциированные с улучшением исхода при</w:t>
      </w:r>
    </w:p>
    <w:p>
      <w:pPr>
        <w:pStyle w:val="BodyText"/>
        <w:spacing w:before="85"/>
        <w:jc w:val="left"/>
      </w:pPr>
      <w:r>
        <w:rPr/>
        <w:t>ОРДС:</w:t>
      </w:r>
    </w:p>
    <w:p>
      <w:pPr>
        <w:pStyle w:val="BodyText"/>
        <w:ind w:left="0"/>
        <w:jc w:val="left"/>
        <w:rPr>
          <w:sz w:val="26"/>
        </w:rPr>
      </w:pPr>
    </w:p>
    <w:p>
      <w:pPr>
        <w:pStyle w:val="ListParagraph"/>
        <w:numPr>
          <w:ilvl w:val="1"/>
          <w:numId w:val="24"/>
        </w:numPr>
        <w:tabs>
          <w:tab w:pos="1000" w:val="left" w:leader="none"/>
          <w:tab w:pos="1001" w:val="left" w:leader="none"/>
        </w:tabs>
        <w:spacing w:line="240" w:lineRule="auto" w:before="220" w:after="0"/>
        <w:ind w:left="1000" w:right="0" w:hanging="339"/>
        <w:jc w:val="left"/>
        <w:rPr>
          <w:sz w:val="24"/>
        </w:rPr>
      </w:pPr>
      <w:r>
        <w:rPr>
          <w:position w:val="2"/>
          <w:sz w:val="24"/>
        </w:rPr>
        <w:t>PaO</w:t>
      </w:r>
      <w:r>
        <w:rPr>
          <w:sz w:val="16"/>
        </w:rPr>
        <w:t>2 </w:t>
      </w:r>
      <w:r>
        <w:rPr>
          <w:position w:val="2"/>
          <w:sz w:val="24"/>
        </w:rPr>
        <w:t>90-105 мм рт.ст или SpO</w:t>
      </w:r>
      <w:r>
        <w:rPr>
          <w:sz w:val="16"/>
        </w:rPr>
        <w:t>2</w:t>
      </w:r>
      <w:r>
        <w:rPr>
          <w:spacing w:val="1"/>
          <w:sz w:val="16"/>
        </w:rPr>
        <w:t> </w:t>
      </w:r>
      <w:r>
        <w:rPr>
          <w:position w:val="2"/>
          <w:sz w:val="24"/>
        </w:rPr>
        <w:t>95-98%;</w:t>
      </w:r>
    </w:p>
    <w:p>
      <w:pPr>
        <w:pStyle w:val="ListParagraph"/>
        <w:numPr>
          <w:ilvl w:val="1"/>
          <w:numId w:val="24"/>
        </w:numPr>
        <w:tabs>
          <w:tab w:pos="1000" w:val="left" w:leader="none"/>
          <w:tab w:pos="1001" w:val="left" w:leader="none"/>
        </w:tabs>
        <w:spacing w:line="240" w:lineRule="auto" w:before="81" w:after="0"/>
        <w:ind w:left="1000" w:right="0" w:hanging="339"/>
        <w:jc w:val="left"/>
        <w:rPr>
          <w:sz w:val="24"/>
        </w:rPr>
      </w:pPr>
      <w:r>
        <w:rPr>
          <w:position w:val="2"/>
          <w:sz w:val="24"/>
        </w:rPr>
        <w:t>PaCO</w:t>
      </w:r>
      <w:r>
        <w:rPr>
          <w:sz w:val="16"/>
        </w:rPr>
        <w:t>2 </w:t>
      </w:r>
      <w:r>
        <w:rPr>
          <w:position w:val="2"/>
          <w:sz w:val="24"/>
        </w:rPr>
        <w:t>30-50 мм рт.ст. или EtCO</w:t>
      </w:r>
      <w:r>
        <w:rPr>
          <w:sz w:val="16"/>
        </w:rPr>
        <w:t>2 </w:t>
      </w:r>
      <w:r>
        <w:rPr>
          <w:position w:val="2"/>
          <w:sz w:val="24"/>
        </w:rPr>
        <w:t>капнограммы 27-45 мм</w:t>
      </w:r>
      <w:r>
        <w:rPr>
          <w:spacing w:val="-6"/>
          <w:position w:val="2"/>
          <w:sz w:val="24"/>
        </w:rPr>
        <w:t> </w:t>
      </w:r>
      <w:r>
        <w:rPr>
          <w:position w:val="2"/>
          <w:sz w:val="24"/>
        </w:rPr>
        <w:t>рт.ст.</w:t>
      </w:r>
    </w:p>
    <w:p>
      <w:pPr>
        <w:pStyle w:val="BodyText"/>
        <w:spacing w:before="3"/>
        <w:ind w:left="0"/>
        <w:jc w:val="left"/>
        <w:rPr>
          <w:sz w:val="39"/>
        </w:rPr>
      </w:pPr>
    </w:p>
    <w:p>
      <w:pPr>
        <w:pStyle w:val="BodyText"/>
        <w:spacing w:line="312" w:lineRule="auto"/>
        <w:ind w:right="673" w:firstLine="708"/>
      </w:pPr>
      <w:r>
        <w:rPr/>
        <w:t>При ИВЛ у пациентов с COVID-19 рекомендован дыхательный объем 6-8 мл/кг идеальной массы тела. Применение до 9 мл/кг ИМТ и более ведет к росту осложнений и  летальности.  При  гиперкапнии   возможно   увеличение   дыхательного   объема  до 10 мл/кг</w:t>
      </w:r>
      <w:r>
        <w:rPr>
          <w:spacing w:val="-2"/>
        </w:rPr>
        <w:t> </w:t>
      </w:r>
      <w:r>
        <w:rPr/>
        <w:t>ИМТ.</w:t>
      </w:r>
    </w:p>
    <w:p>
      <w:pPr>
        <w:pStyle w:val="BodyText"/>
        <w:spacing w:line="312" w:lineRule="auto"/>
        <w:ind w:right="674" w:firstLine="708"/>
      </w:pPr>
      <w:r>
        <w:rPr/>
        <w:t>Проведение «безопасной» ИВЛ возможно в режимах как с управляемым давлением</w:t>
      </w:r>
      <w:r>
        <w:rPr>
          <w:spacing w:val="-8"/>
        </w:rPr>
        <w:t> </w:t>
      </w:r>
      <w:r>
        <w:rPr/>
        <w:t>(PC),</w:t>
      </w:r>
      <w:r>
        <w:rPr>
          <w:spacing w:val="-7"/>
        </w:rPr>
        <w:t> </w:t>
      </w:r>
      <w:r>
        <w:rPr/>
        <w:t>так</w:t>
      </w:r>
      <w:r>
        <w:rPr>
          <w:spacing w:val="-9"/>
        </w:rPr>
        <w:t> </w:t>
      </w:r>
      <w:r>
        <w:rPr/>
        <w:t>и</w:t>
      </w:r>
      <w:r>
        <w:rPr>
          <w:spacing w:val="-6"/>
        </w:rPr>
        <w:t> </w:t>
      </w:r>
      <w:r>
        <w:rPr/>
        <w:t>с</w:t>
      </w:r>
      <w:r>
        <w:rPr>
          <w:spacing w:val="-11"/>
        </w:rPr>
        <w:t> </w:t>
      </w:r>
      <w:r>
        <w:rPr/>
        <w:t>управляемым</w:t>
      </w:r>
      <w:r>
        <w:rPr>
          <w:spacing w:val="-8"/>
        </w:rPr>
        <w:t> </w:t>
      </w:r>
      <w:r>
        <w:rPr/>
        <w:t>объемом</w:t>
      </w:r>
      <w:r>
        <w:rPr>
          <w:spacing w:val="-6"/>
        </w:rPr>
        <w:t> </w:t>
      </w:r>
      <w:r>
        <w:rPr/>
        <w:t>(VC).</w:t>
      </w:r>
      <w:r>
        <w:rPr>
          <w:spacing w:val="-7"/>
        </w:rPr>
        <w:t> </w:t>
      </w:r>
      <w:r>
        <w:rPr/>
        <w:t>При</w:t>
      </w:r>
      <w:r>
        <w:rPr>
          <w:spacing w:val="-6"/>
        </w:rPr>
        <w:t> </w:t>
      </w:r>
      <w:r>
        <w:rPr/>
        <w:t>этом</w:t>
      </w:r>
      <w:r>
        <w:rPr>
          <w:spacing w:val="-8"/>
        </w:rPr>
        <w:t> </w:t>
      </w:r>
      <w:r>
        <w:rPr/>
        <w:t>в</w:t>
      </w:r>
      <w:r>
        <w:rPr>
          <w:spacing w:val="-10"/>
        </w:rPr>
        <w:t> </w:t>
      </w:r>
      <w:r>
        <w:rPr/>
        <w:t>последних</w:t>
      </w:r>
      <w:r>
        <w:rPr>
          <w:spacing w:val="-7"/>
        </w:rPr>
        <w:t> </w:t>
      </w:r>
      <w:r>
        <w:rPr/>
        <w:t>желательно использовать нисходящую форму инспираторного потока, обеспечивающую лучшее распределение газа в легких и меньшее давление в дыхательных путях. Убедительных данных о преимуществе какого-либо из вспомогательных режимов респираторной поддержки пока нет. От применения управляемых режимов респираторной поддержки следует стремиться как можно быстрее перейти к режимам вспомогательной вентиляции.</w:t>
      </w:r>
    </w:p>
    <w:p>
      <w:pPr>
        <w:pStyle w:val="BodyText"/>
        <w:spacing w:line="312" w:lineRule="auto" w:before="14"/>
        <w:ind w:right="673" w:firstLine="708"/>
      </w:pPr>
      <w:r>
        <w:rPr>
          <w:position w:val="2"/>
        </w:rPr>
        <w:t>У пациентов с PaO</w:t>
      </w:r>
      <w:r>
        <w:rPr>
          <w:sz w:val="16"/>
        </w:rPr>
        <w:t>2</w:t>
      </w:r>
      <w:r>
        <w:rPr>
          <w:position w:val="2"/>
        </w:rPr>
        <w:t>/FiO</w:t>
      </w:r>
      <w:r>
        <w:rPr>
          <w:sz w:val="16"/>
        </w:rPr>
        <w:t>2 </w:t>
      </w:r>
      <w:r>
        <w:rPr>
          <w:position w:val="2"/>
        </w:rPr>
        <w:t>выше 200 мм рт.ст. при появлении самостоятельных </w:t>
      </w:r>
      <w:r>
        <w:rPr/>
        <w:t>инспираторных попыток после интубации трахеи и реверсии миоплегии рекомендовано, при технической возможности и отсутствии патологических ритмов дыхания, перейти на полностью вспомогательный режим вентиляции (в большинстве аппаратов</w:t>
      </w:r>
      <w:r>
        <w:rPr>
          <w:spacing w:val="-15"/>
        </w:rPr>
        <w:t> </w:t>
      </w:r>
      <w:r>
        <w:rPr/>
        <w:t>–</w:t>
      </w:r>
      <w:r>
        <w:rPr>
          <w:spacing w:val="-13"/>
        </w:rPr>
        <w:t> </w:t>
      </w:r>
      <w:r>
        <w:rPr/>
        <w:t>PSV)</w:t>
      </w:r>
      <w:r>
        <w:rPr>
          <w:spacing w:val="-14"/>
        </w:rPr>
        <w:t> </w:t>
      </w:r>
      <w:r>
        <w:rPr/>
        <w:t>для</w:t>
      </w:r>
      <w:r>
        <w:rPr>
          <w:spacing w:val="-10"/>
        </w:rPr>
        <w:t> </w:t>
      </w:r>
      <w:r>
        <w:rPr/>
        <w:t>улучшения</w:t>
      </w:r>
      <w:r>
        <w:rPr>
          <w:spacing w:val="-13"/>
        </w:rPr>
        <w:t> </w:t>
      </w:r>
      <w:r>
        <w:rPr/>
        <w:t>распределения</w:t>
      </w:r>
      <w:r>
        <w:rPr>
          <w:spacing w:val="-14"/>
        </w:rPr>
        <w:t> </w:t>
      </w:r>
      <w:r>
        <w:rPr/>
        <w:t>газа,</w:t>
      </w:r>
      <w:r>
        <w:rPr>
          <w:spacing w:val="-14"/>
        </w:rPr>
        <w:t> </w:t>
      </w:r>
      <w:r>
        <w:rPr/>
        <w:t>профилактики</w:t>
      </w:r>
      <w:r>
        <w:rPr>
          <w:spacing w:val="-13"/>
        </w:rPr>
        <w:t> </w:t>
      </w:r>
      <w:r>
        <w:rPr/>
        <w:t>ателектазирования и атрофии</w:t>
      </w:r>
      <w:r>
        <w:rPr>
          <w:spacing w:val="1"/>
        </w:rPr>
        <w:t> </w:t>
      </w:r>
      <w:r>
        <w:rPr/>
        <w:t>диафрагмы.</w:t>
      </w:r>
    </w:p>
    <w:p>
      <w:pPr>
        <w:pStyle w:val="BodyText"/>
        <w:spacing w:line="312" w:lineRule="auto" w:before="11"/>
        <w:ind w:right="675" w:firstLine="708"/>
      </w:pPr>
      <w:r>
        <w:rPr/>
        <w:t>У пациентов с COVID-19 при проведении ИВЛ рекомендовано использовать РЕЕР в зависимости от рекрутабельности альвеол и риска образования ателектазов:</w:t>
      </w:r>
    </w:p>
    <w:p>
      <w:pPr>
        <w:pStyle w:val="BodyText"/>
        <w:spacing w:before="8"/>
        <w:ind w:left="0"/>
        <w:jc w:val="left"/>
        <w:rPr>
          <w:sz w:val="33"/>
        </w:rPr>
      </w:pPr>
    </w:p>
    <w:p>
      <w:pPr>
        <w:pStyle w:val="ListParagraph"/>
        <w:numPr>
          <w:ilvl w:val="1"/>
          <w:numId w:val="24"/>
        </w:numPr>
        <w:tabs>
          <w:tab w:pos="1001" w:val="left" w:leader="none"/>
        </w:tabs>
        <w:spacing w:line="309" w:lineRule="auto" w:before="1" w:after="0"/>
        <w:ind w:left="1000" w:right="675" w:hanging="339"/>
        <w:jc w:val="both"/>
        <w:rPr>
          <w:sz w:val="24"/>
        </w:rPr>
      </w:pPr>
      <w:r>
        <w:rPr>
          <w:sz w:val="24"/>
        </w:rPr>
        <w:t>При малорекрутабельных легких: очаговые повреждения альвеол или очаги консолидации на КТ, давление плато &lt; 30 см вод.ст., статическая податливость респираторной системы 40 мл/см вод.ст. и выше – РЕЕР 10-12 см</w:t>
      </w:r>
      <w:r>
        <w:rPr>
          <w:spacing w:val="-7"/>
          <w:sz w:val="24"/>
        </w:rPr>
        <w:t> </w:t>
      </w:r>
      <w:r>
        <w:rPr>
          <w:sz w:val="24"/>
        </w:rPr>
        <w:t>вод.ст;</w:t>
      </w:r>
    </w:p>
    <w:p>
      <w:pPr>
        <w:pStyle w:val="ListParagraph"/>
        <w:numPr>
          <w:ilvl w:val="1"/>
          <w:numId w:val="24"/>
        </w:numPr>
        <w:tabs>
          <w:tab w:pos="1001" w:val="left" w:leader="none"/>
        </w:tabs>
        <w:spacing w:line="304" w:lineRule="auto" w:before="3" w:after="0"/>
        <w:ind w:left="1000" w:right="672" w:hanging="339"/>
        <w:jc w:val="both"/>
        <w:rPr>
          <w:sz w:val="24"/>
        </w:rPr>
      </w:pPr>
      <w:r>
        <w:rPr>
          <w:sz w:val="24"/>
        </w:rPr>
        <w:t>При рекрутабельных легких (собственно ОРДС): сливные повреждения альвеол по</w:t>
      </w:r>
      <w:r>
        <w:rPr>
          <w:spacing w:val="14"/>
          <w:sz w:val="24"/>
        </w:rPr>
        <w:t> </w:t>
      </w:r>
      <w:r>
        <w:rPr>
          <w:sz w:val="24"/>
        </w:rPr>
        <w:t>типу</w:t>
      </w:r>
      <w:r>
        <w:rPr>
          <w:spacing w:val="8"/>
          <w:sz w:val="24"/>
        </w:rPr>
        <w:t> </w:t>
      </w:r>
      <w:r>
        <w:rPr>
          <w:sz w:val="24"/>
        </w:rPr>
        <w:t>матового</w:t>
      </w:r>
      <w:r>
        <w:rPr>
          <w:spacing w:val="15"/>
          <w:sz w:val="24"/>
        </w:rPr>
        <w:t> </w:t>
      </w:r>
      <w:r>
        <w:rPr>
          <w:sz w:val="24"/>
        </w:rPr>
        <w:t>стекла</w:t>
      </w:r>
      <w:r>
        <w:rPr>
          <w:spacing w:val="14"/>
          <w:sz w:val="24"/>
        </w:rPr>
        <w:t> </w:t>
      </w:r>
      <w:r>
        <w:rPr>
          <w:sz w:val="24"/>
        </w:rPr>
        <w:t>и</w:t>
      </w:r>
      <w:r>
        <w:rPr>
          <w:spacing w:val="16"/>
          <w:sz w:val="24"/>
        </w:rPr>
        <w:t> </w:t>
      </w:r>
      <w:r>
        <w:rPr>
          <w:sz w:val="24"/>
        </w:rPr>
        <w:t>консолидации,</w:t>
      </w:r>
      <w:r>
        <w:rPr>
          <w:spacing w:val="13"/>
          <w:sz w:val="24"/>
        </w:rPr>
        <w:t> </w:t>
      </w:r>
      <w:r>
        <w:rPr>
          <w:sz w:val="24"/>
        </w:rPr>
        <w:t>дорсальные</w:t>
      </w:r>
      <w:r>
        <w:rPr>
          <w:spacing w:val="13"/>
          <w:sz w:val="24"/>
        </w:rPr>
        <w:t> </w:t>
      </w:r>
      <w:r>
        <w:rPr>
          <w:sz w:val="24"/>
        </w:rPr>
        <w:t>ателектазы,</w:t>
      </w:r>
      <w:r>
        <w:rPr>
          <w:spacing w:val="15"/>
          <w:sz w:val="24"/>
        </w:rPr>
        <w:t> </w:t>
      </w:r>
      <w:r>
        <w:rPr>
          <w:sz w:val="24"/>
        </w:rPr>
        <w:t>картина</w:t>
      </w:r>
    </w:p>
    <w:p>
      <w:pPr>
        <w:pStyle w:val="BodyText"/>
        <w:spacing w:before="8"/>
        <w:ind w:left="1000"/>
      </w:pPr>
      <w:r>
        <w:rPr/>
        <w:t>«мокрой губки» на КТ, давление плато &gt; 30 см вод.ст., статическая податливость</w:t>
      </w:r>
    </w:p>
    <w:p>
      <w:pPr>
        <w:pStyle w:val="BodyText"/>
        <w:spacing w:line="312" w:lineRule="auto" w:before="84"/>
        <w:ind w:left="1000" w:right="675"/>
      </w:pPr>
      <w:r>
        <w:rPr/>
        <w:t>&lt; 40 мл/см вод.ст. – РЕЕР 12-20 см вод.ст. в зависимости от рекрутабельности альвеол и индекса массы тела. Чем выше рекрутабельность альвеол и ИМТ, тем выше РЕЕР.</w:t>
      </w:r>
    </w:p>
    <w:p>
      <w:pPr>
        <w:spacing w:after="0" w:line="312" w:lineRule="auto"/>
        <w:sectPr>
          <w:pgSz w:w="11920" w:h="16850"/>
          <w:pgMar w:header="0" w:footer="620" w:top="1060" w:bottom="880" w:left="1380" w:right="600"/>
        </w:sectPr>
      </w:pPr>
    </w:p>
    <w:p>
      <w:pPr>
        <w:pStyle w:val="BodyText"/>
        <w:spacing w:line="312" w:lineRule="auto" w:before="78"/>
        <w:ind w:right="675" w:firstLine="708"/>
      </w:pPr>
      <w:r>
        <w:rPr/>
        <w:t>Для оценки рекрутабельности рекомендовано оценивать разницу между давлением плато и РЕЕР («движущее давление») или статический комплайнс: уменьшение величины «движущего давления» в ответ на увеличение РЕЕР свидетельствует  об рекрутировании  коллабированных  альвеол, а  увеличение его –  о перераздувании </w:t>
      </w:r>
      <w:r>
        <w:rPr>
          <w:spacing w:val="-2"/>
        </w:rPr>
        <w:t>уже </w:t>
      </w:r>
      <w:r>
        <w:rPr/>
        <w:t>открытых</w:t>
      </w:r>
      <w:r>
        <w:rPr>
          <w:spacing w:val="5"/>
        </w:rPr>
        <w:t> </w:t>
      </w:r>
      <w:r>
        <w:rPr/>
        <w:t>альвеол.</w:t>
      </w:r>
    </w:p>
    <w:p>
      <w:pPr>
        <w:pStyle w:val="BodyText"/>
        <w:spacing w:line="312" w:lineRule="auto" w:before="13"/>
        <w:ind w:right="674" w:firstLine="708"/>
      </w:pPr>
      <w:r>
        <w:rPr/>
        <w:t>Методология применения РЕЕР подробно описана в Клинических рекомендациях       Федерации        анестезиологов-реаниматологов        «Диагностика и интенсивная терапия острого респираторного</w:t>
      </w:r>
      <w:r>
        <w:rPr>
          <w:spacing w:val="-4"/>
        </w:rPr>
        <w:t> </w:t>
      </w:r>
      <w:r>
        <w:rPr/>
        <w:t>дистресс-синдрома».</w:t>
      </w:r>
    </w:p>
    <w:p>
      <w:pPr>
        <w:pStyle w:val="BodyText"/>
        <w:spacing w:line="312" w:lineRule="auto" w:before="16"/>
        <w:ind w:right="674" w:firstLine="708"/>
      </w:pPr>
      <w:r>
        <w:rPr/>
        <w:t>Рутинное применение рекрутирования альвеол не рекомендовано при COVID-19 из-за невысокой рекрутабельности и высокого риска острого легочного сердца.</w:t>
      </w:r>
    </w:p>
    <w:p>
      <w:pPr>
        <w:pStyle w:val="BodyText"/>
        <w:spacing w:line="312" w:lineRule="auto" w:before="13"/>
        <w:ind w:right="670" w:firstLine="708"/>
      </w:pPr>
      <w:r>
        <w:rPr/>
        <w:t>У</w:t>
      </w:r>
      <w:r>
        <w:rPr>
          <w:spacing w:val="-17"/>
        </w:rPr>
        <w:t> </w:t>
      </w:r>
      <w:r>
        <w:rPr/>
        <w:t>пациентов</w:t>
      </w:r>
      <w:r>
        <w:rPr>
          <w:spacing w:val="-17"/>
        </w:rPr>
        <w:t> </w:t>
      </w:r>
      <w:r>
        <w:rPr/>
        <w:t>с</w:t>
      </w:r>
      <w:r>
        <w:rPr>
          <w:spacing w:val="-18"/>
        </w:rPr>
        <w:t> </w:t>
      </w:r>
      <w:r>
        <w:rPr/>
        <w:t>ОРДС</w:t>
      </w:r>
      <w:r>
        <w:rPr>
          <w:spacing w:val="-16"/>
        </w:rPr>
        <w:t> </w:t>
      </w:r>
      <w:r>
        <w:rPr/>
        <w:t>вследствие</w:t>
      </w:r>
      <w:r>
        <w:rPr>
          <w:spacing w:val="-18"/>
        </w:rPr>
        <w:t> </w:t>
      </w:r>
      <w:r>
        <w:rPr/>
        <w:t>COVID-19</w:t>
      </w:r>
      <w:r>
        <w:rPr>
          <w:spacing w:val="-17"/>
        </w:rPr>
        <w:t> </w:t>
      </w:r>
      <w:r>
        <w:rPr/>
        <w:t>при</w:t>
      </w:r>
      <w:r>
        <w:rPr>
          <w:spacing w:val="-16"/>
        </w:rPr>
        <w:t> </w:t>
      </w:r>
      <w:r>
        <w:rPr/>
        <w:t>проведении</w:t>
      </w:r>
      <w:r>
        <w:rPr>
          <w:spacing w:val="-17"/>
        </w:rPr>
        <w:t> </w:t>
      </w:r>
      <w:r>
        <w:rPr/>
        <w:t>ИВЛ</w:t>
      </w:r>
      <w:r>
        <w:rPr>
          <w:spacing w:val="-16"/>
        </w:rPr>
        <w:t> </w:t>
      </w:r>
      <w:r>
        <w:rPr/>
        <w:t>рекомендовано использовать</w:t>
      </w:r>
      <w:r>
        <w:rPr>
          <w:spacing w:val="-12"/>
        </w:rPr>
        <w:t> </w:t>
      </w:r>
      <w:r>
        <w:rPr/>
        <w:t>неинвертированное</w:t>
      </w:r>
      <w:r>
        <w:rPr>
          <w:spacing w:val="-13"/>
        </w:rPr>
        <w:t> </w:t>
      </w:r>
      <w:r>
        <w:rPr/>
        <w:t>соотношение</w:t>
      </w:r>
      <w:r>
        <w:rPr>
          <w:spacing w:val="-14"/>
        </w:rPr>
        <w:t> </w:t>
      </w:r>
      <w:r>
        <w:rPr/>
        <w:t>вдоха</w:t>
      </w:r>
      <w:r>
        <w:rPr>
          <w:spacing w:val="-13"/>
        </w:rPr>
        <w:t> </w:t>
      </w:r>
      <w:r>
        <w:rPr/>
        <w:t>к</w:t>
      </w:r>
      <w:r>
        <w:rPr>
          <w:spacing w:val="-12"/>
        </w:rPr>
        <w:t> </w:t>
      </w:r>
      <w:r>
        <w:rPr/>
        <w:t>выдоху</w:t>
      </w:r>
      <w:r>
        <w:rPr>
          <w:spacing w:val="-17"/>
        </w:rPr>
        <w:t> </w:t>
      </w:r>
      <w:r>
        <w:rPr/>
        <w:t>для</w:t>
      </w:r>
      <w:r>
        <w:rPr>
          <w:spacing w:val="-14"/>
        </w:rPr>
        <w:t> </w:t>
      </w:r>
      <w:r>
        <w:rPr/>
        <w:t>более</w:t>
      </w:r>
      <w:r>
        <w:rPr>
          <w:spacing w:val="-13"/>
        </w:rPr>
        <w:t> </w:t>
      </w:r>
      <w:r>
        <w:rPr/>
        <w:t>равномерного распределения</w:t>
      </w:r>
      <w:r>
        <w:rPr>
          <w:spacing w:val="-10"/>
        </w:rPr>
        <w:t> </w:t>
      </w:r>
      <w:r>
        <w:rPr/>
        <w:t>газа</w:t>
      </w:r>
      <w:r>
        <w:rPr>
          <w:spacing w:val="-11"/>
        </w:rPr>
        <w:t> </w:t>
      </w:r>
      <w:r>
        <w:rPr/>
        <w:t>в</w:t>
      </w:r>
      <w:r>
        <w:rPr>
          <w:spacing w:val="-9"/>
        </w:rPr>
        <w:t> </w:t>
      </w:r>
      <w:r>
        <w:rPr/>
        <w:t>легких</w:t>
      </w:r>
      <w:r>
        <w:rPr>
          <w:spacing w:val="-7"/>
        </w:rPr>
        <w:t> </w:t>
      </w:r>
      <w:r>
        <w:rPr/>
        <w:t>и</w:t>
      </w:r>
      <w:r>
        <w:rPr>
          <w:spacing w:val="-9"/>
        </w:rPr>
        <w:t> </w:t>
      </w:r>
      <w:r>
        <w:rPr/>
        <w:t>снижения</w:t>
      </w:r>
      <w:r>
        <w:rPr>
          <w:spacing w:val="-10"/>
        </w:rPr>
        <w:t> </w:t>
      </w:r>
      <w:r>
        <w:rPr/>
        <w:t>отрицательного</w:t>
      </w:r>
      <w:r>
        <w:rPr>
          <w:spacing w:val="-9"/>
        </w:rPr>
        <w:t> </w:t>
      </w:r>
      <w:r>
        <w:rPr/>
        <w:t>влияния</w:t>
      </w:r>
      <w:r>
        <w:rPr>
          <w:spacing w:val="-10"/>
        </w:rPr>
        <w:t> </w:t>
      </w:r>
      <w:r>
        <w:rPr/>
        <w:t>ИВЛ</w:t>
      </w:r>
      <w:r>
        <w:rPr>
          <w:spacing w:val="-9"/>
        </w:rPr>
        <w:t> </w:t>
      </w:r>
      <w:r>
        <w:rPr/>
        <w:t>на</w:t>
      </w:r>
      <w:r>
        <w:rPr>
          <w:spacing w:val="-10"/>
        </w:rPr>
        <w:t> </w:t>
      </w:r>
      <w:r>
        <w:rPr/>
        <w:t>постнагрузку правого желудочка; рутинное применение инверсного соотношения вдоха к выдоху (более 1 к 1,2) не рекомендовано, при этом необходимо избегать неполного выдоха (экспираторный поток перед началом вдоха аппарата должен достигать нуля). Следует регулировать ЧД для достижения нормокапнии, но не более 30 в мин. Для вдоха достаточно времени 0,8-1,2 с.</w:t>
      </w:r>
    </w:p>
    <w:p>
      <w:pPr>
        <w:pStyle w:val="BodyText"/>
        <w:spacing w:before="10"/>
        <w:ind w:left="0"/>
        <w:jc w:val="left"/>
        <w:rPr>
          <w:sz w:val="20"/>
        </w:rPr>
      </w:pPr>
    </w:p>
    <w:p>
      <w:pPr>
        <w:pStyle w:val="Heading3"/>
        <w:spacing w:line="259" w:lineRule="auto" w:before="1"/>
        <w:ind w:right="962"/>
      </w:pPr>
      <w:bookmarkStart w:name="Вентиляция в положении лежа на животе (п" w:id="80"/>
      <w:bookmarkEnd w:id="80"/>
      <w:r>
        <w:rPr>
          <w:b w:val="0"/>
        </w:rPr>
      </w:r>
      <w:r>
        <w:rPr>
          <w:color w:val="1F487C"/>
        </w:rPr>
        <w:t>Вентиляция в положении лежа на животе (прон-позиция) и в положении на боку</w:t>
      </w:r>
    </w:p>
    <w:p>
      <w:pPr>
        <w:pStyle w:val="BodyText"/>
        <w:spacing w:line="312" w:lineRule="auto" w:before="119"/>
        <w:ind w:right="673" w:firstLine="708"/>
      </w:pPr>
      <w:r>
        <w:rPr/>
        <w:t>При ИВЛ у пациентов с COVID-19 рекомендовано положение лежа на животе  в течение не менее 16 ч в сутки для улучшения оксигенации и возможного снижения летальности. Пациента следует положить на живот, предварительно подложив валики под грудную клетку и таз, а также подушку для лица (желательно использовать специальные подушки для прон-позиции) с таким расчетом, чтобы живот не оказывал избыточного давления на диафрагму, а также не создавалось условий для развития пролежней лица.</w:t>
      </w:r>
    </w:p>
    <w:p>
      <w:pPr>
        <w:pStyle w:val="BodyText"/>
        <w:spacing w:line="312" w:lineRule="auto" w:before="13"/>
        <w:ind w:right="675" w:firstLine="708"/>
      </w:pPr>
      <w:r>
        <w:rPr/>
        <w:t>При выраженном ожирении вместо прон-позиции при проведении ИВЛ предпочтительно положение лежа на боку со сменой стороны несколько раз в сутки.</w:t>
      </w:r>
    </w:p>
    <w:p>
      <w:pPr>
        <w:pStyle w:val="BodyText"/>
        <w:spacing w:before="10"/>
        <w:ind w:left="0"/>
        <w:jc w:val="left"/>
        <w:rPr>
          <w:sz w:val="20"/>
        </w:rPr>
      </w:pPr>
    </w:p>
    <w:p>
      <w:pPr>
        <w:pStyle w:val="Heading3"/>
        <w:jc w:val="left"/>
      </w:pPr>
      <w:bookmarkStart w:name="Осложнения при вентиляции в положении ле" w:id="81"/>
      <w:bookmarkEnd w:id="81"/>
      <w:r>
        <w:rPr>
          <w:b w:val="0"/>
        </w:rPr>
      </w:r>
      <w:r>
        <w:rPr>
          <w:color w:val="1F487C"/>
        </w:rPr>
        <w:t>Осложнения при вентиляции в положении лежа на животе:</w:t>
      </w:r>
    </w:p>
    <w:p>
      <w:pPr>
        <w:pStyle w:val="ListParagraph"/>
        <w:numPr>
          <w:ilvl w:val="1"/>
          <w:numId w:val="24"/>
        </w:numPr>
        <w:tabs>
          <w:tab w:pos="1000" w:val="left" w:leader="none"/>
          <w:tab w:pos="1001" w:val="left" w:leader="none"/>
        </w:tabs>
        <w:spacing w:line="240" w:lineRule="auto" w:before="144" w:after="0"/>
        <w:ind w:left="1000" w:right="0" w:hanging="339"/>
        <w:jc w:val="left"/>
        <w:rPr>
          <w:sz w:val="24"/>
        </w:rPr>
      </w:pPr>
      <w:r>
        <w:rPr>
          <w:sz w:val="24"/>
        </w:rPr>
        <w:t>Перегибы и дислокации интубационных трубок и венозных</w:t>
      </w:r>
      <w:r>
        <w:rPr>
          <w:spacing w:val="2"/>
          <w:sz w:val="24"/>
        </w:rPr>
        <w:t> </w:t>
      </w:r>
      <w:r>
        <w:rPr>
          <w:sz w:val="24"/>
        </w:rPr>
        <w:t>катетеров;</w:t>
      </w:r>
    </w:p>
    <w:p>
      <w:pPr>
        <w:pStyle w:val="ListParagraph"/>
        <w:numPr>
          <w:ilvl w:val="1"/>
          <w:numId w:val="24"/>
        </w:numPr>
        <w:tabs>
          <w:tab w:pos="1000" w:val="left" w:leader="none"/>
          <w:tab w:pos="1001" w:val="left" w:leader="none"/>
        </w:tabs>
        <w:spacing w:line="240" w:lineRule="auto" w:before="83" w:after="0"/>
        <w:ind w:left="1000" w:right="0" w:hanging="339"/>
        <w:jc w:val="left"/>
        <w:rPr>
          <w:sz w:val="24"/>
        </w:rPr>
      </w:pPr>
      <w:r>
        <w:rPr>
          <w:sz w:val="24"/>
        </w:rPr>
        <w:t>Трудность выполнения сердечно-легочной</w:t>
      </w:r>
      <w:r>
        <w:rPr>
          <w:spacing w:val="-2"/>
          <w:sz w:val="24"/>
        </w:rPr>
        <w:t> </w:t>
      </w:r>
      <w:r>
        <w:rPr>
          <w:sz w:val="24"/>
        </w:rPr>
        <w:t>реанимации;</w:t>
      </w:r>
    </w:p>
    <w:p>
      <w:pPr>
        <w:pStyle w:val="ListParagraph"/>
        <w:numPr>
          <w:ilvl w:val="1"/>
          <w:numId w:val="24"/>
        </w:numPr>
        <w:tabs>
          <w:tab w:pos="1000" w:val="left" w:leader="none"/>
          <w:tab w:pos="1001" w:val="left" w:leader="none"/>
        </w:tabs>
        <w:spacing w:line="240" w:lineRule="auto" w:before="82" w:after="0"/>
        <w:ind w:left="1000" w:right="0" w:hanging="339"/>
        <w:jc w:val="left"/>
        <w:rPr>
          <w:sz w:val="24"/>
        </w:rPr>
      </w:pPr>
      <w:r>
        <w:rPr>
          <w:sz w:val="24"/>
        </w:rPr>
        <w:t>Развитие невритов периферических нервов верхних</w:t>
      </w:r>
      <w:r>
        <w:rPr>
          <w:spacing w:val="-4"/>
          <w:sz w:val="24"/>
        </w:rPr>
        <w:t> </w:t>
      </w:r>
      <w:r>
        <w:rPr>
          <w:sz w:val="24"/>
        </w:rPr>
        <w:t>конечностей;</w:t>
      </w:r>
    </w:p>
    <w:p>
      <w:pPr>
        <w:pStyle w:val="BodyText"/>
        <w:spacing w:before="5"/>
        <w:ind w:left="0"/>
        <w:jc w:val="left"/>
        <w:rPr>
          <w:sz w:val="39"/>
        </w:rPr>
      </w:pPr>
    </w:p>
    <w:p>
      <w:pPr>
        <w:pStyle w:val="BodyText"/>
        <w:spacing w:line="312" w:lineRule="auto"/>
        <w:ind w:right="675" w:firstLine="708"/>
      </w:pPr>
      <w:r>
        <w:rPr/>
        <w:t>Повреждение</w:t>
      </w:r>
      <w:r>
        <w:rPr>
          <w:spacing w:val="-17"/>
        </w:rPr>
        <w:t> </w:t>
      </w:r>
      <w:r>
        <w:rPr/>
        <w:t>носа</w:t>
      </w:r>
      <w:r>
        <w:rPr>
          <w:spacing w:val="-14"/>
        </w:rPr>
        <w:t> </w:t>
      </w:r>
      <w:r>
        <w:rPr/>
        <w:t>и</w:t>
      </w:r>
      <w:r>
        <w:rPr>
          <w:spacing w:val="-15"/>
        </w:rPr>
        <w:t> </w:t>
      </w:r>
      <w:r>
        <w:rPr/>
        <w:t>глаз</w:t>
      </w:r>
      <w:r>
        <w:rPr>
          <w:spacing w:val="-14"/>
        </w:rPr>
        <w:t> </w:t>
      </w:r>
      <w:r>
        <w:rPr/>
        <w:t>–</w:t>
      </w:r>
      <w:r>
        <w:rPr>
          <w:spacing w:val="-16"/>
        </w:rPr>
        <w:t> </w:t>
      </w:r>
      <w:r>
        <w:rPr/>
        <w:t>лицевой</w:t>
      </w:r>
      <w:r>
        <w:rPr>
          <w:spacing w:val="-15"/>
        </w:rPr>
        <w:t> </w:t>
      </w:r>
      <w:r>
        <w:rPr/>
        <w:t>и</w:t>
      </w:r>
      <w:r>
        <w:rPr>
          <w:spacing w:val="-14"/>
        </w:rPr>
        <w:t> </w:t>
      </w:r>
      <w:r>
        <w:rPr/>
        <w:t>периорбитальный</w:t>
      </w:r>
      <w:r>
        <w:rPr>
          <w:spacing w:val="-14"/>
        </w:rPr>
        <w:t> </w:t>
      </w:r>
      <w:r>
        <w:rPr/>
        <w:t>отек</w:t>
      </w:r>
      <w:r>
        <w:rPr>
          <w:spacing w:val="-15"/>
        </w:rPr>
        <w:t> </w:t>
      </w:r>
      <w:r>
        <w:rPr/>
        <w:t>–</w:t>
      </w:r>
      <w:r>
        <w:rPr>
          <w:spacing w:val="-15"/>
        </w:rPr>
        <w:t> </w:t>
      </w:r>
      <w:r>
        <w:rPr/>
        <w:t>развивается</w:t>
      </w:r>
      <w:r>
        <w:rPr>
          <w:spacing w:val="-16"/>
        </w:rPr>
        <w:t> </w:t>
      </w:r>
      <w:r>
        <w:rPr/>
        <w:t>почти в 100% случаев; кератоконьюктивит, требующий лечения, развивается у 20% пациентов;</w:t>
      </w:r>
    </w:p>
    <w:p>
      <w:pPr>
        <w:spacing w:after="0" w:line="312" w:lineRule="auto"/>
        <w:sectPr>
          <w:pgSz w:w="11920" w:h="16850"/>
          <w:pgMar w:header="0" w:footer="620" w:top="1060" w:bottom="880" w:left="1380" w:right="600"/>
        </w:sectPr>
      </w:pPr>
    </w:p>
    <w:p>
      <w:pPr>
        <w:pStyle w:val="BodyText"/>
        <w:spacing w:before="78"/>
        <w:ind w:left="1029"/>
      </w:pPr>
      <w:r>
        <w:rPr/>
        <w:t>В прон-позиции затруднены санация полости рта и трахеи, обработка глаз, лица.</w:t>
      </w:r>
    </w:p>
    <w:p>
      <w:pPr>
        <w:spacing w:line="312" w:lineRule="auto" w:before="95"/>
        <w:ind w:left="321" w:right="674" w:firstLine="720"/>
        <w:jc w:val="both"/>
        <w:rPr>
          <w:sz w:val="24"/>
        </w:rPr>
      </w:pPr>
      <w:r>
        <w:rPr>
          <w:b/>
          <w:position w:val="2"/>
          <w:sz w:val="24"/>
        </w:rPr>
        <w:t>Критерий прекращения прон-позиции: </w:t>
      </w:r>
      <w:r>
        <w:rPr>
          <w:position w:val="2"/>
          <w:sz w:val="24"/>
        </w:rPr>
        <w:t>увеличение PaO</w:t>
      </w:r>
      <w:r>
        <w:rPr>
          <w:sz w:val="16"/>
        </w:rPr>
        <w:t>2</w:t>
      </w:r>
      <w:r>
        <w:rPr>
          <w:position w:val="2"/>
          <w:sz w:val="24"/>
        </w:rPr>
        <w:t>/FiO</w:t>
      </w:r>
      <w:r>
        <w:rPr>
          <w:sz w:val="16"/>
        </w:rPr>
        <w:t>2 </w:t>
      </w:r>
      <w:r>
        <w:rPr>
          <w:position w:val="2"/>
          <w:sz w:val="24"/>
        </w:rPr>
        <w:t>&gt; 200 мм рт.ст. </w:t>
      </w:r>
      <w:r>
        <w:rPr>
          <w:sz w:val="24"/>
        </w:rPr>
        <w:t>при</w:t>
      </w:r>
      <w:r>
        <w:rPr>
          <w:spacing w:val="-12"/>
          <w:sz w:val="24"/>
        </w:rPr>
        <w:t> </w:t>
      </w:r>
      <w:r>
        <w:rPr>
          <w:sz w:val="24"/>
        </w:rPr>
        <w:t>PEEP</w:t>
      </w:r>
      <w:r>
        <w:rPr>
          <w:spacing w:val="-10"/>
          <w:sz w:val="24"/>
        </w:rPr>
        <w:t> </w:t>
      </w:r>
      <w:r>
        <w:rPr>
          <w:sz w:val="24"/>
        </w:rPr>
        <w:t>&lt;</w:t>
      </w:r>
      <w:r>
        <w:rPr>
          <w:spacing w:val="-12"/>
          <w:sz w:val="24"/>
        </w:rPr>
        <w:t> </w:t>
      </w:r>
      <w:r>
        <w:rPr>
          <w:sz w:val="24"/>
        </w:rPr>
        <w:t>10</w:t>
      </w:r>
      <w:r>
        <w:rPr>
          <w:spacing w:val="-11"/>
          <w:sz w:val="24"/>
        </w:rPr>
        <w:t> </w:t>
      </w:r>
      <w:r>
        <w:rPr>
          <w:sz w:val="24"/>
        </w:rPr>
        <w:t>см</w:t>
      </w:r>
      <w:r>
        <w:rPr>
          <w:spacing w:val="-11"/>
          <w:sz w:val="24"/>
        </w:rPr>
        <w:t> </w:t>
      </w:r>
      <w:r>
        <w:rPr>
          <w:sz w:val="24"/>
        </w:rPr>
        <w:t>вод.ст.,</w:t>
      </w:r>
      <w:r>
        <w:rPr>
          <w:spacing w:val="-11"/>
          <w:sz w:val="24"/>
        </w:rPr>
        <w:t> </w:t>
      </w:r>
      <w:r>
        <w:rPr>
          <w:sz w:val="24"/>
        </w:rPr>
        <w:t>сохраняющееся</w:t>
      </w:r>
      <w:r>
        <w:rPr>
          <w:spacing w:val="-11"/>
          <w:sz w:val="24"/>
        </w:rPr>
        <w:t> </w:t>
      </w:r>
      <w:r>
        <w:rPr>
          <w:sz w:val="24"/>
        </w:rPr>
        <w:t>в</w:t>
      </w:r>
      <w:r>
        <w:rPr>
          <w:spacing w:val="-12"/>
          <w:sz w:val="24"/>
        </w:rPr>
        <w:t> </w:t>
      </w:r>
      <w:r>
        <w:rPr>
          <w:sz w:val="24"/>
        </w:rPr>
        <w:t>течение</w:t>
      </w:r>
      <w:r>
        <w:rPr>
          <w:spacing w:val="-11"/>
          <w:sz w:val="24"/>
        </w:rPr>
        <w:t> </w:t>
      </w:r>
      <w:r>
        <w:rPr>
          <w:rFonts w:ascii="Symbol" w:hAnsi="Symbol"/>
          <w:sz w:val="24"/>
        </w:rPr>
        <w:t></w:t>
      </w:r>
      <w:r>
        <w:rPr>
          <w:spacing w:val="-11"/>
          <w:sz w:val="24"/>
        </w:rPr>
        <w:t> </w:t>
      </w:r>
      <w:r>
        <w:rPr>
          <w:sz w:val="24"/>
        </w:rPr>
        <w:t>4</w:t>
      </w:r>
      <w:r>
        <w:rPr>
          <w:spacing w:val="-13"/>
          <w:sz w:val="24"/>
        </w:rPr>
        <w:t> </w:t>
      </w:r>
      <w:r>
        <w:rPr>
          <w:sz w:val="24"/>
        </w:rPr>
        <w:t>ч</w:t>
      </w:r>
      <w:r>
        <w:rPr>
          <w:spacing w:val="-12"/>
          <w:sz w:val="24"/>
        </w:rPr>
        <w:t> </w:t>
      </w:r>
      <w:r>
        <w:rPr>
          <w:sz w:val="24"/>
        </w:rPr>
        <w:t>после</w:t>
      </w:r>
      <w:r>
        <w:rPr>
          <w:spacing w:val="-11"/>
          <w:sz w:val="24"/>
        </w:rPr>
        <w:t> </w:t>
      </w:r>
      <w:r>
        <w:rPr>
          <w:sz w:val="24"/>
        </w:rPr>
        <w:t>последнего</w:t>
      </w:r>
      <w:r>
        <w:rPr>
          <w:spacing w:val="-11"/>
          <w:sz w:val="24"/>
        </w:rPr>
        <w:t> </w:t>
      </w:r>
      <w:r>
        <w:rPr>
          <w:sz w:val="24"/>
        </w:rPr>
        <w:t>сеанса</w:t>
      </w:r>
      <w:r>
        <w:rPr>
          <w:spacing w:val="-12"/>
          <w:sz w:val="24"/>
        </w:rPr>
        <w:t> </w:t>
      </w:r>
      <w:r>
        <w:rPr>
          <w:sz w:val="24"/>
        </w:rPr>
        <w:t>прон- позиции.</w:t>
      </w:r>
    </w:p>
    <w:p>
      <w:pPr>
        <w:pStyle w:val="BodyText"/>
        <w:spacing w:before="8"/>
        <w:ind w:left="0"/>
        <w:jc w:val="left"/>
        <w:rPr>
          <w:sz w:val="20"/>
        </w:rPr>
      </w:pPr>
    </w:p>
    <w:p>
      <w:pPr>
        <w:pStyle w:val="Heading3"/>
      </w:pPr>
      <w:bookmarkStart w:name="Медикаментозная седация и миоплегия при " w:id="82"/>
      <w:bookmarkEnd w:id="82"/>
      <w:r>
        <w:rPr>
          <w:b w:val="0"/>
        </w:rPr>
      </w:r>
      <w:r>
        <w:rPr>
          <w:color w:val="1F487C"/>
        </w:rPr>
        <w:t>Медикаментозная седация и миоплегия при ИВЛ</w:t>
      </w:r>
    </w:p>
    <w:p>
      <w:pPr>
        <w:pStyle w:val="BodyText"/>
        <w:spacing w:line="312" w:lineRule="auto" w:before="143"/>
        <w:ind w:right="675" w:firstLine="708"/>
      </w:pPr>
      <w:r>
        <w:rPr>
          <w:position w:val="2"/>
        </w:rPr>
        <w:t>При проведении ИВЛ пациентам с индексом PaO</w:t>
      </w:r>
      <w:r>
        <w:rPr>
          <w:sz w:val="16"/>
        </w:rPr>
        <w:t>2</w:t>
      </w:r>
      <w:r>
        <w:rPr>
          <w:position w:val="2"/>
        </w:rPr>
        <w:t>/FiO</w:t>
      </w:r>
      <w:r>
        <w:rPr>
          <w:sz w:val="16"/>
        </w:rPr>
        <w:t>2 </w:t>
      </w:r>
      <w:r>
        <w:rPr>
          <w:position w:val="2"/>
        </w:rPr>
        <w:t>&gt; 200 мм рт. ст. </w:t>
      </w:r>
      <w:r>
        <w:rPr/>
        <w:t>используют «легкий» уровень седации (-1…-2 балла по Ричмондской шкале ажитации и седации RASS). Такая стратегия уменьшает длительность респираторной поддержки и улучшает исход. Желательно также избегать применения для седации бензодиазепинов.</w:t>
      </w:r>
    </w:p>
    <w:p>
      <w:pPr>
        <w:pStyle w:val="BodyText"/>
        <w:spacing w:line="312" w:lineRule="auto" w:before="11"/>
        <w:ind w:right="674" w:firstLine="708"/>
      </w:pPr>
      <w:r>
        <w:rPr>
          <w:position w:val="2"/>
        </w:rPr>
        <w:t>У пациентов с PaO</w:t>
      </w:r>
      <w:r>
        <w:rPr>
          <w:sz w:val="16"/>
        </w:rPr>
        <w:t>2</w:t>
      </w:r>
      <w:r>
        <w:rPr>
          <w:position w:val="2"/>
        </w:rPr>
        <w:t>/FiO</w:t>
      </w:r>
      <w:r>
        <w:rPr>
          <w:sz w:val="16"/>
        </w:rPr>
        <w:t>2 </w:t>
      </w:r>
      <w:r>
        <w:rPr>
          <w:position w:val="2"/>
        </w:rPr>
        <w:t>&lt; 120 мм рт.ст. на фоне РЕЕР &gt; 5 см вод.ст. </w:t>
      </w:r>
      <w:r>
        <w:rPr/>
        <w:t>рекомендовано использовать нейромышечную блокаду, но только в первые 48 ч после интубации, что может приводить к уменьшению вентилятор-ассоциированного повреждения легких и снижению летальности. Рутинно применять миорелаксанты для синхронизации с аппаратом не следует.</w:t>
      </w:r>
    </w:p>
    <w:p>
      <w:pPr>
        <w:pStyle w:val="BodyText"/>
        <w:spacing w:before="7"/>
        <w:ind w:left="0"/>
        <w:jc w:val="left"/>
        <w:rPr>
          <w:sz w:val="20"/>
        </w:rPr>
      </w:pPr>
    </w:p>
    <w:p>
      <w:pPr>
        <w:pStyle w:val="Heading3"/>
      </w:pPr>
      <w:bookmarkStart w:name="Сроки трахеостомии" w:id="83"/>
      <w:bookmarkEnd w:id="83"/>
      <w:r>
        <w:rPr>
          <w:b w:val="0"/>
        </w:rPr>
      </w:r>
      <w:r>
        <w:rPr>
          <w:color w:val="1F487C"/>
        </w:rPr>
        <w:t>Сроки трахеостомии</w:t>
      </w:r>
    </w:p>
    <w:p>
      <w:pPr>
        <w:pStyle w:val="BodyText"/>
        <w:spacing w:line="312" w:lineRule="auto" w:before="141"/>
        <w:ind w:right="675" w:firstLine="708"/>
      </w:pPr>
      <w:r>
        <w:rPr/>
        <w:t>Рекомендована ранняя трахеостомия (в первые трое суток после интубации) ввиду длительности проведения респираторной поддержки и высокой вероятности осложнений оротрахеальной интубации (дислокация трубки и непреднамеренная экстубация при повороте в прон-позицию, нарушение проходимости трубки, риск нозокомиальной пневмонии).</w:t>
      </w:r>
    </w:p>
    <w:p>
      <w:pPr>
        <w:pStyle w:val="BodyText"/>
        <w:ind w:left="0"/>
        <w:jc w:val="left"/>
        <w:rPr>
          <w:sz w:val="21"/>
        </w:rPr>
      </w:pPr>
    </w:p>
    <w:p>
      <w:pPr>
        <w:pStyle w:val="Heading3"/>
      </w:pPr>
      <w:bookmarkStart w:name="Прекращение респираторной поддержки" w:id="84"/>
      <w:bookmarkEnd w:id="84"/>
      <w:r>
        <w:rPr>
          <w:b w:val="0"/>
        </w:rPr>
      </w:r>
      <w:r>
        <w:rPr>
          <w:color w:val="1F487C"/>
        </w:rPr>
        <w:t>Прекращение респираторной поддержки</w:t>
      </w:r>
    </w:p>
    <w:p>
      <w:pPr>
        <w:pStyle w:val="BodyText"/>
        <w:spacing w:line="312" w:lineRule="auto" w:before="142"/>
        <w:ind w:right="677" w:firstLine="708"/>
      </w:pPr>
      <w:r>
        <w:rPr/>
        <w:t>Рекомендовано продлевать респираторную поддержку до 14 суток и более даже при положительной динамике оксигенирующей функции легких, т.к. при COVID-19 возможно   повторное   ухудшение   течения   ОРДС;   средняя   длительность   ИВЛ   у выживших 14-21</w:t>
      </w:r>
      <w:r>
        <w:rPr>
          <w:spacing w:val="-2"/>
        </w:rPr>
        <w:t> </w:t>
      </w:r>
      <w:r>
        <w:rPr/>
        <w:t>суток.</w:t>
      </w:r>
    </w:p>
    <w:p>
      <w:pPr>
        <w:pStyle w:val="BodyText"/>
        <w:spacing w:line="312" w:lineRule="auto" w:before="14"/>
        <w:ind w:right="677" w:firstLine="708"/>
      </w:pPr>
      <w:r>
        <w:rPr/>
        <w:t>Для улучшения исходов и уменьшения продолжительности респираторной поддержки рекомендуют использовать общие и респираторные критерии готовности  к ее прекращению.</w:t>
      </w:r>
    </w:p>
    <w:p>
      <w:pPr>
        <w:pStyle w:val="BodyText"/>
        <w:spacing w:before="14"/>
        <w:ind w:left="1029"/>
      </w:pPr>
      <w:r>
        <w:rPr>
          <w:color w:val="1F487C"/>
        </w:rPr>
        <w:t>Основные респираторные критерии:</w:t>
      </w:r>
    </w:p>
    <w:p>
      <w:pPr>
        <w:pStyle w:val="ListParagraph"/>
        <w:numPr>
          <w:ilvl w:val="1"/>
          <w:numId w:val="24"/>
        </w:numPr>
        <w:tabs>
          <w:tab w:pos="1000" w:val="left" w:leader="none"/>
          <w:tab w:pos="1001" w:val="left" w:leader="none"/>
        </w:tabs>
        <w:spacing w:line="240" w:lineRule="auto" w:before="97" w:after="0"/>
        <w:ind w:left="1000" w:right="0" w:hanging="339"/>
        <w:jc w:val="left"/>
        <w:rPr>
          <w:sz w:val="24"/>
        </w:rPr>
      </w:pPr>
      <w:r>
        <w:rPr>
          <w:position w:val="2"/>
          <w:sz w:val="24"/>
        </w:rPr>
        <w:t>PaO</w:t>
      </w:r>
      <w:r>
        <w:rPr>
          <w:sz w:val="16"/>
        </w:rPr>
        <w:t>2</w:t>
      </w:r>
      <w:r>
        <w:rPr>
          <w:position w:val="2"/>
          <w:sz w:val="24"/>
        </w:rPr>
        <w:t>/FiO</w:t>
      </w:r>
      <w:r>
        <w:rPr>
          <w:sz w:val="16"/>
        </w:rPr>
        <w:t>2 </w:t>
      </w:r>
      <w:r>
        <w:rPr>
          <w:position w:val="2"/>
          <w:sz w:val="24"/>
        </w:rPr>
        <w:t>&gt; 300 мм рт.ст, то есть SpO</w:t>
      </w:r>
      <w:r>
        <w:rPr>
          <w:sz w:val="16"/>
        </w:rPr>
        <w:t>2 </w:t>
      </w:r>
      <w:r>
        <w:rPr>
          <w:position w:val="2"/>
          <w:sz w:val="24"/>
        </w:rPr>
        <w:t>при вдыхании воздуха 90% и</w:t>
      </w:r>
      <w:r>
        <w:rPr>
          <w:spacing w:val="-9"/>
          <w:position w:val="2"/>
          <w:sz w:val="24"/>
        </w:rPr>
        <w:t> </w:t>
      </w:r>
      <w:r>
        <w:rPr>
          <w:position w:val="2"/>
          <w:sz w:val="24"/>
        </w:rPr>
        <w:t>более;</w:t>
      </w:r>
    </w:p>
    <w:p>
      <w:pPr>
        <w:pStyle w:val="ListParagraph"/>
        <w:numPr>
          <w:ilvl w:val="1"/>
          <w:numId w:val="24"/>
        </w:numPr>
        <w:tabs>
          <w:tab w:pos="1000" w:val="left" w:leader="none"/>
          <w:tab w:pos="1001" w:val="left" w:leader="none"/>
        </w:tabs>
        <w:spacing w:line="240" w:lineRule="auto" w:before="82" w:after="0"/>
        <w:ind w:left="1000" w:right="0" w:hanging="339"/>
        <w:jc w:val="left"/>
        <w:rPr>
          <w:sz w:val="24"/>
        </w:rPr>
      </w:pPr>
      <w:r>
        <w:rPr>
          <w:sz w:val="24"/>
        </w:rPr>
        <w:t>Восстановление кашлевого рефлекса и кашлевого</w:t>
      </w:r>
      <w:r>
        <w:rPr>
          <w:spacing w:val="-3"/>
          <w:sz w:val="24"/>
        </w:rPr>
        <w:t> </w:t>
      </w:r>
      <w:r>
        <w:rPr>
          <w:sz w:val="24"/>
        </w:rPr>
        <w:t>толчка;</w:t>
      </w:r>
    </w:p>
    <w:p>
      <w:pPr>
        <w:pStyle w:val="ListParagraph"/>
        <w:numPr>
          <w:ilvl w:val="1"/>
          <w:numId w:val="24"/>
        </w:numPr>
        <w:tabs>
          <w:tab w:pos="1000" w:val="left" w:leader="none"/>
          <w:tab w:pos="1001" w:val="left" w:leader="none"/>
        </w:tabs>
        <w:spacing w:line="240" w:lineRule="auto" w:before="82" w:after="0"/>
        <w:ind w:left="1000" w:right="0" w:hanging="339"/>
        <w:jc w:val="left"/>
        <w:rPr>
          <w:sz w:val="24"/>
        </w:rPr>
      </w:pPr>
      <w:r>
        <w:rPr>
          <w:sz w:val="24"/>
        </w:rPr>
        <w:t>Отсутствие</w:t>
      </w:r>
      <w:r>
        <w:rPr>
          <w:spacing w:val="-2"/>
          <w:sz w:val="24"/>
        </w:rPr>
        <w:t> </w:t>
      </w:r>
      <w:r>
        <w:rPr>
          <w:sz w:val="24"/>
        </w:rPr>
        <w:t>бронхореи;</w:t>
      </w:r>
    </w:p>
    <w:p>
      <w:pPr>
        <w:pStyle w:val="ListParagraph"/>
        <w:numPr>
          <w:ilvl w:val="1"/>
          <w:numId w:val="24"/>
        </w:numPr>
        <w:tabs>
          <w:tab w:pos="1000" w:val="left" w:leader="none"/>
          <w:tab w:pos="1001" w:val="left" w:leader="none"/>
        </w:tabs>
        <w:spacing w:line="240" w:lineRule="auto" w:before="81" w:after="0"/>
        <w:ind w:left="1000" w:right="0" w:hanging="339"/>
        <w:jc w:val="left"/>
        <w:rPr>
          <w:sz w:val="24"/>
        </w:rPr>
      </w:pPr>
      <w:r>
        <w:rPr>
          <w:sz w:val="24"/>
        </w:rPr>
        <w:t>Индекс Тобина (f/Vt) &lt;</w:t>
      </w:r>
      <w:r>
        <w:rPr>
          <w:spacing w:val="-3"/>
          <w:sz w:val="24"/>
        </w:rPr>
        <w:t> </w:t>
      </w:r>
      <w:r>
        <w:rPr>
          <w:sz w:val="24"/>
        </w:rPr>
        <w:t>105.</w:t>
      </w:r>
    </w:p>
    <w:p>
      <w:pPr>
        <w:pStyle w:val="BodyText"/>
        <w:spacing w:before="181"/>
        <w:ind w:left="1041"/>
      </w:pPr>
      <w:r>
        <w:rPr>
          <w:color w:val="1F487C"/>
        </w:rPr>
        <w:t>Дополнительные респираторные критерии:</w:t>
      </w:r>
    </w:p>
    <w:p>
      <w:pPr>
        <w:pStyle w:val="ListParagraph"/>
        <w:numPr>
          <w:ilvl w:val="1"/>
          <w:numId w:val="24"/>
        </w:numPr>
        <w:tabs>
          <w:tab w:pos="1000" w:val="left" w:leader="none"/>
          <w:tab w:pos="1001" w:val="left" w:leader="none"/>
        </w:tabs>
        <w:spacing w:line="240" w:lineRule="auto" w:before="185" w:after="0"/>
        <w:ind w:left="1000" w:right="0" w:hanging="339"/>
        <w:jc w:val="left"/>
        <w:rPr>
          <w:sz w:val="24"/>
        </w:rPr>
      </w:pPr>
      <w:r>
        <w:rPr>
          <w:sz w:val="24"/>
        </w:rPr>
        <w:t>Статическая податливость респираторной системы &gt; 35 мл/ см</w:t>
      </w:r>
      <w:r>
        <w:rPr>
          <w:spacing w:val="-5"/>
          <w:sz w:val="24"/>
        </w:rPr>
        <w:t> </w:t>
      </w:r>
      <w:r>
        <w:rPr>
          <w:sz w:val="24"/>
        </w:rPr>
        <w:t>вод.ст.;</w:t>
      </w:r>
    </w:p>
    <w:p>
      <w:pPr>
        <w:spacing w:after="0" w:line="240" w:lineRule="auto"/>
        <w:jc w:val="left"/>
        <w:rPr>
          <w:sz w:val="24"/>
        </w:rPr>
        <w:sectPr>
          <w:pgSz w:w="11920" w:h="16850"/>
          <w:pgMar w:header="0" w:footer="620" w:top="1060" w:bottom="880" w:left="1380" w:right="600"/>
        </w:sectPr>
      </w:pPr>
    </w:p>
    <w:p>
      <w:pPr>
        <w:pStyle w:val="ListParagraph"/>
        <w:numPr>
          <w:ilvl w:val="1"/>
          <w:numId w:val="24"/>
        </w:numPr>
        <w:tabs>
          <w:tab w:pos="1000" w:val="left" w:leader="none"/>
          <w:tab w:pos="1001" w:val="left" w:leader="none"/>
        </w:tabs>
        <w:spacing w:line="240" w:lineRule="auto" w:before="80" w:after="0"/>
        <w:ind w:left="1000" w:right="0" w:hanging="339"/>
        <w:jc w:val="left"/>
        <w:rPr>
          <w:sz w:val="24"/>
        </w:rPr>
      </w:pPr>
      <w:r>
        <w:rPr>
          <w:sz w:val="24"/>
        </w:rPr>
        <w:t>Сопротивление дыхательных путей &lt; 10 см вод.ст./л/с;</w:t>
      </w:r>
    </w:p>
    <w:p>
      <w:pPr>
        <w:pStyle w:val="ListParagraph"/>
        <w:numPr>
          <w:ilvl w:val="1"/>
          <w:numId w:val="24"/>
        </w:numPr>
        <w:tabs>
          <w:tab w:pos="1000" w:val="left" w:leader="none"/>
          <w:tab w:pos="1001" w:val="left" w:leader="none"/>
        </w:tabs>
        <w:spacing w:line="240" w:lineRule="auto" w:before="83" w:after="0"/>
        <w:ind w:left="1000" w:right="0" w:hanging="339"/>
        <w:jc w:val="left"/>
        <w:rPr>
          <w:sz w:val="24"/>
        </w:rPr>
      </w:pPr>
      <w:r>
        <w:rPr>
          <w:sz w:val="24"/>
        </w:rPr>
        <w:t>Отрицательное давление при вдохе менее –20 см</w:t>
      </w:r>
      <w:r>
        <w:rPr>
          <w:spacing w:val="-5"/>
          <w:sz w:val="24"/>
        </w:rPr>
        <w:t> </w:t>
      </w:r>
      <w:r>
        <w:rPr>
          <w:sz w:val="24"/>
        </w:rPr>
        <w:t>вод.ст.;</w:t>
      </w:r>
    </w:p>
    <w:p>
      <w:pPr>
        <w:pStyle w:val="ListParagraph"/>
        <w:numPr>
          <w:ilvl w:val="1"/>
          <w:numId w:val="24"/>
        </w:numPr>
        <w:tabs>
          <w:tab w:pos="1000" w:val="left" w:leader="none"/>
          <w:tab w:pos="1001" w:val="left" w:leader="none"/>
        </w:tabs>
        <w:spacing w:line="240" w:lineRule="auto" w:before="80" w:after="0"/>
        <w:ind w:left="1000" w:right="0" w:hanging="339"/>
        <w:jc w:val="left"/>
        <w:rPr>
          <w:sz w:val="24"/>
        </w:rPr>
      </w:pPr>
      <w:r>
        <w:rPr>
          <w:sz w:val="24"/>
        </w:rPr>
        <w:t>Давление окклюзии контура на вдохе за первые 100 мс (Р0,1) 1-3 см</w:t>
      </w:r>
      <w:r>
        <w:rPr>
          <w:spacing w:val="-9"/>
          <w:sz w:val="24"/>
        </w:rPr>
        <w:t> </w:t>
      </w:r>
      <w:r>
        <w:rPr>
          <w:sz w:val="24"/>
        </w:rPr>
        <w:t>вод.ст.;</w:t>
      </w:r>
    </w:p>
    <w:p>
      <w:pPr>
        <w:pStyle w:val="ListParagraph"/>
        <w:numPr>
          <w:ilvl w:val="1"/>
          <w:numId w:val="24"/>
        </w:numPr>
        <w:tabs>
          <w:tab w:pos="1000" w:val="left" w:leader="none"/>
          <w:tab w:pos="1001" w:val="left" w:leader="none"/>
        </w:tabs>
        <w:spacing w:line="386" w:lineRule="auto" w:before="83" w:after="0"/>
        <w:ind w:left="1031" w:right="1179" w:hanging="370"/>
        <w:jc w:val="left"/>
        <w:rPr>
          <w:sz w:val="24"/>
        </w:rPr>
      </w:pPr>
      <w:r>
        <w:rPr>
          <w:sz w:val="24"/>
        </w:rPr>
        <w:t>Уменьшение инфильтрации на рентгенограмме (и/или КТ) грудной клетки;</w:t>
      </w:r>
      <w:r>
        <w:rPr>
          <w:color w:val="1F487C"/>
          <w:sz w:val="24"/>
        </w:rPr>
        <w:t> Общие критерии готовности к прекращению респираторной</w:t>
      </w:r>
      <w:r>
        <w:rPr>
          <w:color w:val="1F487C"/>
          <w:spacing w:val="-7"/>
          <w:sz w:val="24"/>
        </w:rPr>
        <w:t> </w:t>
      </w:r>
      <w:r>
        <w:rPr>
          <w:color w:val="1F487C"/>
          <w:sz w:val="24"/>
        </w:rPr>
        <w:t>поддержки:</w:t>
      </w:r>
    </w:p>
    <w:p>
      <w:pPr>
        <w:pStyle w:val="ListParagraph"/>
        <w:numPr>
          <w:ilvl w:val="1"/>
          <w:numId w:val="24"/>
        </w:numPr>
        <w:tabs>
          <w:tab w:pos="1000" w:val="left" w:leader="none"/>
          <w:tab w:pos="1001" w:val="left" w:leader="none"/>
        </w:tabs>
        <w:spacing w:line="240" w:lineRule="auto" w:before="16" w:after="0"/>
        <w:ind w:left="1000" w:right="0" w:hanging="339"/>
        <w:jc w:val="left"/>
        <w:rPr>
          <w:sz w:val="24"/>
        </w:rPr>
      </w:pPr>
      <w:r>
        <w:rPr>
          <w:sz w:val="24"/>
        </w:rPr>
        <w:t>Отсутствие угнетения сознания и патологических ритмов дыхания;</w:t>
      </w:r>
    </w:p>
    <w:p>
      <w:pPr>
        <w:pStyle w:val="ListParagraph"/>
        <w:numPr>
          <w:ilvl w:val="1"/>
          <w:numId w:val="24"/>
        </w:numPr>
        <w:tabs>
          <w:tab w:pos="1000" w:val="left" w:leader="none"/>
          <w:tab w:pos="1001" w:val="left" w:leader="none"/>
        </w:tabs>
        <w:spacing w:line="304" w:lineRule="auto" w:before="83" w:after="0"/>
        <w:ind w:left="1000" w:right="677" w:hanging="339"/>
        <w:jc w:val="left"/>
        <w:rPr>
          <w:sz w:val="24"/>
        </w:rPr>
      </w:pPr>
      <w:r>
        <w:rPr>
          <w:sz w:val="24"/>
        </w:rPr>
        <w:t>Полное окончание действия миорелаксантов и др. препаратов, угнетающих дыхание;</w:t>
      </w:r>
    </w:p>
    <w:p>
      <w:pPr>
        <w:pStyle w:val="ListParagraph"/>
        <w:numPr>
          <w:ilvl w:val="1"/>
          <w:numId w:val="24"/>
        </w:numPr>
        <w:tabs>
          <w:tab w:pos="1000" w:val="left" w:leader="none"/>
          <w:tab w:pos="1001" w:val="left" w:leader="none"/>
        </w:tabs>
        <w:spacing w:line="304" w:lineRule="auto" w:before="10" w:after="0"/>
        <w:ind w:left="1000" w:right="673" w:hanging="339"/>
        <w:jc w:val="left"/>
        <w:rPr>
          <w:sz w:val="24"/>
        </w:rPr>
      </w:pPr>
      <w:r>
        <w:rPr>
          <w:sz w:val="24"/>
        </w:rPr>
        <w:t>Отсутствие признаков шока (мраморность кожи, белое пятно &gt; 3 с, холодные конечности), жизнеопасных нарушений ритма, стабильность</w:t>
      </w:r>
      <w:r>
        <w:rPr>
          <w:spacing w:val="-6"/>
          <w:sz w:val="24"/>
        </w:rPr>
        <w:t> </w:t>
      </w:r>
      <w:r>
        <w:rPr>
          <w:sz w:val="24"/>
        </w:rPr>
        <w:t>гемодинамики.</w:t>
      </w:r>
    </w:p>
    <w:p>
      <w:pPr>
        <w:pStyle w:val="BodyText"/>
        <w:spacing w:line="312" w:lineRule="auto" w:before="23"/>
        <w:ind w:left="604" w:right="675"/>
      </w:pPr>
      <w:r>
        <w:rPr/>
        <w:t>Для начала прекращения респираторной поддержки обязательно наличие всех основных респираторных и общих критериев готовности к прекращению респираторной поддержки.</w:t>
      </w:r>
    </w:p>
    <w:p>
      <w:pPr>
        <w:pStyle w:val="BodyText"/>
        <w:ind w:left="0"/>
        <w:jc w:val="left"/>
        <w:rPr>
          <w:sz w:val="26"/>
        </w:rPr>
      </w:pPr>
    </w:p>
    <w:p>
      <w:pPr>
        <w:pStyle w:val="BodyText"/>
        <w:spacing w:before="161"/>
        <w:jc w:val="left"/>
      </w:pPr>
      <w:r>
        <w:rPr>
          <w:b/>
        </w:rPr>
        <w:t>Cхема 1. </w:t>
      </w:r>
      <w:r>
        <w:rPr/>
        <w:t>Пошаговый подход в выборе респираторной терапии COVID-19</w:t>
      </w:r>
    </w:p>
    <w:p>
      <w:pPr>
        <w:pStyle w:val="BodyText"/>
        <w:ind w:left="0"/>
        <w:jc w:val="left"/>
        <w:rPr>
          <w:sz w:val="20"/>
        </w:rPr>
      </w:pPr>
    </w:p>
    <w:p>
      <w:pPr>
        <w:pStyle w:val="BodyText"/>
        <w:spacing w:before="7"/>
        <w:ind w:left="0"/>
        <w:jc w:val="left"/>
        <w:rPr>
          <w:sz w:val="12"/>
        </w:rPr>
      </w:pPr>
      <w:r>
        <w:rPr/>
        <w:drawing>
          <wp:anchor distT="0" distB="0" distL="0" distR="0" allowOverlap="1" layoutInCell="1" locked="0" behindDoc="0" simplePos="0" relativeHeight="7">
            <wp:simplePos x="0" y="0"/>
            <wp:positionH relativeFrom="page">
              <wp:posOffset>1245555</wp:posOffset>
            </wp:positionH>
            <wp:positionV relativeFrom="paragraph">
              <wp:posOffset>116958</wp:posOffset>
            </wp:positionV>
            <wp:extent cx="5401234" cy="3421284"/>
            <wp:effectExtent l="0" t="0" r="0" b="0"/>
            <wp:wrapTopAndBottom/>
            <wp:docPr id="1" name="image3.jpeg"/>
            <wp:cNvGraphicFramePr>
              <a:graphicFrameLocks noChangeAspect="1"/>
            </wp:cNvGraphicFramePr>
            <a:graphic>
              <a:graphicData uri="http://schemas.openxmlformats.org/drawingml/2006/picture">
                <pic:pic>
                  <pic:nvPicPr>
                    <pic:cNvPr id="2" name="image3.jpeg"/>
                    <pic:cNvPicPr/>
                  </pic:nvPicPr>
                  <pic:blipFill>
                    <a:blip r:embed="rId14" cstate="print"/>
                    <a:stretch>
                      <a:fillRect/>
                    </a:stretch>
                  </pic:blipFill>
                  <pic:spPr>
                    <a:xfrm>
                      <a:off x="0" y="0"/>
                      <a:ext cx="5401234" cy="3421284"/>
                    </a:xfrm>
                    <a:prstGeom prst="rect">
                      <a:avLst/>
                    </a:prstGeom>
                  </pic:spPr>
                </pic:pic>
              </a:graphicData>
            </a:graphic>
          </wp:anchor>
        </w:drawing>
      </w:r>
    </w:p>
    <w:p>
      <w:pPr>
        <w:pStyle w:val="BodyText"/>
        <w:ind w:left="0"/>
        <w:jc w:val="left"/>
        <w:rPr>
          <w:sz w:val="26"/>
        </w:rPr>
      </w:pPr>
    </w:p>
    <w:p>
      <w:pPr>
        <w:pStyle w:val="BodyText"/>
        <w:spacing w:before="1"/>
        <w:ind w:left="0"/>
        <w:jc w:val="left"/>
        <w:rPr>
          <w:sz w:val="22"/>
        </w:rPr>
      </w:pPr>
    </w:p>
    <w:p>
      <w:pPr>
        <w:pStyle w:val="Heading3"/>
        <w:numPr>
          <w:ilvl w:val="2"/>
          <w:numId w:val="18"/>
        </w:numPr>
        <w:tabs>
          <w:tab w:pos="1630" w:val="left" w:leader="none"/>
        </w:tabs>
        <w:spacing w:line="240" w:lineRule="auto" w:before="0" w:after="0"/>
        <w:ind w:left="1629" w:right="0" w:hanging="601"/>
        <w:jc w:val="both"/>
      </w:pPr>
      <w:bookmarkStart w:name="5.6.4. Экстракорпоральная мембранная окс" w:id="85"/>
      <w:bookmarkEnd w:id="85"/>
      <w:r>
        <w:rPr>
          <w:b w:val="0"/>
        </w:rPr>
      </w:r>
      <w:bookmarkStart w:name="5.6.4. Экстракорпоральная мембранная окс" w:id="86"/>
      <w:bookmarkEnd w:id="86"/>
      <w:r>
        <w:rPr>
          <w:color w:val="1F487C"/>
        </w:rPr>
        <w:t>Эк</w:t>
      </w:r>
      <w:r>
        <w:rPr>
          <w:color w:val="1F487C"/>
        </w:rPr>
        <w:t>стракорпоральная мембранная оксигенация</w:t>
      </w:r>
      <w:r>
        <w:rPr>
          <w:color w:val="1F487C"/>
          <w:spacing w:val="-5"/>
        </w:rPr>
        <w:t> </w:t>
      </w:r>
      <w:r>
        <w:rPr>
          <w:color w:val="1F487C"/>
        </w:rPr>
        <w:t>(ЭКМО)</w:t>
      </w:r>
    </w:p>
    <w:p>
      <w:pPr>
        <w:pStyle w:val="BodyText"/>
        <w:spacing w:line="312" w:lineRule="auto" w:before="141"/>
        <w:ind w:right="673" w:firstLine="708"/>
      </w:pPr>
      <w:r>
        <w:rPr>
          <w:position w:val="2"/>
        </w:rPr>
        <w:t>Показанием к вено-венозному ЭКМО является снижение индекса РаО</w:t>
      </w:r>
      <w:r>
        <w:rPr>
          <w:sz w:val="16"/>
        </w:rPr>
        <w:t>2</w:t>
      </w:r>
      <w:r>
        <w:rPr>
          <w:position w:val="2"/>
        </w:rPr>
        <w:t>/FiO</w:t>
      </w:r>
      <w:r>
        <w:rPr>
          <w:sz w:val="16"/>
        </w:rPr>
        <w:t>2 </w:t>
      </w:r>
      <w:r>
        <w:rPr/>
        <w:t>ниже 80 мм рт.ст. и (или) гиперкапния с рН &lt; 7,2, несмотря на протективную ИВЛ      в прон-позиции в течение 10-12 ч. Обязательным условием является длительность проведения инвазивной ИВЛ не более 5 суток. Эффективность ЭКМО крайне сомнительна</w:t>
      </w:r>
      <w:r>
        <w:rPr>
          <w:spacing w:val="22"/>
        </w:rPr>
        <w:t> </w:t>
      </w:r>
      <w:r>
        <w:rPr/>
        <w:t>при</w:t>
      </w:r>
      <w:r>
        <w:rPr>
          <w:spacing w:val="24"/>
        </w:rPr>
        <w:t> </w:t>
      </w:r>
      <w:r>
        <w:rPr/>
        <w:t>септическом</w:t>
      </w:r>
      <w:r>
        <w:rPr>
          <w:spacing w:val="23"/>
        </w:rPr>
        <w:t> </w:t>
      </w:r>
      <w:r>
        <w:rPr/>
        <w:t>шоке.</w:t>
      </w:r>
      <w:r>
        <w:rPr>
          <w:spacing w:val="23"/>
        </w:rPr>
        <w:t> </w:t>
      </w:r>
      <w:r>
        <w:rPr/>
        <w:t>ЭКМО</w:t>
      </w:r>
      <w:r>
        <w:rPr>
          <w:spacing w:val="24"/>
        </w:rPr>
        <w:t> </w:t>
      </w:r>
      <w:r>
        <w:rPr/>
        <w:t>проводится</w:t>
      </w:r>
      <w:r>
        <w:rPr>
          <w:spacing w:val="24"/>
        </w:rPr>
        <w:t> </w:t>
      </w:r>
      <w:r>
        <w:rPr/>
        <w:t>в</w:t>
      </w:r>
      <w:r>
        <w:rPr>
          <w:spacing w:val="22"/>
        </w:rPr>
        <w:t> </w:t>
      </w:r>
      <w:r>
        <w:rPr/>
        <w:t>отделениях</w:t>
      </w:r>
      <w:r>
        <w:rPr>
          <w:spacing w:val="25"/>
        </w:rPr>
        <w:t> </w:t>
      </w:r>
      <w:r>
        <w:rPr/>
        <w:t>с</w:t>
      </w:r>
      <w:r>
        <w:rPr>
          <w:spacing w:val="23"/>
        </w:rPr>
        <w:t> </w:t>
      </w:r>
      <w:r>
        <w:rPr/>
        <w:t>опытом</w:t>
      </w:r>
    </w:p>
    <w:p>
      <w:pPr>
        <w:spacing w:after="0" w:line="312" w:lineRule="auto"/>
        <w:sectPr>
          <w:pgSz w:w="11920" w:h="16850"/>
          <w:pgMar w:header="0" w:footer="620" w:top="1060" w:bottom="880" w:left="1380" w:right="600"/>
        </w:sectPr>
      </w:pPr>
    </w:p>
    <w:p>
      <w:pPr>
        <w:pStyle w:val="BodyText"/>
        <w:spacing w:line="312" w:lineRule="auto" w:before="78"/>
        <w:jc w:val="left"/>
      </w:pPr>
      <w:r>
        <w:rPr/>
        <w:t>использования</w:t>
      </w:r>
      <w:r>
        <w:rPr>
          <w:spacing w:val="-18"/>
        </w:rPr>
        <w:t> </w:t>
      </w:r>
      <w:r>
        <w:rPr/>
        <w:t>данной</w:t>
      </w:r>
      <w:r>
        <w:rPr>
          <w:spacing w:val="-16"/>
        </w:rPr>
        <w:t> </w:t>
      </w:r>
      <w:r>
        <w:rPr/>
        <w:t>технологии</w:t>
      </w:r>
      <w:r>
        <w:rPr>
          <w:spacing w:val="-16"/>
        </w:rPr>
        <w:t> </w:t>
      </w:r>
      <w:r>
        <w:rPr/>
        <w:t>и</w:t>
      </w:r>
      <w:r>
        <w:rPr>
          <w:spacing w:val="-17"/>
        </w:rPr>
        <w:t> </w:t>
      </w:r>
      <w:r>
        <w:rPr/>
        <w:t>специалистами,</w:t>
      </w:r>
      <w:r>
        <w:rPr>
          <w:spacing w:val="-17"/>
        </w:rPr>
        <w:t> </w:t>
      </w:r>
      <w:r>
        <w:rPr/>
        <w:t>владеющими</w:t>
      </w:r>
      <w:r>
        <w:rPr>
          <w:spacing w:val="-16"/>
        </w:rPr>
        <w:t> </w:t>
      </w:r>
      <w:r>
        <w:rPr/>
        <w:t>техникой</w:t>
      </w:r>
      <w:r>
        <w:rPr>
          <w:spacing w:val="-17"/>
        </w:rPr>
        <w:t> </w:t>
      </w:r>
      <w:r>
        <w:rPr/>
        <w:t>канюляции магистральных сосудов и настройкой</w:t>
      </w:r>
      <w:r>
        <w:rPr>
          <w:spacing w:val="4"/>
        </w:rPr>
        <w:t> </w:t>
      </w:r>
      <w:r>
        <w:rPr/>
        <w:t>ЭКМО.</w:t>
      </w:r>
    </w:p>
    <w:p>
      <w:pPr>
        <w:pStyle w:val="BodyText"/>
        <w:spacing w:before="122"/>
        <w:ind w:left="1029"/>
        <w:jc w:val="left"/>
      </w:pPr>
      <w:r>
        <w:rPr>
          <w:color w:val="1F487C"/>
        </w:rPr>
        <w:t>Противопоказания к ЭКМО:</w:t>
      </w:r>
    </w:p>
    <w:p>
      <w:pPr>
        <w:pStyle w:val="ListParagraph"/>
        <w:numPr>
          <w:ilvl w:val="2"/>
          <w:numId w:val="24"/>
        </w:numPr>
        <w:tabs>
          <w:tab w:pos="1389" w:val="left" w:leader="none"/>
          <w:tab w:pos="1390" w:val="left" w:leader="none"/>
        </w:tabs>
        <w:spacing w:line="309" w:lineRule="auto" w:before="202" w:after="0"/>
        <w:ind w:left="1389" w:right="1118" w:hanging="360"/>
        <w:jc w:val="left"/>
        <w:rPr>
          <w:sz w:val="24"/>
        </w:rPr>
      </w:pPr>
      <w:r>
        <w:rPr>
          <w:sz w:val="24"/>
        </w:rPr>
        <w:t>Наличие геморрагических осложнений и снижение уровня тромбоцитов ниже критических значений (&lt;50*10</w:t>
      </w:r>
      <w:r>
        <w:rPr>
          <w:sz w:val="24"/>
          <w:vertAlign w:val="superscript"/>
        </w:rPr>
        <w:t>9</w:t>
      </w:r>
      <w:r>
        <w:rPr>
          <w:sz w:val="24"/>
          <w:vertAlign w:val="baseline"/>
        </w:rPr>
        <w:t>/л), наличие внутричерепных кровоизлияний;</w:t>
      </w:r>
    </w:p>
    <w:p>
      <w:pPr>
        <w:pStyle w:val="ListParagraph"/>
        <w:numPr>
          <w:ilvl w:val="2"/>
          <w:numId w:val="24"/>
        </w:numPr>
        <w:tabs>
          <w:tab w:pos="1389" w:val="left" w:leader="none"/>
          <w:tab w:pos="1390" w:val="left" w:leader="none"/>
        </w:tabs>
        <w:spacing w:line="240" w:lineRule="auto" w:before="3" w:after="0"/>
        <w:ind w:left="1389" w:right="0" w:hanging="361"/>
        <w:jc w:val="left"/>
        <w:rPr>
          <w:sz w:val="24"/>
        </w:rPr>
      </w:pPr>
      <w:r>
        <w:rPr>
          <w:sz w:val="24"/>
        </w:rPr>
        <w:t>Тяжелые сопутствующие заболевания в стадии</w:t>
      </w:r>
      <w:r>
        <w:rPr>
          <w:spacing w:val="-5"/>
          <w:sz w:val="24"/>
        </w:rPr>
        <w:t> </w:t>
      </w:r>
      <w:r>
        <w:rPr>
          <w:sz w:val="24"/>
        </w:rPr>
        <w:t>декомпенсации;</w:t>
      </w:r>
    </w:p>
    <w:p>
      <w:pPr>
        <w:pStyle w:val="ListParagraph"/>
        <w:numPr>
          <w:ilvl w:val="2"/>
          <w:numId w:val="24"/>
        </w:numPr>
        <w:tabs>
          <w:tab w:pos="1389" w:val="left" w:leader="none"/>
          <w:tab w:pos="1390" w:val="left" w:leader="none"/>
        </w:tabs>
        <w:spacing w:line="240" w:lineRule="auto" w:before="83" w:after="0"/>
        <w:ind w:left="1389" w:right="0" w:hanging="361"/>
        <w:jc w:val="left"/>
        <w:rPr>
          <w:sz w:val="24"/>
        </w:rPr>
      </w:pPr>
      <w:r>
        <w:rPr>
          <w:sz w:val="24"/>
        </w:rPr>
        <w:t>Полиорганная недостаточность или оценка по SOFA &gt; 15</w:t>
      </w:r>
      <w:r>
        <w:rPr>
          <w:spacing w:val="-8"/>
          <w:sz w:val="24"/>
        </w:rPr>
        <w:t> </w:t>
      </w:r>
      <w:r>
        <w:rPr>
          <w:sz w:val="24"/>
        </w:rPr>
        <w:t>баллов;</w:t>
      </w:r>
    </w:p>
    <w:p>
      <w:pPr>
        <w:pStyle w:val="ListParagraph"/>
        <w:numPr>
          <w:ilvl w:val="2"/>
          <w:numId w:val="24"/>
        </w:numPr>
        <w:tabs>
          <w:tab w:pos="1389" w:val="left" w:leader="none"/>
          <w:tab w:pos="1390" w:val="left" w:leader="none"/>
        </w:tabs>
        <w:spacing w:line="240" w:lineRule="auto" w:before="80" w:after="0"/>
        <w:ind w:left="1389" w:right="0" w:hanging="361"/>
        <w:jc w:val="left"/>
        <w:rPr>
          <w:sz w:val="24"/>
        </w:rPr>
      </w:pPr>
      <w:r>
        <w:rPr>
          <w:sz w:val="24"/>
        </w:rPr>
        <w:t>Немедикаментозная</w:t>
      </w:r>
      <w:r>
        <w:rPr>
          <w:spacing w:val="-2"/>
          <w:sz w:val="24"/>
        </w:rPr>
        <w:t> </w:t>
      </w:r>
      <w:r>
        <w:rPr>
          <w:sz w:val="24"/>
        </w:rPr>
        <w:t>кома;</w:t>
      </w:r>
    </w:p>
    <w:p>
      <w:pPr>
        <w:pStyle w:val="ListParagraph"/>
        <w:numPr>
          <w:ilvl w:val="2"/>
          <w:numId w:val="24"/>
        </w:numPr>
        <w:tabs>
          <w:tab w:pos="1389" w:val="left" w:leader="none"/>
          <w:tab w:pos="1390" w:val="left" w:leader="none"/>
        </w:tabs>
        <w:spacing w:line="240" w:lineRule="auto" w:before="83" w:after="0"/>
        <w:ind w:left="1389" w:right="0" w:hanging="361"/>
        <w:jc w:val="left"/>
        <w:rPr>
          <w:sz w:val="24"/>
        </w:rPr>
      </w:pPr>
      <w:r>
        <w:rPr>
          <w:sz w:val="24"/>
        </w:rPr>
        <w:t>Техническая невозможность венозного или артериального</w:t>
      </w:r>
      <w:r>
        <w:rPr>
          <w:spacing w:val="-2"/>
          <w:sz w:val="24"/>
        </w:rPr>
        <w:t> </w:t>
      </w:r>
      <w:r>
        <w:rPr>
          <w:sz w:val="24"/>
        </w:rPr>
        <w:t>доступа;</w:t>
      </w:r>
    </w:p>
    <w:p>
      <w:pPr>
        <w:pStyle w:val="ListParagraph"/>
        <w:numPr>
          <w:ilvl w:val="2"/>
          <w:numId w:val="24"/>
        </w:numPr>
        <w:tabs>
          <w:tab w:pos="1389" w:val="left" w:leader="none"/>
          <w:tab w:pos="1390" w:val="left" w:leader="none"/>
        </w:tabs>
        <w:spacing w:line="240" w:lineRule="auto" w:before="82" w:after="0"/>
        <w:ind w:left="1389" w:right="0" w:hanging="361"/>
        <w:jc w:val="left"/>
        <w:rPr>
          <w:sz w:val="24"/>
        </w:rPr>
      </w:pPr>
      <w:r>
        <w:rPr>
          <w:sz w:val="24"/>
        </w:rPr>
        <w:t>Индекс массы тела &gt; 35</w:t>
      </w:r>
      <w:r>
        <w:rPr>
          <w:spacing w:val="-3"/>
          <w:sz w:val="24"/>
        </w:rPr>
        <w:t> </w:t>
      </w:r>
      <w:r>
        <w:rPr>
          <w:sz w:val="24"/>
        </w:rPr>
        <w:t>кг/м</w:t>
      </w:r>
      <w:r>
        <w:rPr>
          <w:sz w:val="24"/>
          <w:vertAlign w:val="superscript"/>
        </w:rPr>
        <w:t>2</w:t>
      </w:r>
      <w:r>
        <w:rPr>
          <w:sz w:val="24"/>
          <w:vertAlign w:val="baseline"/>
        </w:rPr>
        <w:t>;</w:t>
      </w:r>
    </w:p>
    <w:p>
      <w:pPr>
        <w:pStyle w:val="ListParagraph"/>
        <w:numPr>
          <w:ilvl w:val="2"/>
          <w:numId w:val="24"/>
        </w:numPr>
        <w:tabs>
          <w:tab w:pos="1389" w:val="left" w:leader="none"/>
          <w:tab w:pos="1390" w:val="left" w:leader="none"/>
        </w:tabs>
        <w:spacing w:line="240" w:lineRule="auto" w:before="81" w:after="0"/>
        <w:ind w:left="1389" w:right="0" w:hanging="361"/>
        <w:jc w:val="left"/>
        <w:rPr>
          <w:sz w:val="24"/>
        </w:rPr>
      </w:pPr>
      <w:r>
        <w:rPr>
          <w:sz w:val="24"/>
        </w:rPr>
        <w:t>Возраст пациента более 65</w:t>
      </w:r>
      <w:r>
        <w:rPr>
          <w:spacing w:val="-3"/>
          <w:sz w:val="24"/>
        </w:rPr>
        <w:t> </w:t>
      </w:r>
      <w:r>
        <w:rPr>
          <w:sz w:val="24"/>
        </w:rPr>
        <w:t>лет.</w:t>
      </w:r>
    </w:p>
    <w:p>
      <w:pPr>
        <w:pStyle w:val="BodyText"/>
        <w:spacing w:before="10"/>
        <w:ind w:left="0"/>
        <w:jc w:val="left"/>
        <w:rPr>
          <w:sz w:val="27"/>
        </w:rPr>
      </w:pPr>
    </w:p>
    <w:p>
      <w:pPr>
        <w:pStyle w:val="Heading3"/>
        <w:numPr>
          <w:ilvl w:val="2"/>
          <w:numId w:val="18"/>
        </w:numPr>
        <w:tabs>
          <w:tab w:pos="1630" w:val="left" w:leader="none"/>
        </w:tabs>
        <w:spacing w:line="240" w:lineRule="auto" w:before="0" w:after="0"/>
        <w:ind w:left="1629" w:right="0" w:hanging="601"/>
        <w:jc w:val="both"/>
      </w:pPr>
      <w:bookmarkStart w:name="5.6.5. Поддержка кровообращения и инфузи" w:id="87"/>
      <w:bookmarkEnd w:id="87"/>
      <w:r>
        <w:rPr>
          <w:b w:val="0"/>
        </w:rPr>
      </w:r>
      <w:bookmarkStart w:name="5.6.5. Поддержка кровообращения и инфузи" w:id="88"/>
      <w:bookmarkEnd w:id="88"/>
      <w:r>
        <w:rPr>
          <w:color w:val="1F487C"/>
        </w:rPr>
        <w:t>По</w:t>
      </w:r>
      <w:r>
        <w:rPr>
          <w:color w:val="1F487C"/>
        </w:rPr>
        <w:t>ддержка кровообращения и инфузионная</w:t>
      </w:r>
      <w:r>
        <w:rPr>
          <w:color w:val="1F487C"/>
          <w:spacing w:val="-6"/>
        </w:rPr>
        <w:t> </w:t>
      </w:r>
      <w:r>
        <w:rPr>
          <w:color w:val="1F487C"/>
        </w:rPr>
        <w:t>терапия</w:t>
      </w:r>
    </w:p>
    <w:p>
      <w:pPr>
        <w:pStyle w:val="BodyText"/>
        <w:spacing w:line="312" w:lineRule="auto" w:before="142"/>
        <w:ind w:right="675" w:firstLine="708"/>
      </w:pPr>
      <w:r>
        <w:rPr/>
        <w:t>У пациентов с COVID-19 рекомендуется придерживаться консервативной (ограничительной) тактики инфузионной терапии с динамической оценкой ее эффективности по ответу показателей гемодинамики, газовому составу крови, клиренсу лактата и другим показателям. В качестве начальной инфузионной терапии следует использовать болюсное введение кристаллоидов по 500 мл в зависимости от реакции гемодинамики и газообмена. Необходимо вести пациентов в нулевом или отрицательном балансе жидкости с обязательным контролем диуреза и суточного гидробаланса. Для поддержания отрицательного гидробаланса могут быть использованы диуретики и методы почечной заместительной терапии.</w:t>
      </w:r>
    </w:p>
    <w:p>
      <w:pPr>
        <w:pStyle w:val="BodyText"/>
        <w:spacing w:line="312" w:lineRule="auto" w:before="121"/>
        <w:ind w:right="672" w:firstLine="708"/>
      </w:pPr>
      <w:r>
        <w:rPr/>
        <w:t>У</w:t>
      </w:r>
      <w:r>
        <w:rPr>
          <w:spacing w:val="-11"/>
        </w:rPr>
        <w:t> </w:t>
      </w:r>
      <w:r>
        <w:rPr/>
        <w:t>пациента</w:t>
      </w:r>
      <w:r>
        <w:rPr>
          <w:spacing w:val="-12"/>
        </w:rPr>
        <w:t> </w:t>
      </w:r>
      <w:r>
        <w:rPr/>
        <w:t>с</w:t>
      </w:r>
      <w:r>
        <w:rPr>
          <w:spacing w:val="-12"/>
        </w:rPr>
        <w:t> </w:t>
      </w:r>
      <w:r>
        <w:rPr/>
        <w:t>гипотензией</w:t>
      </w:r>
      <w:r>
        <w:rPr>
          <w:spacing w:val="-10"/>
        </w:rPr>
        <w:t> </w:t>
      </w:r>
      <w:r>
        <w:rPr/>
        <w:t>(систолическое</w:t>
      </w:r>
      <w:r>
        <w:rPr>
          <w:spacing w:val="-10"/>
        </w:rPr>
        <w:t> </w:t>
      </w:r>
      <w:r>
        <w:rPr/>
        <w:t>АД</w:t>
      </w:r>
      <w:r>
        <w:rPr>
          <w:spacing w:val="-9"/>
        </w:rPr>
        <w:t> </w:t>
      </w:r>
      <w:r>
        <w:rPr/>
        <w:t>менее</w:t>
      </w:r>
      <w:r>
        <w:rPr>
          <w:spacing w:val="-12"/>
        </w:rPr>
        <w:t> </w:t>
      </w:r>
      <w:r>
        <w:rPr/>
        <w:t>90</w:t>
      </w:r>
      <w:r>
        <w:rPr>
          <w:spacing w:val="-9"/>
        </w:rPr>
        <w:t> </w:t>
      </w:r>
      <w:r>
        <w:rPr/>
        <w:t>мм</w:t>
      </w:r>
      <w:r>
        <w:rPr>
          <w:spacing w:val="-12"/>
        </w:rPr>
        <w:t> </w:t>
      </w:r>
      <w:r>
        <w:rPr/>
        <w:t>рт.ст.</w:t>
      </w:r>
      <w:r>
        <w:rPr>
          <w:spacing w:val="-9"/>
        </w:rPr>
        <w:t> </w:t>
      </w:r>
      <w:r>
        <w:rPr/>
        <w:t>или</w:t>
      </w:r>
      <w:r>
        <w:rPr>
          <w:spacing w:val="-10"/>
        </w:rPr>
        <w:t> </w:t>
      </w:r>
      <w:r>
        <w:rPr/>
        <w:t>среднее</w:t>
      </w:r>
      <w:r>
        <w:rPr>
          <w:spacing w:val="-12"/>
        </w:rPr>
        <w:t> </w:t>
      </w:r>
      <w:r>
        <w:rPr/>
        <w:t>АД менее</w:t>
      </w:r>
      <w:r>
        <w:rPr>
          <w:spacing w:val="-12"/>
        </w:rPr>
        <w:t> </w:t>
      </w:r>
      <w:r>
        <w:rPr/>
        <w:t>65</w:t>
      </w:r>
      <w:r>
        <w:rPr>
          <w:spacing w:val="-11"/>
        </w:rPr>
        <w:t> </w:t>
      </w:r>
      <w:r>
        <w:rPr/>
        <w:t>мм</w:t>
      </w:r>
      <w:r>
        <w:rPr>
          <w:spacing w:val="-10"/>
        </w:rPr>
        <w:t> </w:t>
      </w:r>
      <w:r>
        <w:rPr/>
        <w:t>рт.ст.)</w:t>
      </w:r>
      <w:r>
        <w:rPr>
          <w:spacing w:val="-11"/>
        </w:rPr>
        <w:t> </w:t>
      </w:r>
      <w:r>
        <w:rPr/>
        <w:t>рекомендуется</w:t>
      </w:r>
      <w:r>
        <w:rPr>
          <w:spacing w:val="-10"/>
        </w:rPr>
        <w:t> </w:t>
      </w:r>
      <w:r>
        <w:rPr/>
        <w:t>провести</w:t>
      </w:r>
      <w:r>
        <w:rPr>
          <w:spacing w:val="-10"/>
        </w:rPr>
        <w:t> </w:t>
      </w:r>
      <w:r>
        <w:rPr/>
        <w:t>скрининговое</w:t>
      </w:r>
      <w:r>
        <w:rPr>
          <w:spacing w:val="-11"/>
        </w:rPr>
        <w:t> </w:t>
      </w:r>
      <w:r>
        <w:rPr/>
        <w:t>обследование,</w:t>
      </w:r>
      <w:r>
        <w:rPr>
          <w:spacing w:val="-11"/>
        </w:rPr>
        <w:t> </w:t>
      </w:r>
      <w:r>
        <w:rPr/>
        <w:t>направленное на выявление возможных дополнительных очагов инфекции, включая бактериальную суперинфекцию. При проведении инфузионной нагрузки с целью стабилизации гемодинамики у таких больных следует отдать предпочтение сбалансированным кристаллоидным препаратам. Рутинное использование коллоидных препаратов не рекомендовано.</w:t>
      </w:r>
    </w:p>
    <w:p>
      <w:pPr>
        <w:pStyle w:val="BodyText"/>
        <w:spacing w:line="312" w:lineRule="auto" w:before="119"/>
        <w:ind w:right="674" w:firstLine="708"/>
      </w:pPr>
      <w:r>
        <w:rPr/>
        <w:t>У пациентов с гипотензией, которым инфузионная нагрузка не требуется (при отрицательных результатах динамических тестов на инфузионную нагрузку) или проведение инфузионной нагрузки не сопровождается быстрой стабилизацией гемодинамики, рекомендуется начать введение вазоактивных препаратов с целью начального поддержания среднего АД  в  пределах  65-75  мм  рт.  ст.  У  пациентов  до 65 лет при отсутствии кардиальной патологии и признаков тканевой гипоперфузии допустимо</w:t>
      </w:r>
      <w:r>
        <w:rPr>
          <w:spacing w:val="-13"/>
        </w:rPr>
        <w:t> </w:t>
      </w:r>
      <w:r>
        <w:rPr/>
        <w:t>поддержание</w:t>
      </w:r>
      <w:r>
        <w:rPr>
          <w:spacing w:val="-14"/>
        </w:rPr>
        <w:t> </w:t>
      </w:r>
      <w:r>
        <w:rPr/>
        <w:t>среднего</w:t>
      </w:r>
      <w:r>
        <w:rPr>
          <w:spacing w:val="-14"/>
        </w:rPr>
        <w:t> </w:t>
      </w:r>
      <w:r>
        <w:rPr/>
        <w:t>АД</w:t>
      </w:r>
      <w:r>
        <w:rPr>
          <w:spacing w:val="-12"/>
        </w:rPr>
        <w:t> </w:t>
      </w:r>
      <w:r>
        <w:rPr/>
        <w:t>в</w:t>
      </w:r>
      <w:r>
        <w:rPr>
          <w:spacing w:val="-13"/>
        </w:rPr>
        <w:t> </w:t>
      </w:r>
      <w:r>
        <w:rPr/>
        <w:t>пределах</w:t>
      </w:r>
      <w:r>
        <w:rPr>
          <w:spacing w:val="-11"/>
        </w:rPr>
        <w:t> </w:t>
      </w:r>
      <w:r>
        <w:rPr/>
        <w:t>60-65</w:t>
      </w:r>
      <w:r>
        <w:rPr>
          <w:spacing w:val="-13"/>
        </w:rPr>
        <w:t> </w:t>
      </w:r>
      <w:r>
        <w:rPr/>
        <w:t>мм</w:t>
      </w:r>
      <w:r>
        <w:rPr>
          <w:spacing w:val="-14"/>
        </w:rPr>
        <w:t> </w:t>
      </w:r>
      <w:r>
        <w:rPr/>
        <w:t>рт.</w:t>
      </w:r>
      <w:r>
        <w:rPr>
          <w:spacing w:val="-11"/>
        </w:rPr>
        <w:t> </w:t>
      </w:r>
      <w:r>
        <w:rPr/>
        <w:t>ст.</w:t>
      </w:r>
      <w:r>
        <w:rPr>
          <w:spacing w:val="-13"/>
        </w:rPr>
        <w:t> </w:t>
      </w:r>
      <w:r>
        <w:rPr/>
        <w:t>У</w:t>
      </w:r>
      <w:r>
        <w:rPr>
          <w:spacing w:val="-13"/>
        </w:rPr>
        <w:t> </w:t>
      </w:r>
      <w:r>
        <w:rPr/>
        <w:t>пожилых</w:t>
      </w:r>
      <w:r>
        <w:rPr>
          <w:spacing w:val="-11"/>
        </w:rPr>
        <w:t> </w:t>
      </w:r>
      <w:r>
        <w:rPr/>
        <w:t>пациентов</w:t>
      </w:r>
    </w:p>
    <w:p>
      <w:pPr>
        <w:spacing w:after="0" w:line="312" w:lineRule="auto"/>
        <w:sectPr>
          <w:pgSz w:w="11920" w:h="16850"/>
          <w:pgMar w:header="0" w:footer="620" w:top="1060" w:bottom="880" w:left="1380" w:right="600"/>
        </w:sectPr>
      </w:pPr>
    </w:p>
    <w:p>
      <w:pPr>
        <w:pStyle w:val="BodyText"/>
        <w:spacing w:line="312" w:lineRule="auto" w:before="78"/>
        <w:ind w:right="673"/>
      </w:pPr>
      <w:r>
        <w:rPr/>
        <w:t>с сопутствующей артериальной гипертензией для профилактики острого повреждения почек целесообразно поддержание среднего АД 75-85 мм рт. ст.</w:t>
      </w:r>
    </w:p>
    <w:p>
      <w:pPr>
        <w:pStyle w:val="BodyText"/>
        <w:spacing w:line="312" w:lineRule="auto" w:before="120"/>
        <w:ind w:right="673" w:firstLine="708"/>
      </w:pPr>
      <w:r>
        <w:rPr/>
        <w:t>В качестве вазоактивного препарата первой линии рекомендуется использовать норэпинефрин,</w:t>
      </w:r>
      <w:r>
        <w:rPr>
          <w:spacing w:val="-12"/>
        </w:rPr>
        <w:t> </w:t>
      </w:r>
      <w:r>
        <w:rPr/>
        <w:t>при</w:t>
      </w:r>
      <w:r>
        <w:rPr>
          <w:spacing w:val="-11"/>
        </w:rPr>
        <w:t> </w:t>
      </w:r>
      <w:r>
        <w:rPr/>
        <w:t>его</w:t>
      </w:r>
      <w:r>
        <w:rPr>
          <w:spacing w:val="-11"/>
        </w:rPr>
        <w:t> </w:t>
      </w:r>
      <w:r>
        <w:rPr/>
        <w:t>недоступности</w:t>
      </w:r>
      <w:r>
        <w:rPr>
          <w:spacing w:val="-11"/>
        </w:rPr>
        <w:t> </w:t>
      </w:r>
      <w:r>
        <w:rPr/>
        <w:t>–</w:t>
      </w:r>
      <w:r>
        <w:rPr>
          <w:spacing w:val="-9"/>
        </w:rPr>
        <w:t> </w:t>
      </w:r>
      <w:r>
        <w:rPr/>
        <w:t>эпинефрин.</w:t>
      </w:r>
      <w:r>
        <w:rPr>
          <w:spacing w:val="-12"/>
        </w:rPr>
        <w:t> </w:t>
      </w:r>
      <w:r>
        <w:rPr/>
        <w:t>Дофамин</w:t>
      </w:r>
      <w:r>
        <w:rPr>
          <w:spacing w:val="-10"/>
        </w:rPr>
        <w:t> </w:t>
      </w:r>
      <w:r>
        <w:rPr/>
        <w:t>может</w:t>
      </w:r>
      <w:r>
        <w:rPr>
          <w:spacing w:val="-9"/>
        </w:rPr>
        <w:t> </w:t>
      </w:r>
      <w:r>
        <w:rPr/>
        <w:t>быть</w:t>
      </w:r>
      <w:r>
        <w:rPr>
          <w:spacing w:val="-10"/>
        </w:rPr>
        <w:t> </w:t>
      </w:r>
      <w:r>
        <w:rPr/>
        <w:t>использован только в отсутствие норэпинефрина и эпинефрина. У пациентов с COVID-19 и шоком с признаками миокардиальной дисфункции, проявляющейся повышением давлений наполнения сердца и снижением сердечного выброса, или при сохраняющихся признаках гипоперфузии, несмотря на достижение адекватных показателей преднагрузки и среднего АД,  рекомендуется  дополнительно  назначить  добутамин. У пациентов с рефрактерным шоком (потребность в инфузии норэпинефрина или эпинефрина</w:t>
      </w:r>
      <w:r>
        <w:rPr>
          <w:spacing w:val="-8"/>
        </w:rPr>
        <w:t> </w:t>
      </w:r>
      <w:r>
        <w:rPr/>
        <w:t>в</w:t>
      </w:r>
      <w:r>
        <w:rPr>
          <w:spacing w:val="-7"/>
        </w:rPr>
        <w:t> </w:t>
      </w:r>
      <w:r>
        <w:rPr/>
        <w:t>дозе</w:t>
      </w:r>
      <w:r>
        <w:rPr>
          <w:spacing w:val="-7"/>
        </w:rPr>
        <w:t> </w:t>
      </w:r>
      <w:r>
        <w:rPr/>
        <w:t>&gt;</w:t>
      </w:r>
      <w:r>
        <w:rPr>
          <w:spacing w:val="-7"/>
        </w:rPr>
        <w:t> </w:t>
      </w:r>
      <w:r>
        <w:rPr/>
        <w:t>0,5</w:t>
      </w:r>
      <w:r>
        <w:rPr>
          <w:spacing w:val="-6"/>
        </w:rPr>
        <w:t> </w:t>
      </w:r>
      <w:r>
        <w:rPr/>
        <w:t>мкг/кг/мин</w:t>
      </w:r>
      <w:r>
        <w:rPr>
          <w:spacing w:val="-5"/>
        </w:rPr>
        <w:t> </w:t>
      </w:r>
      <w:r>
        <w:rPr/>
        <w:t>для</w:t>
      </w:r>
      <w:r>
        <w:rPr>
          <w:spacing w:val="-6"/>
        </w:rPr>
        <w:t> </w:t>
      </w:r>
      <w:r>
        <w:rPr/>
        <w:t>поддержания</w:t>
      </w:r>
      <w:r>
        <w:rPr>
          <w:spacing w:val="-6"/>
        </w:rPr>
        <w:t> </w:t>
      </w:r>
      <w:r>
        <w:rPr/>
        <w:t>среднего</w:t>
      </w:r>
      <w:r>
        <w:rPr>
          <w:spacing w:val="-6"/>
        </w:rPr>
        <w:t> </w:t>
      </w:r>
      <w:r>
        <w:rPr/>
        <w:t>АД</w:t>
      </w:r>
      <w:r>
        <w:rPr>
          <w:spacing w:val="-7"/>
        </w:rPr>
        <w:t> </w:t>
      </w:r>
      <w:r>
        <w:rPr/>
        <w:t>в</w:t>
      </w:r>
      <w:r>
        <w:rPr>
          <w:spacing w:val="-7"/>
        </w:rPr>
        <w:t> </w:t>
      </w:r>
      <w:r>
        <w:rPr/>
        <w:t>пределах</w:t>
      </w:r>
      <w:r>
        <w:rPr>
          <w:spacing w:val="-4"/>
        </w:rPr>
        <w:t> </w:t>
      </w:r>
      <w:r>
        <w:rPr/>
        <w:t>65-75</w:t>
      </w:r>
      <w:r>
        <w:rPr>
          <w:spacing w:val="-6"/>
        </w:rPr>
        <w:t> </w:t>
      </w:r>
      <w:r>
        <w:rPr/>
        <w:t>мм рт. ст.) рекомендуется дополнительно к вазопрессорной поддержке использовать низкие дозы глюкокортикоидов (инфузия гидрокортизона 200</w:t>
      </w:r>
      <w:r>
        <w:rPr>
          <w:spacing w:val="-7"/>
        </w:rPr>
        <w:t> </w:t>
      </w:r>
      <w:r>
        <w:rPr/>
        <w:t>мг/сут).</w:t>
      </w:r>
    </w:p>
    <w:p>
      <w:pPr>
        <w:pStyle w:val="BodyText"/>
        <w:spacing w:before="9"/>
        <w:ind w:left="0"/>
        <w:jc w:val="left"/>
        <w:rPr>
          <w:sz w:val="20"/>
        </w:rPr>
      </w:pPr>
    </w:p>
    <w:p>
      <w:pPr>
        <w:pStyle w:val="Heading3"/>
        <w:numPr>
          <w:ilvl w:val="2"/>
          <w:numId w:val="18"/>
        </w:numPr>
        <w:tabs>
          <w:tab w:pos="1630" w:val="left" w:leader="none"/>
        </w:tabs>
        <w:spacing w:line="240" w:lineRule="auto" w:before="0" w:after="0"/>
        <w:ind w:left="1629" w:right="0" w:hanging="601"/>
        <w:jc w:val="both"/>
      </w:pPr>
      <w:bookmarkStart w:name="5.6.6. Лечение пациентов с сепсисом и се" w:id="89"/>
      <w:bookmarkEnd w:id="89"/>
      <w:r>
        <w:rPr>
          <w:b w:val="0"/>
        </w:rPr>
      </w:r>
      <w:bookmarkStart w:name="5.6.6. Лечение пациентов с сепсисом и се" w:id="90"/>
      <w:bookmarkEnd w:id="90"/>
      <w:r>
        <w:rPr>
          <w:color w:val="1F487C"/>
        </w:rPr>
        <w:t>Л</w:t>
      </w:r>
      <w:r>
        <w:rPr>
          <w:color w:val="1F487C"/>
        </w:rPr>
        <w:t>ечение пациентов с сепсисом и септическим</w:t>
      </w:r>
      <w:r>
        <w:rPr>
          <w:color w:val="1F487C"/>
          <w:spacing w:val="-3"/>
        </w:rPr>
        <w:t> </w:t>
      </w:r>
      <w:r>
        <w:rPr>
          <w:color w:val="1F487C"/>
        </w:rPr>
        <w:t>шоком</w:t>
      </w:r>
    </w:p>
    <w:p>
      <w:pPr>
        <w:pStyle w:val="BodyText"/>
        <w:spacing w:line="312" w:lineRule="auto" w:before="142"/>
        <w:ind w:right="673" w:firstLine="708"/>
      </w:pPr>
      <w:r>
        <w:rPr/>
        <w:t>Для скрининга пациентов с высокой вероятностью развития сепсиса, и в том числе рассмотрения возможности ранней госпитализации в ОРИТ, следует использовать критерии Quick SOFA (qSOFA) (экспресс-SOFA), позволяющие предполагать наличие сепсиса по клиническим признакам без лабораторных исследований:</w:t>
      </w:r>
    </w:p>
    <w:p>
      <w:pPr>
        <w:pStyle w:val="BodyText"/>
        <w:spacing w:before="10"/>
        <w:ind w:left="0"/>
        <w:jc w:val="left"/>
        <w:rPr>
          <w:sz w:val="33"/>
        </w:rPr>
      </w:pPr>
    </w:p>
    <w:p>
      <w:pPr>
        <w:pStyle w:val="ListParagraph"/>
        <w:numPr>
          <w:ilvl w:val="1"/>
          <w:numId w:val="24"/>
        </w:numPr>
        <w:tabs>
          <w:tab w:pos="1000" w:val="left" w:leader="none"/>
          <w:tab w:pos="1001" w:val="left" w:leader="none"/>
        </w:tabs>
        <w:spacing w:line="240" w:lineRule="auto" w:before="0" w:after="0"/>
        <w:ind w:left="1000" w:right="0" w:hanging="339"/>
        <w:jc w:val="left"/>
        <w:rPr>
          <w:sz w:val="24"/>
        </w:rPr>
      </w:pPr>
      <w:r>
        <w:rPr>
          <w:sz w:val="24"/>
        </w:rPr>
        <w:t>снижение уровня сознания до 13 и менее баллов шкалы комы</w:t>
      </w:r>
      <w:r>
        <w:rPr>
          <w:spacing w:val="-7"/>
          <w:sz w:val="24"/>
        </w:rPr>
        <w:t> </w:t>
      </w:r>
      <w:r>
        <w:rPr>
          <w:sz w:val="24"/>
        </w:rPr>
        <w:t>Глазго;</w:t>
      </w:r>
    </w:p>
    <w:p>
      <w:pPr>
        <w:pStyle w:val="ListParagraph"/>
        <w:numPr>
          <w:ilvl w:val="1"/>
          <w:numId w:val="24"/>
        </w:numPr>
        <w:tabs>
          <w:tab w:pos="1000" w:val="left" w:leader="none"/>
          <w:tab w:pos="1001" w:val="left" w:leader="none"/>
        </w:tabs>
        <w:spacing w:line="240" w:lineRule="auto" w:before="83" w:after="0"/>
        <w:ind w:left="1000" w:right="0" w:hanging="339"/>
        <w:jc w:val="left"/>
        <w:rPr>
          <w:sz w:val="24"/>
        </w:rPr>
      </w:pPr>
      <w:r>
        <w:rPr>
          <w:sz w:val="24"/>
        </w:rPr>
        <w:t>снижение систолического АД менее 100 мм рт.</w:t>
      </w:r>
      <w:r>
        <w:rPr>
          <w:spacing w:val="-3"/>
          <w:sz w:val="24"/>
        </w:rPr>
        <w:t> </w:t>
      </w:r>
      <w:r>
        <w:rPr>
          <w:sz w:val="24"/>
        </w:rPr>
        <w:t>ст.;</w:t>
      </w:r>
    </w:p>
    <w:p>
      <w:pPr>
        <w:pStyle w:val="ListParagraph"/>
        <w:numPr>
          <w:ilvl w:val="1"/>
          <w:numId w:val="24"/>
        </w:numPr>
        <w:tabs>
          <w:tab w:pos="1000" w:val="left" w:leader="none"/>
          <w:tab w:pos="1001" w:val="left" w:leader="none"/>
        </w:tabs>
        <w:spacing w:line="240" w:lineRule="auto" w:before="80" w:after="0"/>
        <w:ind w:left="1000" w:right="0" w:hanging="339"/>
        <w:jc w:val="left"/>
        <w:rPr>
          <w:sz w:val="24"/>
        </w:rPr>
      </w:pPr>
      <w:r>
        <w:rPr>
          <w:sz w:val="24"/>
        </w:rPr>
        <w:t>ЧДД 22 и</w:t>
      </w:r>
      <w:r>
        <w:rPr>
          <w:spacing w:val="-1"/>
          <w:sz w:val="24"/>
        </w:rPr>
        <w:t> </w:t>
      </w:r>
      <w:r>
        <w:rPr>
          <w:sz w:val="24"/>
        </w:rPr>
        <w:t>более.</w:t>
      </w:r>
    </w:p>
    <w:p>
      <w:pPr>
        <w:pStyle w:val="BodyText"/>
        <w:spacing w:before="4"/>
        <w:ind w:left="0"/>
        <w:jc w:val="left"/>
        <w:rPr>
          <w:sz w:val="39"/>
        </w:rPr>
      </w:pPr>
    </w:p>
    <w:p>
      <w:pPr>
        <w:pStyle w:val="BodyText"/>
        <w:spacing w:line="312" w:lineRule="auto" w:before="1"/>
        <w:ind w:right="674" w:firstLine="708"/>
      </w:pPr>
      <w:r>
        <w:rPr/>
        <w:t>Каждому из признаков придается по одному баллу. В случае наличия двух или трех баллов вероятность присутствия инфекции в варианте сепсиса составляет около 80%, превышая диагностическую ценность классической шкалы SOFA, с более высоким риском смерти в 3-14 раз в сравнении с индексом qSOFA менее двух баллов.</w:t>
      </w:r>
    </w:p>
    <w:p>
      <w:pPr>
        <w:pStyle w:val="BodyText"/>
        <w:spacing w:line="312" w:lineRule="auto" w:before="14"/>
        <w:ind w:right="675" w:firstLine="708"/>
      </w:pPr>
      <w:r>
        <w:rPr/>
        <w:t>Важным дифференциальным критерием этиологии сепсиса является клинический анализ крови – при бактериальном генезе отмечается лейкоцитоз, а при вирусном – нормо- или лейкопения и лимфопения.</w:t>
      </w:r>
    </w:p>
    <w:p>
      <w:pPr>
        <w:pStyle w:val="BodyText"/>
        <w:spacing w:before="13"/>
        <w:ind w:left="1029"/>
      </w:pPr>
      <w:r>
        <w:rPr/>
        <w:t>Задачи интенсивной терапии септического шока (кроме этиотропного лечения):</w:t>
      </w:r>
    </w:p>
    <w:p>
      <w:pPr>
        <w:pStyle w:val="ListParagraph"/>
        <w:numPr>
          <w:ilvl w:val="0"/>
          <w:numId w:val="26"/>
        </w:numPr>
        <w:tabs>
          <w:tab w:pos="1316" w:val="left" w:leader="none"/>
        </w:tabs>
        <w:spacing w:line="240" w:lineRule="auto" w:before="98" w:after="0"/>
        <w:ind w:left="1315" w:right="0" w:hanging="287"/>
        <w:jc w:val="both"/>
        <w:rPr>
          <w:sz w:val="24"/>
        </w:rPr>
      </w:pPr>
      <w:r>
        <w:rPr>
          <w:position w:val="2"/>
          <w:sz w:val="24"/>
        </w:rPr>
        <w:t>Поддержка гемодинамики (оптимизация доставки O</w:t>
      </w:r>
      <w:r>
        <w:rPr>
          <w:sz w:val="16"/>
        </w:rPr>
        <w:t>2</w:t>
      </w:r>
      <w:r>
        <w:rPr>
          <w:position w:val="2"/>
          <w:sz w:val="24"/>
        </w:rPr>
        <w:t>)</w:t>
      </w:r>
    </w:p>
    <w:p>
      <w:pPr>
        <w:pStyle w:val="ListParagraph"/>
        <w:numPr>
          <w:ilvl w:val="0"/>
          <w:numId w:val="26"/>
        </w:numPr>
        <w:tabs>
          <w:tab w:pos="1316" w:val="left" w:leader="none"/>
        </w:tabs>
        <w:spacing w:line="312" w:lineRule="auto" w:before="80" w:after="0"/>
        <w:ind w:left="1389" w:right="1532" w:hanging="360"/>
        <w:jc w:val="both"/>
        <w:rPr>
          <w:sz w:val="24"/>
        </w:rPr>
      </w:pPr>
      <w:r>
        <w:rPr>
          <w:sz w:val="24"/>
        </w:rPr>
        <w:t>Метаболическая поддержка (минимизация дефицита экстракции или</w:t>
      </w:r>
      <w:r>
        <w:rPr>
          <w:position w:val="2"/>
          <w:sz w:val="24"/>
        </w:rPr>
        <w:t> повышение потребления</w:t>
      </w:r>
      <w:r>
        <w:rPr>
          <w:spacing w:val="-3"/>
          <w:position w:val="2"/>
          <w:sz w:val="24"/>
        </w:rPr>
        <w:t> </w:t>
      </w:r>
      <w:r>
        <w:rPr>
          <w:position w:val="2"/>
          <w:sz w:val="24"/>
        </w:rPr>
        <w:t>O</w:t>
      </w:r>
      <w:r>
        <w:rPr>
          <w:sz w:val="16"/>
        </w:rPr>
        <w:t>2</w:t>
      </w:r>
      <w:r>
        <w:rPr>
          <w:position w:val="2"/>
          <w:sz w:val="24"/>
        </w:rPr>
        <w:t>).</w:t>
      </w:r>
    </w:p>
    <w:p>
      <w:pPr>
        <w:pStyle w:val="BodyText"/>
        <w:spacing w:line="312" w:lineRule="auto"/>
        <w:ind w:right="673" w:firstLine="566"/>
      </w:pPr>
      <w:r>
        <w:rPr/>
        <w:t>Ключевым принципом интенсивной терапии ранней фазы септического шока является незамедлительное начало гемодинамической поддержки у пациентов с гипотензией</w:t>
      </w:r>
      <w:r>
        <w:rPr>
          <w:spacing w:val="-8"/>
        </w:rPr>
        <w:t> </w:t>
      </w:r>
      <w:r>
        <w:rPr/>
        <w:t>или</w:t>
      </w:r>
      <w:r>
        <w:rPr>
          <w:spacing w:val="-6"/>
        </w:rPr>
        <w:t> </w:t>
      </w:r>
      <w:r>
        <w:rPr/>
        <w:t>повышенной</w:t>
      </w:r>
      <w:r>
        <w:rPr>
          <w:spacing w:val="-8"/>
        </w:rPr>
        <w:t> </w:t>
      </w:r>
      <w:r>
        <w:rPr/>
        <w:t>концентрацией</w:t>
      </w:r>
      <w:r>
        <w:rPr>
          <w:spacing w:val="-9"/>
        </w:rPr>
        <w:t> </w:t>
      </w:r>
      <w:r>
        <w:rPr/>
        <w:t>лактата</w:t>
      </w:r>
      <w:r>
        <w:rPr>
          <w:spacing w:val="-7"/>
        </w:rPr>
        <w:t> </w:t>
      </w:r>
      <w:r>
        <w:rPr/>
        <w:t>в</w:t>
      </w:r>
      <w:r>
        <w:rPr>
          <w:spacing w:val="-8"/>
        </w:rPr>
        <w:t> </w:t>
      </w:r>
      <w:r>
        <w:rPr/>
        <w:t>сыворотке</w:t>
      </w:r>
      <w:r>
        <w:rPr>
          <w:spacing w:val="-8"/>
        </w:rPr>
        <w:t> </w:t>
      </w:r>
      <w:r>
        <w:rPr/>
        <w:t>крови</w:t>
      </w:r>
      <w:r>
        <w:rPr>
          <w:spacing w:val="-5"/>
        </w:rPr>
        <w:t> </w:t>
      </w:r>
      <w:r>
        <w:rPr/>
        <w:t>(&gt;</w:t>
      </w:r>
      <w:r>
        <w:rPr>
          <w:spacing w:val="-8"/>
        </w:rPr>
        <w:t> </w:t>
      </w:r>
      <w:r>
        <w:rPr/>
        <w:t>2</w:t>
      </w:r>
      <w:r>
        <w:rPr>
          <w:spacing w:val="-6"/>
        </w:rPr>
        <w:t> </w:t>
      </w:r>
      <w:r>
        <w:rPr/>
        <w:t>ммоль/л).</w:t>
      </w:r>
    </w:p>
    <w:p>
      <w:pPr>
        <w:spacing w:after="0" w:line="312" w:lineRule="auto"/>
        <w:sectPr>
          <w:pgSz w:w="11920" w:h="16850"/>
          <w:pgMar w:header="0" w:footer="620" w:top="1060" w:bottom="880" w:left="1380" w:right="600"/>
        </w:sectPr>
      </w:pPr>
    </w:p>
    <w:p>
      <w:pPr>
        <w:pStyle w:val="BodyText"/>
        <w:spacing w:line="312" w:lineRule="auto" w:before="78"/>
        <w:ind w:right="675"/>
      </w:pPr>
      <w:r>
        <w:rPr/>
        <w:t>Первоначальной мерой стабилизации гемодинамики рекомендуют инфузионную заместительную терапию. При отсутствии эффекта от стартовой инфузионной терапии назначают вазопрессоры по принципам, изложенным в разделе 5.6.5.</w:t>
      </w:r>
    </w:p>
    <w:p>
      <w:pPr>
        <w:pStyle w:val="BodyText"/>
        <w:spacing w:line="312" w:lineRule="auto" w:before="13"/>
        <w:ind w:right="674" w:firstLine="566"/>
      </w:pPr>
      <w:r>
        <w:rPr/>
        <w:t>Микроциркуляторно-митохондриальный дистресс при септическом шоке во многом является причиной нарушений потребления кислорода тканями. Целевым </w:t>
      </w:r>
      <w:r>
        <w:rPr>
          <w:position w:val="2"/>
        </w:rPr>
        <w:t>показателем интенсивной терапии является ScvO</w:t>
      </w:r>
      <w:r>
        <w:rPr>
          <w:sz w:val="16"/>
        </w:rPr>
        <w:t>2 </w:t>
      </w:r>
      <w:r>
        <w:rPr>
          <w:position w:val="2"/>
        </w:rPr>
        <w:t>65-75%. В отсутствие признаков </w:t>
      </w:r>
      <w:r>
        <w:rPr/>
        <w:t>тканевой гипоперфузии, ишемической болезни сердца и кровотечения рекомендовано поддержание</w:t>
      </w:r>
      <w:r>
        <w:rPr>
          <w:spacing w:val="-12"/>
        </w:rPr>
        <w:t> </w:t>
      </w:r>
      <w:r>
        <w:rPr/>
        <w:t>гемоглобина</w:t>
      </w:r>
      <w:r>
        <w:rPr>
          <w:spacing w:val="-11"/>
        </w:rPr>
        <w:t> </w:t>
      </w:r>
      <w:r>
        <w:rPr/>
        <w:t>(Hb)</w:t>
      </w:r>
      <w:r>
        <w:rPr>
          <w:spacing w:val="-10"/>
        </w:rPr>
        <w:t> </w:t>
      </w:r>
      <w:r>
        <w:rPr/>
        <w:t>на</w:t>
      </w:r>
      <w:r>
        <w:rPr>
          <w:spacing w:val="-9"/>
        </w:rPr>
        <w:t> </w:t>
      </w:r>
      <w:r>
        <w:rPr/>
        <w:t>уровне</w:t>
      </w:r>
      <w:r>
        <w:rPr>
          <w:spacing w:val="-11"/>
        </w:rPr>
        <w:t> </w:t>
      </w:r>
      <w:r>
        <w:rPr/>
        <w:t>70-90</w:t>
      </w:r>
      <w:r>
        <w:rPr>
          <w:spacing w:val="-10"/>
        </w:rPr>
        <w:t> </w:t>
      </w:r>
      <w:r>
        <w:rPr/>
        <w:t>г/л.</w:t>
      </w:r>
      <w:r>
        <w:rPr>
          <w:spacing w:val="-11"/>
        </w:rPr>
        <w:t> </w:t>
      </w:r>
      <w:r>
        <w:rPr/>
        <w:t>Трансфузия</w:t>
      </w:r>
      <w:r>
        <w:rPr>
          <w:spacing w:val="-10"/>
        </w:rPr>
        <w:t> </w:t>
      </w:r>
      <w:r>
        <w:rPr/>
        <w:t>эритроцитсодержащих компонентов крови может быть назначена  при  снижении  концентрации  Hb  менее 70 г/л.</w:t>
      </w:r>
    </w:p>
    <w:p>
      <w:pPr>
        <w:pStyle w:val="BodyText"/>
        <w:spacing w:before="9"/>
        <w:ind w:left="0"/>
        <w:jc w:val="left"/>
        <w:rPr>
          <w:sz w:val="20"/>
        </w:rPr>
      </w:pPr>
    </w:p>
    <w:p>
      <w:pPr>
        <w:pStyle w:val="Heading3"/>
      </w:pPr>
      <w:bookmarkStart w:name="5.6.7 Экстракорпоральная детоксикация и " w:id="91"/>
      <w:bookmarkEnd w:id="91"/>
      <w:r>
        <w:rPr>
          <w:b w:val="0"/>
        </w:rPr>
      </w:r>
      <w:r>
        <w:rPr>
          <w:color w:val="1F487C"/>
        </w:rPr>
        <w:t>5.6.7 Экстракорпоральная детоксикация и гемокоррекция</w:t>
      </w:r>
    </w:p>
    <w:p>
      <w:pPr>
        <w:pStyle w:val="BodyText"/>
        <w:spacing w:line="312" w:lineRule="auto" w:before="142"/>
        <w:ind w:right="672" w:firstLine="708"/>
      </w:pPr>
      <w:r>
        <w:rPr/>
        <w:t>У</w:t>
      </w:r>
      <w:r>
        <w:rPr>
          <w:spacing w:val="-14"/>
        </w:rPr>
        <w:t> </w:t>
      </w:r>
      <w:r>
        <w:rPr/>
        <w:t>пациентов</w:t>
      </w:r>
      <w:r>
        <w:rPr>
          <w:spacing w:val="-14"/>
        </w:rPr>
        <w:t> </w:t>
      </w:r>
      <w:r>
        <w:rPr/>
        <w:t>с</w:t>
      </w:r>
      <w:r>
        <w:rPr>
          <w:spacing w:val="-15"/>
        </w:rPr>
        <w:t> </w:t>
      </w:r>
      <w:r>
        <w:rPr/>
        <w:t>тяжелым</w:t>
      </w:r>
      <w:r>
        <w:rPr>
          <w:spacing w:val="-13"/>
        </w:rPr>
        <w:t> </w:t>
      </w:r>
      <w:r>
        <w:rPr/>
        <w:t>течением</w:t>
      </w:r>
      <w:r>
        <w:rPr>
          <w:spacing w:val="-14"/>
        </w:rPr>
        <w:t> </w:t>
      </w:r>
      <w:r>
        <w:rPr/>
        <w:t>COVID-19</w:t>
      </w:r>
      <w:r>
        <w:rPr>
          <w:spacing w:val="-13"/>
        </w:rPr>
        <w:t> </w:t>
      </w:r>
      <w:r>
        <w:rPr/>
        <w:t>показанием</w:t>
      </w:r>
      <w:r>
        <w:rPr>
          <w:spacing w:val="-15"/>
        </w:rPr>
        <w:t> </w:t>
      </w:r>
      <w:r>
        <w:rPr/>
        <w:t>к</w:t>
      </w:r>
      <w:r>
        <w:rPr>
          <w:spacing w:val="-13"/>
        </w:rPr>
        <w:t> </w:t>
      </w:r>
      <w:r>
        <w:rPr/>
        <w:t>экстракорпоральному лечению</w:t>
      </w:r>
      <w:r>
        <w:rPr>
          <w:spacing w:val="-11"/>
        </w:rPr>
        <w:t> </w:t>
      </w:r>
      <w:r>
        <w:rPr/>
        <w:t>является</w:t>
      </w:r>
      <w:r>
        <w:rPr>
          <w:spacing w:val="-11"/>
        </w:rPr>
        <w:t> </w:t>
      </w:r>
      <w:r>
        <w:rPr/>
        <w:t>прогрессирующая</w:t>
      </w:r>
      <w:r>
        <w:rPr>
          <w:spacing w:val="-11"/>
        </w:rPr>
        <w:t> </w:t>
      </w:r>
      <w:r>
        <w:rPr/>
        <w:t>дыхательная</w:t>
      </w:r>
      <w:r>
        <w:rPr>
          <w:spacing w:val="-11"/>
        </w:rPr>
        <w:t> </w:t>
      </w:r>
      <w:r>
        <w:rPr/>
        <w:t>недостаточность</w:t>
      </w:r>
      <w:r>
        <w:rPr>
          <w:spacing w:val="-12"/>
        </w:rPr>
        <w:t> </w:t>
      </w:r>
      <w:r>
        <w:rPr/>
        <w:t>и/или</w:t>
      </w:r>
      <w:r>
        <w:rPr>
          <w:spacing w:val="-11"/>
        </w:rPr>
        <w:t> </w:t>
      </w:r>
      <w:r>
        <w:rPr/>
        <w:t>полиорганная недостаточность.</w:t>
      </w:r>
    </w:p>
    <w:p>
      <w:pPr>
        <w:pStyle w:val="BodyText"/>
        <w:spacing w:line="275" w:lineRule="exact"/>
        <w:ind w:left="1029"/>
      </w:pPr>
      <w:r>
        <w:rPr/>
        <w:t>Рекомендуется рассмотреть возможность применения:</w:t>
      </w:r>
    </w:p>
    <w:p>
      <w:pPr>
        <w:pStyle w:val="BodyText"/>
        <w:spacing w:before="6"/>
        <w:ind w:left="0"/>
        <w:jc w:val="left"/>
        <w:rPr>
          <w:sz w:val="38"/>
        </w:rPr>
      </w:pPr>
    </w:p>
    <w:p>
      <w:pPr>
        <w:pStyle w:val="ListParagraph"/>
        <w:numPr>
          <w:ilvl w:val="1"/>
          <w:numId w:val="24"/>
        </w:numPr>
        <w:tabs>
          <w:tab w:pos="1001" w:val="left" w:leader="none"/>
        </w:tabs>
        <w:spacing w:line="309" w:lineRule="auto" w:before="0" w:after="0"/>
        <w:ind w:left="1000" w:right="676" w:hanging="339"/>
        <w:jc w:val="both"/>
        <w:rPr>
          <w:sz w:val="24"/>
        </w:rPr>
      </w:pPr>
      <w:r>
        <w:rPr>
          <w:sz w:val="24"/>
        </w:rPr>
        <w:t>Селективной  гемосорбции  цитокинов  –  при  тяжелом  течении  заболевания  и прогрессирующей дыхательной недостаточности вследствие не купируемого медикаментозными средствами цитокинового</w:t>
      </w:r>
      <w:r>
        <w:rPr>
          <w:spacing w:val="-2"/>
          <w:sz w:val="24"/>
        </w:rPr>
        <w:t> </w:t>
      </w:r>
      <w:r>
        <w:rPr>
          <w:sz w:val="24"/>
        </w:rPr>
        <w:t>шторма;</w:t>
      </w:r>
    </w:p>
    <w:p>
      <w:pPr>
        <w:pStyle w:val="ListParagraph"/>
        <w:numPr>
          <w:ilvl w:val="1"/>
          <w:numId w:val="24"/>
        </w:numPr>
        <w:tabs>
          <w:tab w:pos="1001" w:val="left" w:leader="none"/>
        </w:tabs>
        <w:spacing w:line="309" w:lineRule="auto" w:before="3" w:after="0"/>
        <w:ind w:left="1000" w:right="674" w:hanging="339"/>
        <w:jc w:val="both"/>
        <w:rPr>
          <w:sz w:val="24"/>
        </w:rPr>
      </w:pPr>
      <w:r>
        <w:rPr>
          <w:sz w:val="24"/>
        </w:rPr>
        <w:t>Заместительной почечной терапии с использованием мембран с повышенной адсорбционной способностью и высокой точкой отсечки – для купирования цитокинового шторма и лечения острого почечного</w:t>
      </w:r>
      <w:r>
        <w:rPr>
          <w:spacing w:val="-2"/>
          <w:sz w:val="24"/>
        </w:rPr>
        <w:t> </w:t>
      </w:r>
      <w:r>
        <w:rPr>
          <w:sz w:val="24"/>
        </w:rPr>
        <w:t>повреждения;</w:t>
      </w:r>
    </w:p>
    <w:p>
      <w:pPr>
        <w:pStyle w:val="ListParagraph"/>
        <w:numPr>
          <w:ilvl w:val="1"/>
          <w:numId w:val="24"/>
        </w:numPr>
        <w:tabs>
          <w:tab w:pos="1001" w:val="left" w:leader="none"/>
        </w:tabs>
        <w:spacing w:line="309" w:lineRule="auto" w:before="4" w:after="0"/>
        <w:ind w:left="1000" w:right="675" w:hanging="339"/>
        <w:jc w:val="both"/>
        <w:rPr>
          <w:sz w:val="24"/>
        </w:rPr>
      </w:pPr>
      <w:r>
        <w:rPr>
          <w:sz w:val="24"/>
        </w:rPr>
        <w:t>Плазмообмена</w:t>
      </w:r>
      <w:r>
        <w:rPr>
          <w:spacing w:val="-11"/>
          <w:sz w:val="24"/>
        </w:rPr>
        <w:t> </w:t>
      </w:r>
      <w:r>
        <w:rPr>
          <w:sz w:val="24"/>
        </w:rPr>
        <w:t>с</w:t>
      </w:r>
      <w:r>
        <w:rPr>
          <w:spacing w:val="-10"/>
          <w:sz w:val="24"/>
        </w:rPr>
        <w:t> </w:t>
      </w:r>
      <w:r>
        <w:rPr>
          <w:sz w:val="24"/>
        </w:rPr>
        <w:t>замещением</w:t>
      </w:r>
      <w:r>
        <w:rPr>
          <w:spacing w:val="-10"/>
          <w:sz w:val="24"/>
        </w:rPr>
        <w:t> </w:t>
      </w:r>
      <w:r>
        <w:rPr>
          <w:sz w:val="24"/>
        </w:rPr>
        <w:t>свежезамороженной</w:t>
      </w:r>
      <w:r>
        <w:rPr>
          <w:spacing w:val="-8"/>
          <w:sz w:val="24"/>
        </w:rPr>
        <w:t> </w:t>
      </w:r>
      <w:r>
        <w:rPr>
          <w:sz w:val="24"/>
        </w:rPr>
        <w:t>донорской</w:t>
      </w:r>
      <w:r>
        <w:rPr>
          <w:spacing w:val="-11"/>
          <w:sz w:val="24"/>
        </w:rPr>
        <w:t> </w:t>
      </w:r>
      <w:r>
        <w:rPr>
          <w:sz w:val="24"/>
        </w:rPr>
        <w:t>плазмой</w:t>
      </w:r>
      <w:r>
        <w:rPr>
          <w:spacing w:val="-10"/>
          <w:sz w:val="24"/>
        </w:rPr>
        <w:t> </w:t>
      </w:r>
      <w:r>
        <w:rPr>
          <w:sz w:val="24"/>
        </w:rPr>
        <w:t>(СЗП)</w:t>
      </w:r>
      <w:r>
        <w:rPr>
          <w:spacing w:val="-10"/>
          <w:sz w:val="24"/>
        </w:rPr>
        <w:t> </w:t>
      </w:r>
      <w:r>
        <w:rPr>
          <w:sz w:val="24"/>
        </w:rPr>
        <w:t>или селективной плазмофильтрации при отсутствии достаточного объема СЗП –– при наличии признаков синдрома активации макрофагов, ДВС синдрома, тромботической микроангиопатии.</w:t>
      </w:r>
    </w:p>
    <w:p>
      <w:pPr>
        <w:pStyle w:val="BodyText"/>
        <w:spacing w:before="6"/>
        <w:ind w:left="0"/>
        <w:jc w:val="left"/>
        <w:rPr>
          <w:sz w:val="32"/>
        </w:rPr>
      </w:pPr>
    </w:p>
    <w:p>
      <w:pPr>
        <w:pStyle w:val="BodyText"/>
        <w:spacing w:line="312" w:lineRule="auto"/>
        <w:ind w:right="677" w:firstLine="708"/>
      </w:pPr>
      <w:r>
        <w:rPr/>
        <w:t>При плазмообмене наряду с СЗП от обычных доноров рекомендуется рассмотреть применение СЗП от доноров-реконвалесцентов НКИ COVID-19 в дозе,  не превышающей 20 мл/кг в</w:t>
      </w:r>
      <w:r>
        <w:rPr>
          <w:spacing w:val="-3"/>
        </w:rPr>
        <w:t> </w:t>
      </w:r>
      <w:r>
        <w:rPr/>
        <w:t>сутки.</w:t>
      </w:r>
    </w:p>
    <w:p>
      <w:pPr>
        <w:pStyle w:val="BodyText"/>
        <w:spacing w:line="312" w:lineRule="auto"/>
        <w:ind w:right="673" w:firstLine="708"/>
      </w:pPr>
      <w:r>
        <w:rPr/>
        <w:t>При осложнении клинического течения COVID-19 клиникой бактериального сепсиса и септического шока рекомендуется рассмотреть применение селективной гемосорбции липополисахаридов; заместительная почечная терапия при этом проводится по общепринятым показаниям и методикам.</w:t>
      </w:r>
    </w:p>
    <w:p>
      <w:pPr>
        <w:pStyle w:val="BodyText"/>
        <w:spacing w:before="9"/>
        <w:ind w:left="0"/>
        <w:jc w:val="left"/>
        <w:rPr>
          <w:sz w:val="20"/>
        </w:rPr>
      </w:pPr>
    </w:p>
    <w:p>
      <w:pPr>
        <w:pStyle w:val="Heading3"/>
      </w:pPr>
      <w:bookmarkStart w:name="5.6.8. Нутриционная поддержка" w:id="92"/>
      <w:bookmarkEnd w:id="92"/>
      <w:r>
        <w:rPr>
          <w:b w:val="0"/>
        </w:rPr>
      </w:r>
      <w:r>
        <w:rPr>
          <w:color w:val="1F487C"/>
        </w:rPr>
        <w:t>5.6.8. Нутриционная поддержка</w:t>
      </w:r>
    </w:p>
    <w:p>
      <w:pPr>
        <w:pStyle w:val="BodyText"/>
        <w:spacing w:line="312" w:lineRule="auto" w:before="142"/>
        <w:ind w:right="675" w:firstLine="708"/>
      </w:pPr>
      <w:r>
        <w:rPr/>
        <w:t>Раннее энтеральное питание (ЭП) рекомендуется всем пациентам с COVID-19, неспособным</w:t>
      </w:r>
      <w:r>
        <w:rPr>
          <w:spacing w:val="-19"/>
        </w:rPr>
        <w:t> </w:t>
      </w:r>
      <w:r>
        <w:rPr/>
        <w:t>самостоятельно</w:t>
      </w:r>
      <w:r>
        <w:rPr>
          <w:spacing w:val="-19"/>
        </w:rPr>
        <w:t> </w:t>
      </w:r>
      <w:r>
        <w:rPr/>
        <w:t>принимать</w:t>
      </w:r>
      <w:r>
        <w:rPr>
          <w:spacing w:val="-19"/>
        </w:rPr>
        <w:t> </w:t>
      </w:r>
      <w:r>
        <w:rPr/>
        <w:t>пищу.</w:t>
      </w:r>
      <w:r>
        <w:rPr>
          <w:spacing w:val="-17"/>
        </w:rPr>
        <w:t> </w:t>
      </w:r>
      <w:r>
        <w:rPr/>
        <w:t>Необходимо</w:t>
      </w:r>
      <w:r>
        <w:rPr>
          <w:spacing w:val="-18"/>
        </w:rPr>
        <w:t> </w:t>
      </w:r>
      <w:r>
        <w:rPr/>
        <w:t>стремиться</w:t>
      </w:r>
      <w:r>
        <w:rPr>
          <w:spacing w:val="-15"/>
        </w:rPr>
        <w:t> </w:t>
      </w:r>
      <w:r>
        <w:rPr/>
        <w:t>удовлетворить</w:t>
      </w:r>
    </w:p>
    <w:p>
      <w:pPr>
        <w:spacing w:after="0" w:line="312" w:lineRule="auto"/>
        <w:sectPr>
          <w:pgSz w:w="11920" w:h="16850"/>
          <w:pgMar w:header="0" w:footer="620" w:top="1060" w:bottom="880" w:left="1380" w:right="600"/>
        </w:sectPr>
      </w:pPr>
    </w:p>
    <w:p>
      <w:pPr>
        <w:pStyle w:val="BodyText"/>
        <w:spacing w:line="312" w:lineRule="auto" w:before="78"/>
        <w:ind w:left="112" w:right="672"/>
        <w:jc w:val="right"/>
      </w:pPr>
      <w:r>
        <w:rPr/>
        <w:t>суточные потребности в энергии (25-30 ккал/кг) и белке (1,2-1,5 г/кг). При высоком риске аспирации или непереносимости ЭП следует проводить парентеральное питание. Постпилорический доступ для ЭП рекомендуется использовать в случаях непереносимости желудочного кормления или при наличии высокого риска аспирации. При проведении ЭП в прон-позиции необходимо приподнимать на 10–25° головной конец кровати, с тем чтобы уменьшить риск аспирации желудочного</w:t>
      </w:r>
    </w:p>
    <w:p>
      <w:pPr>
        <w:pStyle w:val="BodyText"/>
      </w:pPr>
      <w:r>
        <w:rPr/>
        <w:t>содержимого, отека лица и внутрибрюшной гипертензии.</w:t>
      </w:r>
    </w:p>
    <w:p>
      <w:pPr>
        <w:pStyle w:val="BodyText"/>
        <w:spacing w:line="312" w:lineRule="auto" w:before="82"/>
        <w:ind w:right="674" w:firstLine="708"/>
      </w:pPr>
      <w:r>
        <w:rPr/>
        <w:t>Нутриционную поддержку следует отложить при рефрактерном шоке, в случае неконтролируемой угрожающей жизни гипоксемии, гиперкапнии или ацидоза. При купировании шока переход к полному обеспечению потребности в энергии и белке необходимо осуществлять постепенно (в течение 3-5 суток), особенно у пожилых пациентов, нуждающихся в ИВЛ и/или получающих адреномиметики.</w:t>
      </w:r>
    </w:p>
    <w:p>
      <w:pPr>
        <w:pStyle w:val="BodyText"/>
        <w:tabs>
          <w:tab w:pos="1732" w:val="left" w:leader="none"/>
          <w:tab w:pos="2356" w:val="left" w:leader="none"/>
          <w:tab w:pos="3213" w:val="left" w:leader="none"/>
          <w:tab w:pos="4297" w:val="left" w:leader="none"/>
          <w:tab w:pos="4977" w:val="left" w:leader="none"/>
          <w:tab w:pos="6280" w:val="left" w:leader="none"/>
          <w:tab w:pos="6388" w:val="left" w:leader="none"/>
          <w:tab w:pos="7964" w:val="left" w:leader="none"/>
          <w:tab w:pos="8183" w:val="left" w:leader="none"/>
        </w:tabs>
        <w:spacing w:line="312" w:lineRule="auto" w:before="1"/>
        <w:ind w:right="675" w:firstLine="708"/>
        <w:jc w:val="right"/>
      </w:pPr>
      <w:r>
        <w:rPr/>
        <w:t>При</w:t>
        <w:tab/>
        <w:t>проведении</w:t>
        <w:tab/>
        <w:t>нутриционной</w:t>
        <w:tab/>
        <w:t>поддержки</w:t>
        <w:tab/>
        <w:tab/>
        <w:t>рекомендуется</w:t>
        <w:tab/>
        <w:tab/>
      </w:r>
      <w:r>
        <w:rPr>
          <w:spacing w:val="-2"/>
        </w:rPr>
        <w:t>проводить </w:t>
      </w:r>
      <w:r>
        <w:rPr/>
        <w:t>коррекцию</w:t>
      </w:r>
      <w:r>
        <w:rPr>
          <w:spacing w:val="-12"/>
        </w:rPr>
        <w:t> </w:t>
      </w:r>
      <w:r>
        <w:rPr/>
        <w:t>гипергликемии</w:t>
      </w:r>
      <w:r>
        <w:rPr>
          <w:spacing w:val="-11"/>
        </w:rPr>
        <w:t> </w:t>
      </w:r>
      <w:r>
        <w:rPr/>
        <w:t>инсулином</w:t>
      </w:r>
      <w:r>
        <w:rPr>
          <w:spacing w:val="-13"/>
        </w:rPr>
        <w:t> </w:t>
      </w:r>
      <w:r>
        <w:rPr/>
        <w:t>при</w:t>
      </w:r>
      <w:r>
        <w:rPr>
          <w:spacing w:val="-11"/>
        </w:rPr>
        <w:t> </w:t>
      </w:r>
      <w:r>
        <w:rPr/>
        <w:t>величинах</w:t>
      </w:r>
      <w:r>
        <w:rPr>
          <w:spacing w:val="-11"/>
        </w:rPr>
        <w:t> </w:t>
      </w:r>
      <w:r>
        <w:rPr/>
        <w:t>глюкозы</w:t>
      </w:r>
      <w:r>
        <w:rPr>
          <w:spacing w:val="-13"/>
        </w:rPr>
        <w:t> </w:t>
      </w:r>
      <w:r>
        <w:rPr/>
        <w:t>крови</w:t>
      </w:r>
      <w:r>
        <w:rPr>
          <w:spacing w:val="-13"/>
        </w:rPr>
        <w:t> </w:t>
      </w:r>
      <w:r>
        <w:rPr/>
        <w:t>более</w:t>
      </w:r>
      <w:r>
        <w:rPr>
          <w:spacing w:val="-13"/>
        </w:rPr>
        <w:t> </w:t>
      </w:r>
      <w:r>
        <w:rPr/>
        <w:t>10</w:t>
      </w:r>
      <w:r>
        <w:rPr>
          <w:spacing w:val="-12"/>
        </w:rPr>
        <w:t> </w:t>
      </w:r>
      <w:r>
        <w:rPr/>
        <w:t>ммоль/л. В целом анестезиолого-реанимационное обеспечение пациентов</w:t>
      </w:r>
      <w:r>
        <w:rPr>
          <w:spacing w:val="23"/>
        </w:rPr>
        <w:t> </w:t>
      </w:r>
      <w:r>
        <w:rPr/>
        <w:t>с</w:t>
      </w:r>
      <w:r>
        <w:rPr>
          <w:spacing w:val="5"/>
        </w:rPr>
        <w:t> </w:t>
      </w:r>
      <w:r>
        <w:rPr/>
        <w:t>новой коронавирусной  инфекцией COVID-19   рекомендуется   проводить  </w:t>
      </w:r>
      <w:r>
        <w:rPr>
          <w:spacing w:val="6"/>
        </w:rPr>
        <w:t> </w:t>
      </w:r>
      <w:r>
        <w:rPr/>
        <w:t>в  </w:t>
      </w:r>
      <w:r>
        <w:rPr>
          <w:spacing w:val="2"/>
        </w:rPr>
        <w:t> </w:t>
      </w:r>
      <w:r>
        <w:rPr/>
        <w:t>соответствии с</w:t>
      </w:r>
      <w:r>
        <w:rPr>
          <w:spacing w:val="-2"/>
        </w:rPr>
        <w:t> </w:t>
      </w:r>
      <w:r>
        <w:rPr>
          <w:color w:val="1F487C"/>
        </w:rPr>
        <w:t>Методическими</w:t>
        <w:tab/>
        <w:t>рекомендациями</w:t>
        <w:tab/>
        <w:t>Общероссийской</w:t>
        <w:tab/>
        <w:t>общественной</w:t>
        <w:tab/>
      </w:r>
      <w:r>
        <w:rPr>
          <w:color w:val="1F487C"/>
          <w:spacing w:val="-3"/>
        </w:rPr>
        <w:t>организации</w:t>
      </w:r>
    </w:p>
    <w:p>
      <w:pPr>
        <w:pStyle w:val="BodyText"/>
        <w:spacing w:line="312" w:lineRule="auto"/>
        <w:ind w:right="676"/>
      </w:pPr>
      <w:r>
        <w:rPr>
          <w:color w:val="1F487C"/>
        </w:rPr>
        <w:t>«Федерация анестезиологов и реаниматологов» (</w:t>
      </w:r>
      <w:hyperlink r:id="rId15">
        <w:r>
          <w:rPr>
            <w:color w:val="1F487C"/>
          </w:rPr>
          <w:t>http://far.org.ru/newsfar/496-</w:t>
        </w:r>
      </w:hyperlink>
      <w:r>
        <w:rPr>
          <w:color w:val="1F487C"/>
        </w:rPr>
        <w:t> </w:t>
      </w:r>
      <w:hyperlink r:id="rId15">
        <w:r>
          <w:rPr>
            <w:color w:val="1F487C"/>
          </w:rPr>
          <w:t>metreccovid19</w:t>
        </w:r>
      </w:hyperlink>
      <w:r>
        <w:rPr>
          <w:color w:val="1F487C"/>
        </w:rPr>
        <w:t>).</w:t>
      </w:r>
    </w:p>
    <w:p>
      <w:pPr>
        <w:pStyle w:val="BodyText"/>
        <w:spacing w:before="10"/>
        <w:ind w:left="0"/>
        <w:jc w:val="left"/>
        <w:rPr>
          <w:sz w:val="20"/>
        </w:rPr>
      </w:pPr>
    </w:p>
    <w:p>
      <w:pPr>
        <w:pStyle w:val="Heading2"/>
        <w:numPr>
          <w:ilvl w:val="1"/>
          <w:numId w:val="18"/>
        </w:numPr>
        <w:tabs>
          <w:tab w:pos="1522" w:val="left" w:leader="none"/>
        </w:tabs>
        <w:spacing w:line="240" w:lineRule="auto" w:before="0" w:after="0"/>
        <w:ind w:left="1521" w:right="0" w:hanging="493"/>
        <w:jc w:val="left"/>
        <w:rPr>
          <w:color w:val="1F487C"/>
        </w:rPr>
      </w:pPr>
      <w:bookmarkStart w:name="5.7. ОСОБЫЕ ГРУППЫ ПАЦИЕНТОВ" w:id="93"/>
      <w:bookmarkEnd w:id="93"/>
      <w:r>
        <w:rPr>
          <w:b w:val="0"/>
        </w:rPr>
      </w:r>
      <w:bookmarkStart w:name="_bookmark21" w:id="94"/>
      <w:bookmarkEnd w:id="94"/>
      <w:r>
        <w:rPr>
          <w:b w:val="0"/>
        </w:rPr>
      </w:r>
      <w:bookmarkStart w:name="_bookmark21" w:id="95"/>
      <w:bookmarkEnd w:id="95"/>
      <w:r>
        <w:rPr>
          <w:color w:val="1F487C"/>
        </w:rPr>
        <w:t>О</w:t>
      </w:r>
      <w:r>
        <w:rPr>
          <w:color w:val="1F487C"/>
        </w:rPr>
        <w:t>СОБЫЕ ГРУППЫ</w:t>
      </w:r>
      <w:r>
        <w:rPr>
          <w:color w:val="1F487C"/>
          <w:spacing w:val="-3"/>
        </w:rPr>
        <w:t> </w:t>
      </w:r>
      <w:r>
        <w:rPr>
          <w:color w:val="1F487C"/>
        </w:rPr>
        <w:t>ПАЦИЕНТОВ</w:t>
      </w:r>
    </w:p>
    <w:p>
      <w:pPr>
        <w:pStyle w:val="Heading3"/>
        <w:spacing w:before="265"/>
      </w:pPr>
      <w:bookmarkStart w:name="Больные с артериальной гипертензией" w:id="96"/>
      <w:bookmarkEnd w:id="96"/>
      <w:r>
        <w:rPr>
          <w:b w:val="0"/>
        </w:rPr>
      </w:r>
      <w:r>
        <w:rPr>
          <w:color w:val="1F487C"/>
        </w:rPr>
        <w:t>Больные с артериальной гипертензией</w:t>
      </w:r>
    </w:p>
    <w:p>
      <w:pPr>
        <w:pStyle w:val="BodyText"/>
        <w:spacing w:line="312" w:lineRule="auto" w:before="142"/>
        <w:ind w:right="674" w:firstLine="708"/>
      </w:pPr>
      <w:r>
        <w:rPr/>
        <w:t>В связи с тем, что АПФ2 является функциональным рецептором для SARS-CoV-2, было высказано предположение, что это может объяснять высокий риск летального исхода при COVID-19 у пациентов с артериальной гипертензией, получающих препараты из  группы  ингибиторов  АПФ  или  блокаторов  рецепторов к ангиотензину. Эти опасения носили гипотетический характер и не получили практического подтверждения. Более того, имеются косвенные данные о возможном протективном действии этих препаратов при COVID-19. Экспертами Европейского общества кардиологов опубликовано заявление о том, что данных о неблагоприятных эффектах этих препаратов на течение COVID-19 нет, их прием настоятельно рекомендуется</w:t>
      </w:r>
      <w:r>
        <w:rPr>
          <w:spacing w:val="-1"/>
        </w:rPr>
        <w:t> </w:t>
      </w:r>
      <w:r>
        <w:rPr/>
        <w:t>продолжать.</w:t>
      </w:r>
    </w:p>
    <w:p>
      <w:pPr>
        <w:pStyle w:val="BodyText"/>
        <w:spacing w:before="10"/>
        <w:ind w:left="0"/>
        <w:jc w:val="left"/>
        <w:rPr>
          <w:sz w:val="20"/>
        </w:rPr>
      </w:pPr>
    </w:p>
    <w:p>
      <w:pPr>
        <w:pStyle w:val="Heading3"/>
      </w:pPr>
      <w:bookmarkStart w:name="Больные с гиперлипидемией" w:id="97"/>
      <w:bookmarkEnd w:id="97"/>
      <w:r>
        <w:rPr>
          <w:b w:val="0"/>
        </w:rPr>
      </w:r>
      <w:r>
        <w:rPr>
          <w:color w:val="1F487C"/>
        </w:rPr>
        <w:t>Больные с гиперлипидемией</w:t>
      </w:r>
    </w:p>
    <w:p>
      <w:pPr>
        <w:pStyle w:val="BodyText"/>
        <w:spacing w:line="312" w:lineRule="auto" w:before="142"/>
        <w:ind w:right="674" w:firstLine="708"/>
      </w:pPr>
      <w:r>
        <w:rPr/>
        <w:t>Статины обладают иммуномодулирующим эффектом. При подтверждении COVID-19 прием статинов не прекращается. Если пациенты не принимали статины, то рекомендовано назначение терапии при легком и среднетяжелом течении. Во время лечения инфекции необходим контроль за печеночными ферментами и риском рабдомиолиза.</w:t>
      </w:r>
    </w:p>
    <w:p>
      <w:pPr>
        <w:spacing w:after="0" w:line="312" w:lineRule="auto"/>
        <w:sectPr>
          <w:pgSz w:w="11920" w:h="16850"/>
          <w:pgMar w:header="0" w:footer="620" w:top="1060" w:bottom="880" w:left="1380" w:right="600"/>
        </w:sectPr>
      </w:pPr>
    </w:p>
    <w:p>
      <w:pPr>
        <w:pStyle w:val="Heading3"/>
        <w:spacing w:before="78"/>
      </w:pPr>
      <w:bookmarkStart w:name="Больные с острым коронарным синдромом" w:id="98"/>
      <w:bookmarkEnd w:id="98"/>
      <w:r>
        <w:rPr>
          <w:b w:val="0"/>
        </w:rPr>
      </w:r>
      <w:r>
        <w:rPr>
          <w:color w:val="1F487C"/>
        </w:rPr>
        <w:t>Больные с острым коронарным синдромом</w:t>
      </w:r>
    </w:p>
    <w:p>
      <w:pPr>
        <w:pStyle w:val="BodyText"/>
        <w:spacing w:line="312" w:lineRule="auto" w:before="142"/>
        <w:ind w:right="672" w:firstLine="708"/>
      </w:pPr>
      <w:r>
        <w:rPr/>
        <w:t>В связи с тем, что при COVID-19 обнаруживается неспецифическое повышение уровня тропонина, а также описаны случаи миокардитов, для подтверждения диагноза острого коронарного синдрома на фоне COVID-10 требуется более тщательное обследование. В целом тактика ведения пациентов с ОКС не должна отличаться от стандартно принятой. Пациенты с острым коронарным синдромом и с подозрением на COVID-19 должны направляться в стационары, имеющие возможность проведения чрескожного коронарного вмешательства.</w:t>
      </w:r>
    </w:p>
    <w:p>
      <w:pPr>
        <w:pStyle w:val="BodyText"/>
        <w:spacing w:before="11"/>
        <w:ind w:left="0"/>
        <w:jc w:val="left"/>
        <w:rPr>
          <w:sz w:val="20"/>
        </w:rPr>
      </w:pPr>
    </w:p>
    <w:p>
      <w:pPr>
        <w:pStyle w:val="Heading3"/>
      </w:pPr>
      <w:bookmarkStart w:name="Больные сахарным диабетом" w:id="99"/>
      <w:bookmarkEnd w:id="99"/>
      <w:r>
        <w:rPr>
          <w:b w:val="0"/>
        </w:rPr>
      </w:r>
      <w:r>
        <w:rPr>
          <w:color w:val="1F487C"/>
        </w:rPr>
        <w:t>Больные сахарным диабетом</w:t>
      </w:r>
    </w:p>
    <w:p>
      <w:pPr>
        <w:pStyle w:val="BodyText"/>
        <w:spacing w:line="312" w:lineRule="auto" w:before="142"/>
        <w:ind w:right="665" w:firstLine="708"/>
      </w:pPr>
      <w:r>
        <w:rPr/>
        <w:t>Сахарный диабет (СД) является  фактором риска развития тяжелой пневмонии и септического течения вирусной инфекции, ассоциированного с развитием полиорганной недостаточности и повышением риска осложнений и смерти. Пациенты с сахарным диабетом должны тщательно следовать рекомендациям по профилактике заболевания COVID-19. В качестве специфической профилактики рекомендовано применение препаратов</w:t>
      </w:r>
      <w:r>
        <w:rPr>
          <w:spacing w:val="-3"/>
        </w:rPr>
        <w:t> </w:t>
      </w:r>
      <w:r>
        <w:rPr/>
        <w:t>альфа-интерферона.</w:t>
      </w:r>
    </w:p>
    <w:p>
      <w:pPr>
        <w:pStyle w:val="BodyText"/>
        <w:spacing w:line="312" w:lineRule="auto"/>
        <w:ind w:right="674" w:firstLine="566"/>
      </w:pPr>
      <w:r>
        <w:rPr/>
        <w:t>При</w:t>
      </w:r>
      <w:r>
        <w:rPr>
          <w:spacing w:val="-8"/>
        </w:rPr>
        <w:t> </w:t>
      </w:r>
      <w:r>
        <w:rPr/>
        <w:t>легком</w:t>
      </w:r>
      <w:r>
        <w:rPr>
          <w:spacing w:val="-9"/>
        </w:rPr>
        <w:t> </w:t>
      </w:r>
      <w:r>
        <w:rPr/>
        <w:t>течении</w:t>
      </w:r>
      <w:r>
        <w:rPr>
          <w:spacing w:val="-8"/>
        </w:rPr>
        <w:t> </w:t>
      </w:r>
      <w:r>
        <w:rPr/>
        <w:t>COVID-19</w:t>
      </w:r>
      <w:r>
        <w:rPr>
          <w:spacing w:val="-9"/>
        </w:rPr>
        <w:t> </w:t>
      </w:r>
      <w:r>
        <w:rPr/>
        <w:t>пациенту</w:t>
      </w:r>
      <w:r>
        <w:rPr>
          <w:spacing w:val="-11"/>
        </w:rPr>
        <w:t> </w:t>
      </w:r>
      <w:r>
        <w:rPr/>
        <w:t>с</w:t>
      </w:r>
      <w:r>
        <w:rPr>
          <w:spacing w:val="-9"/>
        </w:rPr>
        <w:t> </w:t>
      </w:r>
      <w:r>
        <w:rPr/>
        <w:t>СД</w:t>
      </w:r>
      <w:r>
        <w:rPr>
          <w:spacing w:val="-7"/>
        </w:rPr>
        <w:t> </w:t>
      </w:r>
      <w:r>
        <w:rPr/>
        <w:t>рекомендуется</w:t>
      </w:r>
      <w:r>
        <w:rPr>
          <w:spacing w:val="-4"/>
        </w:rPr>
        <w:t> </w:t>
      </w:r>
      <w:r>
        <w:rPr/>
        <w:t>учащение</w:t>
      </w:r>
      <w:r>
        <w:rPr>
          <w:spacing w:val="-10"/>
        </w:rPr>
        <w:t> </w:t>
      </w:r>
      <w:r>
        <w:rPr/>
        <w:t>контроля гликемии</w:t>
      </w:r>
      <w:r>
        <w:rPr>
          <w:spacing w:val="-18"/>
        </w:rPr>
        <w:t> </w:t>
      </w:r>
      <w:r>
        <w:rPr/>
        <w:t>каждые</w:t>
      </w:r>
      <w:r>
        <w:rPr>
          <w:spacing w:val="-17"/>
        </w:rPr>
        <w:t> </w:t>
      </w:r>
      <w:r>
        <w:rPr/>
        <w:t>4-6</w:t>
      </w:r>
      <w:r>
        <w:rPr>
          <w:spacing w:val="-16"/>
        </w:rPr>
        <w:t> </w:t>
      </w:r>
      <w:r>
        <w:rPr/>
        <w:t>ч</w:t>
      </w:r>
      <w:r>
        <w:rPr>
          <w:spacing w:val="-14"/>
        </w:rPr>
        <w:t> </w:t>
      </w:r>
      <w:r>
        <w:rPr/>
        <w:t>с</w:t>
      </w:r>
      <w:r>
        <w:rPr>
          <w:spacing w:val="-17"/>
        </w:rPr>
        <w:t> </w:t>
      </w:r>
      <w:r>
        <w:rPr/>
        <w:t>расширением</w:t>
      </w:r>
      <w:r>
        <w:rPr>
          <w:spacing w:val="-17"/>
        </w:rPr>
        <w:t> </w:t>
      </w:r>
      <w:r>
        <w:rPr/>
        <w:t>питьевого</w:t>
      </w:r>
      <w:r>
        <w:rPr>
          <w:spacing w:val="-16"/>
        </w:rPr>
        <w:t> </w:t>
      </w:r>
      <w:r>
        <w:rPr/>
        <w:t>режима</w:t>
      </w:r>
      <w:r>
        <w:rPr>
          <w:spacing w:val="-17"/>
        </w:rPr>
        <w:t> </w:t>
      </w:r>
      <w:r>
        <w:rPr/>
        <w:t>до</w:t>
      </w:r>
      <w:r>
        <w:rPr>
          <w:spacing w:val="-16"/>
        </w:rPr>
        <w:t> </w:t>
      </w:r>
      <w:r>
        <w:rPr/>
        <w:t>2-3</w:t>
      </w:r>
      <w:r>
        <w:rPr>
          <w:spacing w:val="-16"/>
        </w:rPr>
        <w:t> </w:t>
      </w:r>
      <w:r>
        <w:rPr/>
        <w:t>литров</w:t>
      </w:r>
      <w:r>
        <w:rPr>
          <w:spacing w:val="-14"/>
        </w:rPr>
        <w:t> </w:t>
      </w:r>
      <w:r>
        <w:rPr/>
        <w:t>в</w:t>
      </w:r>
      <w:r>
        <w:rPr>
          <w:spacing w:val="-16"/>
        </w:rPr>
        <w:t> </w:t>
      </w:r>
      <w:r>
        <w:rPr/>
        <w:t>сутки</w:t>
      </w:r>
      <w:r>
        <w:rPr>
          <w:spacing w:val="-15"/>
        </w:rPr>
        <w:t> </w:t>
      </w:r>
      <w:r>
        <w:rPr/>
        <w:t>с</w:t>
      </w:r>
      <w:r>
        <w:rPr>
          <w:spacing w:val="-13"/>
        </w:rPr>
        <w:t> </w:t>
      </w:r>
      <w:r>
        <w:rPr/>
        <w:t>учетом сопутствующих заболеваний. Необходимо продолжить текущую сахароснижающую терапию.</w:t>
      </w:r>
    </w:p>
    <w:p>
      <w:pPr>
        <w:pStyle w:val="BodyText"/>
        <w:spacing w:line="312" w:lineRule="auto"/>
        <w:ind w:right="676" w:firstLine="566"/>
      </w:pPr>
      <w:r>
        <w:rPr/>
        <w:t>При</w:t>
      </w:r>
      <w:r>
        <w:rPr>
          <w:spacing w:val="-9"/>
        </w:rPr>
        <w:t> </w:t>
      </w:r>
      <w:r>
        <w:rPr/>
        <w:t>повышении</w:t>
      </w:r>
      <w:r>
        <w:rPr>
          <w:spacing w:val="-9"/>
        </w:rPr>
        <w:t> </w:t>
      </w:r>
      <w:r>
        <w:rPr/>
        <w:t>гликемии</w:t>
      </w:r>
      <w:r>
        <w:rPr>
          <w:spacing w:val="-9"/>
        </w:rPr>
        <w:t> </w:t>
      </w:r>
      <w:r>
        <w:rPr/>
        <w:t>необходимо</w:t>
      </w:r>
      <w:r>
        <w:rPr>
          <w:spacing w:val="-7"/>
        </w:rPr>
        <w:t> </w:t>
      </w:r>
      <w:r>
        <w:rPr/>
        <w:t>усилить</w:t>
      </w:r>
      <w:r>
        <w:rPr>
          <w:spacing w:val="-10"/>
        </w:rPr>
        <w:t> </w:t>
      </w:r>
      <w:r>
        <w:rPr/>
        <w:t>терапию</w:t>
      </w:r>
      <w:r>
        <w:rPr>
          <w:spacing w:val="-9"/>
        </w:rPr>
        <w:t> </w:t>
      </w:r>
      <w:r>
        <w:rPr/>
        <w:t>СД.</w:t>
      </w:r>
      <w:r>
        <w:rPr>
          <w:spacing w:val="-10"/>
        </w:rPr>
        <w:t> </w:t>
      </w:r>
      <w:r>
        <w:rPr/>
        <w:t>При</w:t>
      </w:r>
      <w:r>
        <w:rPr>
          <w:spacing w:val="-9"/>
        </w:rPr>
        <w:t> </w:t>
      </w:r>
      <w:r>
        <w:rPr/>
        <w:t>гликемии</w:t>
      </w:r>
      <w:r>
        <w:rPr>
          <w:spacing w:val="-8"/>
        </w:rPr>
        <w:t> </w:t>
      </w:r>
      <w:r>
        <w:rPr/>
        <w:t>выше 13-15 ммоль/л нужно оценить уровень кетонов в моче и добавить инсулин-изофан человеческий генно-инженерный инсулин или аналог инсулина длительного</w:t>
      </w:r>
      <w:r>
        <w:rPr>
          <w:spacing w:val="-19"/>
        </w:rPr>
        <w:t> </w:t>
      </w:r>
      <w:r>
        <w:rPr/>
        <w:t>действия.</w:t>
      </w:r>
    </w:p>
    <w:p>
      <w:pPr>
        <w:pStyle w:val="BodyText"/>
        <w:ind w:left="888"/>
      </w:pPr>
      <w:r>
        <w:rPr/>
        <w:t>При среднетяжелом течении COVID-19 и появлении респираторных симптомов:</w:t>
      </w:r>
    </w:p>
    <w:p>
      <w:pPr>
        <w:pStyle w:val="BodyText"/>
        <w:spacing w:before="5"/>
        <w:ind w:left="0"/>
        <w:jc w:val="left"/>
        <w:rPr>
          <w:sz w:val="38"/>
        </w:rPr>
      </w:pPr>
    </w:p>
    <w:p>
      <w:pPr>
        <w:pStyle w:val="ListParagraph"/>
        <w:numPr>
          <w:ilvl w:val="1"/>
          <w:numId w:val="24"/>
        </w:numPr>
        <w:tabs>
          <w:tab w:pos="1001" w:val="left" w:leader="none"/>
        </w:tabs>
        <w:spacing w:line="309" w:lineRule="auto" w:before="1" w:after="0"/>
        <w:ind w:left="1000" w:right="677" w:hanging="339"/>
        <w:jc w:val="both"/>
        <w:rPr>
          <w:sz w:val="24"/>
        </w:rPr>
      </w:pPr>
      <w:r>
        <w:rPr>
          <w:sz w:val="24"/>
        </w:rPr>
        <w:t>Необходимо отменить прием метформина, агонистов рецепторов ГПП-1 (арГПП-1), ингибиторов натрий-глюкозного котранспортера 2 типа (иНГЛТ-2), препаратов</w:t>
      </w:r>
      <w:r>
        <w:rPr>
          <w:spacing w:val="-2"/>
          <w:sz w:val="24"/>
        </w:rPr>
        <w:t> </w:t>
      </w:r>
      <w:r>
        <w:rPr>
          <w:sz w:val="24"/>
        </w:rPr>
        <w:t>сульфонилмочевины;</w:t>
      </w:r>
    </w:p>
    <w:p>
      <w:pPr>
        <w:pStyle w:val="ListParagraph"/>
        <w:numPr>
          <w:ilvl w:val="1"/>
          <w:numId w:val="24"/>
        </w:numPr>
        <w:tabs>
          <w:tab w:pos="1001" w:val="left" w:leader="none"/>
        </w:tabs>
        <w:spacing w:line="304" w:lineRule="auto" w:before="3" w:after="0"/>
        <w:ind w:left="1000" w:right="676" w:hanging="339"/>
        <w:jc w:val="both"/>
        <w:rPr>
          <w:sz w:val="24"/>
        </w:rPr>
      </w:pPr>
      <w:r>
        <w:rPr>
          <w:sz w:val="24"/>
        </w:rPr>
        <w:t>Контроль гликемии проводится каждые 3-4 ч, контроль кетонов в моче 1-2 раза в день, проводится оценка содержания</w:t>
      </w:r>
      <w:r>
        <w:rPr>
          <w:spacing w:val="-3"/>
          <w:sz w:val="24"/>
        </w:rPr>
        <w:t> </w:t>
      </w:r>
      <w:r>
        <w:rPr>
          <w:sz w:val="24"/>
        </w:rPr>
        <w:t>лактата;</w:t>
      </w:r>
    </w:p>
    <w:p>
      <w:pPr>
        <w:pStyle w:val="ListParagraph"/>
        <w:numPr>
          <w:ilvl w:val="1"/>
          <w:numId w:val="24"/>
        </w:numPr>
        <w:tabs>
          <w:tab w:pos="1001" w:val="left" w:leader="none"/>
        </w:tabs>
        <w:spacing w:line="304" w:lineRule="auto" w:before="10" w:after="0"/>
        <w:ind w:left="1000" w:right="673" w:hanging="339"/>
        <w:jc w:val="both"/>
        <w:rPr>
          <w:sz w:val="24"/>
        </w:rPr>
      </w:pPr>
      <w:r>
        <w:rPr>
          <w:sz w:val="24"/>
        </w:rPr>
        <w:t>При</w:t>
      </w:r>
      <w:r>
        <w:rPr>
          <w:spacing w:val="-7"/>
          <w:sz w:val="24"/>
        </w:rPr>
        <w:t> </w:t>
      </w:r>
      <w:r>
        <w:rPr>
          <w:sz w:val="24"/>
        </w:rPr>
        <w:t>гликемии</w:t>
      </w:r>
      <w:r>
        <w:rPr>
          <w:spacing w:val="-8"/>
          <w:sz w:val="24"/>
        </w:rPr>
        <w:t> </w:t>
      </w:r>
      <w:r>
        <w:rPr>
          <w:sz w:val="24"/>
        </w:rPr>
        <w:t>выше</w:t>
      </w:r>
      <w:r>
        <w:rPr>
          <w:spacing w:val="-10"/>
          <w:sz w:val="24"/>
        </w:rPr>
        <w:t> </w:t>
      </w:r>
      <w:r>
        <w:rPr>
          <w:sz w:val="24"/>
        </w:rPr>
        <w:t>15,0</w:t>
      </w:r>
      <w:r>
        <w:rPr>
          <w:spacing w:val="-9"/>
          <w:sz w:val="24"/>
        </w:rPr>
        <w:t> </w:t>
      </w:r>
      <w:r>
        <w:rPr>
          <w:sz w:val="24"/>
        </w:rPr>
        <w:t>ммоль/л</w:t>
      </w:r>
      <w:r>
        <w:rPr>
          <w:spacing w:val="-8"/>
          <w:sz w:val="24"/>
        </w:rPr>
        <w:t> </w:t>
      </w:r>
      <w:r>
        <w:rPr>
          <w:sz w:val="24"/>
        </w:rPr>
        <w:t>показано</w:t>
      </w:r>
      <w:r>
        <w:rPr>
          <w:spacing w:val="-9"/>
          <w:sz w:val="24"/>
        </w:rPr>
        <w:t> </w:t>
      </w:r>
      <w:r>
        <w:rPr>
          <w:sz w:val="24"/>
        </w:rPr>
        <w:t>назначение</w:t>
      </w:r>
      <w:r>
        <w:rPr>
          <w:spacing w:val="-10"/>
          <w:sz w:val="24"/>
        </w:rPr>
        <w:t> </w:t>
      </w:r>
      <w:r>
        <w:rPr>
          <w:sz w:val="24"/>
        </w:rPr>
        <w:t>инсулина</w:t>
      </w:r>
      <w:r>
        <w:rPr>
          <w:spacing w:val="-10"/>
          <w:sz w:val="24"/>
        </w:rPr>
        <w:t> </w:t>
      </w:r>
      <w:r>
        <w:rPr>
          <w:sz w:val="24"/>
        </w:rPr>
        <w:t>короткого</w:t>
      </w:r>
      <w:r>
        <w:rPr>
          <w:spacing w:val="-9"/>
          <w:sz w:val="24"/>
        </w:rPr>
        <w:t> </w:t>
      </w:r>
      <w:r>
        <w:rPr>
          <w:sz w:val="24"/>
        </w:rPr>
        <w:t>типа действия или базис-болюсной</w:t>
      </w:r>
      <w:r>
        <w:rPr>
          <w:spacing w:val="-3"/>
          <w:sz w:val="24"/>
        </w:rPr>
        <w:t> </w:t>
      </w:r>
      <w:r>
        <w:rPr>
          <w:sz w:val="24"/>
        </w:rPr>
        <w:t>инсулинотерапии.</w:t>
      </w:r>
    </w:p>
    <w:p>
      <w:pPr>
        <w:pStyle w:val="BodyText"/>
        <w:spacing w:before="1"/>
        <w:ind w:left="0"/>
        <w:jc w:val="left"/>
        <w:rPr>
          <w:sz w:val="33"/>
        </w:rPr>
      </w:pPr>
    </w:p>
    <w:p>
      <w:pPr>
        <w:pStyle w:val="BodyText"/>
        <w:spacing w:line="312" w:lineRule="auto"/>
        <w:ind w:right="675" w:firstLine="566"/>
      </w:pPr>
      <w:r>
        <w:rPr/>
        <w:t>Тяжелое течение COVID-19  характеризуется  прогрессированием  дыхательной и полиорганной недостаточности.</w:t>
      </w:r>
      <w:r>
        <w:rPr>
          <w:spacing w:val="1"/>
        </w:rPr>
        <w:t> </w:t>
      </w:r>
      <w:r>
        <w:rPr/>
        <w:t>Рекомендовано:</w:t>
      </w:r>
    </w:p>
    <w:p>
      <w:pPr>
        <w:pStyle w:val="BodyText"/>
        <w:spacing w:before="6"/>
        <w:ind w:left="0"/>
        <w:jc w:val="left"/>
        <w:rPr>
          <w:sz w:val="31"/>
        </w:rPr>
      </w:pPr>
    </w:p>
    <w:p>
      <w:pPr>
        <w:pStyle w:val="ListParagraph"/>
        <w:numPr>
          <w:ilvl w:val="1"/>
          <w:numId w:val="24"/>
        </w:numPr>
        <w:tabs>
          <w:tab w:pos="1001" w:val="left" w:leader="none"/>
        </w:tabs>
        <w:spacing w:line="304" w:lineRule="auto" w:before="0" w:after="0"/>
        <w:ind w:left="1000" w:right="679" w:hanging="339"/>
        <w:jc w:val="both"/>
        <w:rPr>
          <w:sz w:val="24"/>
        </w:rPr>
      </w:pPr>
      <w:r>
        <w:rPr>
          <w:sz w:val="24"/>
        </w:rPr>
        <w:t>Целевая гликемия определяется тяжестью состояния пациента и течением заболевания;</w:t>
      </w:r>
    </w:p>
    <w:p>
      <w:pPr>
        <w:pStyle w:val="ListParagraph"/>
        <w:numPr>
          <w:ilvl w:val="1"/>
          <w:numId w:val="24"/>
        </w:numPr>
        <w:tabs>
          <w:tab w:pos="1000" w:val="left" w:leader="none"/>
          <w:tab w:pos="1001" w:val="left" w:leader="none"/>
        </w:tabs>
        <w:spacing w:line="240" w:lineRule="auto" w:before="10" w:after="0"/>
        <w:ind w:left="1000" w:right="0" w:hanging="339"/>
        <w:jc w:val="left"/>
        <w:rPr>
          <w:sz w:val="24"/>
        </w:rPr>
      </w:pPr>
      <w:r>
        <w:rPr>
          <w:sz w:val="24"/>
        </w:rPr>
        <w:t>Отменить все сахароснижающие препараты кроме</w:t>
      </w:r>
      <w:r>
        <w:rPr>
          <w:spacing w:val="-5"/>
          <w:sz w:val="24"/>
        </w:rPr>
        <w:t> </w:t>
      </w:r>
      <w:r>
        <w:rPr>
          <w:sz w:val="24"/>
        </w:rPr>
        <w:t>инсулина;</w:t>
      </w:r>
    </w:p>
    <w:p>
      <w:pPr>
        <w:spacing w:after="0" w:line="240" w:lineRule="auto"/>
        <w:jc w:val="left"/>
        <w:rPr>
          <w:sz w:val="24"/>
        </w:rPr>
        <w:sectPr>
          <w:pgSz w:w="11920" w:h="16850"/>
          <w:pgMar w:header="0" w:footer="620" w:top="1060" w:bottom="880" w:left="1380" w:right="600"/>
        </w:sectPr>
      </w:pPr>
    </w:p>
    <w:p>
      <w:pPr>
        <w:pStyle w:val="ListParagraph"/>
        <w:numPr>
          <w:ilvl w:val="1"/>
          <w:numId w:val="24"/>
        </w:numPr>
        <w:tabs>
          <w:tab w:pos="1001" w:val="left" w:leader="none"/>
        </w:tabs>
        <w:spacing w:line="304" w:lineRule="auto" w:before="80" w:after="0"/>
        <w:ind w:left="1000" w:right="676" w:hanging="339"/>
        <w:jc w:val="both"/>
        <w:rPr>
          <w:sz w:val="24"/>
        </w:rPr>
      </w:pPr>
      <w:r>
        <w:rPr>
          <w:sz w:val="24"/>
        </w:rPr>
        <w:t>Назначить  непрерывное внутривенное введение инсулин  короткого действия  с помощью</w:t>
      </w:r>
      <w:r>
        <w:rPr>
          <w:spacing w:val="-2"/>
          <w:sz w:val="24"/>
        </w:rPr>
        <w:t> </w:t>
      </w:r>
      <w:r>
        <w:rPr>
          <w:sz w:val="24"/>
        </w:rPr>
        <w:t>инфузомата;</w:t>
      </w:r>
    </w:p>
    <w:p>
      <w:pPr>
        <w:pStyle w:val="ListParagraph"/>
        <w:numPr>
          <w:ilvl w:val="1"/>
          <w:numId w:val="24"/>
        </w:numPr>
        <w:tabs>
          <w:tab w:pos="1001" w:val="left" w:leader="none"/>
        </w:tabs>
        <w:spacing w:line="309" w:lineRule="auto" w:before="11" w:after="0"/>
        <w:ind w:left="1000" w:right="675" w:hanging="339"/>
        <w:jc w:val="both"/>
        <w:rPr>
          <w:sz w:val="24"/>
        </w:rPr>
      </w:pPr>
      <w:r>
        <w:rPr>
          <w:sz w:val="24"/>
        </w:rPr>
        <w:t>Проводить контроль гликемии ежечасно при гликемии выше 13,0 ммоль/л или каждые 3 ч при гликемии ниже 13,0 ммоль/л для коррекции скорости введения инсулина, контроль содержания кетонов в моче и лактата в крови проводится   2 раза в</w:t>
      </w:r>
      <w:r>
        <w:rPr>
          <w:spacing w:val="-2"/>
          <w:sz w:val="24"/>
        </w:rPr>
        <w:t> </w:t>
      </w:r>
      <w:r>
        <w:rPr>
          <w:sz w:val="24"/>
        </w:rPr>
        <w:t>день.</w:t>
      </w:r>
    </w:p>
    <w:p>
      <w:pPr>
        <w:pStyle w:val="BodyText"/>
        <w:ind w:left="0"/>
        <w:jc w:val="left"/>
        <w:rPr>
          <w:sz w:val="26"/>
        </w:rPr>
      </w:pPr>
    </w:p>
    <w:p>
      <w:pPr>
        <w:pStyle w:val="BodyText"/>
        <w:spacing w:before="4"/>
        <w:ind w:left="0"/>
        <w:jc w:val="left"/>
        <w:rPr>
          <w:sz w:val="26"/>
        </w:rPr>
      </w:pPr>
    </w:p>
    <w:p>
      <w:pPr>
        <w:pStyle w:val="Heading3"/>
      </w:pPr>
      <w:bookmarkStart w:name="Особенности лечения COVID-19 у пациентов" w:id="100"/>
      <w:bookmarkEnd w:id="100"/>
      <w:r>
        <w:rPr>
          <w:b w:val="0"/>
        </w:rPr>
      </w:r>
      <w:r>
        <w:rPr>
          <w:color w:val="1F487C"/>
        </w:rPr>
        <w:t>Особенности лечения COVID-19 у пациентов с СД:</w:t>
      </w:r>
    </w:p>
    <w:p>
      <w:pPr>
        <w:pStyle w:val="ListParagraph"/>
        <w:numPr>
          <w:ilvl w:val="0"/>
          <w:numId w:val="27"/>
        </w:numPr>
        <w:tabs>
          <w:tab w:pos="1042" w:val="left" w:leader="none"/>
        </w:tabs>
        <w:spacing w:line="312" w:lineRule="auto" w:before="142" w:after="0"/>
        <w:ind w:left="1041" w:right="731" w:hanging="360"/>
        <w:jc w:val="both"/>
        <w:rPr>
          <w:sz w:val="24"/>
        </w:rPr>
      </w:pPr>
      <w:r>
        <w:rPr>
          <w:sz w:val="24"/>
        </w:rPr>
        <w:t>Пациенты с СД находятся в группе высокого риска присоединения бактериальной инфекции. При среднетяжелом и тяжелом течении рекомендуется в упредительном режиме назначение антибактериальной терапии в сочетании с этиотропной терапией</w:t>
      </w:r>
      <w:r>
        <w:rPr>
          <w:spacing w:val="-4"/>
          <w:sz w:val="24"/>
        </w:rPr>
        <w:t> </w:t>
      </w:r>
      <w:r>
        <w:rPr>
          <w:sz w:val="24"/>
        </w:rPr>
        <w:t>COVID-19.</w:t>
      </w:r>
    </w:p>
    <w:p>
      <w:pPr>
        <w:pStyle w:val="ListParagraph"/>
        <w:numPr>
          <w:ilvl w:val="0"/>
          <w:numId w:val="27"/>
        </w:numPr>
        <w:tabs>
          <w:tab w:pos="1042" w:val="left" w:leader="none"/>
        </w:tabs>
        <w:spacing w:line="312" w:lineRule="auto" w:before="0" w:after="0"/>
        <w:ind w:left="1041" w:right="732" w:hanging="360"/>
        <w:jc w:val="both"/>
        <w:rPr>
          <w:sz w:val="24"/>
        </w:rPr>
      </w:pPr>
      <w:r>
        <w:rPr>
          <w:sz w:val="24"/>
        </w:rPr>
        <w:t>При назначении комбинированной терапии ингибиторами протеаз ВИЧ и ГК следует ожидать повышения гликемии. Необходимо проводить контроль каждые</w:t>
      </w:r>
      <w:r>
        <w:rPr>
          <w:spacing w:val="-18"/>
          <w:sz w:val="24"/>
        </w:rPr>
        <w:t> </w:t>
      </w:r>
      <w:r>
        <w:rPr>
          <w:sz w:val="24"/>
        </w:rPr>
        <w:t>3</w:t>
      </w:r>
      <w:r>
        <w:rPr>
          <w:spacing w:val="-16"/>
          <w:sz w:val="24"/>
        </w:rPr>
        <w:t> </w:t>
      </w:r>
      <w:r>
        <w:rPr>
          <w:sz w:val="24"/>
        </w:rPr>
        <w:t>ч,</w:t>
      </w:r>
      <w:r>
        <w:rPr>
          <w:spacing w:val="-11"/>
          <w:sz w:val="24"/>
        </w:rPr>
        <w:t> </w:t>
      </w:r>
      <w:r>
        <w:rPr>
          <w:sz w:val="24"/>
        </w:rPr>
        <w:t>увеличить</w:t>
      </w:r>
      <w:r>
        <w:rPr>
          <w:spacing w:val="-15"/>
          <w:sz w:val="24"/>
        </w:rPr>
        <w:t> </w:t>
      </w:r>
      <w:r>
        <w:rPr>
          <w:sz w:val="24"/>
        </w:rPr>
        <w:t>скорость</w:t>
      </w:r>
      <w:r>
        <w:rPr>
          <w:spacing w:val="-15"/>
          <w:sz w:val="24"/>
        </w:rPr>
        <w:t> </w:t>
      </w:r>
      <w:r>
        <w:rPr>
          <w:sz w:val="24"/>
        </w:rPr>
        <w:t>подачи</w:t>
      </w:r>
      <w:r>
        <w:rPr>
          <w:spacing w:val="-15"/>
          <w:sz w:val="24"/>
        </w:rPr>
        <w:t> </w:t>
      </w:r>
      <w:r>
        <w:rPr>
          <w:sz w:val="24"/>
        </w:rPr>
        <w:t>инсулина</w:t>
      </w:r>
      <w:r>
        <w:rPr>
          <w:spacing w:val="-17"/>
          <w:sz w:val="24"/>
        </w:rPr>
        <w:t> </w:t>
      </w:r>
      <w:r>
        <w:rPr>
          <w:sz w:val="24"/>
        </w:rPr>
        <w:t>по</w:t>
      </w:r>
      <w:r>
        <w:rPr>
          <w:spacing w:val="-17"/>
          <w:sz w:val="24"/>
        </w:rPr>
        <w:t> </w:t>
      </w:r>
      <w:r>
        <w:rPr>
          <w:sz w:val="24"/>
        </w:rPr>
        <w:t>данным</w:t>
      </w:r>
      <w:r>
        <w:rPr>
          <w:spacing w:val="-17"/>
          <w:sz w:val="24"/>
        </w:rPr>
        <w:t> </w:t>
      </w:r>
      <w:r>
        <w:rPr>
          <w:sz w:val="24"/>
        </w:rPr>
        <w:t>контроля</w:t>
      </w:r>
      <w:r>
        <w:rPr>
          <w:spacing w:val="-18"/>
          <w:sz w:val="24"/>
        </w:rPr>
        <w:t> </w:t>
      </w:r>
      <w:r>
        <w:rPr>
          <w:sz w:val="24"/>
        </w:rPr>
        <w:t>гликемии (доза инсулина может быть увеличена в 2-3 раза в сравнении с</w:t>
      </w:r>
      <w:r>
        <w:rPr>
          <w:spacing w:val="-9"/>
          <w:sz w:val="24"/>
        </w:rPr>
        <w:t> </w:t>
      </w:r>
      <w:r>
        <w:rPr>
          <w:sz w:val="24"/>
        </w:rPr>
        <w:t>исходной).</w:t>
      </w:r>
    </w:p>
    <w:p>
      <w:pPr>
        <w:pStyle w:val="ListParagraph"/>
        <w:numPr>
          <w:ilvl w:val="0"/>
          <w:numId w:val="27"/>
        </w:numPr>
        <w:tabs>
          <w:tab w:pos="1042" w:val="left" w:leader="none"/>
        </w:tabs>
        <w:spacing w:line="312" w:lineRule="auto" w:before="0" w:after="0"/>
        <w:ind w:left="1041" w:right="732" w:hanging="360"/>
        <w:jc w:val="both"/>
        <w:rPr>
          <w:sz w:val="24"/>
        </w:rPr>
      </w:pPr>
      <w:r>
        <w:rPr>
          <w:sz w:val="24"/>
        </w:rPr>
        <w:t>Для пациентов с СД характерно более быстрое развитием ОРДС. Обосновано ранее упреждающее назначение моноклональных антител для терапии цитокинового шторма. Необходимо проводить мониторинг клинических маркеров интерлейкинового воспаления для своевременного назначения терапии</w:t>
      </w:r>
    </w:p>
    <w:p>
      <w:pPr>
        <w:pStyle w:val="ListParagraph"/>
        <w:numPr>
          <w:ilvl w:val="0"/>
          <w:numId w:val="27"/>
        </w:numPr>
        <w:tabs>
          <w:tab w:pos="1042" w:val="left" w:leader="none"/>
        </w:tabs>
        <w:spacing w:line="312" w:lineRule="auto" w:before="0" w:after="0"/>
        <w:ind w:left="1041" w:right="730" w:hanging="360"/>
        <w:jc w:val="both"/>
        <w:rPr>
          <w:sz w:val="24"/>
        </w:rPr>
      </w:pPr>
      <w:r>
        <w:rPr>
          <w:sz w:val="24"/>
        </w:rPr>
        <w:t>Имеются</w:t>
      </w:r>
      <w:r>
        <w:rPr>
          <w:spacing w:val="-18"/>
          <w:sz w:val="24"/>
        </w:rPr>
        <w:t> </w:t>
      </w:r>
      <w:r>
        <w:rPr>
          <w:sz w:val="24"/>
        </w:rPr>
        <w:t>высокие</w:t>
      </w:r>
      <w:r>
        <w:rPr>
          <w:spacing w:val="-18"/>
          <w:sz w:val="24"/>
        </w:rPr>
        <w:t> </w:t>
      </w:r>
      <w:r>
        <w:rPr>
          <w:sz w:val="24"/>
        </w:rPr>
        <w:t>риски</w:t>
      </w:r>
      <w:r>
        <w:rPr>
          <w:spacing w:val="-16"/>
          <w:sz w:val="24"/>
        </w:rPr>
        <w:t> </w:t>
      </w:r>
      <w:r>
        <w:rPr>
          <w:sz w:val="24"/>
        </w:rPr>
        <w:t>развития</w:t>
      </w:r>
      <w:r>
        <w:rPr>
          <w:spacing w:val="-17"/>
          <w:sz w:val="24"/>
        </w:rPr>
        <w:t> </w:t>
      </w:r>
      <w:r>
        <w:rPr>
          <w:sz w:val="24"/>
        </w:rPr>
        <w:t>гиперкоагуляционного</w:t>
      </w:r>
      <w:r>
        <w:rPr>
          <w:spacing w:val="-17"/>
          <w:sz w:val="24"/>
        </w:rPr>
        <w:t> </w:t>
      </w:r>
      <w:r>
        <w:rPr>
          <w:sz w:val="24"/>
        </w:rPr>
        <w:t>синдрома.</w:t>
      </w:r>
      <w:r>
        <w:rPr>
          <w:spacing w:val="-17"/>
          <w:sz w:val="24"/>
        </w:rPr>
        <w:t> </w:t>
      </w:r>
      <w:r>
        <w:rPr>
          <w:sz w:val="24"/>
        </w:rPr>
        <w:t>Назначение антикоагулянтов является обязательным при использовании соответствующих схем</w:t>
      </w:r>
      <w:r>
        <w:rPr>
          <w:spacing w:val="-1"/>
          <w:sz w:val="24"/>
        </w:rPr>
        <w:t> </w:t>
      </w:r>
      <w:r>
        <w:rPr>
          <w:sz w:val="24"/>
        </w:rPr>
        <w:t>лечения.</w:t>
      </w:r>
    </w:p>
    <w:p>
      <w:pPr>
        <w:pStyle w:val="BodyText"/>
        <w:spacing w:before="1"/>
        <w:ind w:left="0"/>
        <w:jc w:val="left"/>
        <w:rPr>
          <w:sz w:val="31"/>
        </w:rPr>
      </w:pPr>
    </w:p>
    <w:p>
      <w:pPr>
        <w:pStyle w:val="BodyText"/>
        <w:spacing w:before="1"/>
        <w:ind w:left="1029"/>
      </w:pPr>
      <w:bookmarkStart w:name="При выписке пациентов из стационара:" w:id="101"/>
      <w:bookmarkEnd w:id="101"/>
      <w:r>
        <w:rPr/>
      </w:r>
      <w:r>
        <w:rPr/>
        <w:t>При выписке пациентов из стационара:</w:t>
      </w:r>
    </w:p>
    <w:p>
      <w:pPr>
        <w:pStyle w:val="BodyText"/>
        <w:spacing w:before="6"/>
        <w:ind w:left="0"/>
        <w:jc w:val="left"/>
        <w:rPr>
          <w:sz w:val="38"/>
        </w:rPr>
      </w:pPr>
    </w:p>
    <w:p>
      <w:pPr>
        <w:pStyle w:val="ListParagraph"/>
        <w:numPr>
          <w:ilvl w:val="1"/>
          <w:numId w:val="24"/>
        </w:numPr>
        <w:tabs>
          <w:tab w:pos="1000" w:val="left" w:leader="none"/>
          <w:tab w:pos="1001" w:val="left" w:leader="none"/>
          <w:tab w:pos="2769" w:val="left" w:leader="none"/>
          <w:tab w:pos="4255" w:val="left" w:leader="none"/>
          <w:tab w:pos="5527" w:val="left" w:leader="none"/>
          <w:tab w:pos="7037" w:val="left" w:leader="none"/>
          <w:tab w:pos="8210" w:val="left" w:leader="none"/>
          <w:tab w:pos="8650" w:val="left" w:leader="none"/>
        </w:tabs>
        <w:spacing w:line="304" w:lineRule="auto" w:before="0" w:after="0"/>
        <w:ind w:left="1000" w:right="679" w:hanging="339"/>
        <w:jc w:val="left"/>
        <w:rPr>
          <w:sz w:val="24"/>
        </w:rPr>
      </w:pPr>
      <w:r>
        <w:rPr>
          <w:sz w:val="24"/>
        </w:rPr>
        <w:t>Предусмотреть</w:t>
        <w:tab/>
        <w:t>обеспечение</w:t>
        <w:tab/>
        <w:t>пациентов</w:t>
        <w:tab/>
        <w:t>препаратами</w:t>
        <w:tab/>
        <w:t>инсулина</w:t>
        <w:tab/>
        <w:t>на</w:t>
        <w:tab/>
      </w:r>
      <w:r>
        <w:rPr>
          <w:spacing w:val="-5"/>
          <w:sz w:val="24"/>
        </w:rPr>
        <w:t>время </w:t>
      </w:r>
      <w:r>
        <w:rPr>
          <w:sz w:val="24"/>
        </w:rPr>
        <w:t>самоизоляции;</w:t>
      </w:r>
    </w:p>
    <w:p>
      <w:pPr>
        <w:pStyle w:val="ListParagraph"/>
        <w:numPr>
          <w:ilvl w:val="1"/>
          <w:numId w:val="24"/>
        </w:numPr>
        <w:tabs>
          <w:tab w:pos="1000" w:val="left" w:leader="none"/>
          <w:tab w:pos="1001" w:val="left" w:leader="none"/>
        </w:tabs>
        <w:spacing w:line="304" w:lineRule="auto" w:before="11" w:after="0"/>
        <w:ind w:left="1000" w:right="677" w:hanging="339"/>
        <w:jc w:val="left"/>
        <w:rPr>
          <w:sz w:val="24"/>
        </w:rPr>
      </w:pPr>
      <w:r>
        <w:rPr>
          <w:sz w:val="24"/>
        </w:rPr>
        <w:t>Возможно возобновить прием метформина, арГПП-1, иНГЛТ2 через 2 недели   в случае полной реконвалесценции</w:t>
      </w:r>
      <w:r>
        <w:rPr>
          <w:spacing w:val="-1"/>
          <w:sz w:val="24"/>
        </w:rPr>
        <w:t> </w:t>
      </w:r>
      <w:r>
        <w:rPr>
          <w:sz w:val="24"/>
        </w:rPr>
        <w:t>пациента.</w:t>
      </w:r>
    </w:p>
    <w:p>
      <w:pPr>
        <w:pStyle w:val="ListParagraph"/>
        <w:numPr>
          <w:ilvl w:val="1"/>
          <w:numId w:val="24"/>
        </w:numPr>
        <w:tabs>
          <w:tab w:pos="1000" w:val="left" w:leader="none"/>
          <w:tab w:pos="1001" w:val="left" w:leader="none"/>
        </w:tabs>
        <w:spacing w:line="240" w:lineRule="auto" w:before="10" w:after="0"/>
        <w:ind w:left="1000" w:right="0" w:hanging="339"/>
        <w:jc w:val="left"/>
        <w:rPr>
          <w:sz w:val="24"/>
        </w:rPr>
      </w:pPr>
      <w:r>
        <w:rPr>
          <w:sz w:val="24"/>
        </w:rPr>
        <w:t>Продолжение антикоагулянтов до полного</w:t>
      </w:r>
      <w:r>
        <w:rPr>
          <w:spacing w:val="-3"/>
          <w:sz w:val="24"/>
        </w:rPr>
        <w:t> </w:t>
      </w:r>
      <w:r>
        <w:rPr>
          <w:sz w:val="24"/>
        </w:rPr>
        <w:t>выздоровления.</w:t>
      </w:r>
    </w:p>
    <w:p>
      <w:pPr>
        <w:pStyle w:val="BodyText"/>
        <w:spacing w:before="10"/>
        <w:ind w:left="0"/>
        <w:jc w:val="left"/>
        <w:rPr>
          <w:sz w:val="27"/>
        </w:rPr>
      </w:pPr>
    </w:p>
    <w:p>
      <w:pPr>
        <w:pStyle w:val="Heading3"/>
      </w:pPr>
      <w:bookmarkStart w:name="Больные с хронической обструктивной боле" w:id="102"/>
      <w:bookmarkEnd w:id="102"/>
      <w:r>
        <w:rPr>
          <w:b w:val="0"/>
        </w:rPr>
      </w:r>
      <w:r>
        <w:rPr>
          <w:color w:val="1F487C"/>
        </w:rPr>
        <w:t>Больные с хронической обструктивной болезнью легких</w:t>
      </w:r>
    </w:p>
    <w:p>
      <w:pPr>
        <w:pStyle w:val="BodyText"/>
        <w:spacing w:line="312" w:lineRule="auto" w:before="142"/>
        <w:ind w:right="674" w:firstLine="708"/>
      </w:pPr>
      <w:r>
        <w:rPr/>
        <w:t>Хроническая обструктивная болезнь легких (ХОБЛ) – заболевание, характеризующееся поражением бронхиального дерева, преимущественно малых бронхов, и развитием различных форм эмфиземы легких, что ведет к снижению скорости воздушного потока в респираторном тракте и клинически – возникновению</w:t>
      </w:r>
    </w:p>
    <w:p>
      <w:pPr>
        <w:spacing w:after="0" w:line="312" w:lineRule="auto"/>
        <w:sectPr>
          <w:pgSz w:w="11920" w:h="16850"/>
          <w:pgMar w:header="0" w:footer="620" w:top="1060" w:bottom="880" w:left="1380" w:right="600"/>
        </w:sectPr>
      </w:pPr>
    </w:p>
    <w:p>
      <w:pPr>
        <w:pStyle w:val="BodyText"/>
        <w:spacing w:line="312" w:lineRule="auto" w:before="78"/>
        <w:ind w:right="678"/>
      </w:pPr>
      <w:r>
        <w:rPr/>
        <w:t>одышки. Основной причиной болезни является курение, в редких случаях – другие экзогенные воздействия.</w:t>
      </w:r>
    </w:p>
    <w:p>
      <w:pPr>
        <w:pStyle w:val="BodyText"/>
        <w:spacing w:line="312" w:lineRule="auto"/>
        <w:ind w:right="672" w:firstLine="708"/>
      </w:pPr>
      <w:r>
        <w:rPr/>
        <w:t>При выявлении у пациента с ХОБЛ COVID-19 развитие дыхательной недостаточности может прогрессировать быстрее, что требует особого наблюдения за этими пациентами и оценки уровня газообмена. В период лечения требуется продолжение базисной терапии бронхолитиками длительного действия, если они не были назначены, их необходимо ввести в общую схему. Ингаляционные ГК должны использоваться в виде дозированных аэрозолей или порошков. Небулайзераня терапия должна избегаться и применяться лишь по жизненным показаниям с соблюдением мер предосторожности распространения инфекции через аэрозоль. Системные ГК должны применяться по правилам лечения обострения ХОБЛ.</w:t>
      </w:r>
    </w:p>
    <w:p>
      <w:pPr>
        <w:pStyle w:val="BodyText"/>
        <w:spacing w:before="9"/>
        <w:ind w:left="0"/>
        <w:jc w:val="left"/>
        <w:rPr>
          <w:sz w:val="20"/>
        </w:rPr>
      </w:pPr>
    </w:p>
    <w:p>
      <w:pPr>
        <w:pStyle w:val="Heading3"/>
      </w:pPr>
      <w:bookmarkStart w:name="Больные с бронхиальной астмой" w:id="103"/>
      <w:bookmarkEnd w:id="103"/>
      <w:r>
        <w:rPr>
          <w:b w:val="0"/>
        </w:rPr>
      </w:r>
      <w:r>
        <w:rPr>
          <w:color w:val="1F487C"/>
        </w:rPr>
        <w:t>Больные с бронхиальной астмой</w:t>
      </w:r>
    </w:p>
    <w:p>
      <w:pPr>
        <w:pStyle w:val="BodyText"/>
        <w:spacing w:line="312" w:lineRule="auto" w:before="142"/>
        <w:ind w:right="674" w:firstLine="708"/>
      </w:pPr>
      <w:r>
        <w:rPr/>
        <w:t>При выявлении COVID-19 у пациентов с бронхиальной астмой, базисная терапия, в том числе топическими ГК, должна сохраняться в том же объеме, что и до заболевания. Лечение обострений бронхиальной астмы проводится по общим правилам. Ограничения к небулайзерной терапии такие же, как и для ХОБЛ. Если пациент применял биологическую терапию, и ему необходимо продолжение этого лечения, так как противопоказаний для введения препаратов иммунобиологической терапии нет.</w:t>
      </w:r>
    </w:p>
    <w:p>
      <w:pPr>
        <w:pStyle w:val="BodyText"/>
        <w:ind w:left="0"/>
        <w:jc w:val="left"/>
        <w:rPr>
          <w:sz w:val="21"/>
        </w:rPr>
      </w:pPr>
    </w:p>
    <w:p>
      <w:pPr>
        <w:pStyle w:val="Heading3"/>
      </w:pPr>
      <w:bookmarkStart w:name="Больные туберкулезом" w:id="104"/>
      <w:bookmarkEnd w:id="104"/>
      <w:r>
        <w:rPr>
          <w:b w:val="0"/>
        </w:rPr>
      </w:r>
      <w:r>
        <w:rPr>
          <w:color w:val="1F487C"/>
        </w:rPr>
        <w:t>Больные туберкулезом</w:t>
      </w:r>
    </w:p>
    <w:p>
      <w:pPr>
        <w:pStyle w:val="BodyText"/>
        <w:spacing w:line="312" w:lineRule="auto" w:before="141"/>
        <w:ind w:right="673" w:firstLine="708"/>
      </w:pPr>
      <w:r>
        <w:rPr>
          <w:color w:val="1B1C1F"/>
        </w:rPr>
        <w:t>Последствия</w:t>
      </w:r>
      <w:r>
        <w:rPr>
          <w:color w:val="1B1C1F"/>
          <w:spacing w:val="-10"/>
        </w:rPr>
        <w:t> </w:t>
      </w:r>
      <w:r>
        <w:rPr>
          <w:color w:val="1B1C1F"/>
        </w:rPr>
        <w:t>заражения</w:t>
      </w:r>
      <w:r>
        <w:rPr>
          <w:color w:val="1B1C1F"/>
          <w:spacing w:val="-10"/>
        </w:rPr>
        <w:t> </w:t>
      </w:r>
      <w:r>
        <w:rPr>
          <w:color w:val="1B1C1F"/>
        </w:rPr>
        <w:t>COVID-19</w:t>
      </w:r>
      <w:r>
        <w:rPr>
          <w:color w:val="1B1C1F"/>
          <w:spacing w:val="-7"/>
        </w:rPr>
        <w:t> </w:t>
      </w:r>
      <w:r>
        <w:rPr>
          <w:color w:val="1B1C1F"/>
        </w:rPr>
        <w:t>у</w:t>
      </w:r>
      <w:r>
        <w:rPr>
          <w:color w:val="1B1C1F"/>
          <w:spacing w:val="-14"/>
        </w:rPr>
        <w:t> </w:t>
      </w:r>
      <w:r>
        <w:rPr>
          <w:color w:val="1B1C1F"/>
        </w:rPr>
        <w:t>больных</w:t>
      </w:r>
      <w:r>
        <w:rPr>
          <w:color w:val="1B1C1F"/>
          <w:spacing w:val="-9"/>
        </w:rPr>
        <w:t> </w:t>
      </w:r>
      <w:r>
        <w:rPr>
          <w:color w:val="1B1C1F"/>
        </w:rPr>
        <w:t>туберкулезом</w:t>
      </w:r>
      <w:r>
        <w:rPr>
          <w:color w:val="1B1C1F"/>
          <w:spacing w:val="-10"/>
        </w:rPr>
        <w:t> </w:t>
      </w:r>
      <w:r>
        <w:rPr>
          <w:color w:val="1B1C1F"/>
        </w:rPr>
        <w:t>до</w:t>
      </w:r>
      <w:r>
        <w:rPr>
          <w:color w:val="1B1C1F"/>
          <w:spacing w:val="-10"/>
        </w:rPr>
        <w:t> </w:t>
      </w:r>
      <w:r>
        <w:rPr>
          <w:color w:val="1B1C1F"/>
        </w:rPr>
        <w:t>конца</w:t>
      </w:r>
      <w:r>
        <w:rPr>
          <w:color w:val="1B1C1F"/>
          <w:spacing w:val="-13"/>
        </w:rPr>
        <w:t> </w:t>
      </w:r>
      <w:r>
        <w:rPr>
          <w:color w:val="1B1C1F"/>
        </w:rPr>
        <w:t>неясны,</w:t>
      </w:r>
      <w:r>
        <w:rPr>
          <w:color w:val="1B1C1F"/>
          <w:spacing w:val="-9"/>
        </w:rPr>
        <w:t> </w:t>
      </w:r>
      <w:r>
        <w:rPr>
          <w:color w:val="1B1C1F"/>
        </w:rPr>
        <w:t>но уже появляются первые публикации, свидетельствующие о том, что наличие туберкулезной  инфекции,  в  том  числе  латентной,  утяжеляет  течение  COVID-19.  С</w:t>
      </w:r>
      <w:r>
        <w:rPr>
          <w:color w:val="1B1C1F"/>
          <w:spacing w:val="-3"/>
        </w:rPr>
        <w:t> </w:t>
      </w:r>
      <w:r>
        <w:rPr>
          <w:color w:val="1B1C1F"/>
        </w:rPr>
        <w:t>целью</w:t>
      </w:r>
      <w:r>
        <w:rPr>
          <w:color w:val="1B1C1F"/>
          <w:spacing w:val="-14"/>
        </w:rPr>
        <w:t> </w:t>
      </w:r>
      <w:r>
        <w:rPr>
          <w:color w:val="1B1C1F"/>
        </w:rPr>
        <w:t>предупреждения</w:t>
      </w:r>
      <w:r>
        <w:rPr>
          <w:color w:val="1B1C1F"/>
          <w:spacing w:val="-14"/>
        </w:rPr>
        <w:t> </w:t>
      </w:r>
      <w:r>
        <w:rPr>
          <w:color w:val="1B1C1F"/>
        </w:rPr>
        <w:t>развития</w:t>
      </w:r>
      <w:r>
        <w:rPr>
          <w:color w:val="1B1C1F"/>
          <w:spacing w:val="-15"/>
        </w:rPr>
        <w:t> </w:t>
      </w:r>
      <w:r>
        <w:rPr>
          <w:color w:val="1B1C1F"/>
        </w:rPr>
        <w:t>сочетанной</w:t>
      </w:r>
      <w:r>
        <w:rPr>
          <w:color w:val="1B1C1F"/>
          <w:spacing w:val="-16"/>
        </w:rPr>
        <w:t> </w:t>
      </w:r>
      <w:r>
        <w:rPr>
          <w:color w:val="1B1C1F"/>
        </w:rPr>
        <w:t>патологии</w:t>
      </w:r>
      <w:r>
        <w:rPr>
          <w:color w:val="1B1C1F"/>
          <w:spacing w:val="-13"/>
        </w:rPr>
        <w:t> </w:t>
      </w:r>
      <w:r>
        <w:rPr>
          <w:color w:val="1B1C1F"/>
        </w:rPr>
        <w:t>и</w:t>
      </w:r>
      <w:r>
        <w:rPr>
          <w:color w:val="1B1C1F"/>
          <w:spacing w:val="-15"/>
        </w:rPr>
        <w:t> </w:t>
      </w:r>
      <w:r>
        <w:rPr>
          <w:color w:val="1B1C1F"/>
        </w:rPr>
        <w:t>исключения</w:t>
      </w:r>
      <w:r>
        <w:rPr>
          <w:color w:val="1B1C1F"/>
          <w:spacing w:val="-15"/>
        </w:rPr>
        <w:t> </w:t>
      </w:r>
      <w:r>
        <w:rPr>
          <w:color w:val="1B1C1F"/>
        </w:rPr>
        <w:t>туберкулезной инфекции на начальном этапе ведения пациента с подозрением на COVID-19 необходимо</w:t>
      </w:r>
      <w:r>
        <w:rPr>
          <w:color w:val="1B1C1F"/>
          <w:spacing w:val="-12"/>
        </w:rPr>
        <w:t> </w:t>
      </w:r>
      <w:r>
        <w:rPr>
          <w:color w:val="1B1C1F"/>
        </w:rPr>
        <w:t>проведение</w:t>
      </w:r>
      <w:r>
        <w:rPr>
          <w:color w:val="1B1C1F"/>
          <w:spacing w:val="-12"/>
        </w:rPr>
        <w:t> </w:t>
      </w:r>
      <w:r>
        <w:rPr>
          <w:color w:val="1B1C1F"/>
        </w:rPr>
        <w:t>обследования</w:t>
      </w:r>
      <w:r>
        <w:rPr>
          <w:color w:val="1B1C1F"/>
          <w:spacing w:val="-11"/>
        </w:rPr>
        <w:t> </w:t>
      </w:r>
      <w:r>
        <w:rPr>
          <w:color w:val="1B1C1F"/>
        </w:rPr>
        <w:t>на</w:t>
      </w:r>
      <w:r>
        <w:rPr>
          <w:color w:val="1B1C1F"/>
          <w:spacing w:val="-13"/>
        </w:rPr>
        <w:t> </w:t>
      </w:r>
      <w:r>
        <w:rPr>
          <w:color w:val="1B1C1F"/>
        </w:rPr>
        <w:t>туберкулез</w:t>
      </w:r>
      <w:r>
        <w:rPr>
          <w:color w:val="1B1C1F"/>
          <w:spacing w:val="-10"/>
        </w:rPr>
        <w:t> </w:t>
      </w:r>
      <w:r>
        <w:rPr>
          <w:color w:val="1B1C1F"/>
        </w:rPr>
        <w:t>одновременно</w:t>
      </w:r>
      <w:r>
        <w:rPr>
          <w:color w:val="1B1C1F"/>
          <w:spacing w:val="-11"/>
        </w:rPr>
        <w:t> </w:t>
      </w:r>
      <w:r>
        <w:rPr>
          <w:color w:val="1B1C1F"/>
        </w:rPr>
        <w:t>c</w:t>
      </w:r>
      <w:r>
        <w:rPr>
          <w:color w:val="1B1C1F"/>
          <w:spacing w:val="-10"/>
        </w:rPr>
        <w:t> </w:t>
      </w:r>
      <w:r>
        <w:rPr>
          <w:color w:val="1B1C1F"/>
        </w:rPr>
        <w:t>тестированием</w:t>
      </w:r>
      <w:r>
        <w:rPr>
          <w:color w:val="1B1C1F"/>
          <w:spacing w:val="-13"/>
        </w:rPr>
        <w:t> </w:t>
      </w:r>
      <w:r>
        <w:rPr>
          <w:color w:val="1B1C1F"/>
        </w:rPr>
        <w:t>на вирус</w:t>
      </w:r>
      <w:r>
        <w:rPr>
          <w:color w:val="1B1C1F"/>
          <w:spacing w:val="-18"/>
        </w:rPr>
        <w:t> </w:t>
      </w:r>
      <w:r>
        <w:rPr>
          <w:color w:val="1B1C1F"/>
        </w:rPr>
        <w:t>SARS-CoV-2.</w:t>
      </w:r>
      <w:r>
        <w:rPr>
          <w:color w:val="1B1C1F"/>
          <w:spacing w:val="-17"/>
        </w:rPr>
        <w:t> </w:t>
      </w:r>
      <w:r>
        <w:rPr>
          <w:color w:val="1B1C1F"/>
        </w:rPr>
        <w:t>У</w:t>
      </w:r>
      <w:r>
        <w:rPr>
          <w:color w:val="1B1C1F"/>
          <w:spacing w:val="-16"/>
        </w:rPr>
        <w:t> </w:t>
      </w:r>
      <w:r>
        <w:rPr>
          <w:color w:val="1B1C1F"/>
        </w:rPr>
        <w:t>пациентов</w:t>
      </w:r>
      <w:r>
        <w:rPr>
          <w:color w:val="1B1C1F"/>
          <w:spacing w:val="-16"/>
        </w:rPr>
        <w:t> </w:t>
      </w:r>
      <w:r>
        <w:rPr>
          <w:color w:val="1B1C1F"/>
        </w:rPr>
        <w:t>с</w:t>
      </w:r>
      <w:r>
        <w:rPr>
          <w:color w:val="1B1C1F"/>
          <w:spacing w:val="-18"/>
        </w:rPr>
        <w:t> </w:t>
      </w:r>
      <w:r>
        <w:rPr>
          <w:color w:val="1B1C1F"/>
        </w:rPr>
        <w:t>пневмонией,</w:t>
      </w:r>
      <w:r>
        <w:rPr>
          <w:color w:val="1B1C1F"/>
          <w:spacing w:val="-18"/>
        </w:rPr>
        <w:t> </w:t>
      </w:r>
      <w:r>
        <w:rPr>
          <w:color w:val="1B1C1F"/>
        </w:rPr>
        <w:t>вызванной</w:t>
      </w:r>
      <w:r>
        <w:rPr>
          <w:color w:val="1B1C1F"/>
          <w:spacing w:val="-18"/>
        </w:rPr>
        <w:t> </w:t>
      </w:r>
      <w:r>
        <w:rPr>
          <w:color w:val="1B1C1F"/>
        </w:rPr>
        <w:t>COVID-19,</w:t>
      </w:r>
      <w:r>
        <w:rPr>
          <w:color w:val="1B1C1F"/>
          <w:spacing w:val="-17"/>
        </w:rPr>
        <w:t> </w:t>
      </w:r>
      <w:r>
        <w:rPr>
          <w:color w:val="1B1C1F"/>
        </w:rPr>
        <w:t>в</w:t>
      </w:r>
      <w:r>
        <w:rPr>
          <w:color w:val="1B1C1F"/>
          <w:spacing w:val="-16"/>
        </w:rPr>
        <w:t> </w:t>
      </w:r>
      <w:r>
        <w:rPr>
          <w:color w:val="1B1C1F"/>
        </w:rPr>
        <w:t>анализах</w:t>
      </w:r>
      <w:r>
        <w:rPr>
          <w:color w:val="1B1C1F"/>
          <w:spacing w:val="-17"/>
        </w:rPr>
        <w:t> </w:t>
      </w:r>
      <w:r>
        <w:rPr>
          <w:color w:val="1B1C1F"/>
        </w:rPr>
        <w:t>крови отмечается лейкопения и лимфопения, что можно рассматривать как фактор риска перехода латентной туберкулезной инфекции в активную и отнести группу пациентов с COVID-19 к группам рискам, которым требуется не только исключение активного туберкулеза, но и обязательное тестирование на латентную туберкулезную инфекцию во время нахождения в стационаре. После перенесенного COVID-19 у многих пациентов в легких формируются выраженные остаточные изменения в виде фиброза. Можно предположить, что эта категория пациентов имеет повышенный риск развития туберкулеза в последующем. Таким образом, туберкулез может возникнуть до, одновременно или </w:t>
      </w:r>
      <w:r>
        <w:rPr>
          <w:color w:val="1B1C1F"/>
          <w:spacing w:val="-2"/>
        </w:rPr>
        <w:t>уже </w:t>
      </w:r>
      <w:r>
        <w:rPr>
          <w:color w:val="1B1C1F"/>
        </w:rPr>
        <w:t>после перенесенного COVID-19. Для выявления туберкулезной инфекции оптимальным является проведение лабораторных тестов на высвобождение гамма-интерферона, требующих однократного посещения лаборатории.</w:t>
      </w:r>
      <w:r>
        <w:rPr>
          <w:color w:val="1B1C1F"/>
          <w:spacing w:val="54"/>
        </w:rPr>
        <w:t> </w:t>
      </w:r>
      <w:r>
        <w:rPr>
          <w:color w:val="1B1C1F"/>
        </w:rPr>
        <w:t>Проводить</w:t>
      </w:r>
    </w:p>
    <w:p>
      <w:pPr>
        <w:spacing w:after="0" w:line="312" w:lineRule="auto"/>
        <w:sectPr>
          <w:pgSz w:w="11920" w:h="16850"/>
          <w:pgMar w:header="0" w:footer="620" w:top="1060" w:bottom="880" w:left="1380" w:right="600"/>
        </w:sectPr>
      </w:pPr>
    </w:p>
    <w:p>
      <w:pPr>
        <w:pStyle w:val="BodyText"/>
        <w:spacing w:line="312" w:lineRule="auto" w:before="78"/>
        <w:ind w:right="674"/>
      </w:pPr>
      <w:r>
        <w:rPr>
          <w:color w:val="1B1C1F"/>
        </w:rPr>
        <w:t>забор  крови   возможно   одновременно   для   исследования   на   иммуноглобулины  к COVID-19 и для проведения обследования на туберкулез. Учитывая высокую вероятность развития лимфопении у пациентов с COVID-19, целесообразно проводить тестирование с помощью теста in vitro для выявления эффекторных Т-клеток, реагирующих на стимуляцию антигеном Mycobacterium tuberculosis, методом ELISPOT. В исследованиях доказано, что в условиях низкого количества лимфоцитов методом  ELISPOT  превосходит  другие  для  выявления   туберкулеза,   независимо от возраста, пола и</w:t>
      </w:r>
      <w:r>
        <w:rPr>
          <w:color w:val="1B1C1F"/>
          <w:spacing w:val="-1"/>
        </w:rPr>
        <w:t> </w:t>
      </w:r>
      <w:r>
        <w:rPr>
          <w:color w:val="1B1C1F"/>
        </w:rPr>
        <w:t>питания.</w:t>
      </w:r>
    </w:p>
    <w:p>
      <w:pPr>
        <w:pStyle w:val="BodyText"/>
        <w:spacing w:before="10"/>
        <w:ind w:left="0"/>
        <w:jc w:val="left"/>
        <w:rPr>
          <w:sz w:val="20"/>
        </w:rPr>
      </w:pPr>
    </w:p>
    <w:p>
      <w:pPr>
        <w:pStyle w:val="Heading3"/>
        <w:spacing w:line="259" w:lineRule="auto"/>
        <w:ind w:right="2758"/>
      </w:pPr>
      <w:bookmarkStart w:name="Больные с интерстициальными, редкими и г" w:id="105"/>
      <w:bookmarkEnd w:id="105"/>
      <w:r>
        <w:rPr>
          <w:b w:val="0"/>
        </w:rPr>
      </w:r>
      <w:r>
        <w:rPr>
          <w:color w:val="1F487C"/>
        </w:rPr>
        <w:t>Больные с интерстициальными, редкими и генетически детерминированными заболевания легких</w:t>
      </w:r>
    </w:p>
    <w:p>
      <w:pPr>
        <w:pStyle w:val="BodyText"/>
        <w:spacing w:line="312" w:lineRule="auto" w:before="119"/>
        <w:ind w:right="675" w:firstLine="708"/>
      </w:pPr>
      <w:r>
        <w:rPr/>
        <w:t>Пациенты из данных групп, заболевшие COVID-19, должны наблюдаться совместно со специалистами по конкретной патологии, учитывая возможные осложнения, неблагоприятные лекарственные взаимодействия и особенности терапии дыхательной недостаточности.</w:t>
      </w:r>
    </w:p>
    <w:p>
      <w:pPr>
        <w:pStyle w:val="BodyText"/>
        <w:spacing w:before="10"/>
        <w:ind w:left="0"/>
        <w:jc w:val="left"/>
        <w:rPr>
          <w:sz w:val="20"/>
        </w:rPr>
      </w:pPr>
    </w:p>
    <w:p>
      <w:pPr>
        <w:pStyle w:val="Heading3"/>
        <w:spacing w:before="1"/>
      </w:pPr>
      <w:bookmarkStart w:name="Больные иммуновоспалительными ревматичес" w:id="106"/>
      <w:bookmarkEnd w:id="106"/>
      <w:r>
        <w:rPr>
          <w:b w:val="0"/>
        </w:rPr>
      </w:r>
      <w:r>
        <w:rPr>
          <w:color w:val="1F487C"/>
        </w:rPr>
        <w:t>Больные иммуновоспалительными ревматическими заболеваниями</w:t>
      </w:r>
    </w:p>
    <w:p>
      <w:pPr>
        <w:pStyle w:val="BodyText"/>
        <w:spacing w:line="312" w:lineRule="auto" w:before="141"/>
        <w:ind w:right="676" w:firstLine="708"/>
      </w:pPr>
      <w:r>
        <w:rPr/>
        <w:t>Пациенты с иммуновоспалительными ревматическими заболеваниями (ИВРЗ) составляют группу риска в отношении заболевания COVID-19 и неблагоприятного течения</w:t>
      </w:r>
      <w:r>
        <w:rPr>
          <w:spacing w:val="31"/>
        </w:rPr>
        <w:t> </w:t>
      </w:r>
      <w:r>
        <w:rPr/>
        <w:t>болезни.</w:t>
      </w:r>
      <w:r>
        <w:rPr>
          <w:spacing w:val="30"/>
        </w:rPr>
        <w:t> </w:t>
      </w:r>
      <w:r>
        <w:rPr/>
        <w:t>К</w:t>
      </w:r>
      <w:r>
        <w:rPr>
          <w:spacing w:val="33"/>
        </w:rPr>
        <w:t> </w:t>
      </w:r>
      <w:r>
        <w:rPr/>
        <w:t>факторам</w:t>
      </w:r>
      <w:r>
        <w:rPr>
          <w:spacing w:val="31"/>
        </w:rPr>
        <w:t> </w:t>
      </w:r>
      <w:r>
        <w:rPr/>
        <w:t>риска</w:t>
      </w:r>
      <w:r>
        <w:rPr>
          <w:spacing w:val="31"/>
        </w:rPr>
        <w:t> </w:t>
      </w:r>
      <w:r>
        <w:rPr/>
        <w:t>относятся</w:t>
      </w:r>
      <w:r>
        <w:rPr>
          <w:spacing w:val="32"/>
        </w:rPr>
        <w:t> </w:t>
      </w:r>
      <w:r>
        <w:rPr/>
        <w:t>пожилой</w:t>
      </w:r>
      <w:r>
        <w:rPr>
          <w:spacing w:val="33"/>
        </w:rPr>
        <w:t> </w:t>
      </w:r>
      <w:r>
        <w:rPr/>
        <w:t>возраст,</w:t>
      </w:r>
      <w:r>
        <w:rPr>
          <w:spacing w:val="32"/>
        </w:rPr>
        <w:t> </w:t>
      </w:r>
      <w:r>
        <w:rPr/>
        <w:t>прием</w:t>
      </w:r>
      <w:r>
        <w:rPr>
          <w:spacing w:val="31"/>
        </w:rPr>
        <w:t> </w:t>
      </w:r>
      <w:r>
        <w:rPr/>
        <w:t>высоких</w:t>
      </w:r>
      <w:r>
        <w:rPr>
          <w:spacing w:val="35"/>
        </w:rPr>
        <w:t> </w:t>
      </w:r>
      <w:r>
        <w:rPr/>
        <w:t>доз</w:t>
      </w:r>
    </w:p>
    <w:p>
      <w:pPr>
        <w:pStyle w:val="BodyText"/>
        <w:spacing w:before="1"/>
      </w:pPr>
      <w:r>
        <w:rPr/>
        <w:t>«противоревматических»       препаратов,       одномоментный       прием    </w:t>
      </w:r>
      <w:r>
        <w:rPr>
          <w:spacing w:val="55"/>
        </w:rPr>
        <w:t> </w:t>
      </w:r>
      <w:r>
        <w:rPr/>
        <w:t>нескольких</w:t>
      </w:r>
    </w:p>
    <w:p>
      <w:pPr>
        <w:pStyle w:val="BodyText"/>
        <w:spacing w:line="312" w:lineRule="auto" w:before="82"/>
        <w:ind w:right="675"/>
      </w:pPr>
      <w:r>
        <w:rPr/>
        <w:t>«противоревматических» препаратов, особенно в комбинации с ГК, высокая активность</w:t>
      </w:r>
      <w:r>
        <w:rPr>
          <w:spacing w:val="-9"/>
        </w:rPr>
        <w:t> </w:t>
      </w:r>
      <w:r>
        <w:rPr/>
        <w:t>заболевания,</w:t>
      </w:r>
      <w:r>
        <w:rPr>
          <w:spacing w:val="-9"/>
        </w:rPr>
        <w:t> </w:t>
      </w:r>
      <w:r>
        <w:rPr/>
        <w:t>наличие</w:t>
      </w:r>
      <w:r>
        <w:rPr>
          <w:spacing w:val="-11"/>
        </w:rPr>
        <w:t> </w:t>
      </w:r>
      <w:r>
        <w:rPr/>
        <w:t>комобидной</w:t>
      </w:r>
      <w:r>
        <w:rPr>
          <w:spacing w:val="-8"/>
        </w:rPr>
        <w:t> </w:t>
      </w:r>
      <w:r>
        <w:rPr/>
        <w:t>и</w:t>
      </w:r>
      <w:r>
        <w:rPr>
          <w:spacing w:val="-11"/>
        </w:rPr>
        <w:t> </w:t>
      </w:r>
      <w:r>
        <w:rPr/>
        <w:t>мультиморбидной</w:t>
      </w:r>
      <w:r>
        <w:rPr>
          <w:spacing w:val="-8"/>
        </w:rPr>
        <w:t> </w:t>
      </w:r>
      <w:r>
        <w:rPr/>
        <w:t>патологии.</w:t>
      </w:r>
      <w:r>
        <w:rPr>
          <w:spacing w:val="-9"/>
        </w:rPr>
        <w:t> </w:t>
      </w:r>
      <w:r>
        <w:rPr/>
        <w:t>Высокая частота «кардиометаболической» и легочной коморбидности, характерная для ИВРЗ,  в</w:t>
      </w:r>
      <w:r>
        <w:rPr>
          <w:spacing w:val="-4"/>
        </w:rPr>
        <w:t> </w:t>
      </w:r>
      <w:r>
        <w:rPr/>
        <w:t>случае</w:t>
      </w:r>
      <w:r>
        <w:rPr>
          <w:spacing w:val="-16"/>
        </w:rPr>
        <w:t> </w:t>
      </w:r>
      <w:r>
        <w:rPr/>
        <w:t>развития</w:t>
      </w:r>
      <w:r>
        <w:rPr>
          <w:spacing w:val="-14"/>
        </w:rPr>
        <w:t> </w:t>
      </w:r>
      <w:r>
        <w:rPr/>
        <w:t>COVID-19,</w:t>
      </w:r>
      <w:r>
        <w:rPr>
          <w:spacing w:val="-14"/>
        </w:rPr>
        <w:t> </w:t>
      </w:r>
      <w:r>
        <w:rPr/>
        <w:t>может</w:t>
      </w:r>
      <w:r>
        <w:rPr>
          <w:spacing w:val="-15"/>
        </w:rPr>
        <w:t> </w:t>
      </w:r>
      <w:r>
        <w:rPr/>
        <w:t>способствовать</w:t>
      </w:r>
      <w:r>
        <w:rPr>
          <w:spacing w:val="-14"/>
        </w:rPr>
        <w:t> </w:t>
      </w:r>
      <w:r>
        <w:rPr/>
        <w:t>снижению</w:t>
      </w:r>
      <w:r>
        <w:rPr>
          <w:spacing w:val="-15"/>
        </w:rPr>
        <w:t> </w:t>
      </w:r>
      <w:r>
        <w:rPr/>
        <w:t>эффективности</w:t>
      </w:r>
      <w:r>
        <w:rPr>
          <w:spacing w:val="-16"/>
        </w:rPr>
        <w:t> </w:t>
      </w:r>
      <w:r>
        <w:rPr/>
        <w:t>терапии основного заболевания и затруднять диагностику инфекции (поражение</w:t>
      </w:r>
      <w:r>
        <w:rPr>
          <w:spacing w:val="-12"/>
        </w:rPr>
        <w:t> </w:t>
      </w:r>
      <w:r>
        <w:rPr/>
        <w:t>легких).</w:t>
      </w:r>
    </w:p>
    <w:p>
      <w:pPr>
        <w:pStyle w:val="BodyText"/>
        <w:spacing w:line="312" w:lineRule="auto" w:before="1"/>
        <w:ind w:right="674" w:firstLine="708"/>
      </w:pPr>
      <w:r>
        <w:rPr/>
        <w:t>Следует также иметь ввиду, что инфицирование SARS-CoV-2 может вызывать активацию    воспаления    при    ИВРЗ,    и    некоторые    клинические    проявления   и лабораторные нарушения, наблюдаемые при COVID-19, могут развиваться в дебюте или при обострении ИВРЗ:  лихорадка,  артралгии,  усталость,  миалгии,  цитопении  (в первую очередь лимфопения, реже анемия и тромбоцитопения), острая интерстициальная пневмония («матовое стекло»), миокардит, венозный тромбоз, сетчатое ливедо, увеличение концентрации СРБ, D-димера, ферритина. Патология иммунной системы при ИВРЗ и сопутствующие коморбидные заболевания могут утяжелять течение COVID-19 и увеличивать риск развития синдрома цитокинового шторма.</w:t>
      </w:r>
    </w:p>
    <w:p>
      <w:pPr>
        <w:pStyle w:val="BodyText"/>
        <w:spacing w:line="312" w:lineRule="auto"/>
        <w:ind w:right="675" w:firstLine="708"/>
      </w:pPr>
      <w:r>
        <w:rPr/>
        <w:t>В</w:t>
      </w:r>
      <w:r>
        <w:rPr>
          <w:spacing w:val="-11"/>
        </w:rPr>
        <w:t> </w:t>
      </w:r>
      <w:r>
        <w:rPr/>
        <w:t>период</w:t>
      </w:r>
      <w:r>
        <w:rPr>
          <w:spacing w:val="-9"/>
        </w:rPr>
        <w:t> </w:t>
      </w:r>
      <w:r>
        <w:rPr/>
        <w:t>пандемии</w:t>
      </w:r>
      <w:r>
        <w:rPr>
          <w:spacing w:val="-8"/>
        </w:rPr>
        <w:t> </w:t>
      </w:r>
      <w:r>
        <w:rPr/>
        <w:t>COVID-19</w:t>
      </w:r>
      <w:r>
        <w:rPr>
          <w:spacing w:val="-10"/>
        </w:rPr>
        <w:t> </w:t>
      </w:r>
      <w:r>
        <w:rPr/>
        <w:t>госпитализация</w:t>
      </w:r>
      <w:r>
        <w:rPr>
          <w:spacing w:val="-11"/>
        </w:rPr>
        <w:t> </w:t>
      </w:r>
      <w:r>
        <w:rPr/>
        <w:t>пациентов</w:t>
      </w:r>
      <w:r>
        <w:rPr>
          <w:spacing w:val="-10"/>
        </w:rPr>
        <w:t> </w:t>
      </w:r>
      <w:r>
        <w:rPr/>
        <w:t>в</w:t>
      </w:r>
      <w:r>
        <w:rPr>
          <w:spacing w:val="-9"/>
        </w:rPr>
        <w:t> </w:t>
      </w:r>
      <w:r>
        <w:rPr/>
        <w:t>стационар</w:t>
      </w:r>
      <w:r>
        <w:rPr>
          <w:spacing w:val="-12"/>
        </w:rPr>
        <w:t> </w:t>
      </w:r>
      <w:r>
        <w:rPr/>
        <w:t>возможна только по ургентным показаниям с обязательным предоставлением лабораторных данных об отсутствия инфицирования</w:t>
      </w:r>
      <w:r>
        <w:rPr>
          <w:spacing w:val="-3"/>
        </w:rPr>
        <w:t> </w:t>
      </w:r>
      <w:r>
        <w:rPr/>
        <w:t>SARS-CoV-2.</w:t>
      </w:r>
    </w:p>
    <w:p>
      <w:pPr>
        <w:spacing w:after="0" w:line="312" w:lineRule="auto"/>
        <w:sectPr>
          <w:pgSz w:w="11920" w:h="16850"/>
          <w:pgMar w:header="0" w:footer="620" w:top="1060" w:bottom="880" w:left="1380" w:right="600"/>
        </w:sectPr>
      </w:pPr>
    </w:p>
    <w:p>
      <w:pPr>
        <w:pStyle w:val="BodyText"/>
        <w:spacing w:before="78"/>
        <w:ind w:left="887" w:right="679"/>
      </w:pPr>
      <w:r>
        <w:rPr/>
        <w:t>Особенностями лечения пациентов с ИВРЗ в условиях пандемии COVID-19 являются:</w:t>
      </w:r>
    </w:p>
    <w:p>
      <w:pPr>
        <w:pStyle w:val="BodyText"/>
        <w:spacing w:before="2"/>
        <w:ind w:left="0"/>
        <w:jc w:val="left"/>
      </w:pPr>
    </w:p>
    <w:p>
      <w:pPr>
        <w:pStyle w:val="ListParagraph"/>
        <w:numPr>
          <w:ilvl w:val="1"/>
          <w:numId w:val="24"/>
        </w:numPr>
        <w:tabs>
          <w:tab w:pos="1001" w:val="left" w:leader="none"/>
        </w:tabs>
        <w:spacing w:line="309" w:lineRule="auto" w:before="0" w:after="17"/>
        <w:ind w:left="1000" w:right="674" w:hanging="339"/>
        <w:jc w:val="both"/>
        <w:rPr>
          <w:sz w:val="24"/>
        </w:rPr>
      </w:pPr>
      <w:r>
        <w:rPr>
          <w:sz w:val="24"/>
        </w:rPr>
        <w:t>В случае инфицирование SARS-CoV-2 пациентов с ИВРЗ  следует  временно (до полного выздоровления) прервать лечение стандартными базисными противовоспалительными препаратами (БПВП) (метотрексат, лефлуномид, азатиоприн), генно-инженерными биологическими препаратами (ингибиторы фактора</w:t>
      </w:r>
      <w:r>
        <w:rPr>
          <w:spacing w:val="40"/>
          <w:sz w:val="24"/>
        </w:rPr>
        <w:t> </w:t>
      </w:r>
      <w:r>
        <w:rPr>
          <w:sz w:val="24"/>
        </w:rPr>
        <w:t>некроза</w:t>
      </w:r>
      <w:r>
        <w:rPr>
          <w:spacing w:val="40"/>
          <w:sz w:val="24"/>
        </w:rPr>
        <w:t> </w:t>
      </w:r>
      <w:r>
        <w:rPr>
          <w:sz w:val="24"/>
        </w:rPr>
        <w:t>опухоли-α,</w:t>
      </w:r>
      <w:r>
        <w:rPr>
          <w:spacing w:val="41"/>
          <w:sz w:val="24"/>
        </w:rPr>
        <w:t> </w:t>
      </w:r>
      <w:r>
        <w:rPr>
          <w:sz w:val="24"/>
        </w:rPr>
        <w:t>ИЛ-6,</w:t>
      </w:r>
      <w:r>
        <w:rPr>
          <w:spacing w:val="41"/>
          <w:sz w:val="24"/>
        </w:rPr>
        <w:t> </w:t>
      </w:r>
      <w:r>
        <w:rPr>
          <w:sz w:val="24"/>
        </w:rPr>
        <w:t>ИЛ-17,</w:t>
      </w:r>
      <w:r>
        <w:rPr>
          <w:spacing w:val="41"/>
          <w:sz w:val="24"/>
        </w:rPr>
        <w:t> </w:t>
      </w:r>
      <w:r>
        <w:rPr>
          <w:sz w:val="24"/>
        </w:rPr>
        <w:t>ИЛ-12/23,</w:t>
      </w:r>
      <w:r>
        <w:rPr>
          <w:spacing w:val="42"/>
          <w:sz w:val="24"/>
        </w:rPr>
        <w:t> </w:t>
      </w:r>
      <w:r>
        <w:rPr>
          <w:sz w:val="24"/>
        </w:rPr>
        <w:t>ИЛ-23,</w:t>
      </w:r>
      <w:r>
        <w:rPr>
          <w:spacing w:val="41"/>
          <w:sz w:val="24"/>
        </w:rPr>
        <w:t> </w:t>
      </w:r>
      <w:r>
        <w:rPr>
          <w:sz w:val="24"/>
        </w:rPr>
        <w:t>блокаторами</w:t>
      </w:r>
      <w:r>
        <w:rPr>
          <w:spacing w:val="42"/>
          <w:sz w:val="24"/>
        </w:rPr>
        <w:t> </w:t>
      </w:r>
      <w:r>
        <w:rPr>
          <w:sz w:val="24"/>
        </w:rPr>
        <w:t>ко-</w:t>
      </w:r>
    </w:p>
    <w:tbl>
      <w:tblPr>
        <w:tblW w:w="0" w:type="auto"/>
        <w:jc w:val="left"/>
        <w:tblInd w:w="9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421"/>
        <w:gridCol w:w="2349"/>
        <w:gridCol w:w="3040"/>
        <w:gridCol w:w="1538"/>
      </w:tblGrid>
      <w:tr>
        <w:trPr>
          <w:trHeight w:val="311" w:hRule="atLeast"/>
        </w:trPr>
        <w:tc>
          <w:tcPr>
            <w:tcW w:w="1421" w:type="dxa"/>
          </w:tcPr>
          <w:p>
            <w:pPr>
              <w:pStyle w:val="TableParagraph"/>
              <w:spacing w:line="266" w:lineRule="exact"/>
              <w:ind w:left="50"/>
              <w:rPr>
                <w:sz w:val="24"/>
              </w:rPr>
            </w:pPr>
            <w:r>
              <w:rPr>
                <w:sz w:val="24"/>
              </w:rPr>
              <w:t>стимуляции</w:t>
            </w:r>
          </w:p>
        </w:tc>
        <w:tc>
          <w:tcPr>
            <w:tcW w:w="2349" w:type="dxa"/>
          </w:tcPr>
          <w:p>
            <w:pPr>
              <w:pStyle w:val="TableParagraph"/>
              <w:tabs>
                <w:tab w:pos="1398" w:val="left" w:leader="none"/>
              </w:tabs>
              <w:spacing w:line="266" w:lineRule="exact"/>
              <w:ind w:left="143"/>
              <w:rPr>
                <w:sz w:val="24"/>
              </w:rPr>
            </w:pPr>
            <w:r>
              <w:rPr>
                <w:sz w:val="24"/>
              </w:rPr>
              <w:t>Т-клеток,</w:t>
              <w:tab/>
              <w:t>анти-В</w:t>
            </w:r>
          </w:p>
        </w:tc>
        <w:tc>
          <w:tcPr>
            <w:tcW w:w="3040" w:type="dxa"/>
          </w:tcPr>
          <w:p>
            <w:pPr>
              <w:pStyle w:val="TableParagraph"/>
              <w:tabs>
                <w:tab w:pos="1591" w:val="left" w:leader="none"/>
              </w:tabs>
              <w:spacing w:line="266" w:lineRule="exact"/>
              <w:ind w:left="43"/>
              <w:rPr>
                <w:sz w:val="24"/>
              </w:rPr>
            </w:pPr>
            <w:r>
              <w:rPr>
                <w:sz w:val="24"/>
              </w:rPr>
              <w:t>клеточными</w:t>
              <w:tab/>
              <w:t>препаратами</w:t>
            </w:r>
          </w:p>
        </w:tc>
        <w:tc>
          <w:tcPr>
            <w:tcW w:w="1538" w:type="dxa"/>
          </w:tcPr>
          <w:p>
            <w:pPr>
              <w:pStyle w:val="TableParagraph"/>
              <w:spacing w:line="266" w:lineRule="exact"/>
              <w:ind w:right="46"/>
              <w:jc w:val="right"/>
              <w:rPr>
                <w:sz w:val="24"/>
              </w:rPr>
            </w:pPr>
            <w:r>
              <w:rPr>
                <w:sz w:val="24"/>
              </w:rPr>
              <w:t>(ритуксимаб,</w:t>
            </w:r>
          </w:p>
        </w:tc>
      </w:tr>
      <w:tr>
        <w:trPr>
          <w:trHeight w:val="311" w:hRule="atLeast"/>
        </w:trPr>
        <w:tc>
          <w:tcPr>
            <w:tcW w:w="1421" w:type="dxa"/>
          </w:tcPr>
          <w:p>
            <w:pPr>
              <w:pStyle w:val="TableParagraph"/>
              <w:spacing w:line="256" w:lineRule="exact" w:before="35"/>
              <w:ind w:left="50"/>
              <w:rPr>
                <w:sz w:val="24"/>
              </w:rPr>
            </w:pPr>
            <w:r>
              <w:rPr>
                <w:sz w:val="24"/>
              </w:rPr>
              <w:t>белимумаб)</w:t>
            </w:r>
          </w:p>
        </w:tc>
        <w:tc>
          <w:tcPr>
            <w:tcW w:w="2349" w:type="dxa"/>
          </w:tcPr>
          <w:p>
            <w:pPr>
              <w:pStyle w:val="TableParagraph"/>
              <w:tabs>
                <w:tab w:pos="858" w:val="left" w:leader="none"/>
              </w:tabs>
              <w:spacing w:line="256" w:lineRule="exact" w:before="35"/>
              <w:ind w:left="280"/>
              <w:rPr>
                <w:sz w:val="24"/>
              </w:rPr>
            </w:pPr>
            <w:r>
              <w:rPr>
                <w:sz w:val="24"/>
              </w:rPr>
              <w:t>и</w:t>
              <w:tab/>
              <w:t>«таргетными»</w:t>
            </w:r>
          </w:p>
        </w:tc>
        <w:tc>
          <w:tcPr>
            <w:tcW w:w="3040" w:type="dxa"/>
          </w:tcPr>
          <w:p>
            <w:pPr>
              <w:pStyle w:val="TableParagraph"/>
              <w:tabs>
                <w:tab w:pos="1485" w:val="left" w:leader="none"/>
              </w:tabs>
              <w:spacing w:line="256" w:lineRule="exact" w:before="35"/>
              <w:ind w:left="396"/>
              <w:rPr>
                <w:sz w:val="24"/>
              </w:rPr>
            </w:pPr>
            <w:r>
              <w:rPr>
                <w:sz w:val="24"/>
              </w:rPr>
              <w:t>БПВП</w:t>
              <w:tab/>
              <w:t>(ингибиторы</w:t>
            </w:r>
          </w:p>
        </w:tc>
        <w:tc>
          <w:tcPr>
            <w:tcW w:w="1538" w:type="dxa"/>
          </w:tcPr>
          <w:p>
            <w:pPr>
              <w:pStyle w:val="TableParagraph"/>
              <w:spacing w:line="256" w:lineRule="exact" w:before="35"/>
              <w:ind w:right="45"/>
              <w:jc w:val="right"/>
              <w:rPr>
                <w:sz w:val="24"/>
              </w:rPr>
            </w:pPr>
            <w:r>
              <w:rPr>
                <w:sz w:val="24"/>
              </w:rPr>
              <w:t>янус-киназы</w:t>
            </w:r>
          </w:p>
        </w:tc>
      </w:tr>
    </w:tbl>
    <w:p>
      <w:pPr>
        <w:pStyle w:val="BodyText"/>
        <w:spacing w:before="84"/>
        <w:ind w:left="1000"/>
      </w:pPr>
      <w:r>
        <w:rPr/>
        <w:t>и фосфодиэстеразы 4 типа) и обратится за консультацией к ревматологу;</w:t>
      </w:r>
    </w:p>
    <w:p>
      <w:pPr>
        <w:pStyle w:val="ListParagraph"/>
        <w:numPr>
          <w:ilvl w:val="1"/>
          <w:numId w:val="24"/>
        </w:numPr>
        <w:tabs>
          <w:tab w:pos="1001" w:val="left" w:leader="none"/>
        </w:tabs>
        <w:spacing w:line="304" w:lineRule="auto" w:before="83" w:after="0"/>
        <w:ind w:left="1000" w:right="676" w:hanging="339"/>
        <w:jc w:val="both"/>
        <w:rPr>
          <w:sz w:val="24"/>
        </w:rPr>
      </w:pPr>
      <w:r>
        <w:rPr>
          <w:sz w:val="24"/>
        </w:rPr>
        <w:t>Рекомендуется продолжить прием 4-аминохинолиновых препаратов (или назначить их при отсутствии противопоказаний) и</w:t>
      </w:r>
      <w:r>
        <w:rPr>
          <w:spacing w:val="-3"/>
          <w:sz w:val="24"/>
        </w:rPr>
        <w:t> </w:t>
      </w:r>
      <w:r>
        <w:rPr>
          <w:sz w:val="24"/>
        </w:rPr>
        <w:t>сульфасалазина;</w:t>
      </w:r>
    </w:p>
    <w:p>
      <w:pPr>
        <w:pStyle w:val="ListParagraph"/>
        <w:numPr>
          <w:ilvl w:val="1"/>
          <w:numId w:val="24"/>
        </w:numPr>
        <w:tabs>
          <w:tab w:pos="1001" w:val="left" w:leader="none"/>
        </w:tabs>
        <w:spacing w:line="304" w:lineRule="auto" w:before="11" w:after="0"/>
        <w:ind w:left="1000" w:right="674" w:hanging="339"/>
        <w:jc w:val="both"/>
        <w:rPr>
          <w:sz w:val="24"/>
        </w:rPr>
      </w:pPr>
      <w:r>
        <w:rPr>
          <w:sz w:val="24"/>
        </w:rPr>
        <w:t>Возможно  применение   НПВП   в   низких   дозах   (ибупрофен,   кетопрофен) и парацетамола в качестве жаропонижающих</w:t>
      </w:r>
      <w:r>
        <w:rPr>
          <w:spacing w:val="-3"/>
          <w:sz w:val="24"/>
        </w:rPr>
        <w:t> </w:t>
      </w:r>
      <w:r>
        <w:rPr>
          <w:sz w:val="24"/>
        </w:rPr>
        <w:t>препаратов;</w:t>
      </w:r>
    </w:p>
    <w:p>
      <w:pPr>
        <w:pStyle w:val="ListParagraph"/>
        <w:numPr>
          <w:ilvl w:val="1"/>
          <w:numId w:val="24"/>
        </w:numPr>
        <w:tabs>
          <w:tab w:pos="1001" w:val="left" w:leader="none"/>
        </w:tabs>
        <w:spacing w:line="304" w:lineRule="auto" w:before="10" w:after="0"/>
        <w:ind w:left="1000" w:right="675" w:hanging="339"/>
        <w:jc w:val="both"/>
        <w:rPr>
          <w:sz w:val="24"/>
        </w:rPr>
      </w:pPr>
      <w:r>
        <w:rPr>
          <w:sz w:val="24"/>
        </w:rPr>
        <w:t>Не рекомендуется прерывание лечения ГК, но следует по возможности максимально снизить дозу</w:t>
      </w:r>
      <w:r>
        <w:rPr>
          <w:spacing w:val="-6"/>
          <w:sz w:val="24"/>
        </w:rPr>
        <w:t> </w:t>
      </w:r>
      <w:r>
        <w:rPr>
          <w:sz w:val="24"/>
        </w:rPr>
        <w:t>препарата;</w:t>
      </w:r>
    </w:p>
    <w:p>
      <w:pPr>
        <w:pStyle w:val="ListParagraph"/>
        <w:numPr>
          <w:ilvl w:val="1"/>
          <w:numId w:val="24"/>
        </w:numPr>
        <w:tabs>
          <w:tab w:pos="1001" w:val="left" w:leader="none"/>
        </w:tabs>
        <w:spacing w:line="309" w:lineRule="auto" w:before="13" w:after="0"/>
        <w:ind w:left="1000" w:right="675" w:hanging="339"/>
        <w:jc w:val="both"/>
        <w:rPr>
          <w:sz w:val="24"/>
        </w:rPr>
      </w:pPr>
      <w:r>
        <w:rPr>
          <w:sz w:val="24"/>
        </w:rPr>
        <w:t>Во время пандемии COVID-19 следует прервать «плановую» терапию циклофосфамидом</w:t>
      </w:r>
      <w:r>
        <w:rPr>
          <w:spacing w:val="-19"/>
          <w:sz w:val="24"/>
        </w:rPr>
        <w:t> </w:t>
      </w:r>
      <w:r>
        <w:rPr>
          <w:sz w:val="24"/>
        </w:rPr>
        <w:t>и</w:t>
      </w:r>
      <w:r>
        <w:rPr>
          <w:spacing w:val="-16"/>
          <w:sz w:val="24"/>
        </w:rPr>
        <w:t> </w:t>
      </w:r>
      <w:r>
        <w:rPr>
          <w:sz w:val="24"/>
        </w:rPr>
        <w:t>анти-В-клеточными</w:t>
      </w:r>
      <w:r>
        <w:rPr>
          <w:spacing w:val="-16"/>
          <w:sz w:val="24"/>
        </w:rPr>
        <w:t> </w:t>
      </w:r>
      <w:r>
        <w:rPr>
          <w:sz w:val="24"/>
        </w:rPr>
        <w:t>препаратами</w:t>
      </w:r>
      <w:r>
        <w:rPr>
          <w:spacing w:val="-16"/>
          <w:sz w:val="24"/>
        </w:rPr>
        <w:t> </w:t>
      </w:r>
      <w:r>
        <w:rPr>
          <w:sz w:val="24"/>
        </w:rPr>
        <w:t>(ритуксимаб)</w:t>
      </w:r>
      <w:r>
        <w:rPr>
          <w:spacing w:val="-18"/>
          <w:sz w:val="24"/>
        </w:rPr>
        <w:t> </w:t>
      </w:r>
      <w:r>
        <w:rPr>
          <w:sz w:val="24"/>
        </w:rPr>
        <w:t>и</w:t>
      </w:r>
      <w:r>
        <w:rPr>
          <w:spacing w:val="-14"/>
          <w:sz w:val="24"/>
        </w:rPr>
        <w:t> </w:t>
      </w:r>
      <w:r>
        <w:rPr>
          <w:sz w:val="24"/>
        </w:rPr>
        <w:t>не</w:t>
      </w:r>
      <w:r>
        <w:rPr>
          <w:spacing w:val="-18"/>
          <w:sz w:val="24"/>
        </w:rPr>
        <w:t> </w:t>
      </w:r>
      <w:r>
        <w:rPr>
          <w:sz w:val="24"/>
        </w:rPr>
        <w:t>следует инициировать</w:t>
      </w:r>
      <w:r>
        <w:rPr>
          <w:spacing w:val="-18"/>
          <w:sz w:val="24"/>
        </w:rPr>
        <w:t> </w:t>
      </w:r>
      <w:r>
        <w:rPr>
          <w:sz w:val="24"/>
        </w:rPr>
        <w:t>терапию</w:t>
      </w:r>
      <w:r>
        <w:rPr>
          <w:spacing w:val="-17"/>
          <w:sz w:val="24"/>
        </w:rPr>
        <w:t> </w:t>
      </w:r>
      <w:r>
        <w:rPr>
          <w:sz w:val="24"/>
        </w:rPr>
        <w:t>стандартными</w:t>
      </w:r>
      <w:r>
        <w:rPr>
          <w:spacing w:val="-17"/>
          <w:sz w:val="24"/>
        </w:rPr>
        <w:t> </w:t>
      </w:r>
      <w:r>
        <w:rPr>
          <w:sz w:val="24"/>
        </w:rPr>
        <w:t>БПВП</w:t>
      </w:r>
      <w:r>
        <w:rPr>
          <w:spacing w:val="-17"/>
          <w:sz w:val="24"/>
        </w:rPr>
        <w:t> </w:t>
      </w:r>
      <w:r>
        <w:rPr>
          <w:sz w:val="24"/>
        </w:rPr>
        <w:t>(метотрексакт,</w:t>
      </w:r>
      <w:r>
        <w:rPr>
          <w:spacing w:val="-18"/>
          <w:sz w:val="24"/>
        </w:rPr>
        <w:t> </w:t>
      </w:r>
      <w:r>
        <w:rPr>
          <w:sz w:val="24"/>
        </w:rPr>
        <w:t>лефлуномид),</w:t>
      </w:r>
      <w:r>
        <w:rPr>
          <w:spacing w:val="-18"/>
          <w:sz w:val="24"/>
        </w:rPr>
        <w:t> </w:t>
      </w:r>
      <w:r>
        <w:rPr>
          <w:sz w:val="24"/>
        </w:rPr>
        <w:t>ГИБП и</w:t>
      </w:r>
      <w:r>
        <w:rPr>
          <w:spacing w:val="-12"/>
          <w:sz w:val="24"/>
        </w:rPr>
        <w:t> </w:t>
      </w:r>
      <w:r>
        <w:rPr>
          <w:sz w:val="24"/>
        </w:rPr>
        <w:t>таргетными</w:t>
      </w:r>
      <w:r>
        <w:rPr>
          <w:spacing w:val="-14"/>
          <w:sz w:val="24"/>
        </w:rPr>
        <w:t> </w:t>
      </w:r>
      <w:r>
        <w:rPr>
          <w:sz w:val="24"/>
        </w:rPr>
        <w:t>БПВП</w:t>
      </w:r>
      <w:r>
        <w:rPr>
          <w:spacing w:val="-14"/>
          <w:sz w:val="24"/>
        </w:rPr>
        <w:t> </w:t>
      </w:r>
      <w:r>
        <w:rPr>
          <w:sz w:val="24"/>
        </w:rPr>
        <w:t>при</w:t>
      </w:r>
      <w:r>
        <w:rPr>
          <w:spacing w:val="-12"/>
          <w:sz w:val="24"/>
        </w:rPr>
        <w:t> </w:t>
      </w:r>
      <w:r>
        <w:rPr>
          <w:sz w:val="24"/>
        </w:rPr>
        <w:t>отсутствии</w:t>
      </w:r>
      <w:r>
        <w:rPr>
          <w:spacing w:val="-12"/>
          <w:sz w:val="24"/>
        </w:rPr>
        <w:t> </w:t>
      </w:r>
      <w:r>
        <w:rPr>
          <w:sz w:val="24"/>
        </w:rPr>
        <w:t>абсолютных</w:t>
      </w:r>
      <w:r>
        <w:rPr>
          <w:spacing w:val="-13"/>
          <w:sz w:val="24"/>
        </w:rPr>
        <w:t> </w:t>
      </w:r>
      <w:r>
        <w:rPr>
          <w:sz w:val="24"/>
        </w:rPr>
        <w:t>показаний,</w:t>
      </w:r>
      <w:r>
        <w:rPr>
          <w:spacing w:val="-15"/>
          <w:sz w:val="24"/>
        </w:rPr>
        <w:t> </w:t>
      </w:r>
      <w:r>
        <w:rPr>
          <w:sz w:val="24"/>
        </w:rPr>
        <w:t>связанных</w:t>
      </w:r>
      <w:r>
        <w:rPr>
          <w:spacing w:val="-11"/>
          <w:sz w:val="24"/>
        </w:rPr>
        <w:t> </w:t>
      </w:r>
      <w:r>
        <w:rPr>
          <w:sz w:val="24"/>
        </w:rPr>
        <w:t>с</w:t>
      </w:r>
      <w:r>
        <w:rPr>
          <w:spacing w:val="-14"/>
          <w:sz w:val="24"/>
        </w:rPr>
        <w:t> </w:t>
      </w:r>
      <w:r>
        <w:rPr>
          <w:sz w:val="24"/>
        </w:rPr>
        <w:t>риском развития ургентных осложнений или необратимого поражения внутренних органов;</w:t>
      </w:r>
    </w:p>
    <w:p>
      <w:pPr>
        <w:pStyle w:val="ListParagraph"/>
        <w:numPr>
          <w:ilvl w:val="1"/>
          <w:numId w:val="24"/>
        </w:numPr>
        <w:tabs>
          <w:tab w:pos="1001" w:val="left" w:leader="none"/>
        </w:tabs>
        <w:spacing w:line="309" w:lineRule="auto" w:before="10" w:after="0"/>
        <w:ind w:left="1000" w:right="673" w:hanging="339"/>
        <w:jc w:val="both"/>
        <w:rPr>
          <w:sz w:val="24"/>
        </w:rPr>
      </w:pPr>
      <w:r>
        <w:rPr>
          <w:sz w:val="24"/>
        </w:rPr>
        <w:t>При отсутствии подозрений на наличие инфекции SARS-CoV-2 и других противопоказаний рекомендуется иммунизация вакциной против пневмококковой инфекции.</w:t>
      </w:r>
    </w:p>
    <w:p>
      <w:pPr>
        <w:pStyle w:val="BodyText"/>
        <w:spacing w:before="10"/>
        <w:ind w:left="0"/>
        <w:jc w:val="left"/>
        <w:rPr>
          <w:sz w:val="20"/>
        </w:rPr>
      </w:pPr>
    </w:p>
    <w:p>
      <w:pPr>
        <w:pStyle w:val="Heading2"/>
        <w:numPr>
          <w:ilvl w:val="1"/>
          <w:numId w:val="18"/>
        </w:numPr>
        <w:tabs>
          <w:tab w:pos="1522" w:val="left" w:leader="none"/>
        </w:tabs>
        <w:spacing w:line="259" w:lineRule="auto" w:before="0" w:after="0"/>
        <w:ind w:left="1029" w:right="1131" w:firstLine="0"/>
        <w:jc w:val="left"/>
        <w:rPr>
          <w:color w:val="1F487C"/>
        </w:rPr>
      </w:pPr>
      <w:bookmarkStart w:name="5.8. МОНИТОРИНГ КЛИНИЧЕСКИХ И ЛАБОРАТОРН" w:id="107"/>
      <w:bookmarkEnd w:id="107"/>
      <w:r>
        <w:rPr>
          <w:b w:val="0"/>
        </w:rPr>
      </w:r>
      <w:bookmarkStart w:name="_bookmark22" w:id="108"/>
      <w:bookmarkEnd w:id="108"/>
      <w:r>
        <w:rPr>
          <w:b w:val="0"/>
        </w:rPr>
      </w:r>
      <w:bookmarkStart w:name="_bookmark22" w:id="109"/>
      <w:bookmarkEnd w:id="109"/>
      <w:r>
        <w:rPr>
          <w:color w:val="1F487C"/>
        </w:rPr>
        <w:t>М</w:t>
      </w:r>
      <w:r>
        <w:rPr>
          <w:color w:val="1F487C"/>
        </w:rPr>
        <w:t>ОНИТОРИНГ КЛИНИЧЕСКИХ И ЛАБОРАТОРНЫХ ПОКАЗАТЕЛЕЙ</w:t>
      </w:r>
    </w:p>
    <w:p>
      <w:pPr>
        <w:pStyle w:val="BodyText"/>
        <w:spacing w:line="312" w:lineRule="auto" w:before="120"/>
        <w:ind w:left="316" w:right="810" w:firstLine="698"/>
      </w:pPr>
      <w:r>
        <w:rPr/>
        <w:t>Важным  обстоятельством  при   оказании   медицинской   помощи   больным с COVID-19 или подозрением на COVID-19 является оценка динамики клинических и лабораторных    показателей     для     своевременного     назначения     препаратов  и своевременной коррекции</w:t>
      </w:r>
      <w:r>
        <w:rPr>
          <w:spacing w:val="2"/>
        </w:rPr>
        <w:t> </w:t>
      </w:r>
      <w:r>
        <w:rPr/>
        <w:t>терапии.</w:t>
      </w:r>
    </w:p>
    <w:p>
      <w:pPr>
        <w:pStyle w:val="BodyText"/>
        <w:spacing w:before="5"/>
        <w:ind w:left="1015"/>
      </w:pPr>
      <w:r>
        <w:rPr/>
        <w:t>Клинические признаки, требующие мониторинга:</w:t>
      </w:r>
    </w:p>
    <w:p>
      <w:pPr>
        <w:pStyle w:val="ListParagraph"/>
        <w:numPr>
          <w:ilvl w:val="1"/>
          <w:numId w:val="24"/>
        </w:numPr>
        <w:tabs>
          <w:tab w:pos="1001" w:val="left" w:leader="none"/>
        </w:tabs>
        <w:spacing w:line="309" w:lineRule="auto" w:before="88" w:after="0"/>
        <w:ind w:left="1000" w:right="676" w:hanging="339"/>
        <w:jc w:val="both"/>
        <w:rPr>
          <w:sz w:val="24"/>
        </w:rPr>
      </w:pPr>
      <w:r>
        <w:rPr>
          <w:sz w:val="24"/>
        </w:rPr>
        <w:t>Т тела (контроль ежедневно минимум два раза в день в утренние и вечерние часы), оценивается высота повышения t тела, кратность ее подъемов в течение суток, длительность повышения. Особого внимания требуют эпизоды повторного повышения t тела после нормализации в течение 1 и более</w:t>
      </w:r>
      <w:r>
        <w:rPr>
          <w:spacing w:val="-12"/>
          <w:sz w:val="24"/>
        </w:rPr>
        <w:t> </w:t>
      </w:r>
      <w:r>
        <w:rPr>
          <w:sz w:val="24"/>
        </w:rPr>
        <w:t>суток.</w:t>
      </w:r>
    </w:p>
    <w:p>
      <w:pPr>
        <w:pStyle w:val="ListParagraph"/>
        <w:numPr>
          <w:ilvl w:val="1"/>
          <w:numId w:val="24"/>
        </w:numPr>
        <w:tabs>
          <w:tab w:pos="1001" w:val="left" w:leader="none"/>
        </w:tabs>
        <w:spacing w:line="304" w:lineRule="auto" w:before="7" w:after="0"/>
        <w:ind w:left="1000" w:right="674" w:hanging="339"/>
        <w:jc w:val="both"/>
        <w:rPr>
          <w:sz w:val="24"/>
        </w:rPr>
      </w:pPr>
      <w:r>
        <w:rPr>
          <w:sz w:val="24"/>
        </w:rPr>
        <w:t>ЧДД оценивается ежедневно, в случае увеличения ЧДД необходимо ориентироваться не только на стандартные нормальные значения показателя,</w:t>
      </w:r>
      <w:r>
        <w:rPr>
          <w:spacing w:val="-31"/>
          <w:sz w:val="24"/>
        </w:rPr>
        <w:t> </w:t>
      </w:r>
      <w:r>
        <w:rPr>
          <w:sz w:val="24"/>
        </w:rPr>
        <w:t>но</w:t>
      </w:r>
    </w:p>
    <w:p>
      <w:pPr>
        <w:spacing w:after="0" w:line="304" w:lineRule="auto"/>
        <w:jc w:val="both"/>
        <w:rPr>
          <w:sz w:val="24"/>
        </w:rPr>
        <w:sectPr>
          <w:pgSz w:w="11920" w:h="16850"/>
          <w:pgMar w:header="0" w:footer="620" w:top="1060" w:bottom="880" w:left="1380" w:right="600"/>
        </w:sectPr>
      </w:pPr>
    </w:p>
    <w:p>
      <w:pPr>
        <w:pStyle w:val="BodyText"/>
        <w:spacing w:line="312" w:lineRule="auto" w:before="78"/>
        <w:ind w:left="1000" w:right="673"/>
      </w:pPr>
      <w:r>
        <w:rPr/>
        <w:t>и на прирост показателя в сравнении с исходным ЧДД. При развитии или нарастании признаков дыхательной недостаточности необходимо тщательно </w:t>
      </w:r>
      <w:r>
        <w:rPr>
          <w:position w:val="2"/>
        </w:rPr>
        <w:t>контролировать SpO</w:t>
      </w:r>
      <w:r>
        <w:rPr>
          <w:sz w:val="16"/>
        </w:rPr>
        <w:t>2</w:t>
      </w:r>
      <w:r>
        <w:rPr>
          <w:position w:val="2"/>
        </w:rPr>
        <w:t>. При увеличении ЧДД более 22 в минуту при лечении на </w:t>
      </w:r>
      <w:r>
        <w:rPr/>
        <w:t>дому необходимо решать вопрос о госпитализации пациента в стационар.</w:t>
      </w:r>
    </w:p>
    <w:p>
      <w:pPr>
        <w:pStyle w:val="ListParagraph"/>
        <w:numPr>
          <w:ilvl w:val="1"/>
          <w:numId w:val="24"/>
        </w:numPr>
        <w:tabs>
          <w:tab w:pos="1001" w:val="left" w:leader="none"/>
        </w:tabs>
        <w:spacing w:line="307" w:lineRule="auto" w:before="0" w:after="0"/>
        <w:ind w:left="1000" w:right="677" w:hanging="339"/>
        <w:jc w:val="both"/>
        <w:rPr>
          <w:sz w:val="24"/>
        </w:rPr>
      </w:pPr>
      <w:r>
        <w:rPr>
          <w:position w:val="2"/>
          <w:sz w:val="24"/>
        </w:rPr>
        <w:t>SpO</w:t>
      </w:r>
      <w:r>
        <w:rPr>
          <w:sz w:val="16"/>
        </w:rPr>
        <w:t>2 </w:t>
      </w:r>
      <w:r>
        <w:rPr>
          <w:position w:val="2"/>
          <w:sz w:val="24"/>
        </w:rPr>
        <w:t>оценивается ежедневно  (у пациентов,  находящихся  в стационаре,  1  раз</w:t>
      </w:r>
      <w:r>
        <w:rPr>
          <w:sz w:val="24"/>
        </w:rPr>
        <w:t> в три дня, при снижении показателя до уровня ≤93% необходима дотация кислорода.</w:t>
      </w:r>
    </w:p>
    <w:p>
      <w:pPr>
        <w:pStyle w:val="ListParagraph"/>
        <w:numPr>
          <w:ilvl w:val="1"/>
          <w:numId w:val="24"/>
        </w:numPr>
        <w:tabs>
          <w:tab w:pos="1001" w:val="left" w:leader="none"/>
        </w:tabs>
        <w:spacing w:line="309" w:lineRule="auto" w:before="8" w:after="0"/>
        <w:ind w:left="1000" w:right="674" w:hanging="339"/>
        <w:jc w:val="both"/>
        <w:rPr>
          <w:sz w:val="24"/>
        </w:rPr>
      </w:pPr>
      <w:r>
        <w:rPr>
          <w:position w:val="2"/>
          <w:sz w:val="24"/>
        </w:rPr>
        <w:t>Для линейных отделений SpO</w:t>
      </w:r>
      <w:r>
        <w:rPr>
          <w:sz w:val="16"/>
        </w:rPr>
        <w:t>2 </w:t>
      </w:r>
      <w:r>
        <w:rPr>
          <w:position w:val="2"/>
          <w:sz w:val="24"/>
        </w:rPr>
        <w:t>на фоне оксигенотерапии должна быть ≥ 92%, если</w:t>
      </w:r>
      <w:r>
        <w:rPr>
          <w:spacing w:val="-10"/>
          <w:position w:val="2"/>
          <w:sz w:val="24"/>
        </w:rPr>
        <w:t> </w:t>
      </w:r>
      <w:r>
        <w:rPr>
          <w:position w:val="2"/>
          <w:sz w:val="24"/>
        </w:rPr>
        <w:t>показатель</w:t>
      </w:r>
      <w:r>
        <w:rPr>
          <w:spacing w:val="-11"/>
          <w:position w:val="2"/>
          <w:sz w:val="24"/>
        </w:rPr>
        <w:t> </w:t>
      </w:r>
      <w:r>
        <w:rPr>
          <w:position w:val="2"/>
          <w:sz w:val="24"/>
        </w:rPr>
        <w:t>меньше</w:t>
      </w:r>
      <w:r>
        <w:rPr>
          <w:spacing w:val="-11"/>
          <w:position w:val="2"/>
          <w:sz w:val="24"/>
        </w:rPr>
        <w:t> </w:t>
      </w:r>
      <w:r>
        <w:rPr>
          <w:position w:val="2"/>
          <w:sz w:val="24"/>
        </w:rPr>
        <w:t>–</w:t>
      </w:r>
      <w:r>
        <w:rPr>
          <w:spacing w:val="-11"/>
          <w:position w:val="2"/>
          <w:sz w:val="24"/>
        </w:rPr>
        <w:t> </w:t>
      </w:r>
      <w:r>
        <w:rPr>
          <w:position w:val="2"/>
          <w:sz w:val="24"/>
        </w:rPr>
        <w:t>показана</w:t>
      </w:r>
      <w:r>
        <w:rPr>
          <w:spacing w:val="-11"/>
          <w:position w:val="2"/>
          <w:sz w:val="24"/>
        </w:rPr>
        <w:t> </w:t>
      </w:r>
      <w:r>
        <w:rPr>
          <w:position w:val="2"/>
          <w:sz w:val="24"/>
        </w:rPr>
        <w:t>прональная</w:t>
      </w:r>
      <w:r>
        <w:rPr>
          <w:spacing w:val="-10"/>
          <w:position w:val="2"/>
          <w:sz w:val="24"/>
        </w:rPr>
        <w:t> </w:t>
      </w:r>
      <w:r>
        <w:rPr>
          <w:position w:val="2"/>
          <w:sz w:val="24"/>
        </w:rPr>
        <w:t>позиция.</w:t>
      </w:r>
      <w:r>
        <w:rPr>
          <w:spacing w:val="-11"/>
          <w:position w:val="2"/>
          <w:sz w:val="24"/>
        </w:rPr>
        <w:t> </w:t>
      </w:r>
      <w:r>
        <w:rPr>
          <w:position w:val="2"/>
          <w:sz w:val="24"/>
        </w:rPr>
        <w:t>Если</w:t>
      </w:r>
      <w:r>
        <w:rPr>
          <w:spacing w:val="-11"/>
          <w:position w:val="2"/>
          <w:sz w:val="24"/>
        </w:rPr>
        <w:t> </w:t>
      </w:r>
      <w:r>
        <w:rPr>
          <w:position w:val="2"/>
          <w:sz w:val="24"/>
        </w:rPr>
        <w:t>SpO</w:t>
      </w:r>
      <w:r>
        <w:rPr>
          <w:sz w:val="16"/>
        </w:rPr>
        <w:t>2</w:t>
      </w:r>
      <w:r>
        <w:rPr>
          <w:spacing w:val="12"/>
          <w:sz w:val="16"/>
        </w:rPr>
        <w:t> </w:t>
      </w:r>
      <w:r>
        <w:rPr>
          <w:position w:val="2"/>
          <w:sz w:val="24"/>
        </w:rPr>
        <w:t>в</w:t>
      </w:r>
      <w:r>
        <w:rPr>
          <w:spacing w:val="-13"/>
          <w:position w:val="2"/>
          <w:sz w:val="24"/>
        </w:rPr>
        <w:t> </w:t>
      </w:r>
      <w:r>
        <w:rPr>
          <w:position w:val="2"/>
          <w:sz w:val="24"/>
        </w:rPr>
        <w:t>положении</w:t>
      </w:r>
      <w:r>
        <w:rPr>
          <w:sz w:val="24"/>
        </w:rPr>
        <w:t> на животе &lt; 92%, показана консультация реаниматолога в течение часа. При проведении оксигенотерапии показано кратковременно прекращать ее не реже</w:t>
      </w:r>
      <w:r>
        <w:rPr>
          <w:position w:val="2"/>
          <w:sz w:val="24"/>
        </w:rPr>
        <w:t> чем 1 раз в 2 ч, если при этом отмечается снижение SpO</w:t>
      </w:r>
      <w:r>
        <w:rPr>
          <w:sz w:val="16"/>
        </w:rPr>
        <w:t>2 </w:t>
      </w:r>
      <w:r>
        <w:rPr>
          <w:position w:val="2"/>
          <w:sz w:val="24"/>
        </w:rPr>
        <w:t>&lt; 85%, показан вызов реаниматолога</w:t>
      </w:r>
      <w:r>
        <w:rPr>
          <w:spacing w:val="-17"/>
          <w:position w:val="2"/>
          <w:sz w:val="24"/>
        </w:rPr>
        <w:t> </w:t>
      </w:r>
      <w:r>
        <w:rPr>
          <w:position w:val="2"/>
          <w:sz w:val="24"/>
        </w:rPr>
        <w:t>в</w:t>
      </w:r>
      <w:r>
        <w:rPr>
          <w:spacing w:val="-16"/>
          <w:position w:val="2"/>
          <w:sz w:val="24"/>
        </w:rPr>
        <w:t> </w:t>
      </w:r>
      <w:r>
        <w:rPr>
          <w:position w:val="2"/>
          <w:sz w:val="24"/>
        </w:rPr>
        <w:t>течение</w:t>
      </w:r>
      <w:r>
        <w:rPr>
          <w:spacing w:val="-16"/>
          <w:position w:val="2"/>
          <w:sz w:val="24"/>
        </w:rPr>
        <w:t> </w:t>
      </w:r>
      <w:r>
        <w:rPr>
          <w:position w:val="2"/>
          <w:sz w:val="24"/>
        </w:rPr>
        <w:t>часа,</w:t>
      </w:r>
      <w:r>
        <w:rPr>
          <w:spacing w:val="-16"/>
          <w:position w:val="2"/>
          <w:sz w:val="24"/>
        </w:rPr>
        <w:t> </w:t>
      </w:r>
      <w:r>
        <w:rPr>
          <w:position w:val="2"/>
          <w:sz w:val="24"/>
        </w:rPr>
        <w:t>если</w:t>
      </w:r>
      <w:r>
        <w:rPr>
          <w:spacing w:val="-15"/>
          <w:position w:val="2"/>
          <w:sz w:val="24"/>
        </w:rPr>
        <w:t> </w:t>
      </w:r>
      <w:r>
        <w:rPr>
          <w:position w:val="2"/>
          <w:sz w:val="24"/>
        </w:rPr>
        <w:t>SpO</w:t>
      </w:r>
      <w:r>
        <w:rPr>
          <w:sz w:val="16"/>
        </w:rPr>
        <w:t>2</w:t>
      </w:r>
      <w:r>
        <w:rPr>
          <w:spacing w:val="5"/>
          <w:sz w:val="16"/>
        </w:rPr>
        <w:t> </w:t>
      </w:r>
      <w:r>
        <w:rPr>
          <w:position w:val="2"/>
          <w:sz w:val="24"/>
        </w:rPr>
        <w:t>снижается</w:t>
      </w:r>
      <w:r>
        <w:rPr>
          <w:spacing w:val="-15"/>
          <w:position w:val="2"/>
          <w:sz w:val="24"/>
        </w:rPr>
        <w:t> </w:t>
      </w:r>
      <w:r>
        <w:rPr>
          <w:position w:val="2"/>
          <w:sz w:val="24"/>
        </w:rPr>
        <w:t>до</w:t>
      </w:r>
      <w:r>
        <w:rPr>
          <w:spacing w:val="-16"/>
          <w:position w:val="2"/>
          <w:sz w:val="24"/>
        </w:rPr>
        <w:t> </w:t>
      </w:r>
      <w:r>
        <w:rPr>
          <w:position w:val="2"/>
          <w:sz w:val="24"/>
        </w:rPr>
        <w:t>80%</w:t>
      </w:r>
      <w:r>
        <w:rPr>
          <w:spacing w:val="-17"/>
          <w:position w:val="2"/>
          <w:sz w:val="24"/>
        </w:rPr>
        <w:t> </w:t>
      </w:r>
      <w:r>
        <w:rPr>
          <w:position w:val="2"/>
          <w:sz w:val="24"/>
        </w:rPr>
        <w:t>и</w:t>
      </w:r>
      <w:r>
        <w:rPr>
          <w:spacing w:val="-14"/>
          <w:position w:val="2"/>
          <w:sz w:val="24"/>
        </w:rPr>
        <w:t> </w:t>
      </w:r>
      <w:r>
        <w:rPr>
          <w:position w:val="2"/>
          <w:sz w:val="24"/>
        </w:rPr>
        <w:t>менее</w:t>
      </w:r>
      <w:r>
        <w:rPr>
          <w:spacing w:val="-17"/>
          <w:position w:val="2"/>
          <w:sz w:val="24"/>
        </w:rPr>
        <w:t> </w:t>
      </w:r>
      <w:r>
        <w:rPr>
          <w:position w:val="2"/>
          <w:sz w:val="24"/>
        </w:rPr>
        <w:t>–</w:t>
      </w:r>
      <w:r>
        <w:rPr>
          <w:spacing w:val="-16"/>
          <w:position w:val="2"/>
          <w:sz w:val="24"/>
        </w:rPr>
        <w:t> </w:t>
      </w:r>
      <w:r>
        <w:rPr>
          <w:position w:val="2"/>
          <w:sz w:val="24"/>
        </w:rPr>
        <w:t>экстренный</w:t>
      </w:r>
      <w:r>
        <w:rPr>
          <w:sz w:val="24"/>
        </w:rPr>
        <w:t> вызов</w:t>
      </w:r>
      <w:r>
        <w:rPr>
          <w:spacing w:val="-2"/>
          <w:sz w:val="24"/>
        </w:rPr>
        <w:t> </w:t>
      </w:r>
      <w:r>
        <w:rPr>
          <w:sz w:val="24"/>
        </w:rPr>
        <w:t>реаниматолога.</w:t>
      </w:r>
    </w:p>
    <w:p>
      <w:pPr>
        <w:pStyle w:val="BodyText"/>
        <w:spacing w:before="5"/>
        <w:ind w:left="0"/>
        <w:jc w:val="left"/>
        <w:rPr>
          <w:sz w:val="32"/>
        </w:rPr>
      </w:pPr>
    </w:p>
    <w:p>
      <w:pPr>
        <w:pStyle w:val="BodyText"/>
        <w:ind w:left="1015"/>
      </w:pPr>
      <w:r>
        <w:rPr/>
        <w:t>Лабораторные показатели, требующие мониторинга:</w:t>
      </w:r>
    </w:p>
    <w:p>
      <w:pPr>
        <w:pStyle w:val="BodyText"/>
        <w:ind w:left="0"/>
        <w:jc w:val="left"/>
        <w:rPr>
          <w:sz w:val="26"/>
        </w:rPr>
      </w:pPr>
    </w:p>
    <w:p>
      <w:pPr>
        <w:pStyle w:val="ListParagraph"/>
        <w:numPr>
          <w:ilvl w:val="1"/>
          <w:numId w:val="24"/>
        </w:numPr>
        <w:tabs>
          <w:tab w:pos="1000" w:val="left" w:leader="none"/>
          <w:tab w:pos="1001" w:val="left" w:leader="none"/>
        </w:tabs>
        <w:spacing w:line="240" w:lineRule="auto" w:before="157" w:after="0"/>
        <w:ind w:left="1000" w:right="0" w:hanging="339"/>
        <w:jc w:val="left"/>
        <w:rPr>
          <w:sz w:val="24"/>
        </w:rPr>
      </w:pPr>
      <w:r>
        <w:rPr>
          <w:sz w:val="24"/>
        </w:rPr>
        <w:t>Уровни лейкоцитов, нейтрофилов, лимфоцитов,</w:t>
      </w:r>
      <w:r>
        <w:rPr>
          <w:spacing w:val="-1"/>
          <w:sz w:val="24"/>
        </w:rPr>
        <w:t> </w:t>
      </w:r>
      <w:r>
        <w:rPr>
          <w:sz w:val="24"/>
        </w:rPr>
        <w:t>тромбоцитов;</w:t>
      </w:r>
    </w:p>
    <w:p>
      <w:pPr>
        <w:pStyle w:val="ListParagraph"/>
        <w:numPr>
          <w:ilvl w:val="1"/>
          <w:numId w:val="24"/>
        </w:numPr>
        <w:tabs>
          <w:tab w:pos="1000" w:val="left" w:leader="none"/>
          <w:tab w:pos="1001" w:val="left" w:leader="none"/>
          <w:tab w:pos="6487" w:val="left" w:leader="none"/>
        </w:tabs>
        <w:spacing w:line="304" w:lineRule="auto" w:before="80" w:after="0"/>
        <w:ind w:left="1000" w:right="680" w:hanging="339"/>
        <w:jc w:val="left"/>
        <w:rPr>
          <w:sz w:val="24"/>
        </w:rPr>
      </w:pPr>
      <w:r>
        <w:rPr>
          <w:sz w:val="24"/>
        </w:rPr>
        <w:t>Активность   АЛТ,  </w:t>
      </w:r>
      <w:r>
        <w:rPr>
          <w:spacing w:val="18"/>
          <w:sz w:val="24"/>
        </w:rPr>
        <w:t> </w:t>
      </w:r>
      <w:r>
        <w:rPr>
          <w:sz w:val="24"/>
        </w:rPr>
        <w:t>АСТ,  </w:t>
      </w:r>
      <w:r>
        <w:rPr>
          <w:spacing w:val="8"/>
          <w:sz w:val="24"/>
        </w:rPr>
        <w:t> </w:t>
      </w:r>
      <w:r>
        <w:rPr>
          <w:sz w:val="24"/>
        </w:rPr>
        <w:t>лактатдегидрогеназы,</w:t>
        <w:tab/>
        <w:t>уровни СРБ, </w:t>
      </w:r>
      <w:r>
        <w:rPr>
          <w:spacing w:val="-3"/>
          <w:sz w:val="24"/>
        </w:rPr>
        <w:t>ферритина, </w:t>
      </w:r>
      <w:r>
        <w:rPr>
          <w:sz w:val="24"/>
        </w:rPr>
        <w:t>тропонина;</w:t>
      </w:r>
    </w:p>
    <w:p>
      <w:pPr>
        <w:pStyle w:val="ListParagraph"/>
        <w:numPr>
          <w:ilvl w:val="1"/>
          <w:numId w:val="24"/>
        </w:numPr>
        <w:tabs>
          <w:tab w:pos="1000" w:val="left" w:leader="none"/>
          <w:tab w:pos="1001" w:val="left" w:leader="none"/>
        </w:tabs>
        <w:spacing w:line="240" w:lineRule="auto" w:before="11" w:after="0"/>
        <w:ind w:left="1000" w:right="0" w:hanging="339"/>
        <w:jc w:val="left"/>
        <w:rPr>
          <w:sz w:val="24"/>
        </w:rPr>
      </w:pPr>
      <w:r>
        <w:rPr>
          <w:sz w:val="24"/>
        </w:rPr>
        <w:t>Уровень</w:t>
      </w:r>
      <w:r>
        <w:rPr>
          <w:spacing w:val="-1"/>
          <w:sz w:val="24"/>
        </w:rPr>
        <w:t> </w:t>
      </w:r>
      <w:r>
        <w:rPr>
          <w:sz w:val="24"/>
        </w:rPr>
        <w:t>D-димера;</w:t>
      </w:r>
    </w:p>
    <w:p>
      <w:pPr>
        <w:pStyle w:val="ListParagraph"/>
        <w:numPr>
          <w:ilvl w:val="1"/>
          <w:numId w:val="24"/>
        </w:numPr>
        <w:tabs>
          <w:tab w:pos="1000" w:val="left" w:leader="none"/>
          <w:tab w:pos="1001" w:val="left" w:leader="none"/>
        </w:tabs>
        <w:spacing w:line="240" w:lineRule="auto" w:before="82" w:after="0"/>
        <w:ind w:left="1000" w:right="0" w:hanging="339"/>
        <w:jc w:val="left"/>
        <w:rPr>
          <w:sz w:val="24"/>
        </w:rPr>
      </w:pPr>
      <w:r>
        <w:rPr>
          <w:sz w:val="24"/>
        </w:rPr>
        <w:t>Протромбиновое</w:t>
      </w:r>
      <w:r>
        <w:rPr>
          <w:spacing w:val="-2"/>
          <w:sz w:val="24"/>
        </w:rPr>
        <w:t> </w:t>
      </w:r>
      <w:r>
        <w:rPr>
          <w:sz w:val="24"/>
        </w:rPr>
        <w:t>время;</w:t>
      </w:r>
    </w:p>
    <w:p>
      <w:pPr>
        <w:pStyle w:val="ListParagraph"/>
        <w:numPr>
          <w:ilvl w:val="1"/>
          <w:numId w:val="24"/>
        </w:numPr>
        <w:tabs>
          <w:tab w:pos="1000" w:val="left" w:leader="none"/>
          <w:tab w:pos="1001" w:val="left" w:leader="none"/>
        </w:tabs>
        <w:spacing w:line="240" w:lineRule="auto" w:before="83" w:after="0"/>
        <w:ind w:left="1000" w:right="0" w:hanging="339"/>
        <w:jc w:val="left"/>
        <w:rPr>
          <w:sz w:val="24"/>
        </w:rPr>
      </w:pPr>
      <w:r>
        <w:rPr>
          <w:sz w:val="24"/>
        </w:rPr>
        <w:t>Уровень</w:t>
      </w:r>
      <w:r>
        <w:rPr>
          <w:spacing w:val="-1"/>
          <w:sz w:val="24"/>
        </w:rPr>
        <w:t> </w:t>
      </w:r>
      <w:r>
        <w:rPr>
          <w:sz w:val="24"/>
        </w:rPr>
        <w:t>фибриногена;</w:t>
      </w:r>
    </w:p>
    <w:p>
      <w:pPr>
        <w:pStyle w:val="ListParagraph"/>
        <w:numPr>
          <w:ilvl w:val="1"/>
          <w:numId w:val="24"/>
        </w:numPr>
        <w:tabs>
          <w:tab w:pos="1000" w:val="left" w:leader="none"/>
          <w:tab w:pos="1001" w:val="left" w:leader="none"/>
        </w:tabs>
        <w:spacing w:line="240" w:lineRule="auto" w:before="80" w:after="0"/>
        <w:ind w:left="1000" w:right="0" w:hanging="339"/>
        <w:jc w:val="left"/>
        <w:rPr>
          <w:sz w:val="24"/>
        </w:rPr>
      </w:pPr>
      <w:r>
        <w:rPr>
          <w:sz w:val="24"/>
        </w:rPr>
        <w:t>По показаниям: уровень ИЛ-6; количество Т- и В-лимфоцитов; NT-</w:t>
      </w:r>
      <w:r>
        <w:rPr>
          <w:spacing w:val="-8"/>
          <w:sz w:val="24"/>
        </w:rPr>
        <w:t> </w:t>
      </w:r>
      <w:r>
        <w:rPr>
          <w:sz w:val="24"/>
        </w:rPr>
        <w:t>proBNP.</w:t>
      </w:r>
    </w:p>
    <w:p>
      <w:pPr>
        <w:pStyle w:val="BodyText"/>
        <w:spacing w:before="5"/>
        <w:ind w:left="0"/>
        <w:jc w:val="left"/>
        <w:rPr>
          <w:sz w:val="39"/>
        </w:rPr>
      </w:pPr>
    </w:p>
    <w:p>
      <w:pPr>
        <w:pStyle w:val="BodyText"/>
        <w:spacing w:line="312" w:lineRule="auto"/>
        <w:ind w:right="812" w:firstLine="708"/>
      </w:pPr>
      <w:r>
        <w:rPr/>
        <w:t>Инструментальные признаки, требующие мониторинга, – характер и площадь поражения легких на КТ ОГК.</w:t>
      </w:r>
    </w:p>
    <w:p>
      <w:pPr>
        <w:pStyle w:val="BodyText"/>
        <w:spacing w:line="312" w:lineRule="auto" w:before="5"/>
        <w:ind w:left="316" w:right="810" w:firstLine="698"/>
      </w:pPr>
      <w:r>
        <w:rPr/>
        <w:t>Необходимый  объем  лабораторного   и   инструментального   обследования  в зависимости     от      клинических      проявлений      заболевания      представлен    в </w:t>
      </w:r>
      <w:hyperlink w:history="true" w:anchor="_bookmark45">
        <w:r>
          <w:rPr>
            <w:color w:val="0562C1"/>
            <w:u w:val="single" w:color="0562C1"/>
          </w:rPr>
          <w:t>Приложении 2-1</w:t>
        </w:r>
      </w:hyperlink>
      <w:r>
        <w:rPr/>
        <w:t>. Лабораторный мониторинг больных с COVID-19/подозрением на COVID-19 в зависимости от тяжести состояния представлен в </w:t>
      </w:r>
      <w:hyperlink w:history="true" w:anchor="_bookmark46">
        <w:r>
          <w:rPr>
            <w:color w:val="0562C1"/>
            <w:u w:val="single" w:color="0562C1"/>
          </w:rPr>
          <w:t>Приложении</w:t>
        </w:r>
        <w:r>
          <w:rPr>
            <w:color w:val="0562C1"/>
            <w:spacing w:val="-8"/>
            <w:u w:val="single" w:color="0562C1"/>
          </w:rPr>
          <w:t> </w:t>
        </w:r>
        <w:r>
          <w:rPr>
            <w:color w:val="0562C1"/>
            <w:u w:val="single" w:color="0562C1"/>
          </w:rPr>
          <w:t>2-2</w:t>
        </w:r>
      </w:hyperlink>
      <w:r>
        <w:rPr/>
        <w:t>.</w:t>
      </w:r>
    </w:p>
    <w:p>
      <w:pPr>
        <w:pStyle w:val="BodyText"/>
        <w:spacing w:before="5"/>
        <w:ind w:left="0"/>
        <w:jc w:val="left"/>
        <w:rPr>
          <w:sz w:val="13"/>
        </w:rPr>
      </w:pPr>
    </w:p>
    <w:p>
      <w:pPr>
        <w:pStyle w:val="Heading2"/>
        <w:numPr>
          <w:ilvl w:val="1"/>
          <w:numId w:val="28"/>
        </w:numPr>
        <w:tabs>
          <w:tab w:pos="1452" w:val="left" w:leader="none"/>
        </w:tabs>
        <w:spacing w:line="259" w:lineRule="auto" w:before="89" w:after="0"/>
        <w:ind w:left="1029" w:right="1292" w:firstLine="0"/>
        <w:jc w:val="left"/>
      </w:pPr>
      <w:bookmarkStart w:name="5.9 МЕДИЦИНСКАЯ РЕАБИЛИТАЦИЯ ПРИ ОКАЗАНИ" w:id="110"/>
      <w:bookmarkEnd w:id="110"/>
      <w:r>
        <w:rPr>
          <w:b w:val="0"/>
        </w:rPr>
      </w:r>
      <w:bookmarkStart w:name="_bookmark23" w:id="111"/>
      <w:bookmarkEnd w:id="111"/>
      <w:r>
        <w:rPr>
          <w:b w:val="0"/>
        </w:rPr>
      </w:r>
      <w:bookmarkStart w:name="_bookmark23" w:id="112"/>
      <w:bookmarkEnd w:id="112"/>
      <w:r>
        <w:rPr>
          <w:color w:val="1F487C"/>
        </w:rPr>
        <w:t>М</w:t>
      </w:r>
      <w:r>
        <w:rPr>
          <w:color w:val="1F487C"/>
        </w:rPr>
        <w:t>ЕДИЦИНСКАЯ РЕАБИЛИТАЦИЯ ПРИ ОКАЗАНИИ СПЕЦАЛИЗИРОВАННОЙ МЕДИЦИНСКОЙ ПОМОЩИ ПАЦИЕНТАМ С</w:t>
      </w:r>
      <w:r>
        <w:rPr>
          <w:color w:val="1F487C"/>
          <w:spacing w:val="-6"/>
        </w:rPr>
        <w:t> </w:t>
      </w:r>
      <w:r>
        <w:rPr>
          <w:color w:val="1F487C"/>
        </w:rPr>
        <w:t>COVID-19</w:t>
      </w:r>
    </w:p>
    <w:p>
      <w:pPr>
        <w:pStyle w:val="Heading3"/>
        <w:numPr>
          <w:ilvl w:val="2"/>
          <w:numId w:val="28"/>
        </w:numPr>
        <w:tabs>
          <w:tab w:pos="1570" w:val="left" w:leader="none"/>
        </w:tabs>
        <w:spacing w:line="240" w:lineRule="auto" w:before="237" w:after="0"/>
        <w:ind w:left="1569" w:right="0" w:hanging="541"/>
        <w:jc w:val="both"/>
      </w:pPr>
      <w:bookmarkStart w:name="5.9.1 Медицинская реабилитация в ОРИТ (1" w:id="113"/>
      <w:bookmarkEnd w:id="113"/>
      <w:r>
        <w:rPr>
          <w:b w:val="0"/>
        </w:rPr>
      </w:r>
      <w:bookmarkStart w:name="5.9.1 Медицинская реабилитация в ОРИТ (1" w:id="114"/>
      <w:bookmarkEnd w:id="114"/>
      <w:r>
        <w:rPr>
          <w:color w:val="1F487C"/>
        </w:rPr>
        <w:t>М</w:t>
      </w:r>
      <w:r>
        <w:rPr>
          <w:color w:val="1F487C"/>
        </w:rPr>
        <w:t>едицинская реабилитация в ОРИТ (1</w:t>
      </w:r>
      <w:r>
        <w:rPr>
          <w:color w:val="1F487C"/>
          <w:spacing w:val="-4"/>
        </w:rPr>
        <w:t> </w:t>
      </w:r>
      <w:r>
        <w:rPr>
          <w:color w:val="1F487C"/>
        </w:rPr>
        <w:t>этап)</w:t>
      </w:r>
    </w:p>
    <w:p>
      <w:pPr>
        <w:pStyle w:val="BodyText"/>
        <w:spacing w:line="276" w:lineRule="auto" w:before="142"/>
        <w:ind w:right="674" w:firstLine="708"/>
      </w:pPr>
      <w:r>
        <w:rPr/>
        <w:t>Пациенты с COVID-19, перенесшие длительную  ИВЛ  (2-5  недель),  а также,  в ряде случаев, ЭКМО (не менее 3 недель, с последующей ИВЛ в течение 3-6 недель), нуждаются в раннем начале и длительном проведении</w:t>
      </w:r>
      <w:r>
        <w:rPr>
          <w:spacing w:val="22"/>
        </w:rPr>
        <w:t> </w:t>
      </w:r>
      <w:r>
        <w:rPr/>
        <w:t>многокомпонентной</w:t>
      </w:r>
    </w:p>
    <w:p>
      <w:pPr>
        <w:spacing w:after="0" w:line="276" w:lineRule="auto"/>
        <w:sectPr>
          <w:pgSz w:w="11920" w:h="16850"/>
          <w:pgMar w:header="0" w:footer="620" w:top="1060" w:bottom="880" w:left="1380" w:right="600"/>
        </w:sectPr>
      </w:pPr>
    </w:p>
    <w:p>
      <w:pPr>
        <w:pStyle w:val="BodyText"/>
        <w:spacing w:line="276" w:lineRule="auto" w:before="78"/>
        <w:ind w:right="673"/>
      </w:pPr>
      <w:r>
        <w:rPr/>
        <w:t>реабилитации, реализация которой возможна в специализированных отделениях реанимации  для  пациентов  в  хроническом  критическом  состоянии.  Показанием    к переводу пациента в специализированное ОРИТ для пациентов в хроническом критическом состоянии (ШРМ 6) являются: окончание острого периода заболевания (стабильная клиническая и рентгенологическая картина в легких, но продолжающееся замещение витальных функций), наличие реабилитационного потенциала (заключение мультидисциплинарной бригады), возможность транспортировки пациента в другое лечебное учреждение специальным транспортом в сопровождении реаниматолога (критерии отражены во Временных методических рекомендациях Союза Реабилитологов России «Медицинская реабилитация при новой коронавирусной инфекции COVID-19»).</w:t>
      </w:r>
    </w:p>
    <w:p>
      <w:pPr>
        <w:pStyle w:val="BodyText"/>
        <w:spacing w:line="276" w:lineRule="auto" w:before="13"/>
        <w:ind w:right="673" w:firstLine="708"/>
      </w:pPr>
      <w:r>
        <w:rPr/>
        <w:t>Реабилитационные   возможности   пациента    с    перенесенной    COVID-19   и результаты лечебно-реабилитационных мероприятий необходимо оценивать не только по клинической картине и результатам инструментальных и лабораторных исследований, но и по МКФ (Международная классификация функционирования, ограничения  жизнедеятельности  и  здоровья),  которая  предусматривает  описание   и количественное определение нарушенных функций, структур, активности и участия пациента в категориях основных доменов, имеющих уникальные</w:t>
      </w:r>
      <w:r>
        <w:rPr>
          <w:spacing w:val="-2"/>
        </w:rPr>
        <w:t> </w:t>
      </w:r>
      <w:r>
        <w:rPr/>
        <w:t>коды.</w:t>
      </w:r>
    </w:p>
    <w:p>
      <w:pPr>
        <w:pStyle w:val="BodyText"/>
        <w:spacing w:line="276" w:lineRule="auto" w:before="15"/>
        <w:ind w:right="675" w:firstLine="708"/>
      </w:pPr>
      <w:r>
        <w:rPr/>
        <w:t>Реабилитационные мероприятия в специализированном ОРИТ выполняются членами мультидисциплинарной бригады во главе с лечащим врачом-анестезиологом- реаниматологом, который определяет возможность и время начала реабилитационных процедур различного уровня сложности. Действия членов мультидисциплинарной бригады   направлены   на    профилактику   полиорганных    нарушений,    связанных с</w:t>
      </w:r>
      <w:r>
        <w:rPr>
          <w:spacing w:val="-5"/>
        </w:rPr>
        <w:t> </w:t>
      </w:r>
      <w:r>
        <w:rPr/>
        <w:t>нефизиологическим</w:t>
      </w:r>
      <w:r>
        <w:rPr>
          <w:spacing w:val="-18"/>
        </w:rPr>
        <w:t> </w:t>
      </w:r>
      <w:r>
        <w:rPr/>
        <w:t>ограничением</w:t>
      </w:r>
      <w:r>
        <w:rPr>
          <w:spacing w:val="-18"/>
        </w:rPr>
        <w:t> </w:t>
      </w:r>
      <w:r>
        <w:rPr/>
        <w:t>двигательной</w:t>
      </w:r>
      <w:r>
        <w:rPr>
          <w:spacing w:val="-17"/>
        </w:rPr>
        <w:t> </w:t>
      </w:r>
      <w:r>
        <w:rPr/>
        <w:t>и</w:t>
      </w:r>
      <w:r>
        <w:rPr>
          <w:spacing w:val="-18"/>
        </w:rPr>
        <w:t> </w:t>
      </w:r>
      <w:r>
        <w:rPr/>
        <w:t>когнитивной</w:t>
      </w:r>
      <w:r>
        <w:rPr>
          <w:spacing w:val="-17"/>
        </w:rPr>
        <w:t> </w:t>
      </w:r>
      <w:r>
        <w:rPr/>
        <w:t>активности</w:t>
      </w:r>
      <w:r>
        <w:rPr>
          <w:spacing w:val="-16"/>
        </w:rPr>
        <w:t> </w:t>
      </w:r>
      <w:r>
        <w:rPr/>
        <w:t>пациента, то есть на борьбу с иммобилизационным синдромом. На первом этапе медицинской реабилитации, в ОРИТ, важно организовать проведение ранних реабилитационных мероприятий,  направленных   на   минимизацию   длительности   ИВЛ,   потребности в анальгоседации, вероятности развития делирия, полимионейропатии критических состояний и одновременно минимизировать вторичный повреждающий эффект иммобилизации в период ИВЛ, способствующей развитию синдрома последствий интенсивной терапии.</w:t>
      </w:r>
    </w:p>
    <w:p>
      <w:pPr>
        <w:pStyle w:val="BodyText"/>
        <w:spacing w:line="276" w:lineRule="auto" w:before="17"/>
        <w:ind w:right="805" w:firstLine="708"/>
      </w:pPr>
      <w:r>
        <w:rPr/>
        <w:t>Реабилитационные мероприятия в ОРИТ включают нутритивную поддержку, респираторную реабилитацию, постуральную коррекцию, раннюю пассивную мобилизацию, циклические тренировки на прикроватном велотренажере. Основная цель реабилитационной программы пациента на ИВЛ – восстановление самостоятельного</w:t>
      </w:r>
      <w:r>
        <w:rPr>
          <w:spacing w:val="-17"/>
        </w:rPr>
        <w:t> </w:t>
      </w:r>
      <w:r>
        <w:rPr/>
        <w:t>дыхания,</w:t>
      </w:r>
      <w:r>
        <w:rPr>
          <w:spacing w:val="-16"/>
        </w:rPr>
        <w:t> </w:t>
      </w:r>
      <w:r>
        <w:rPr/>
        <w:t>что</w:t>
      </w:r>
      <w:r>
        <w:rPr>
          <w:spacing w:val="-16"/>
        </w:rPr>
        <w:t> </w:t>
      </w:r>
      <w:r>
        <w:rPr/>
        <w:t>является</w:t>
      </w:r>
      <w:r>
        <w:rPr>
          <w:spacing w:val="-16"/>
        </w:rPr>
        <w:t> </w:t>
      </w:r>
      <w:r>
        <w:rPr/>
        <w:t>сложным</w:t>
      </w:r>
      <w:r>
        <w:rPr>
          <w:spacing w:val="-17"/>
        </w:rPr>
        <w:t> </w:t>
      </w:r>
      <w:r>
        <w:rPr/>
        <w:t>многоэтапным</w:t>
      </w:r>
      <w:r>
        <w:rPr>
          <w:spacing w:val="-17"/>
        </w:rPr>
        <w:t> </w:t>
      </w:r>
      <w:r>
        <w:rPr/>
        <w:t>процессом,</w:t>
      </w:r>
      <w:r>
        <w:rPr>
          <w:spacing w:val="-13"/>
        </w:rPr>
        <w:t> </w:t>
      </w:r>
      <w:r>
        <w:rPr/>
        <w:t>который требует рационального сочетания реаниматологических и реабилитационных мероприятий.</w:t>
      </w:r>
    </w:p>
    <w:p>
      <w:pPr>
        <w:pStyle w:val="BodyText"/>
        <w:spacing w:line="276" w:lineRule="auto" w:before="12"/>
        <w:ind w:right="799" w:firstLine="708"/>
      </w:pPr>
      <w:r>
        <w:rPr/>
        <w:t>Рекомендуется сосредоточить акцент в мультидисциплинарной работе на пациентов, находящихся на ИВЛ, обеспечивая им реабилитационные мероприятия на менее</w:t>
      </w:r>
      <w:r>
        <w:rPr>
          <w:spacing w:val="-9"/>
        </w:rPr>
        <w:t> </w:t>
      </w:r>
      <w:r>
        <w:rPr/>
        <w:t>2х20</w:t>
      </w:r>
      <w:r>
        <w:rPr>
          <w:spacing w:val="-7"/>
        </w:rPr>
        <w:t> </w:t>
      </w:r>
      <w:r>
        <w:rPr/>
        <w:t>минут</w:t>
      </w:r>
      <w:r>
        <w:rPr>
          <w:spacing w:val="-7"/>
        </w:rPr>
        <w:t> </w:t>
      </w:r>
      <w:r>
        <w:rPr/>
        <w:t>ежедневно.</w:t>
      </w:r>
      <w:r>
        <w:rPr>
          <w:spacing w:val="-8"/>
        </w:rPr>
        <w:t> </w:t>
      </w:r>
      <w:r>
        <w:rPr/>
        <w:t>В</w:t>
      </w:r>
      <w:r>
        <w:rPr>
          <w:spacing w:val="-9"/>
        </w:rPr>
        <w:t> </w:t>
      </w:r>
      <w:r>
        <w:rPr/>
        <w:t>целях</w:t>
      </w:r>
      <w:r>
        <w:rPr>
          <w:spacing w:val="-7"/>
        </w:rPr>
        <w:t> </w:t>
      </w:r>
      <w:r>
        <w:rPr/>
        <w:t>профилактики</w:t>
      </w:r>
      <w:r>
        <w:rPr>
          <w:spacing w:val="-9"/>
        </w:rPr>
        <w:t> </w:t>
      </w:r>
      <w:r>
        <w:rPr/>
        <w:t>постэкстубационной</w:t>
      </w:r>
      <w:r>
        <w:rPr>
          <w:spacing w:val="-7"/>
        </w:rPr>
        <w:t> </w:t>
      </w:r>
      <w:r>
        <w:rPr/>
        <w:t>дисфагии</w:t>
      </w:r>
      <w:r>
        <w:rPr>
          <w:spacing w:val="-9"/>
        </w:rPr>
        <w:t> </w:t>
      </w:r>
      <w:r>
        <w:rPr/>
        <w:t>и аспирационных соложений рекомендуется в первые 48 ч использовать для питья загущенную жидкость. В целях сохранения циркадных ритмов и профилактики делирия рекомендуется применение в ночное время глазных масок и берушей</w:t>
      </w:r>
      <w:r>
        <w:rPr>
          <w:spacing w:val="38"/>
        </w:rPr>
        <w:t> </w:t>
      </w:r>
      <w:r>
        <w:rPr/>
        <w:t>при</w:t>
      </w:r>
    </w:p>
    <w:p>
      <w:pPr>
        <w:spacing w:after="0" w:line="276" w:lineRule="auto"/>
        <w:sectPr>
          <w:pgSz w:w="11920" w:h="16850"/>
          <w:pgMar w:header="0" w:footer="620" w:top="1060" w:bottom="880" w:left="1380" w:right="600"/>
        </w:sectPr>
      </w:pPr>
    </w:p>
    <w:p>
      <w:pPr>
        <w:pStyle w:val="BodyText"/>
        <w:spacing w:line="276" w:lineRule="auto" w:before="78"/>
        <w:ind w:right="800"/>
      </w:pPr>
      <w:r>
        <w:rPr/>
        <w:t>условии обеспечения исключительно индивидуального их применения. Необходимо пациентам с COVID-19 обеспечить выполнение мероприятий по позиционированию и ранней</w:t>
      </w:r>
      <w:r>
        <w:rPr>
          <w:spacing w:val="1"/>
        </w:rPr>
        <w:t> </w:t>
      </w:r>
      <w:r>
        <w:rPr/>
        <w:t>мобилизации.</w:t>
      </w:r>
    </w:p>
    <w:p>
      <w:pPr>
        <w:pStyle w:val="BodyText"/>
        <w:spacing w:line="273" w:lineRule="auto" w:before="18"/>
        <w:ind w:right="806" w:firstLine="708"/>
      </w:pPr>
      <w:r>
        <w:rPr/>
        <w:t>Рекомендуется увеличивать антигравитационное позиционирование, пока пациент не сможет выдержать вертикальное положение.</w:t>
      </w:r>
    </w:p>
    <w:p>
      <w:pPr>
        <w:spacing w:line="278" w:lineRule="auto" w:before="16"/>
        <w:ind w:left="321" w:right="804" w:firstLine="708"/>
        <w:jc w:val="both"/>
        <w:rPr>
          <w:i/>
          <w:sz w:val="24"/>
        </w:rPr>
      </w:pPr>
      <w:r>
        <w:rPr>
          <w:b/>
          <w:i/>
          <w:sz w:val="24"/>
        </w:rPr>
        <w:t>Комментарий.</w:t>
      </w:r>
      <w:r>
        <w:rPr>
          <w:b/>
          <w:i/>
          <w:spacing w:val="-7"/>
          <w:sz w:val="24"/>
        </w:rPr>
        <w:t> </w:t>
      </w:r>
      <w:r>
        <w:rPr>
          <w:i/>
          <w:sz w:val="24"/>
        </w:rPr>
        <w:t>Позиционирование</w:t>
      </w:r>
      <w:r>
        <w:rPr>
          <w:i/>
          <w:spacing w:val="-7"/>
          <w:sz w:val="24"/>
        </w:rPr>
        <w:t> </w:t>
      </w:r>
      <w:r>
        <w:rPr>
          <w:i/>
          <w:sz w:val="24"/>
        </w:rPr>
        <w:t>на</w:t>
      </w:r>
      <w:r>
        <w:rPr>
          <w:i/>
          <w:spacing w:val="-6"/>
          <w:sz w:val="24"/>
        </w:rPr>
        <w:t> </w:t>
      </w:r>
      <w:r>
        <w:rPr>
          <w:i/>
          <w:sz w:val="24"/>
        </w:rPr>
        <w:t>боку</w:t>
      </w:r>
      <w:r>
        <w:rPr>
          <w:i/>
          <w:spacing w:val="-5"/>
          <w:sz w:val="24"/>
        </w:rPr>
        <w:t> </w:t>
      </w:r>
      <w:r>
        <w:rPr>
          <w:i/>
          <w:sz w:val="24"/>
        </w:rPr>
        <w:t>при</w:t>
      </w:r>
      <w:r>
        <w:rPr>
          <w:i/>
          <w:spacing w:val="-4"/>
          <w:sz w:val="24"/>
        </w:rPr>
        <w:t> </w:t>
      </w:r>
      <w:r>
        <w:rPr>
          <w:i/>
          <w:sz w:val="24"/>
        </w:rPr>
        <w:t>ИВЛ</w:t>
      </w:r>
      <w:r>
        <w:rPr>
          <w:i/>
          <w:spacing w:val="-6"/>
          <w:sz w:val="24"/>
        </w:rPr>
        <w:t> </w:t>
      </w:r>
      <w:r>
        <w:rPr>
          <w:i/>
          <w:sz w:val="24"/>
        </w:rPr>
        <w:t>у</w:t>
      </w:r>
      <w:r>
        <w:rPr>
          <w:i/>
          <w:spacing w:val="-7"/>
          <w:sz w:val="24"/>
        </w:rPr>
        <w:t> </w:t>
      </w:r>
      <w:r>
        <w:rPr>
          <w:i/>
          <w:sz w:val="24"/>
        </w:rPr>
        <w:t>пациентов</w:t>
      </w:r>
      <w:r>
        <w:rPr>
          <w:i/>
          <w:spacing w:val="-5"/>
          <w:sz w:val="24"/>
        </w:rPr>
        <w:t> </w:t>
      </w:r>
      <w:r>
        <w:rPr>
          <w:i/>
          <w:sz w:val="24"/>
        </w:rPr>
        <w:t>без</w:t>
      </w:r>
      <w:r>
        <w:rPr>
          <w:i/>
          <w:spacing w:val="-4"/>
          <w:sz w:val="24"/>
        </w:rPr>
        <w:t> </w:t>
      </w:r>
      <w:r>
        <w:rPr>
          <w:i/>
          <w:sz w:val="24"/>
        </w:rPr>
        <w:t>легочного </w:t>
      </w:r>
      <w:r>
        <w:rPr>
          <w:i/>
          <w:sz w:val="24"/>
        </w:rPr>
        <w:t>повреждения не предотвращает развитие легочных</w:t>
      </w:r>
      <w:r>
        <w:rPr>
          <w:i/>
          <w:spacing w:val="-7"/>
          <w:sz w:val="24"/>
        </w:rPr>
        <w:t> </w:t>
      </w:r>
      <w:r>
        <w:rPr>
          <w:i/>
          <w:sz w:val="24"/>
        </w:rPr>
        <w:t>осложнений.</w:t>
      </w:r>
    </w:p>
    <w:p>
      <w:pPr>
        <w:pStyle w:val="BodyText"/>
        <w:spacing w:line="276" w:lineRule="auto" w:before="12"/>
        <w:ind w:right="806" w:firstLine="708"/>
      </w:pPr>
      <w:r>
        <w:rPr/>
        <w:t>Рекомендуется минимизировать  использование позиционирования на спине  с опущенным   головным   концом    (flat-позиция)   и    положение   Тренделенбурга и использовать их исключительно при процедурах ухода из-за нежелательных гемодинамических эффектов и ухудшения</w:t>
      </w:r>
      <w:r>
        <w:rPr>
          <w:spacing w:val="3"/>
        </w:rPr>
        <w:t> </w:t>
      </w:r>
      <w:r>
        <w:rPr/>
        <w:t>газообмена.</w:t>
      </w:r>
    </w:p>
    <w:p>
      <w:pPr>
        <w:pStyle w:val="BodyText"/>
        <w:spacing w:line="276" w:lineRule="auto" w:before="13"/>
        <w:ind w:right="805" w:firstLine="708"/>
      </w:pPr>
      <w:r>
        <w:rPr/>
        <w:t>Пациентам на  спонтанном  дыхании,  по  возможности,  следует  стремиться  к максимально длительному пребыванию пациента на уровне гравитационного градиента. Ортостатические процедуры следует проводить 3 раза в день по 30 минут. Продолжительность</w:t>
      </w:r>
      <w:r>
        <w:rPr>
          <w:spacing w:val="-13"/>
        </w:rPr>
        <w:t> </w:t>
      </w:r>
      <w:r>
        <w:rPr/>
        <w:t>процедуры</w:t>
      </w:r>
      <w:r>
        <w:rPr>
          <w:spacing w:val="-14"/>
        </w:rPr>
        <w:t> </w:t>
      </w:r>
      <w:r>
        <w:rPr/>
        <w:t>зависит</w:t>
      </w:r>
      <w:r>
        <w:rPr>
          <w:spacing w:val="-13"/>
        </w:rPr>
        <w:t> </w:t>
      </w:r>
      <w:r>
        <w:rPr/>
        <w:t>от</w:t>
      </w:r>
      <w:r>
        <w:rPr>
          <w:spacing w:val="-13"/>
        </w:rPr>
        <w:t> </w:t>
      </w:r>
      <w:r>
        <w:rPr/>
        <w:t>переносимости,</w:t>
      </w:r>
      <w:r>
        <w:rPr>
          <w:spacing w:val="-13"/>
        </w:rPr>
        <w:t> </w:t>
      </w:r>
      <w:r>
        <w:rPr/>
        <w:t>но</w:t>
      </w:r>
      <w:r>
        <w:rPr>
          <w:spacing w:val="-13"/>
        </w:rPr>
        <w:t> </w:t>
      </w:r>
      <w:r>
        <w:rPr/>
        <w:t>не</w:t>
      </w:r>
      <w:r>
        <w:rPr>
          <w:spacing w:val="-13"/>
        </w:rPr>
        <w:t> </w:t>
      </w:r>
      <w:r>
        <w:rPr/>
        <w:t>более</w:t>
      </w:r>
      <w:r>
        <w:rPr>
          <w:spacing w:val="-14"/>
        </w:rPr>
        <w:t> </w:t>
      </w:r>
      <w:r>
        <w:rPr/>
        <w:t>15</w:t>
      </w:r>
      <w:r>
        <w:rPr>
          <w:spacing w:val="-13"/>
        </w:rPr>
        <w:t> </w:t>
      </w:r>
      <w:r>
        <w:rPr/>
        <w:t>мин.</w:t>
      </w:r>
      <w:r>
        <w:rPr>
          <w:spacing w:val="-13"/>
        </w:rPr>
        <w:t> </w:t>
      </w:r>
      <w:r>
        <w:rPr/>
        <w:t>Голова должна быть в положении по средней линии для предотвращения затруднения венозного оттока и вторичного повышения внутричерепного и внутриглазного давления.</w:t>
      </w:r>
    </w:p>
    <w:p>
      <w:pPr>
        <w:pStyle w:val="BodyText"/>
        <w:spacing w:line="276" w:lineRule="auto" w:before="15"/>
        <w:ind w:right="804" w:firstLine="708"/>
      </w:pPr>
      <w:r>
        <w:rPr/>
        <w:t>Контактные пациенты должны научиться наклоняться в положение, которое позволяет силе тяжести помочь в дренировании секрета из долей или сегментов легких.</w:t>
      </w:r>
    </w:p>
    <w:p>
      <w:pPr>
        <w:pStyle w:val="BodyText"/>
        <w:spacing w:line="276" w:lineRule="auto" w:before="12"/>
        <w:ind w:right="803" w:firstLine="708"/>
      </w:pPr>
      <w:r>
        <w:rPr/>
        <w:t>Для  профилактики,  лечения   полинейромиопатии   критических   состояний и восстановления самостоятельного дыхания при ИВЛ более 72 ч показаны ежедневные мероприятия медицинской реабилитации продолжительностью не менее 30 минут (см.</w:t>
      </w:r>
      <w:r>
        <w:rPr>
          <w:spacing w:val="-1"/>
        </w:rPr>
        <w:t> </w:t>
      </w:r>
      <w:r>
        <w:rPr/>
        <w:t>ранее).</w:t>
      </w:r>
    </w:p>
    <w:p>
      <w:pPr>
        <w:spacing w:line="276" w:lineRule="auto" w:before="17"/>
        <w:ind w:left="321" w:right="803" w:firstLine="708"/>
        <w:jc w:val="both"/>
        <w:rPr>
          <w:i/>
          <w:sz w:val="24"/>
        </w:rPr>
      </w:pPr>
      <w:r>
        <w:rPr>
          <w:b/>
          <w:i/>
          <w:sz w:val="24"/>
        </w:rPr>
        <w:t>Рекомендации. </w:t>
      </w:r>
      <w:r>
        <w:rPr>
          <w:i/>
          <w:sz w:val="24"/>
        </w:rPr>
        <w:t>Отчетливая связь между полинейромиопатией критических </w:t>
      </w:r>
      <w:r>
        <w:rPr>
          <w:i/>
          <w:sz w:val="24"/>
        </w:rPr>
        <w:t>состояний и длительностью иммобилизации установлена при остром легочном повреждении. Максимальный эффект в виде снижения длительности ИВЛ был достигнут у пациентов, которые получали не менее 30 минут ежедневных занятий. Занятия менее 20 минут у пациентов на ИВЛ и менее чем 2 раза в день пользы не приносят.</w:t>
      </w:r>
    </w:p>
    <w:p>
      <w:pPr>
        <w:pStyle w:val="BodyText"/>
        <w:spacing w:line="276" w:lineRule="auto" w:before="14"/>
        <w:ind w:right="803" w:firstLine="708"/>
      </w:pPr>
      <w:r>
        <w:rPr/>
        <w:t>Пассивная мобилизация для неконтактных пациентов представляет собой пассивные движения во всех  суставах.  В каждом сегменте достаточно 30 повторов  1 раз в 2 ч. Активная мобилизация для контактных пациентов предполагает бесконтактное взаимодействие с 1-2 пациентами, направленное на инструктирование их</w:t>
      </w:r>
      <w:r>
        <w:rPr>
          <w:spacing w:val="-5"/>
        </w:rPr>
        <w:t> </w:t>
      </w:r>
      <w:r>
        <w:rPr/>
        <w:t>по</w:t>
      </w:r>
      <w:r>
        <w:rPr>
          <w:spacing w:val="-5"/>
        </w:rPr>
        <w:t> </w:t>
      </w:r>
      <w:r>
        <w:rPr/>
        <w:t>выполнение</w:t>
      </w:r>
      <w:r>
        <w:rPr>
          <w:spacing w:val="-6"/>
        </w:rPr>
        <w:t> </w:t>
      </w:r>
      <w:r>
        <w:rPr/>
        <w:t>самостоятельных</w:t>
      </w:r>
      <w:r>
        <w:rPr>
          <w:spacing w:val="-2"/>
        </w:rPr>
        <w:t> </w:t>
      </w:r>
      <w:r>
        <w:rPr/>
        <w:t>движений</w:t>
      </w:r>
      <w:r>
        <w:rPr>
          <w:spacing w:val="-6"/>
        </w:rPr>
        <w:t> </w:t>
      </w:r>
      <w:r>
        <w:rPr/>
        <w:t>во</w:t>
      </w:r>
      <w:r>
        <w:rPr>
          <w:spacing w:val="-4"/>
        </w:rPr>
        <w:t> </w:t>
      </w:r>
      <w:r>
        <w:rPr/>
        <w:t>всех</w:t>
      </w:r>
      <w:r>
        <w:rPr>
          <w:spacing w:val="-2"/>
        </w:rPr>
        <w:t> </w:t>
      </w:r>
      <w:r>
        <w:rPr/>
        <w:t>суставах</w:t>
      </w:r>
      <w:r>
        <w:rPr>
          <w:spacing w:val="-2"/>
        </w:rPr>
        <w:t> </w:t>
      </w:r>
      <w:r>
        <w:rPr/>
        <w:t>в</w:t>
      </w:r>
      <w:r>
        <w:rPr>
          <w:spacing w:val="-5"/>
        </w:rPr>
        <w:t> </w:t>
      </w:r>
      <w:r>
        <w:rPr/>
        <w:t>режиме</w:t>
      </w:r>
      <w:r>
        <w:rPr>
          <w:spacing w:val="-6"/>
        </w:rPr>
        <w:t> </w:t>
      </w:r>
      <w:r>
        <w:rPr/>
        <w:t>10</w:t>
      </w:r>
      <w:r>
        <w:rPr>
          <w:spacing w:val="-5"/>
        </w:rPr>
        <w:t> </w:t>
      </w:r>
      <w:r>
        <w:rPr/>
        <w:t>повторов 1 раз в 2 ч условиях ОРИТ не следует проводить специальные приемы мобилизации, которые    могут    спровоцировать    кашель    и     отделение    слизи     у    пациента с коронавирусной</w:t>
      </w:r>
      <w:r>
        <w:rPr>
          <w:spacing w:val="-1"/>
        </w:rPr>
        <w:t> </w:t>
      </w:r>
      <w:r>
        <w:rPr/>
        <w:t>пневмонией.</w:t>
      </w:r>
    </w:p>
    <w:p>
      <w:pPr>
        <w:pStyle w:val="BodyText"/>
        <w:spacing w:line="276" w:lineRule="auto" w:before="12"/>
        <w:ind w:right="806" w:firstLine="708"/>
      </w:pPr>
      <w:r>
        <w:rPr/>
        <w:t>Процедуры, направленные на снижение одышки, улучшение трахеобронхиального клиренса, тренировку скелетных мышц и поддержание уровня самообслуживания, в ОРИТ противопоказаны, так как они могут способствовать повышению риска развития ОРДС.</w:t>
      </w:r>
    </w:p>
    <w:p>
      <w:pPr>
        <w:spacing w:after="0" w:line="276" w:lineRule="auto"/>
        <w:sectPr>
          <w:pgSz w:w="11920" w:h="16850"/>
          <w:pgMar w:header="0" w:footer="620" w:top="1060" w:bottom="880" w:left="1380" w:right="600"/>
        </w:sectPr>
      </w:pPr>
    </w:p>
    <w:p>
      <w:pPr>
        <w:pStyle w:val="BodyText"/>
        <w:spacing w:line="276" w:lineRule="auto" w:before="78"/>
        <w:ind w:right="804" w:firstLine="708"/>
      </w:pPr>
      <w:r>
        <w:rPr/>
        <w:t>Рекомендуется применять избирательную тренировку основных, вспомогательных и дополнительных мышц вдоха (в том числе специальные статические и динамические дыхательные упражнения).</w:t>
      </w:r>
    </w:p>
    <w:p>
      <w:pPr>
        <w:pStyle w:val="BodyText"/>
        <w:spacing w:line="276" w:lineRule="auto" w:before="15"/>
        <w:ind w:right="805" w:firstLine="708"/>
      </w:pPr>
      <w:r>
        <w:rPr/>
        <w:t>В</w:t>
      </w:r>
      <w:r>
        <w:rPr>
          <w:spacing w:val="-15"/>
        </w:rPr>
        <w:t> </w:t>
      </w:r>
      <w:r>
        <w:rPr/>
        <w:t>период</w:t>
      </w:r>
      <w:r>
        <w:rPr>
          <w:spacing w:val="-12"/>
        </w:rPr>
        <w:t> </w:t>
      </w:r>
      <w:r>
        <w:rPr/>
        <w:t>перевода</w:t>
      </w:r>
      <w:r>
        <w:rPr>
          <w:spacing w:val="-12"/>
        </w:rPr>
        <w:t> </w:t>
      </w:r>
      <w:r>
        <w:rPr/>
        <w:t>пациента</w:t>
      </w:r>
      <w:r>
        <w:rPr>
          <w:spacing w:val="-13"/>
        </w:rPr>
        <w:t> </w:t>
      </w:r>
      <w:r>
        <w:rPr/>
        <w:t>на</w:t>
      </w:r>
      <w:r>
        <w:rPr>
          <w:spacing w:val="-14"/>
        </w:rPr>
        <w:t> </w:t>
      </w:r>
      <w:r>
        <w:rPr/>
        <w:t>самостоятельное</w:t>
      </w:r>
      <w:r>
        <w:rPr>
          <w:spacing w:val="-13"/>
        </w:rPr>
        <w:t> </w:t>
      </w:r>
      <w:r>
        <w:rPr/>
        <w:t>дыхание</w:t>
      </w:r>
      <w:r>
        <w:rPr>
          <w:spacing w:val="-14"/>
        </w:rPr>
        <w:t> </w:t>
      </w:r>
      <w:r>
        <w:rPr/>
        <w:t>или</w:t>
      </w:r>
      <w:r>
        <w:rPr>
          <w:spacing w:val="-11"/>
        </w:rPr>
        <w:t> </w:t>
      </w:r>
      <w:r>
        <w:rPr/>
        <w:t>непосредственно после него можно использовать  выдох  с применением положительного давления.   У пациентов с затрудненным отлучением от ИВЛ может применяться электростимуляция диафрагмы и межреберных мышц при условии строго выполнения требований санитарной обработки используемого оборудования после каждого применения.</w:t>
      </w:r>
    </w:p>
    <w:p>
      <w:pPr>
        <w:pStyle w:val="BodyText"/>
        <w:tabs>
          <w:tab w:pos="1730" w:val="left" w:leader="none"/>
          <w:tab w:pos="3623" w:val="left" w:leader="none"/>
          <w:tab w:pos="4129" w:val="left" w:leader="none"/>
          <w:tab w:pos="5572" w:val="left" w:leader="none"/>
          <w:tab w:pos="7487" w:val="left" w:leader="none"/>
          <w:tab w:pos="8286" w:val="left" w:leader="none"/>
        </w:tabs>
        <w:spacing w:line="278" w:lineRule="auto" w:before="13"/>
        <w:ind w:right="805" w:firstLine="708"/>
        <w:jc w:val="right"/>
        <w:rPr>
          <w:i/>
        </w:rPr>
      </w:pPr>
      <w:r>
        <w:rPr/>
        <w:t>Следует</w:t>
      </w:r>
      <w:r>
        <w:rPr>
          <w:spacing w:val="-8"/>
        </w:rPr>
        <w:t> </w:t>
      </w:r>
      <w:r>
        <w:rPr/>
        <w:t>иметь</w:t>
      </w:r>
      <w:r>
        <w:rPr>
          <w:spacing w:val="-9"/>
        </w:rPr>
        <w:t> </w:t>
      </w:r>
      <w:r>
        <w:rPr/>
        <w:t>в</w:t>
      </w:r>
      <w:r>
        <w:rPr>
          <w:spacing w:val="-8"/>
        </w:rPr>
        <w:t> </w:t>
      </w:r>
      <w:r>
        <w:rPr/>
        <w:t>виду,</w:t>
      </w:r>
      <w:r>
        <w:rPr>
          <w:spacing w:val="-9"/>
        </w:rPr>
        <w:t> </w:t>
      </w:r>
      <w:r>
        <w:rPr/>
        <w:t>что</w:t>
      </w:r>
      <w:r>
        <w:rPr>
          <w:spacing w:val="-9"/>
        </w:rPr>
        <w:t> </w:t>
      </w:r>
      <w:r>
        <w:rPr/>
        <w:t>аэрозоль-образующие</w:t>
      </w:r>
      <w:r>
        <w:rPr>
          <w:spacing w:val="-10"/>
        </w:rPr>
        <w:t> </w:t>
      </w:r>
      <w:r>
        <w:rPr/>
        <w:t>процедуры</w:t>
      </w:r>
      <w:r>
        <w:rPr>
          <w:spacing w:val="-7"/>
        </w:rPr>
        <w:t> </w:t>
      </w:r>
      <w:r>
        <w:rPr/>
        <w:t>могут</w:t>
      </w:r>
      <w:r>
        <w:rPr>
          <w:spacing w:val="-8"/>
        </w:rPr>
        <w:t> </w:t>
      </w:r>
      <w:r>
        <w:rPr/>
        <w:t>нести</w:t>
      </w:r>
      <w:r>
        <w:rPr>
          <w:spacing w:val="-8"/>
        </w:rPr>
        <w:t> </w:t>
      </w:r>
      <w:r>
        <w:rPr/>
        <w:t>в</w:t>
      </w:r>
      <w:r>
        <w:rPr>
          <w:spacing w:val="-9"/>
        </w:rPr>
        <w:t> </w:t>
      </w:r>
      <w:r>
        <w:rPr/>
        <w:t>себе опасность</w:t>
        <w:tab/>
        <w:t>бактериальной</w:t>
        <w:tab/>
        <w:t>и</w:t>
        <w:tab/>
        <w:t>грибковой</w:t>
        <w:tab/>
        <w:t>контаминации.</w:t>
        <w:tab/>
        <w:t>При</w:t>
        <w:tab/>
      </w:r>
      <w:r>
        <w:rPr>
          <w:spacing w:val="-3"/>
        </w:rPr>
        <w:t>санации </w:t>
      </w:r>
      <w:r>
        <w:rPr/>
        <w:t>трахеобронхиального дерева рекомендуется использовать</w:t>
      </w:r>
      <w:r>
        <w:rPr>
          <w:spacing w:val="49"/>
        </w:rPr>
        <w:t> </w:t>
      </w:r>
      <w:r>
        <w:rPr/>
        <w:t>закрытые</w:t>
      </w:r>
      <w:r>
        <w:rPr>
          <w:spacing w:val="25"/>
        </w:rPr>
        <w:t> </w:t>
      </w:r>
      <w:r>
        <w:rPr/>
        <w:t>аспирационные системы</w:t>
      </w:r>
      <w:r>
        <w:rPr>
          <w:spacing w:val="26"/>
        </w:rPr>
        <w:t> </w:t>
      </w:r>
      <w:r>
        <w:rPr/>
        <w:t>во</w:t>
      </w:r>
      <w:r>
        <w:rPr>
          <w:spacing w:val="26"/>
        </w:rPr>
        <w:t> </w:t>
      </w:r>
      <w:r>
        <w:rPr/>
        <w:t>избежание</w:t>
      </w:r>
      <w:r>
        <w:rPr>
          <w:spacing w:val="26"/>
        </w:rPr>
        <w:t> </w:t>
      </w:r>
      <w:r>
        <w:rPr/>
        <w:t>непредвиденной</w:t>
      </w:r>
      <w:r>
        <w:rPr>
          <w:spacing w:val="25"/>
        </w:rPr>
        <w:t> </w:t>
      </w:r>
      <w:r>
        <w:rPr/>
        <w:t>контаминации,</w:t>
      </w:r>
      <w:r>
        <w:rPr>
          <w:spacing w:val="27"/>
        </w:rPr>
        <w:t> </w:t>
      </w:r>
      <w:r>
        <w:rPr/>
        <w:t>в</w:t>
      </w:r>
      <w:r>
        <w:rPr>
          <w:spacing w:val="26"/>
        </w:rPr>
        <w:t> </w:t>
      </w:r>
      <w:r>
        <w:rPr/>
        <w:t>т.ч.</w:t>
      </w:r>
      <w:r>
        <w:rPr>
          <w:spacing w:val="27"/>
        </w:rPr>
        <w:t> </w:t>
      </w:r>
      <w:r>
        <w:rPr/>
        <w:t>нозокомиальными возбудителями</w:t>
      </w:r>
      <w:r>
        <w:rPr>
          <w:spacing w:val="31"/>
        </w:rPr>
        <w:t> </w:t>
      </w:r>
      <w:r>
        <w:rPr/>
        <w:t>других</w:t>
      </w:r>
      <w:r>
        <w:rPr>
          <w:spacing w:val="33"/>
        </w:rPr>
        <w:t> </w:t>
      </w:r>
      <w:r>
        <w:rPr/>
        <w:t>стационаров.</w:t>
      </w:r>
      <w:r>
        <w:rPr>
          <w:spacing w:val="31"/>
        </w:rPr>
        <w:t> </w:t>
      </w:r>
      <w:r>
        <w:rPr/>
        <w:t>Не</w:t>
      </w:r>
      <w:r>
        <w:rPr>
          <w:spacing w:val="29"/>
        </w:rPr>
        <w:t> </w:t>
      </w:r>
      <w:r>
        <w:rPr/>
        <w:t>рекомендуются</w:t>
      </w:r>
      <w:r>
        <w:rPr>
          <w:spacing w:val="31"/>
        </w:rPr>
        <w:t> </w:t>
      </w:r>
      <w:r>
        <w:rPr/>
        <w:t>использование</w:t>
      </w:r>
      <w:r>
        <w:rPr>
          <w:spacing w:val="30"/>
        </w:rPr>
        <w:t> </w:t>
      </w:r>
      <w:r>
        <w:rPr/>
        <w:t>в</w:t>
      </w:r>
      <w:r>
        <w:rPr>
          <w:spacing w:val="31"/>
        </w:rPr>
        <w:t> </w:t>
      </w:r>
      <w:r>
        <w:rPr/>
        <w:t>ОРИТ ингаляции солевых растворов через небулайзер,</w:t>
      </w:r>
      <w:r>
        <w:rPr>
          <w:spacing w:val="15"/>
        </w:rPr>
        <w:t> </w:t>
      </w:r>
      <w:r>
        <w:rPr/>
        <w:t>специальное</w:t>
      </w:r>
      <w:r>
        <w:rPr>
          <w:spacing w:val="1"/>
        </w:rPr>
        <w:t> </w:t>
      </w:r>
      <w:r>
        <w:rPr/>
        <w:t>стимулирование</w:t>
      </w:r>
      <w:r>
        <w:rPr>
          <w:spacing w:val="1"/>
        </w:rPr>
        <w:t> </w:t>
      </w:r>
      <w:r>
        <w:rPr/>
        <w:t>выделения</w:t>
      </w:r>
      <w:r>
        <w:rPr>
          <w:spacing w:val="-18"/>
        </w:rPr>
        <w:t> </w:t>
      </w:r>
      <w:r>
        <w:rPr/>
        <w:t>мокроты,</w:t>
      </w:r>
      <w:r>
        <w:rPr>
          <w:spacing w:val="-17"/>
        </w:rPr>
        <w:t> </w:t>
      </w:r>
      <w:r>
        <w:rPr/>
        <w:t>применение</w:t>
      </w:r>
      <w:r>
        <w:rPr>
          <w:spacing w:val="-19"/>
        </w:rPr>
        <w:t> </w:t>
      </w:r>
      <w:r>
        <w:rPr/>
        <w:t>разговорных</w:t>
      </w:r>
      <w:r>
        <w:rPr>
          <w:spacing w:val="-17"/>
        </w:rPr>
        <w:t> </w:t>
      </w:r>
      <w:r>
        <w:rPr/>
        <w:t>клапанов,</w:t>
      </w:r>
      <w:r>
        <w:rPr>
          <w:spacing w:val="-18"/>
        </w:rPr>
        <w:t> </w:t>
      </w:r>
      <w:r>
        <w:rPr/>
        <w:t>процедур</w:t>
      </w:r>
      <w:r>
        <w:rPr>
          <w:spacing w:val="-17"/>
        </w:rPr>
        <w:t> </w:t>
      </w:r>
      <w:r>
        <w:rPr/>
        <w:t>по</w:t>
      </w:r>
      <w:r>
        <w:rPr>
          <w:spacing w:val="-17"/>
        </w:rPr>
        <w:t> </w:t>
      </w:r>
      <w:r>
        <w:rPr/>
        <w:t>восстановлению речи</w:t>
      </w:r>
      <w:r>
        <w:rPr>
          <w:spacing w:val="-13"/>
        </w:rPr>
        <w:t> </w:t>
      </w:r>
      <w:r>
        <w:rPr/>
        <w:t>до</w:t>
      </w:r>
      <w:r>
        <w:rPr>
          <w:spacing w:val="-14"/>
        </w:rPr>
        <w:t> </w:t>
      </w:r>
      <w:r>
        <w:rPr/>
        <w:t>полного</w:t>
      </w:r>
      <w:r>
        <w:rPr>
          <w:spacing w:val="-16"/>
        </w:rPr>
        <w:t> </w:t>
      </w:r>
      <w:r>
        <w:rPr/>
        <w:t>купирования</w:t>
      </w:r>
      <w:r>
        <w:rPr>
          <w:spacing w:val="-15"/>
        </w:rPr>
        <w:t> </w:t>
      </w:r>
      <w:r>
        <w:rPr/>
        <w:t>острой</w:t>
      </w:r>
      <w:r>
        <w:rPr>
          <w:spacing w:val="-15"/>
        </w:rPr>
        <w:t> </w:t>
      </w:r>
      <w:r>
        <w:rPr/>
        <w:t>инфекции</w:t>
      </w:r>
      <w:r>
        <w:rPr>
          <w:spacing w:val="-15"/>
        </w:rPr>
        <w:t> </w:t>
      </w:r>
      <w:r>
        <w:rPr/>
        <w:t>и</w:t>
      </w:r>
      <w:r>
        <w:rPr>
          <w:spacing w:val="-13"/>
        </w:rPr>
        <w:t> </w:t>
      </w:r>
      <w:r>
        <w:rPr/>
        <w:t>снижения</w:t>
      </w:r>
      <w:r>
        <w:rPr>
          <w:spacing w:val="-15"/>
        </w:rPr>
        <w:t> </w:t>
      </w:r>
      <w:r>
        <w:rPr/>
        <w:t>риска</w:t>
      </w:r>
      <w:r>
        <w:rPr>
          <w:spacing w:val="-17"/>
        </w:rPr>
        <w:t> </w:t>
      </w:r>
      <w:r>
        <w:rPr/>
        <w:t>передачи</w:t>
      </w:r>
      <w:r>
        <w:rPr>
          <w:spacing w:val="-12"/>
        </w:rPr>
        <w:t> </w:t>
      </w:r>
      <w:r>
        <w:rPr/>
        <w:t>инфекции.</w:t>
      </w:r>
      <w:r>
        <w:rPr>
          <w:spacing w:val="1"/>
        </w:rPr>
        <w:t> </w:t>
      </w:r>
      <w:r>
        <w:rPr>
          <w:b/>
          <w:i/>
        </w:rPr>
        <w:t>Комментарии: </w:t>
      </w:r>
      <w:r>
        <w:rPr>
          <w:i/>
        </w:rPr>
        <w:t>к аэрозоль-образующим процедурам</w:t>
      </w:r>
      <w:r>
        <w:rPr>
          <w:i/>
          <w:spacing w:val="11"/>
        </w:rPr>
        <w:t> </w:t>
      </w:r>
      <w:r>
        <w:rPr>
          <w:i/>
        </w:rPr>
        <w:t>относятся</w:t>
      </w:r>
      <w:r>
        <w:rPr>
          <w:i/>
          <w:spacing w:val="3"/>
        </w:rPr>
        <w:t> </w:t>
      </w:r>
      <w:r>
        <w:rPr>
          <w:i/>
        </w:rPr>
        <w:t>процедуры</w:t>
      </w:r>
      <w:r>
        <w:rPr>
          <w:i/>
        </w:rPr>
        <w:t> респираторного</w:t>
      </w:r>
      <w:r>
        <w:rPr>
          <w:i/>
          <w:spacing w:val="22"/>
        </w:rPr>
        <w:t> </w:t>
      </w:r>
      <w:r>
        <w:rPr>
          <w:i/>
        </w:rPr>
        <w:t>ухода</w:t>
      </w:r>
      <w:r>
        <w:rPr>
          <w:i/>
          <w:spacing w:val="23"/>
        </w:rPr>
        <w:t> </w:t>
      </w:r>
      <w:r>
        <w:rPr>
          <w:i/>
        </w:rPr>
        <w:t>и</w:t>
      </w:r>
      <w:r>
        <w:rPr>
          <w:i/>
          <w:spacing w:val="22"/>
        </w:rPr>
        <w:t> </w:t>
      </w:r>
      <w:r>
        <w:rPr>
          <w:i/>
        </w:rPr>
        <w:t>реабилитации,</w:t>
      </w:r>
      <w:r>
        <w:rPr>
          <w:i/>
          <w:spacing w:val="25"/>
        </w:rPr>
        <w:t> </w:t>
      </w:r>
      <w:r>
        <w:rPr>
          <w:i/>
        </w:rPr>
        <w:t>вызывающие</w:t>
      </w:r>
      <w:r>
        <w:rPr>
          <w:i/>
          <w:spacing w:val="21"/>
        </w:rPr>
        <w:t> </w:t>
      </w:r>
      <w:r>
        <w:rPr>
          <w:i/>
        </w:rPr>
        <w:t>кашель,</w:t>
      </w:r>
      <w:r>
        <w:rPr>
          <w:i/>
          <w:spacing w:val="23"/>
        </w:rPr>
        <w:t> </w:t>
      </w:r>
      <w:r>
        <w:rPr>
          <w:i/>
        </w:rPr>
        <w:t>например,</w:t>
      </w:r>
      <w:r>
        <w:rPr>
          <w:i/>
          <w:spacing w:val="23"/>
        </w:rPr>
        <w:t> </w:t>
      </w:r>
      <w:r>
        <w:rPr>
          <w:i/>
        </w:rPr>
        <w:t>кашель</w:t>
      </w:r>
    </w:p>
    <w:p>
      <w:pPr>
        <w:spacing w:line="262" w:lineRule="exact" w:before="0"/>
        <w:ind w:left="321" w:right="0" w:firstLine="0"/>
        <w:jc w:val="left"/>
        <w:rPr>
          <w:i/>
          <w:sz w:val="24"/>
        </w:rPr>
      </w:pPr>
      <w:r>
        <w:rPr>
          <w:i/>
          <w:sz w:val="24"/>
        </w:rPr>
        <w:t>во время манипуляции или хаффинга (вибрации грудной клетки на выдохе).</w:t>
      </w:r>
    </w:p>
    <w:p>
      <w:pPr>
        <w:pStyle w:val="BodyText"/>
        <w:spacing w:before="9"/>
        <w:ind w:left="0"/>
        <w:jc w:val="left"/>
        <w:rPr>
          <w:i/>
          <w:sz w:val="33"/>
        </w:rPr>
      </w:pPr>
    </w:p>
    <w:p>
      <w:pPr>
        <w:pStyle w:val="ListParagraph"/>
        <w:numPr>
          <w:ilvl w:val="2"/>
          <w:numId w:val="24"/>
        </w:numPr>
        <w:tabs>
          <w:tab w:pos="1424" w:val="left" w:leader="none"/>
        </w:tabs>
        <w:spacing w:line="273" w:lineRule="auto" w:before="0" w:after="0"/>
        <w:ind w:left="1423" w:right="805" w:hanging="360"/>
        <w:jc w:val="both"/>
        <w:rPr>
          <w:i/>
          <w:sz w:val="24"/>
        </w:rPr>
      </w:pPr>
      <w:r>
        <w:rPr>
          <w:i/>
          <w:sz w:val="24"/>
        </w:rPr>
        <w:t>Техники позиционирования / гравитационного дренажа и мануальные </w:t>
      </w:r>
      <w:r>
        <w:rPr>
          <w:i/>
          <w:sz w:val="24"/>
        </w:rPr>
        <w:t>техники (например, вибрация при выдохе, перкуссия, мануально- ассистированный кашель), которые могут вызвать кашель и отделение мокроты.</w:t>
      </w:r>
    </w:p>
    <w:p>
      <w:pPr>
        <w:pStyle w:val="ListParagraph"/>
        <w:numPr>
          <w:ilvl w:val="2"/>
          <w:numId w:val="24"/>
        </w:numPr>
        <w:tabs>
          <w:tab w:pos="1424" w:val="left" w:leader="none"/>
        </w:tabs>
        <w:spacing w:line="273" w:lineRule="auto" w:before="8" w:after="0"/>
        <w:ind w:left="1423" w:right="806" w:hanging="360"/>
        <w:jc w:val="both"/>
        <w:rPr>
          <w:i/>
          <w:sz w:val="24"/>
        </w:rPr>
      </w:pPr>
      <w:r>
        <w:rPr>
          <w:i/>
          <w:sz w:val="24"/>
        </w:rPr>
        <w:t>Использование устройств для прерывистого искусственного дыхания под </w:t>
      </w:r>
      <w:r>
        <w:rPr>
          <w:i/>
          <w:sz w:val="24"/>
        </w:rPr>
        <w:t>давлением (например, IPPB), механических инсуффляционно‑ экссуффляционных устройств (MI-E), устройств с высокочастотными интра/экстрапульмональными</w:t>
      </w:r>
      <w:r>
        <w:rPr>
          <w:i/>
          <w:spacing w:val="-16"/>
          <w:sz w:val="24"/>
        </w:rPr>
        <w:t> </w:t>
      </w:r>
      <w:r>
        <w:rPr>
          <w:i/>
          <w:sz w:val="24"/>
        </w:rPr>
        <w:t>колебаниями</w:t>
      </w:r>
      <w:r>
        <w:rPr>
          <w:i/>
          <w:spacing w:val="-16"/>
          <w:sz w:val="24"/>
        </w:rPr>
        <w:t> </w:t>
      </w:r>
      <w:r>
        <w:rPr>
          <w:i/>
          <w:sz w:val="24"/>
        </w:rPr>
        <w:t>(напри‑</w:t>
      </w:r>
      <w:r>
        <w:rPr>
          <w:i/>
          <w:spacing w:val="-16"/>
          <w:sz w:val="24"/>
        </w:rPr>
        <w:t> </w:t>
      </w:r>
      <w:r>
        <w:rPr>
          <w:i/>
          <w:sz w:val="24"/>
        </w:rPr>
        <w:t>мер,</w:t>
      </w:r>
      <w:r>
        <w:rPr>
          <w:i/>
          <w:spacing w:val="-16"/>
          <w:sz w:val="24"/>
        </w:rPr>
        <w:t> </w:t>
      </w:r>
      <w:r>
        <w:rPr>
          <w:i/>
          <w:sz w:val="24"/>
        </w:rPr>
        <w:t>TheVest,</w:t>
      </w:r>
      <w:r>
        <w:rPr>
          <w:i/>
          <w:spacing w:val="-16"/>
          <w:sz w:val="24"/>
        </w:rPr>
        <w:t> </w:t>
      </w:r>
      <w:r>
        <w:rPr>
          <w:i/>
          <w:sz w:val="24"/>
        </w:rPr>
        <w:t>MetaNeb, Percussionaire)</w:t>
      </w:r>
    </w:p>
    <w:p>
      <w:pPr>
        <w:pStyle w:val="ListParagraph"/>
        <w:numPr>
          <w:ilvl w:val="2"/>
          <w:numId w:val="24"/>
        </w:numPr>
        <w:tabs>
          <w:tab w:pos="1423" w:val="left" w:leader="none"/>
          <w:tab w:pos="1424" w:val="left" w:leader="none"/>
        </w:tabs>
        <w:spacing w:line="240" w:lineRule="auto" w:before="12" w:after="0"/>
        <w:ind w:left="1423" w:right="0" w:hanging="361"/>
        <w:jc w:val="left"/>
        <w:rPr>
          <w:i/>
          <w:sz w:val="24"/>
        </w:rPr>
      </w:pPr>
      <w:r>
        <w:rPr>
          <w:i/>
          <w:sz w:val="24"/>
        </w:rPr>
        <w:t>PEP и колебательные системы</w:t>
      </w:r>
      <w:r>
        <w:rPr>
          <w:i/>
          <w:spacing w:val="-3"/>
          <w:sz w:val="24"/>
        </w:rPr>
        <w:t> </w:t>
      </w:r>
      <w:r>
        <w:rPr>
          <w:i/>
          <w:sz w:val="24"/>
        </w:rPr>
        <w:t>PEP</w:t>
      </w:r>
    </w:p>
    <w:p>
      <w:pPr>
        <w:pStyle w:val="ListParagraph"/>
        <w:numPr>
          <w:ilvl w:val="2"/>
          <w:numId w:val="24"/>
        </w:numPr>
        <w:tabs>
          <w:tab w:pos="1423" w:val="left" w:leader="none"/>
          <w:tab w:pos="1424" w:val="left" w:leader="none"/>
        </w:tabs>
        <w:spacing w:line="240" w:lineRule="auto" w:before="56" w:after="0"/>
        <w:ind w:left="1423" w:right="0" w:hanging="361"/>
        <w:jc w:val="left"/>
        <w:rPr>
          <w:i/>
          <w:sz w:val="24"/>
        </w:rPr>
      </w:pPr>
      <w:r>
        <w:rPr>
          <w:i/>
          <w:sz w:val="24"/>
        </w:rPr>
        <w:t>Назофарингеальная или орофарингеальная</w:t>
      </w:r>
      <w:r>
        <w:rPr>
          <w:i/>
          <w:spacing w:val="-8"/>
          <w:sz w:val="24"/>
        </w:rPr>
        <w:t> </w:t>
      </w:r>
      <w:r>
        <w:rPr>
          <w:i/>
          <w:sz w:val="24"/>
        </w:rPr>
        <w:t>аспирация</w:t>
      </w:r>
    </w:p>
    <w:p>
      <w:pPr>
        <w:pStyle w:val="ListParagraph"/>
        <w:numPr>
          <w:ilvl w:val="2"/>
          <w:numId w:val="24"/>
        </w:numPr>
        <w:tabs>
          <w:tab w:pos="1423" w:val="left" w:leader="none"/>
          <w:tab w:pos="1424" w:val="left" w:leader="none"/>
        </w:tabs>
        <w:spacing w:line="240" w:lineRule="auto" w:before="59" w:after="0"/>
        <w:ind w:left="1423" w:right="0" w:hanging="361"/>
        <w:jc w:val="left"/>
        <w:rPr>
          <w:i/>
          <w:sz w:val="24"/>
        </w:rPr>
      </w:pPr>
      <w:r>
        <w:rPr>
          <w:i/>
          <w:sz w:val="24"/>
        </w:rPr>
        <w:t>Мануальная гиперинфляция</w:t>
      </w:r>
      <w:r>
        <w:rPr>
          <w:i/>
          <w:spacing w:val="-2"/>
          <w:sz w:val="24"/>
        </w:rPr>
        <w:t> </w:t>
      </w:r>
      <w:r>
        <w:rPr>
          <w:i/>
          <w:sz w:val="24"/>
        </w:rPr>
        <w:t>(MHI)</w:t>
      </w:r>
    </w:p>
    <w:p>
      <w:pPr>
        <w:pStyle w:val="ListParagraph"/>
        <w:numPr>
          <w:ilvl w:val="2"/>
          <w:numId w:val="24"/>
        </w:numPr>
        <w:tabs>
          <w:tab w:pos="1423" w:val="left" w:leader="none"/>
          <w:tab w:pos="1424" w:val="left" w:leader="none"/>
        </w:tabs>
        <w:spacing w:line="273" w:lineRule="auto" w:before="59" w:after="0"/>
        <w:ind w:left="1423" w:right="1315" w:hanging="360"/>
        <w:jc w:val="left"/>
        <w:rPr>
          <w:i/>
          <w:sz w:val="24"/>
        </w:rPr>
      </w:pPr>
      <w:r>
        <w:rPr>
          <w:i/>
          <w:sz w:val="24"/>
        </w:rPr>
        <w:t>Тренировка инспираторных мышц, особенно для пациентов, которые </w:t>
      </w:r>
      <w:r>
        <w:rPr>
          <w:i/>
          <w:sz w:val="24"/>
        </w:rPr>
        <w:t>проходят ИВЛ, и требуется отключение от дыхательного</w:t>
      </w:r>
      <w:r>
        <w:rPr>
          <w:i/>
          <w:spacing w:val="-15"/>
          <w:sz w:val="24"/>
        </w:rPr>
        <w:t> </w:t>
      </w:r>
      <w:r>
        <w:rPr>
          <w:i/>
          <w:sz w:val="24"/>
        </w:rPr>
        <w:t>контура.</w:t>
      </w:r>
    </w:p>
    <w:p>
      <w:pPr>
        <w:pStyle w:val="BodyText"/>
        <w:spacing w:before="8"/>
        <w:ind w:left="0"/>
        <w:jc w:val="left"/>
        <w:rPr>
          <w:i/>
          <w:sz w:val="30"/>
        </w:rPr>
      </w:pPr>
    </w:p>
    <w:p>
      <w:pPr>
        <w:pStyle w:val="BodyText"/>
        <w:spacing w:line="276" w:lineRule="auto" w:before="1"/>
        <w:ind w:right="802" w:firstLine="708"/>
      </w:pPr>
      <w:r>
        <w:rPr/>
        <w:t>Все пациенты, находившиеся на ИВЛ, должны быть оценены на предмет дисфагии. При наличии постинтубационной дисфагии следует проводить мероприятия по восстановлению глотания под контролем логопеда мудьтидисциплинарной реабилитационной команды. У пациентов ОРИТ c</w:t>
      </w:r>
      <w:r>
        <w:rPr>
          <w:spacing w:val="-42"/>
        </w:rPr>
        <w:t> </w:t>
      </w:r>
      <w:r>
        <w:rPr/>
        <w:t>дисфагией после экстубации можно использовать применение пищи с загустителями. В случае очень высокого риска аспирации следует осуществлять питание при помощи зонда, располагаемого в постпилорическом отделе желудка. Если же это невозможно, следует</w:t>
      </w:r>
      <w:r>
        <w:rPr>
          <w:spacing w:val="-10"/>
        </w:rPr>
        <w:t> </w:t>
      </w:r>
      <w:r>
        <w:rPr/>
        <w:t>назначить</w:t>
      </w:r>
      <w:r>
        <w:rPr>
          <w:spacing w:val="-9"/>
        </w:rPr>
        <w:t> </w:t>
      </w:r>
      <w:r>
        <w:rPr/>
        <w:t>временное</w:t>
      </w:r>
      <w:r>
        <w:rPr>
          <w:spacing w:val="-11"/>
        </w:rPr>
        <w:t> </w:t>
      </w:r>
      <w:r>
        <w:rPr/>
        <w:t>парентеральное</w:t>
      </w:r>
      <w:r>
        <w:rPr>
          <w:spacing w:val="-13"/>
        </w:rPr>
        <w:t> </w:t>
      </w:r>
      <w:r>
        <w:rPr/>
        <w:t>питание</w:t>
      </w:r>
      <w:r>
        <w:rPr>
          <w:spacing w:val="-11"/>
        </w:rPr>
        <w:t> </w:t>
      </w:r>
      <w:r>
        <w:rPr/>
        <w:t>с</w:t>
      </w:r>
      <w:r>
        <w:rPr>
          <w:spacing w:val="-11"/>
        </w:rPr>
        <w:t> </w:t>
      </w:r>
      <w:r>
        <w:rPr/>
        <w:t>одновременным</w:t>
      </w:r>
      <w:r>
        <w:rPr>
          <w:spacing w:val="-10"/>
        </w:rPr>
        <w:t> </w:t>
      </w:r>
      <w:r>
        <w:rPr/>
        <w:t>проведением</w:t>
      </w:r>
    </w:p>
    <w:p>
      <w:pPr>
        <w:spacing w:after="0" w:line="276" w:lineRule="auto"/>
        <w:sectPr>
          <w:pgSz w:w="11920" w:h="16850"/>
          <w:pgMar w:header="0" w:footer="620" w:top="1060" w:bottom="880" w:left="1380" w:right="600"/>
        </w:sectPr>
      </w:pPr>
    </w:p>
    <w:p>
      <w:pPr>
        <w:pStyle w:val="BodyText"/>
        <w:spacing w:line="276" w:lineRule="auto" w:before="78"/>
        <w:ind w:right="803"/>
      </w:pPr>
      <w:r>
        <w:rPr/>
        <w:t>занятий по обучению глотанию с извлеченным зондом. При низких значениях </w:t>
      </w:r>
      <w:r>
        <w:rPr>
          <w:position w:val="2"/>
        </w:rPr>
        <w:t>показателя</w:t>
      </w:r>
      <w:r>
        <w:rPr>
          <w:spacing w:val="-11"/>
          <w:position w:val="2"/>
        </w:rPr>
        <w:t> </w:t>
      </w:r>
      <w:r>
        <w:rPr>
          <w:position w:val="2"/>
        </w:rPr>
        <w:t>SaО</w:t>
      </w:r>
      <w:r>
        <w:rPr>
          <w:sz w:val="16"/>
        </w:rPr>
        <w:t>2</w:t>
      </w:r>
      <w:r>
        <w:rPr>
          <w:spacing w:val="19"/>
          <w:sz w:val="16"/>
        </w:rPr>
        <w:t> </w:t>
      </w:r>
      <w:r>
        <w:rPr>
          <w:position w:val="2"/>
        </w:rPr>
        <w:t>в</w:t>
      </w:r>
      <w:r>
        <w:rPr>
          <w:spacing w:val="-11"/>
          <w:position w:val="2"/>
        </w:rPr>
        <w:t> </w:t>
      </w:r>
      <w:r>
        <w:rPr>
          <w:position w:val="2"/>
        </w:rPr>
        <w:t>покое,</w:t>
      </w:r>
      <w:r>
        <w:rPr>
          <w:spacing w:val="-11"/>
          <w:position w:val="2"/>
        </w:rPr>
        <w:t> </w:t>
      </w:r>
      <w:r>
        <w:rPr>
          <w:position w:val="2"/>
        </w:rPr>
        <w:t>следует</w:t>
      </w:r>
      <w:r>
        <w:rPr>
          <w:spacing w:val="-10"/>
          <w:position w:val="2"/>
        </w:rPr>
        <w:t> </w:t>
      </w:r>
      <w:r>
        <w:rPr>
          <w:position w:val="2"/>
        </w:rPr>
        <w:t>оценивать</w:t>
      </w:r>
      <w:r>
        <w:rPr>
          <w:spacing w:val="-10"/>
          <w:position w:val="2"/>
        </w:rPr>
        <w:t> </w:t>
      </w:r>
      <w:r>
        <w:rPr>
          <w:position w:val="2"/>
        </w:rPr>
        <w:t>его</w:t>
      </w:r>
      <w:r>
        <w:rPr>
          <w:spacing w:val="-11"/>
          <w:position w:val="2"/>
        </w:rPr>
        <w:t> </w:t>
      </w:r>
      <w:r>
        <w:rPr>
          <w:position w:val="2"/>
        </w:rPr>
        <w:t>во</w:t>
      </w:r>
      <w:r>
        <w:rPr>
          <w:spacing w:val="-11"/>
          <w:position w:val="2"/>
        </w:rPr>
        <w:t> </w:t>
      </w:r>
      <w:r>
        <w:rPr>
          <w:position w:val="2"/>
        </w:rPr>
        <w:t>время</w:t>
      </w:r>
      <w:r>
        <w:rPr>
          <w:spacing w:val="-10"/>
          <w:position w:val="2"/>
        </w:rPr>
        <w:t> </w:t>
      </w:r>
      <w:r>
        <w:rPr>
          <w:position w:val="2"/>
        </w:rPr>
        <w:t>еды.</w:t>
      </w:r>
      <w:r>
        <w:rPr>
          <w:spacing w:val="-11"/>
          <w:position w:val="2"/>
        </w:rPr>
        <w:t> </w:t>
      </w:r>
      <w:r>
        <w:rPr>
          <w:position w:val="2"/>
        </w:rPr>
        <w:t>Если</w:t>
      </w:r>
      <w:r>
        <w:rPr>
          <w:spacing w:val="-10"/>
          <w:position w:val="2"/>
        </w:rPr>
        <w:t> </w:t>
      </w:r>
      <w:r>
        <w:rPr>
          <w:position w:val="2"/>
        </w:rPr>
        <w:t>в</w:t>
      </w:r>
      <w:r>
        <w:rPr>
          <w:spacing w:val="-11"/>
          <w:position w:val="2"/>
        </w:rPr>
        <w:t> </w:t>
      </w:r>
      <w:r>
        <w:rPr>
          <w:position w:val="2"/>
        </w:rPr>
        <w:t>процессе</w:t>
      </w:r>
      <w:r>
        <w:rPr>
          <w:spacing w:val="-12"/>
          <w:position w:val="2"/>
        </w:rPr>
        <w:t> </w:t>
      </w:r>
      <w:r>
        <w:rPr>
          <w:position w:val="2"/>
        </w:rPr>
        <w:t>приема </w:t>
      </w:r>
      <w:r>
        <w:rPr/>
        <w:t>пищи</w:t>
      </w:r>
      <w:r>
        <w:rPr>
          <w:spacing w:val="-10"/>
        </w:rPr>
        <w:t> </w:t>
      </w:r>
      <w:r>
        <w:rPr/>
        <w:t>происходит</w:t>
      </w:r>
      <w:r>
        <w:rPr>
          <w:spacing w:val="-7"/>
        </w:rPr>
        <w:t> </w:t>
      </w:r>
      <w:r>
        <w:rPr/>
        <w:t>десатурация</w:t>
      </w:r>
      <w:r>
        <w:rPr>
          <w:spacing w:val="-7"/>
        </w:rPr>
        <w:t> </w:t>
      </w:r>
      <w:r>
        <w:rPr/>
        <w:t>крови,</w:t>
      </w:r>
      <w:r>
        <w:rPr>
          <w:spacing w:val="-7"/>
        </w:rPr>
        <w:t> </w:t>
      </w:r>
      <w:r>
        <w:rPr/>
        <w:t>следует</w:t>
      </w:r>
      <w:r>
        <w:rPr>
          <w:spacing w:val="-2"/>
        </w:rPr>
        <w:t> </w:t>
      </w:r>
      <w:r>
        <w:rPr/>
        <w:t>увеличить</w:t>
      </w:r>
      <w:r>
        <w:rPr>
          <w:spacing w:val="-7"/>
        </w:rPr>
        <w:t> </w:t>
      </w:r>
      <w:r>
        <w:rPr/>
        <w:t>его</w:t>
      </w:r>
      <w:r>
        <w:rPr>
          <w:spacing w:val="-7"/>
        </w:rPr>
        <w:t> </w:t>
      </w:r>
      <w:r>
        <w:rPr/>
        <w:t>подачу</w:t>
      </w:r>
      <w:r>
        <w:rPr>
          <w:spacing w:val="-12"/>
        </w:rPr>
        <w:t> </w:t>
      </w:r>
      <w:r>
        <w:rPr/>
        <w:t>или</w:t>
      </w:r>
      <w:r>
        <w:rPr>
          <w:spacing w:val="-6"/>
        </w:rPr>
        <w:t> </w:t>
      </w:r>
      <w:r>
        <w:rPr/>
        <w:t>использовать подачу дополнительно</w:t>
      </w:r>
      <w:r>
        <w:rPr>
          <w:spacing w:val="-8"/>
        </w:rPr>
        <w:t> </w:t>
      </w:r>
      <w:r>
        <w:rPr/>
        <w:t>кислорода.</w:t>
      </w:r>
    </w:p>
    <w:p>
      <w:pPr>
        <w:pStyle w:val="BodyText"/>
        <w:spacing w:line="276" w:lineRule="auto" w:before="14"/>
        <w:ind w:right="803" w:firstLine="708"/>
      </w:pPr>
      <w:r>
        <w:rPr/>
        <w:t>Все мероприятия по медицинской реабилитации должны включать ежедневный мониторинг витальных показателей.</w:t>
      </w:r>
    </w:p>
    <w:p>
      <w:pPr>
        <w:pStyle w:val="BodyText"/>
        <w:spacing w:line="276" w:lineRule="auto" w:before="16"/>
        <w:ind w:right="803" w:firstLine="708"/>
      </w:pPr>
      <w:r>
        <w:rPr/>
        <w:t>Противопоказаниями к применению физических  методов реабилитации или  к их остановке (стоп-сигнал) в ОРИТ являются: угнетение уровня сознания, повышение температуры тела  выше  38  °С,  частота  дыхания  выше  30  мин</w:t>
      </w:r>
      <w:r>
        <w:rPr>
          <w:vertAlign w:val="superscript"/>
        </w:rPr>
        <w:t>-1</w:t>
      </w:r>
      <w:r>
        <w:rPr>
          <w:vertAlign w:val="baseline"/>
        </w:rPr>
        <w:t>,  </w:t>
      </w:r>
      <w:r>
        <w:rPr>
          <w:position w:val="2"/>
          <w:vertAlign w:val="baseline"/>
        </w:rPr>
        <w:t>SpО</w:t>
      </w:r>
      <w:r>
        <w:rPr>
          <w:sz w:val="16"/>
          <w:vertAlign w:val="baseline"/>
        </w:rPr>
        <w:t>2 </w:t>
      </w:r>
      <w:r>
        <w:rPr>
          <w:position w:val="2"/>
          <w:vertAlign w:val="baseline"/>
        </w:rPr>
        <w:t>&lt; 93% на фоне инсуфляции кислорода или потребность в FiO</w:t>
      </w:r>
      <w:r>
        <w:rPr>
          <w:sz w:val="16"/>
          <w:vertAlign w:val="baseline"/>
        </w:rPr>
        <w:t>2 </w:t>
      </w:r>
      <w:r>
        <w:rPr>
          <w:position w:val="2"/>
          <w:vertAlign w:val="baseline"/>
        </w:rPr>
        <w:t>&gt; 50% при </w:t>
      </w:r>
      <w:r>
        <w:rPr>
          <w:vertAlign w:val="baseline"/>
        </w:rPr>
        <w:t>неинвазивной вентиляции, повышение систолического АД выше 180 мм. рт. ст. или снижение</w:t>
      </w:r>
      <w:r>
        <w:rPr>
          <w:spacing w:val="-15"/>
          <w:vertAlign w:val="baseline"/>
        </w:rPr>
        <w:t> </w:t>
      </w:r>
      <w:r>
        <w:rPr>
          <w:vertAlign w:val="baseline"/>
        </w:rPr>
        <w:t>ниже</w:t>
      </w:r>
      <w:r>
        <w:rPr>
          <w:spacing w:val="-14"/>
          <w:vertAlign w:val="baseline"/>
        </w:rPr>
        <w:t> </w:t>
      </w:r>
      <w:r>
        <w:rPr>
          <w:vertAlign w:val="baseline"/>
        </w:rPr>
        <w:t>80</w:t>
      </w:r>
      <w:r>
        <w:rPr>
          <w:spacing w:val="-13"/>
          <w:vertAlign w:val="baseline"/>
        </w:rPr>
        <w:t> </w:t>
      </w:r>
      <w:r>
        <w:rPr>
          <w:vertAlign w:val="baseline"/>
        </w:rPr>
        <w:t>мм.</w:t>
      </w:r>
      <w:r>
        <w:rPr>
          <w:spacing w:val="-14"/>
          <w:vertAlign w:val="baseline"/>
        </w:rPr>
        <w:t> </w:t>
      </w:r>
      <w:r>
        <w:rPr>
          <w:vertAlign w:val="baseline"/>
        </w:rPr>
        <w:t>рт.</w:t>
      </w:r>
      <w:r>
        <w:rPr>
          <w:spacing w:val="-13"/>
          <w:vertAlign w:val="baseline"/>
        </w:rPr>
        <w:t> </w:t>
      </w:r>
      <w:r>
        <w:rPr>
          <w:vertAlign w:val="baseline"/>
        </w:rPr>
        <w:t>ст.,</w:t>
      </w:r>
      <w:r>
        <w:rPr>
          <w:spacing w:val="-13"/>
          <w:vertAlign w:val="baseline"/>
        </w:rPr>
        <w:t> </w:t>
      </w:r>
      <w:r>
        <w:rPr>
          <w:vertAlign w:val="baseline"/>
        </w:rPr>
        <w:t>появление</w:t>
      </w:r>
      <w:r>
        <w:rPr>
          <w:spacing w:val="-15"/>
          <w:vertAlign w:val="baseline"/>
        </w:rPr>
        <w:t> </w:t>
      </w:r>
      <w:r>
        <w:rPr>
          <w:vertAlign w:val="baseline"/>
        </w:rPr>
        <w:t>аритмии,</w:t>
      </w:r>
      <w:r>
        <w:rPr>
          <w:spacing w:val="-14"/>
          <w:vertAlign w:val="baseline"/>
        </w:rPr>
        <w:t> </w:t>
      </w:r>
      <w:r>
        <w:rPr>
          <w:vertAlign w:val="baseline"/>
        </w:rPr>
        <w:t>развитие</w:t>
      </w:r>
      <w:r>
        <w:rPr>
          <w:spacing w:val="-14"/>
          <w:vertAlign w:val="baseline"/>
        </w:rPr>
        <w:t> </w:t>
      </w:r>
      <w:r>
        <w:rPr>
          <w:vertAlign w:val="baseline"/>
        </w:rPr>
        <w:t>других</w:t>
      </w:r>
      <w:r>
        <w:rPr>
          <w:spacing w:val="-12"/>
          <w:vertAlign w:val="baseline"/>
        </w:rPr>
        <w:t> </w:t>
      </w:r>
      <w:r>
        <w:rPr>
          <w:vertAlign w:val="baseline"/>
        </w:rPr>
        <w:t>жизнеугрожающих нарушений.</w:t>
      </w:r>
    </w:p>
    <w:p>
      <w:pPr>
        <w:pStyle w:val="BodyText"/>
        <w:spacing w:line="276" w:lineRule="auto" w:before="12"/>
        <w:ind w:right="802" w:firstLine="708"/>
      </w:pPr>
      <w:r>
        <w:rPr/>
        <w:t>Наличие    персистирующих    инфекционных    осложнений    бактериальной и грибковой природы не является препятствием для проведения реабилитационных мероприятий,     если     сохраняются      стабильные      показатели      гемодинамики и респираторной</w:t>
      </w:r>
      <w:r>
        <w:rPr>
          <w:spacing w:val="1"/>
        </w:rPr>
        <w:t> </w:t>
      </w:r>
      <w:r>
        <w:rPr/>
        <w:t>функции.</w:t>
      </w:r>
    </w:p>
    <w:p>
      <w:pPr>
        <w:pStyle w:val="BodyText"/>
        <w:spacing w:before="10"/>
        <w:ind w:left="0"/>
        <w:jc w:val="left"/>
        <w:rPr>
          <w:sz w:val="20"/>
        </w:rPr>
      </w:pPr>
    </w:p>
    <w:p>
      <w:pPr>
        <w:pStyle w:val="Heading3"/>
        <w:numPr>
          <w:ilvl w:val="2"/>
          <w:numId w:val="29"/>
        </w:numPr>
        <w:tabs>
          <w:tab w:pos="1630" w:val="left" w:leader="none"/>
        </w:tabs>
        <w:spacing w:line="240" w:lineRule="auto" w:before="1" w:after="0"/>
        <w:ind w:left="1629" w:right="0" w:hanging="601"/>
        <w:jc w:val="both"/>
      </w:pPr>
      <w:bookmarkStart w:name="5.9.2. Медицинская реабилитация в терапе" w:id="115"/>
      <w:bookmarkEnd w:id="115"/>
      <w:r>
        <w:rPr>
          <w:b w:val="0"/>
        </w:rPr>
      </w:r>
      <w:bookmarkStart w:name="5.9.2. Медицинская реабилитация в терапе" w:id="116"/>
      <w:bookmarkEnd w:id="116"/>
      <w:r>
        <w:rPr>
          <w:color w:val="1F487C"/>
        </w:rPr>
        <w:t>М</w:t>
      </w:r>
      <w:r>
        <w:rPr>
          <w:color w:val="1F487C"/>
        </w:rPr>
        <w:t>едицинская реабилитация в терапевтическом отделении (1</w:t>
      </w:r>
      <w:r>
        <w:rPr>
          <w:color w:val="1F487C"/>
          <w:spacing w:val="-11"/>
        </w:rPr>
        <w:t> </w:t>
      </w:r>
      <w:r>
        <w:rPr>
          <w:color w:val="1F487C"/>
        </w:rPr>
        <w:t>этап)</w:t>
      </w:r>
    </w:p>
    <w:p>
      <w:pPr>
        <w:pStyle w:val="BodyText"/>
        <w:spacing w:line="276" w:lineRule="auto" w:before="141"/>
        <w:ind w:right="673" w:firstLine="708"/>
      </w:pPr>
      <w:r>
        <w:rPr/>
        <w:t>В терапевтическом отделении мероприятия по медицинской реабилитации пациентов с COVID-19 должны быть направлены на восстановление функционирования пациента, для достижения чего потребуется решение следующих основных</w:t>
      </w:r>
      <w:r>
        <w:rPr>
          <w:spacing w:val="-10"/>
        </w:rPr>
        <w:t> </w:t>
      </w:r>
      <w:r>
        <w:rPr/>
        <w:t>задач:</w:t>
      </w:r>
      <w:r>
        <w:rPr>
          <w:spacing w:val="-9"/>
        </w:rPr>
        <w:t> </w:t>
      </w:r>
      <w:r>
        <w:rPr/>
        <w:t>улучшение</w:t>
      </w:r>
      <w:r>
        <w:rPr>
          <w:spacing w:val="-13"/>
        </w:rPr>
        <w:t> </w:t>
      </w:r>
      <w:r>
        <w:rPr/>
        <w:t>вентиляции</w:t>
      </w:r>
      <w:r>
        <w:rPr>
          <w:spacing w:val="-10"/>
        </w:rPr>
        <w:t> </w:t>
      </w:r>
      <w:r>
        <w:rPr/>
        <w:t>легких,</w:t>
      </w:r>
      <w:r>
        <w:rPr>
          <w:spacing w:val="-12"/>
        </w:rPr>
        <w:t> </w:t>
      </w:r>
      <w:r>
        <w:rPr/>
        <w:t>газообмена</w:t>
      </w:r>
      <w:r>
        <w:rPr>
          <w:spacing w:val="-13"/>
        </w:rPr>
        <w:t> </w:t>
      </w:r>
      <w:r>
        <w:rPr/>
        <w:t>и</w:t>
      </w:r>
      <w:r>
        <w:rPr>
          <w:spacing w:val="-11"/>
        </w:rPr>
        <w:t> </w:t>
      </w:r>
      <w:r>
        <w:rPr/>
        <w:t>бронхиального</w:t>
      </w:r>
      <w:r>
        <w:rPr>
          <w:spacing w:val="-11"/>
        </w:rPr>
        <w:t> </w:t>
      </w:r>
      <w:r>
        <w:rPr/>
        <w:t>клиренса; продолжение нутритивной поддержки; повышение общей физической выносливости пациентов; коррекция мышечной слабости; повышение мобильности; преодоление стресса, беспокойства или депрессии; коррекция нарушения</w:t>
      </w:r>
      <w:r>
        <w:rPr>
          <w:spacing w:val="-3"/>
        </w:rPr>
        <w:t> </w:t>
      </w:r>
      <w:r>
        <w:rPr/>
        <w:t>сна.</w:t>
      </w:r>
    </w:p>
    <w:p>
      <w:pPr>
        <w:pStyle w:val="BodyText"/>
        <w:spacing w:line="276" w:lineRule="auto" w:before="15"/>
        <w:ind w:right="674" w:firstLine="708"/>
      </w:pPr>
      <w:r>
        <w:rPr/>
        <w:t>Рекомендуется проводить дыхательные упражнения пациентам с COVID-19,    у которых развиваются типичные признаки поражения легких (КТ-паттерны пневмонии, ОРДС – «матовое стекло», зоны консолидации), гиперсекреция слизистой и/или затруднение отхождения</w:t>
      </w:r>
      <w:r>
        <w:rPr>
          <w:spacing w:val="-1"/>
        </w:rPr>
        <w:t> </w:t>
      </w:r>
      <w:r>
        <w:rPr/>
        <w:t>мокроты.</w:t>
      </w:r>
    </w:p>
    <w:p>
      <w:pPr>
        <w:pStyle w:val="BodyText"/>
        <w:spacing w:line="276" w:lineRule="auto" w:before="12"/>
        <w:ind w:right="674" w:firstLine="708"/>
      </w:pPr>
      <w:r>
        <w:rPr/>
        <w:t>Дыхательные упражнения должны быть направлены на усиление эвакуации слизи из легочных альвеол и бронхиол в бронхи более высокого порядка и трахею, чтобы мокрота не скапливалась в базальных сегментах легких. При сухом непродуктивном кашле мероприятия по респираторной реабилитации не показаны.</w:t>
      </w:r>
    </w:p>
    <w:p>
      <w:pPr>
        <w:pStyle w:val="BodyText"/>
        <w:spacing w:line="276" w:lineRule="auto" w:before="15"/>
        <w:ind w:right="673" w:firstLine="708"/>
      </w:pPr>
      <w:r>
        <w:rPr/>
        <w:t>Для пациентов с нарушением дренажной функции легких следует использовать метод</w:t>
      </w:r>
      <w:r>
        <w:rPr>
          <w:spacing w:val="-17"/>
        </w:rPr>
        <w:t> </w:t>
      </w:r>
      <w:r>
        <w:rPr/>
        <w:t>постурального</w:t>
      </w:r>
      <w:r>
        <w:rPr>
          <w:spacing w:val="-17"/>
        </w:rPr>
        <w:t> </w:t>
      </w:r>
      <w:r>
        <w:rPr/>
        <w:t>дренажа.</w:t>
      </w:r>
      <w:r>
        <w:rPr>
          <w:spacing w:val="-17"/>
        </w:rPr>
        <w:t> </w:t>
      </w:r>
      <w:r>
        <w:rPr/>
        <w:t>Продолжительность</w:t>
      </w:r>
      <w:r>
        <w:rPr>
          <w:spacing w:val="-15"/>
        </w:rPr>
        <w:t> </w:t>
      </w:r>
      <w:r>
        <w:rPr/>
        <w:t>процедуры</w:t>
      </w:r>
      <w:r>
        <w:rPr>
          <w:spacing w:val="-17"/>
        </w:rPr>
        <w:t> </w:t>
      </w:r>
      <w:r>
        <w:rPr/>
        <w:t>должна</w:t>
      </w:r>
      <w:r>
        <w:rPr>
          <w:spacing w:val="-15"/>
        </w:rPr>
        <w:t> </w:t>
      </w:r>
      <w:r>
        <w:rPr/>
        <w:t>составлять</w:t>
      </w:r>
      <w:r>
        <w:rPr>
          <w:spacing w:val="-15"/>
        </w:rPr>
        <w:t> </w:t>
      </w:r>
      <w:r>
        <w:rPr/>
        <w:t>от</w:t>
      </w:r>
      <w:r>
        <w:rPr>
          <w:spacing w:val="-16"/>
        </w:rPr>
        <w:t> </w:t>
      </w:r>
      <w:r>
        <w:rPr/>
        <w:t>10 до 20 минут в зависимости от состояния пациента. Для восстановления пассивного компонента дыхательного цикла должна увеличиваться экскурсия грудной клетки, для активного  –  укрепляться  мышцы  вдоха  и  выдоха  (основные,  вспомогательные      и дополнительные). В целях оптимизации дыхания, снижения нагрузки на респираторную мускулатуру, увеличения силы и силовой выносливости инспираторных мышц рекомендуется выполнение дыхательных упражнений, регулирующих фазы дыхательного цикла, предпочтительно без дыхательных тренажеров.</w:t>
      </w:r>
    </w:p>
    <w:p>
      <w:pPr>
        <w:spacing w:after="0" w:line="276" w:lineRule="auto"/>
        <w:sectPr>
          <w:pgSz w:w="11920" w:h="16850"/>
          <w:pgMar w:header="0" w:footer="620" w:top="1060" w:bottom="880" w:left="1380" w:right="600"/>
        </w:sectPr>
      </w:pPr>
    </w:p>
    <w:p>
      <w:pPr>
        <w:pStyle w:val="BodyText"/>
        <w:spacing w:line="276" w:lineRule="auto" w:before="78"/>
        <w:ind w:right="674" w:firstLine="708"/>
      </w:pPr>
      <w:r>
        <w:rPr/>
        <w:t>При выполнении дыхательных упражнений на 1 этапе медицинской реабилитации не рекомендуется форсировать увеличение движений и нагрузки. Все дыхательные    упражнения    должны    проводится    без    напряжения,    медленно    с ламинарным потоком</w:t>
      </w:r>
      <w:r>
        <w:rPr>
          <w:spacing w:val="-4"/>
        </w:rPr>
        <w:t> </w:t>
      </w:r>
      <w:r>
        <w:rPr/>
        <w:t>воздуха.</w:t>
      </w:r>
    </w:p>
    <w:p>
      <w:pPr>
        <w:pStyle w:val="BodyText"/>
        <w:spacing w:line="276" w:lineRule="auto" w:before="15"/>
        <w:ind w:right="673" w:firstLine="708"/>
      </w:pPr>
      <w:r>
        <w:rPr/>
        <w:t>По мере увеличивающихся функциональных возможностей пациенту назначаются дыхательные упражнения и лечебные положения, облегчающие дыхание или бронхиальный клиренс с учетом характера нарушения дыхательной функции (обструктивные</w:t>
      </w:r>
      <w:r>
        <w:rPr>
          <w:spacing w:val="-9"/>
        </w:rPr>
        <w:t> </w:t>
      </w:r>
      <w:r>
        <w:rPr/>
        <w:t>или</w:t>
      </w:r>
      <w:r>
        <w:rPr>
          <w:spacing w:val="-6"/>
        </w:rPr>
        <w:t> </w:t>
      </w:r>
      <w:r>
        <w:rPr/>
        <w:t>рестриктивные),</w:t>
      </w:r>
      <w:r>
        <w:rPr>
          <w:spacing w:val="-8"/>
        </w:rPr>
        <w:t> </w:t>
      </w:r>
      <w:r>
        <w:rPr/>
        <w:t>локализации</w:t>
      </w:r>
      <w:r>
        <w:rPr>
          <w:spacing w:val="-9"/>
        </w:rPr>
        <w:t> </w:t>
      </w:r>
      <w:r>
        <w:rPr/>
        <w:t>и</w:t>
      </w:r>
      <w:r>
        <w:rPr>
          <w:spacing w:val="-7"/>
        </w:rPr>
        <w:t> </w:t>
      </w:r>
      <w:r>
        <w:rPr/>
        <w:t>объема</w:t>
      </w:r>
      <w:r>
        <w:rPr>
          <w:spacing w:val="-8"/>
        </w:rPr>
        <w:t> </w:t>
      </w:r>
      <w:r>
        <w:rPr/>
        <w:t>поражения</w:t>
      </w:r>
      <w:r>
        <w:rPr>
          <w:spacing w:val="-10"/>
        </w:rPr>
        <w:t> </w:t>
      </w:r>
      <w:r>
        <w:rPr/>
        <w:t>легочной</w:t>
      </w:r>
      <w:r>
        <w:rPr>
          <w:spacing w:val="-7"/>
        </w:rPr>
        <w:t> </w:t>
      </w:r>
      <w:r>
        <w:rPr/>
        <w:t>ткани (по данным компьютерной томографии). Рекомендуется во всех случаях исходить из предположения о преимущественно рестриктивных нарушениях в</w:t>
      </w:r>
      <w:r>
        <w:rPr>
          <w:spacing w:val="-4"/>
        </w:rPr>
        <w:t> </w:t>
      </w:r>
      <w:r>
        <w:rPr/>
        <w:t>легких.</w:t>
      </w:r>
    </w:p>
    <w:p>
      <w:pPr>
        <w:pStyle w:val="BodyText"/>
        <w:spacing w:line="276" w:lineRule="auto" w:before="13"/>
        <w:ind w:right="676" w:firstLine="708"/>
      </w:pPr>
      <w:r>
        <w:rPr/>
        <w:t>Рекомендуется проводить мобилизацию грудной клетки и отдельных блокированных   мышечными   спазмами   ребер   с   целью    дренированию    легких и профилактики возникновения плевральных</w:t>
      </w:r>
      <w:r>
        <w:rPr>
          <w:spacing w:val="1"/>
        </w:rPr>
        <w:t> </w:t>
      </w:r>
      <w:r>
        <w:rPr/>
        <w:t>спаек.</w:t>
      </w:r>
    </w:p>
    <w:p>
      <w:pPr>
        <w:pStyle w:val="BodyText"/>
        <w:spacing w:line="276" w:lineRule="auto" w:before="15"/>
        <w:ind w:right="674" w:firstLine="708"/>
      </w:pPr>
      <w:r>
        <w:rPr/>
        <w:t>При наличии вязкой мокроты рекомендуется использовать ингаляции муколитиков с помощью индивидуальных ингаляторов с предварительным откашливанием: аппарат для аспирации и ирригации/инсуффлятор (откашливатель индивидуальный) и дыхательные упражнения на устранение обструкции (дренажные дыхательные упражнения и откашливание с дренажным позиционированием соответственно локализации наибольшего поражения легочной ткани).</w:t>
      </w:r>
    </w:p>
    <w:p>
      <w:pPr>
        <w:pStyle w:val="BodyText"/>
        <w:spacing w:line="276" w:lineRule="auto" w:before="13"/>
        <w:ind w:right="675" w:firstLine="708"/>
      </w:pPr>
      <w:r>
        <w:rPr/>
        <w:t>При отсутствии мокроты рекомендуется использовать ингаляции физиологического раствора с целью увлажнения и поддержания естественной барьерной функции бронхов с использованием дозированного ингаляционного ингалятора (ДАИ) со спейсером, возможно использование бета2-агонистов или комбинированных бронхолитиков  короткого  действия  и  дыхательных  упражнений с удлиненным</w:t>
      </w:r>
      <w:r>
        <w:rPr>
          <w:spacing w:val="-1"/>
        </w:rPr>
        <w:t> </w:t>
      </w:r>
      <w:r>
        <w:rPr/>
        <w:t>выдохом.</w:t>
      </w:r>
    </w:p>
    <w:p>
      <w:pPr>
        <w:pStyle w:val="BodyText"/>
        <w:spacing w:line="276" w:lineRule="auto" w:before="14"/>
        <w:ind w:right="675" w:firstLine="708"/>
      </w:pPr>
      <w:r>
        <w:rPr/>
        <w:t>При проведении реабилитационных мероприятий для пациентов с COVID-19 должна быть возможность предоставления пациенту кислорода по требованию, в том числе во время занятий. При необходимости для пациентов можно использовать кислородные баллоны или кислород продуцирующие устройства.</w:t>
      </w:r>
    </w:p>
    <w:p>
      <w:pPr>
        <w:pStyle w:val="BodyText"/>
        <w:spacing w:line="276" w:lineRule="auto" w:before="14"/>
        <w:ind w:right="673" w:firstLine="708"/>
      </w:pPr>
      <w:r>
        <w:rPr/>
        <w:t>Рекомендуется инструктировать всех пациентов, о мероприятиях по гигиене кашля и чихания: прикрывать нос и рот при кашле или чихании тканью (салфеткой) или</w:t>
      </w:r>
      <w:r>
        <w:rPr>
          <w:spacing w:val="-11"/>
        </w:rPr>
        <w:t> </w:t>
      </w:r>
      <w:r>
        <w:rPr/>
        <w:t>согнутой</w:t>
      </w:r>
      <w:r>
        <w:rPr>
          <w:spacing w:val="-10"/>
        </w:rPr>
        <w:t> </w:t>
      </w:r>
      <w:r>
        <w:rPr/>
        <w:t>в</w:t>
      </w:r>
      <w:r>
        <w:rPr>
          <w:spacing w:val="-12"/>
        </w:rPr>
        <w:t> </w:t>
      </w:r>
      <w:r>
        <w:rPr/>
        <w:t>локте</w:t>
      </w:r>
      <w:r>
        <w:rPr>
          <w:spacing w:val="-13"/>
        </w:rPr>
        <w:t> </w:t>
      </w:r>
      <w:r>
        <w:rPr/>
        <w:t>рукой</w:t>
      </w:r>
      <w:r>
        <w:rPr>
          <w:spacing w:val="-12"/>
        </w:rPr>
        <w:t> </w:t>
      </w:r>
      <w:r>
        <w:rPr/>
        <w:t>и</w:t>
      </w:r>
      <w:r>
        <w:rPr>
          <w:spacing w:val="-10"/>
        </w:rPr>
        <w:t> </w:t>
      </w:r>
      <w:r>
        <w:rPr/>
        <w:t>далее</w:t>
      </w:r>
      <w:r>
        <w:rPr>
          <w:spacing w:val="-13"/>
        </w:rPr>
        <w:t> </w:t>
      </w:r>
      <w:r>
        <w:rPr/>
        <w:t>обрабатывать</w:t>
      </w:r>
      <w:r>
        <w:rPr>
          <w:spacing w:val="-10"/>
        </w:rPr>
        <w:t> </w:t>
      </w:r>
      <w:r>
        <w:rPr/>
        <w:t>кожу</w:t>
      </w:r>
      <w:r>
        <w:rPr>
          <w:spacing w:val="-18"/>
        </w:rPr>
        <w:t> </w:t>
      </w:r>
      <w:r>
        <w:rPr/>
        <w:t>дезинфицирующим</w:t>
      </w:r>
      <w:r>
        <w:rPr>
          <w:spacing w:val="-13"/>
        </w:rPr>
        <w:t> </w:t>
      </w:r>
      <w:r>
        <w:rPr/>
        <w:t>средствами, а использованные салфетки выбрасывать в специально отведенную емкость для отходов класса</w:t>
      </w:r>
      <w:r>
        <w:rPr>
          <w:spacing w:val="-3"/>
        </w:rPr>
        <w:t> </w:t>
      </w:r>
      <w:r>
        <w:rPr/>
        <w:t>В.</w:t>
      </w:r>
    </w:p>
    <w:p>
      <w:pPr>
        <w:pStyle w:val="BodyText"/>
        <w:spacing w:line="276" w:lineRule="auto" w:before="14"/>
        <w:ind w:right="673" w:firstLine="708"/>
        <w:rPr>
          <w:b/>
        </w:rPr>
      </w:pPr>
      <w:r>
        <w:rPr/>
        <w:t>Пациенты   с   проблемами   мобильности   должны   быть   позиционированы   в соответствии с уровнем своих двигательных возможностей в целях профилактики иммобилизационного синдрома, улучшения бронхиального клиренса</w:t>
      </w:r>
      <w:r>
        <w:rPr>
          <w:b/>
        </w:rPr>
        <w:t>.</w:t>
      </w:r>
    </w:p>
    <w:p>
      <w:pPr>
        <w:pStyle w:val="BodyText"/>
        <w:spacing w:line="276" w:lineRule="auto" w:before="13"/>
        <w:ind w:right="674" w:firstLine="708"/>
      </w:pPr>
      <w:r>
        <w:rPr/>
        <w:t>Для облегчения дыхания, в том числе во время сна, пациентам, способным самостоятельно</w:t>
      </w:r>
      <w:r>
        <w:rPr>
          <w:spacing w:val="-14"/>
        </w:rPr>
        <w:t> </w:t>
      </w:r>
      <w:r>
        <w:rPr/>
        <w:t>менять</w:t>
      </w:r>
      <w:r>
        <w:rPr>
          <w:spacing w:val="-15"/>
        </w:rPr>
        <w:t> </w:t>
      </w:r>
      <w:r>
        <w:rPr/>
        <w:t>позу,</w:t>
      </w:r>
      <w:r>
        <w:rPr>
          <w:spacing w:val="-14"/>
        </w:rPr>
        <w:t> </w:t>
      </w:r>
      <w:r>
        <w:rPr/>
        <w:t>можно</w:t>
      </w:r>
      <w:r>
        <w:rPr>
          <w:spacing w:val="-13"/>
        </w:rPr>
        <w:t> </w:t>
      </w:r>
      <w:r>
        <w:rPr/>
        <w:t>рекомендовать</w:t>
      </w:r>
      <w:r>
        <w:rPr>
          <w:spacing w:val="-14"/>
        </w:rPr>
        <w:t> </w:t>
      </w:r>
      <w:r>
        <w:rPr/>
        <w:t>в</w:t>
      </w:r>
      <w:r>
        <w:rPr>
          <w:spacing w:val="-14"/>
        </w:rPr>
        <w:t> </w:t>
      </w:r>
      <w:r>
        <w:rPr/>
        <w:t>положении</w:t>
      </w:r>
      <w:r>
        <w:rPr>
          <w:spacing w:val="-13"/>
        </w:rPr>
        <w:t> </w:t>
      </w:r>
      <w:r>
        <w:rPr/>
        <w:t>лежа</w:t>
      </w:r>
      <w:r>
        <w:rPr>
          <w:spacing w:val="-17"/>
        </w:rPr>
        <w:t> </w:t>
      </w:r>
      <w:r>
        <w:rPr/>
        <w:t>принимать</w:t>
      </w:r>
      <w:r>
        <w:rPr>
          <w:spacing w:val="-16"/>
        </w:rPr>
        <w:t> </w:t>
      </w:r>
      <w:r>
        <w:rPr/>
        <w:t>прон- позицию. Для пациентов с нарушением дренажной функции легких следует использовать метод постурального</w:t>
      </w:r>
      <w:r>
        <w:rPr>
          <w:spacing w:val="-1"/>
        </w:rPr>
        <w:t> </w:t>
      </w:r>
      <w:r>
        <w:rPr/>
        <w:t>дренажа.</w:t>
      </w:r>
    </w:p>
    <w:p>
      <w:pPr>
        <w:pStyle w:val="BodyText"/>
        <w:spacing w:line="276" w:lineRule="auto" w:before="14"/>
        <w:ind w:right="674" w:firstLine="708"/>
      </w:pPr>
      <w:r>
        <w:rPr/>
        <w:t>Общая нагрузка во время процедуры лечебной гимнастики определяется </w:t>
      </w:r>
      <w:r>
        <w:rPr>
          <w:position w:val="2"/>
        </w:rPr>
        <w:t>функциональными возможностями пациента, прежде всего это сатурация О</w:t>
      </w:r>
      <w:r>
        <w:rPr>
          <w:sz w:val="16"/>
        </w:rPr>
        <w:t>2 </w:t>
      </w:r>
      <w:r>
        <w:rPr>
          <w:position w:val="2"/>
        </w:rPr>
        <w:t>и оценка </w:t>
      </w:r>
      <w:r>
        <w:rPr/>
        <w:t>по шкале Борга.</w:t>
      </w:r>
    </w:p>
    <w:p>
      <w:pPr>
        <w:spacing w:after="0" w:line="276" w:lineRule="auto"/>
        <w:sectPr>
          <w:pgSz w:w="11920" w:h="16850"/>
          <w:pgMar w:header="0" w:footer="620" w:top="1060" w:bottom="880" w:left="1380" w:right="600"/>
        </w:sectPr>
      </w:pPr>
    </w:p>
    <w:p>
      <w:pPr>
        <w:pStyle w:val="BodyText"/>
        <w:spacing w:line="276" w:lineRule="auto" w:before="78"/>
        <w:ind w:right="675" w:firstLine="708"/>
      </w:pPr>
      <w:r>
        <w:rPr/>
        <w:t>Всем пациентам с COVID-19 нужно оценивать толерантность к физической нагрузке с использованием малонагрузочных проб (Штанге, Генчи, Серкина, Розенталя), в дальнейшем – модифицированного теста Мартине-Кушелевского. При выявлении нарушений необходимо проводить специальную тренировку.</w:t>
      </w:r>
    </w:p>
    <w:p>
      <w:pPr>
        <w:spacing w:line="276" w:lineRule="auto" w:before="15"/>
        <w:ind w:left="321" w:right="678" w:firstLine="708"/>
        <w:jc w:val="both"/>
        <w:rPr>
          <w:i/>
          <w:sz w:val="24"/>
        </w:rPr>
      </w:pPr>
      <w:r>
        <w:rPr>
          <w:b/>
          <w:i/>
          <w:sz w:val="24"/>
        </w:rPr>
        <w:t>Комментарий. </w:t>
      </w:r>
      <w:r>
        <w:rPr>
          <w:i/>
          <w:sz w:val="24"/>
        </w:rPr>
        <w:t>Высокоинтенсивные интервальные тренировки на 1 и 2</w:t>
      </w:r>
      <w:r>
        <w:rPr>
          <w:i/>
          <w:spacing w:val="-37"/>
          <w:sz w:val="24"/>
        </w:rPr>
        <w:t> </w:t>
      </w:r>
      <w:r>
        <w:rPr>
          <w:i/>
          <w:sz w:val="24"/>
        </w:rPr>
        <w:t>этапах </w:t>
      </w:r>
      <w:r>
        <w:rPr>
          <w:i/>
          <w:sz w:val="24"/>
        </w:rPr>
        <w:t>реабилитации не используются из‐за высокого риска контаминации</w:t>
      </w:r>
      <w:r>
        <w:rPr>
          <w:i/>
          <w:spacing w:val="-12"/>
          <w:sz w:val="24"/>
        </w:rPr>
        <w:t> </w:t>
      </w:r>
      <w:r>
        <w:rPr>
          <w:i/>
          <w:sz w:val="24"/>
        </w:rPr>
        <w:t>пространства.</w:t>
      </w:r>
    </w:p>
    <w:p>
      <w:pPr>
        <w:pStyle w:val="BodyText"/>
        <w:spacing w:line="276" w:lineRule="auto" w:before="13"/>
        <w:ind w:right="675" w:firstLine="708"/>
      </w:pPr>
      <w:r>
        <w:rPr/>
        <w:t>У</w:t>
      </w:r>
      <w:r>
        <w:rPr>
          <w:spacing w:val="-15"/>
        </w:rPr>
        <w:t> </w:t>
      </w:r>
      <w:r>
        <w:rPr/>
        <w:t>всех</w:t>
      </w:r>
      <w:r>
        <w:rPr>
          <w:spacing w:val="-13"/>
        </w:rPr>
        <w:t> </w:t>
      </w:r>
      <w:r>
        <w:rPr/>
        <w:t>пациентов</w:t>
      </w:r>
      <w:r>
        <w:rPr>
          <w:spacing w:val="-15"/>
        </w:rPr>
        <w:t> </w:t>
      </w:r>
      <w:r>
        <w:rPr/>
        <w:t>с</w:t>
      </w:r>
      <w:r>
        <w:rPr>
          <w:spacing w:val="-15"/>
        </w:rPr>
        <w:t> </w:t>
      </w:r>
      <w:r>
        <w:rPr/>
        <w:t>COVID-19</w:t>
      </w:r>
      <w:r>
        <w:rPr>
          <w:spacing w:val="-15"/>
        </w:rPr>
        <w:t> </w:t>
      </w:r>
      <w:r>
        <w:rPr/>
        <w:t>должен</w:t>
      </w:r>
      <w:r>
        <w:rPr>
          <w:spacing w:val="-13"/>
        </w:rPr>
        <w:t> </w:t>
      </w:r>
      <w:r>
        <w:rPr/>
        <w:t>быть</w:t>
      </w:r>
      <w:r>
        <w:rPr>
          <w:spacing w:val="-15"/>
        </w:rPr>
        <w:t> </w:t>
      </w:r>
      <w:r>
        <w:rPr/>
        <w:t>оценен</w:t>
      </w:r>
      <w:r>
        <w:rPr>
          <w:spacing w:val="-13"/>
        </w:rPr>
        <w:t> </w:t>
      </w:r>
      <w:r>
        <w:rPr/>
        <w:t>нутритивный</w:t>
      </w:r>
      <w:r>
        <w:rPr>
          <w:spacing w:val="-14"/>
        </w:rPr>
        <w:t> </w:t>
      </w:r>
      <w:r>
        <w:rPr/>
        <w:t>статус</w:t>
      </w:r>
      <w:r>
        <w:rPr>
          <w:spacing w:val="-13"/>
        </w:rPr>
        <w:t> </w:t>
      </w:r>
      <w:r>
        <w:rPr/>
        <w:t>и</w:t>
      </w:r>
      <w:r>
        <w:rPr>
          <w:spacing w:val="-14"/>
        </w:rPr>
        <w:t> </w:t>
      </w:r>
      <w:r>
        <w:rPr/>
        <w:t>индекс массы тела. При выявлении нутритивной недостаточности следует проводить эффективную нутритивную коррекцию с использованием перорального питания, питания маленькими глотками (сипинг), питания через назогастральный зонд или стому, либо парентерального питания в соответствии с показаниями. Первоначальная оценка должна включать критерии</w:t>
      </w:r>
      <w:r>
        <w:rPr>
          <w:spacing w:val="-2"/>
        </w:rPr>
        <w:t> </w:t>
      </w:r>
      <w:r>
        <w:rPr/>
        <w:t>NRS-2002.</w:t>
      </w:r>
    </w:p>
    <w:p>
      <w:pPr>
        <w:pStyle w:val="BodyText"/>
        <w:spacing w:line="276" w:lineRule="auto" w:before="13"/>
        <w:ind w:right="674" w:firstLine="708"/>
      </w:pPr>
      <w:r>
        <w:rPr/>
        <w:t>После нахождения в реанимации и аноксического повреждения у пациентов развивается   тревога,   посттравматическое    стрессовое    расстройство,    депрессия и когнитивные нарушения. Рекомендуется проводить тестирование с использованием Госпитальной шкалы тревоги и депрессии (Hospital Anxiety and Depression Scale, HADS).</w:t>
      </w:r>
      <w:r>
        <w:rPr>
          <w:spacing w:val="-13"/>
        </w:rPr>
        <w:t> </w:t>
      </w:r>
      <w:r>
        <w:rPr/>
        <w:t>При</w:t>
      </w:r>
      <w:r>
        <w:rPr>
          <w:spacing w:val="-11"/>
        </w:rPr>
        <w:t> </w:t>
      </w:r>
      <w:r>
        <w:rPr/>
        <w:t>оказании</w:t>
      </w:r>
      <w:r>
        <w:rPr>
          <w:spacing w:val="-12"/>
        </w:rPr>
        <w:t> </w:t>
      </w:r>
      <w:r>
        <w:rPr/>
        <w:t>помощи</w:t>
      </w:r>
      <w:r>
        <w:rPr>
          <w:spacing w:val="-11"/>
        </w:rPr>
        <w:t> </w:t>
      </w:r>
      <w:r>
        <w:rPr/>
        <w:t>пациентам</w:t>
      </w:r>
      <w:r>
        <w:rPr>
          <w:spacing w:val="-14"/>
        </w:rPr>
        <w:t> </w:t>
      </w:r>
      <w:r>
        <w:rPr/>
        <w:t>с</w:t>
      </w:r>
      <w:r>
        <w:rPr>
          <w:spacing w:val="-13"/>
        </w:rPr>
        <w:t> </w:t>
      </w:r>
      <w:r>
        <w:rPr/>
        <w:t>COVID-19</w:t>
      </w:r>
      <w:r>
        <w:rPr>
          <w:spacing w:val="-12"/>
        </w:rPr>
        <w:t> </w:t>
      </w:r>
      <w:r>
        <w:rPr/>
        <w:t>следует</w:t>
      </w:r>
      <w:r>
        <w:rPr>
          <w:spacing w:val="-12"/>
        </w:rPr>
        <w:t> </w:t>
      </w:r>
      <w:r>
        <w:rPr/>
        <w:t>принимать</w:t>
      </w:r>
      <w:r>
        <w:rPr>
          <w:spacing w:val="-11"/>
        </w:rPr>
        <w:t> </w:t>
      </w:r>
      <w:r>
        <w:rPr/>
        <w:t>во</w:t>
      </w:r>
      <w:r>
        <w:rPr>
          <w:spacing w:val="-13"/>
        </w:rPr>
        <w:t> </w:t>
      </w:r>
      <w:r>
        <w:rPr/>
        <w:t>внимание, что</w:t>
      </w:r>
      <w:r>
        <w:rPr>
          <w:spacing w:val="-18"/>
        </w:rPr>
        <w:t> </w:t>
      </w:r>
      <w:r>
        <w:rPr/>
        <w:t>они</w:t>
      </w:r>
      <w:r>
        <w:rPr>
          <w:spacing w:val="-18"/>
        </w:rPr>
        <w:t> </w:t>
      </w:r>
      <w:r>
        <w:rPr/>
        <w:t>исходно</w:t>
      </w:r>
      <w:r>
        <w:rPr>
          <w:spacing w:val="-17"/>
        </w:rPr>
        <w:t> </w:t>
      </w:r>
      <w:r>
        <w:rPr/>
        <w:t>могут</w:t>
      </w:r>
      <w:r>
        <w:rPr>
          <w:spacing w:val="-16"/>
        </w:rPr>
        <w:t> </w:t>
      </w:r>
      <w:r>
        <w:rPr/>
        <w:t>страдать</w:t>
      </w:r>
      <w:r>
        <w:rPr>
          <w:spacing w:val="-17"/>
        </w:rPr>
        <w:t> </w:t>
      </w:r>
      <w:r>
        <w:rPr/>
        <w:t>психическими</w:t>
      </w:r>
      <w:r>
        <w:rPr>
          <w:spacing w:val="-15"/>
        </w:rPr>
        <w:t> </w:t>
      </w:r>
      <w:r>
        <w:rPr/>
        <w:t>заболеваниями,</w:t>
      </w:r>
      <w:r>
        <w:rPr>
          <w:spacing w:val="-17"/>
        </w:rPr>
        <w:t> </w:t>
      </w:r>
      <w:r>
        <w:rPr/>
        <w:t>такими</w:t>
      </w:r>
      <w:r>
        <w:rPr>
          <w:spacing w:val="-19"/>
        </w:rPr>
        <w:t> </w:t>
      </w:r>
      <w:r>
        <w:rPr/>
        <w:t>как</w:t>
      </w:r>
      <w:r>
        <w:rPr>
          <w:spacing w:val="-16"/>
        </w:rPr>
        <w:t> </w:t>
      </w:r>
      <w:r>
        <w:rPr/>
        <w:t>шизофрения, аутизм, послеродовая депрессия, алкогольная или наркотическая зависимость, депрессия и т.п. Пациенты должны продолжать лечение и реабилитацию, которые получали ранее без перерывов. Это обеспечит безопасность персонала и поддержку поведенческого статуса пациентов.</w:t>
      </w:r>
    </w:p>
    <w:p>
      <w:pPr>
        <w:pStyle w:val="BodyText"/>
        <w:spacing w:line="276" w:lineRule="auto" w:before="16"/>
        <w:ind w:right="675" w:firstLine="708"/>
      </w:pPr>
      <w:r>
        <w:rPr/>
        <w:t>Рекомендуется обучение пациента самостоятельному осуществлению назначенной       индивидуальной        программы        медицинской        реабилитации с использованием видеоматериалов или телемедицинских и информационных технологий.</w:t>
      </w:r>
    </w:p>
    <w:p>
      <w:pPr>
        <w:pStyle w:val="BodyText"/>
        <w:spacing w:line="276" w:lineRule="auto"/>
        <w:ind w:right="675" w:firstLine="708"/>
      </w:pPr>
      <w:r>
        <w:rPr/>
        <w:t>«Стоп-сигналами» для проведения мероприятий по медицинской реабилитации на этапе лечения пациента с коронавирусной пневмонией в условиях круглосуточного стационара являются: температура выше 38 °С, усиление одышки; повышение ЧСС </w:t>
      </w:r>
      <w:r>
        <w:rPr>
          <w:position w:val="2"/>
        </w:rPr>
        <w:t>более 50% от исходной величины или снижение ЧСС при нагрузке; РО</w:t>
      </w:r>
      <w:r>
        <w:rPr>
          <w:sz w:val="16"/>
        </w:rPr>
        <w:t>2 </w:t>
      </w:r>
      <w:r>
        <w:rPr>
          <w:position w:val="2"/>
        </w:rPr>
        <w:t>&lt; 93% или </w:t>
      </w:r>
      <w:r>
        <w:rPr/>
        <w:t>снижение на 4 пункта во время осуществления перехода к самостоятельному дыханию без кислородной поддержки, чувство стеснения в груди, рвота, головокружение, головная боль, помутнение сознания, потливость, неспособность держать баланс, возникновение потребности в кислородной поддержке.</w:t>
      </w:r>
    </w:p>
    <w:p>
      <w:pPr>
        <w:pStyle w:val="BodyText"/>
        <w:spacing w:line="276" w:lineRule="auto"/>
        <w:ind w:right="674" w:firstLine="708"/>
      </w:pPr>
      <w:r>
        <w:rPr/>
        <w:t>Проведение всех реабилитационных  процедур обязательно должно включать  в себя тщательный контроль за состоянием пациента и наличием у него противопоказаний,</w:t>
      </w:r>
      <w:r>
        <w:rPr>
          <w:spacing w:val="-9"/>
        </w:rPr>
        <w:t> </w:t>
      </w:r>
      <w:r>
        <w:rPr/>
        <w:t>особенно</w:t>
      </w:r>
      <w:r>
        <w:rPr>
          <w:spacing w:val="-8"/>
        </w:rPr>
        <w:t> </w:t>
      </w:r>
      <w:r>
        <w:rPr/>
        <w:t>со</w:t>
      </w:r>
      <w:r>
        <w:rPr>
          <w:spacing w:val="-8"/>
        </w:rPr>
        <w:t> </w:t>
      </w:r>
      <w:r>
        <w:rPr/>
        <w:t>стороны</w:t>
      </w:r>
      <w:r>
        <w:rPr>
          <w:spacing w:val="-9"/>
        </w:rPr>
        <w:t> </w:t>
      </w:r>
      <w:r>
        <w:rPr/>
        <w:t>дыхательной</w:t>
      </w:r>
      <w:r>
        <w:rPr>
          <w:spacing w:val="-11"/>
        </w:rPr>
        <w:t> </w:t>
      </w:r>
      <w:r>
        <w:rPr/>
        <w:t>и</w:t>
      </w:r>
      <w:r>
        <w:rPr>
          <w:spacing w:val="-7"/>
        </w:rPr>
        <w:t> </w:t>
      </w:r>
      <w:r>
        <w:rPr/>
        <w:t>сердечно-сосудистой</w:t>
      </w:r>
      <w:r>
        <w:rPr>
          <w:spacing w:val="-7"/>
        </w:rPr>
        <w:t> </w:t>
      </w:r>
      <w:r>
        <w:rPr/>
        <w:t>системы. Рекомендуется организовать мониторинг сатурации  кислорода  у пациентов в покое, в том числе в ночное время, а по мере улучшения его состояния - при физической нагрузке (6-ти мутный тест-ходьба), оценка переносимости физической нагрузки по Шкале Борга, оценка силы мышц конечностей и туловища по шкале</w:t>
      </w:r>
      <w:r>
        <w:rPr>
          <w:spacing w:val="-6"/>
        </w:rPr>
        <w:t> </w:t>
      </w:r>
      <w:r>
        <w:rPr/>
        <w:t>MRC.</w:t>
      </w:r>
    </w:p>
    <w:p>
      <w:pPr>
        <w:spacing w:after="0" w:line="276" w:lineRule="auto"/>
        <w:sectPr>
          <w:pgSz w:w="11920" w:h="16850"/>
          <w:pgMar w:header="0" w:footer="620" w:top="1060" w:bottom="880" w:left="1380" w:right="600"/>
        </w:sectPr>
      </w:pPr>
    </w:p>
    <w:p>
      <w:pPr>
        <w:pStyle w:val="Heading3"/>
        <w:numPr>
          <w:ilvl w:val="2"/>
          <w:numId w:val="29"/>
        </w:numPr>
        <w:tabs>
          <w:tab w:pos="1630" w:val="left" w:leader="none"/>
        </w:tabs>
        <w:spacing w:line="259" w:lineRule="auto" w:before="78" w:after="0"/>
        <w:ind w:left="1029" w:right="878" w:firstLine="0"/>
        <w:jc w:val="both"/>
      </w:pPr>
      <w:bookmarkStart w:name="5.9.3. Медицинская реабилитация в услови" w:id="117"/>
      <w:bookmarkEnd w:id="117"/>
      <w:r>
        <w:rPr>
          <w:b w:val="0"/>
        </w:rPr>
      </w:r>
      <w:bookmarkStart w:name="5.9.3. Медицинская реабилитация в услови" w:id="118"/>
      <w:bookmarkEnd w:id="118"/>
      <w:r>
        <w:rPr>
          <w:color w:val="1F487C"/>
        </w:rPr>
        <w:t>М</w:t>
      </w:r>
      <w:r>
        <w:rPr>
          <w:color w:val="1F487C"/>
        </w:rPr>
        <w:t>едицинская реабилитация в условиях круглосуточного отделения медицинской реабилитации (2</w:t>
      </w:r>
      <w:r>
        <w:rPr>
          <w:color w:val="1F487C"/>
          <w:spacing w:val="-1"/>
        </w:rPr>
        <w:t> </w:t>
      </w:r>
      <w:r>
        <w:rPr>
          <w:color w:val="1F487C"/>
        </w:rPr>
        <w:t>этап)</w:t>
      </w:r>
    </w:p>
    <w:p>
      <w:pPr>
        <w:pStyle w:val="BodyText"/>
        <w:spacing w:line="276" w:lineRule="auto" w:before="119"/>
        <w:ind w:right="675" w:firstLine="708"/>
      </w:pPr>
      <w:r>
        <w:rPr/>
        <w:t>Наиболее перспективными для респираторной реабилитации являются первые два месяца после острого периода коронавирусной инфекции – это период терапевтического окна.</w:t>
      </w:r>
    </w:p>
    <w:p>
      <w:pPr>
        <w:pStyle w:val="BodyText"/>
        <w:spacing w:line="276" w:lineRule="auto" w:before="15"/>
        <w:ind w:right="674" w:firstLine="708"/>
      </w:pPr>
      <w:r>
        <w:rPr/>
        <w:t>Пациенты с COVID-19 должны быть обследованы для планирования индивидуальной программы медицинской реабилитации (ИПМР) и оценки безопасности планируемых реабилитационных мероприятий.</w:t>
      </w:r>
    </w:p>
    <w:p>
      <w:pPr>
        <w:pStyle w:val="BodyText"/>
        <w:spacing w:line="276" w:lineRule="auto" w:before="13"/>
        <w:ind w:right="674" w:firstLine="708"/>
      </w:pPr>
      <w:r>
        <w:rPr/>
        <w:t>Для оценки переносимости гипоксии рекомендуется использовать функциональные тесты Генчи, Штанге, упрощенный звуковой тест с произнесением цифр</w:t>
      </w:r>
      <w:r>
        <w:rPr>
          <w:spacing w:val="-11"/>
        </w:rPr>
        <w:t> </w:t>
      </w:r>
      <w:r>
        <w:rPr/>
        <w:t>на</w:t>
      </w:r>
      <w:r>
        <w:rPr>
          <w:spacing w:val="-10"/>
        </w:rPr>
        <w:t> </w:t>
      </w:r>
      <w:r>
        <w:rPr/>
        <w:t>спокойном</w:t>
      </w:r>
      <w:r>
        <w:rPr>
          <w:spacing w:val="-9"/>
        </w:rPr>
        <w:t> </w:t>
      </w:r>
      <w:r>
        <w:rPr/>
        <w:t>продолжительном</w:t>
      </w:r>
      <w:r>
        <w:rPr>
          <w:spacing w:val="-9"/>
        </w:rPr>
        <w:t> </w:t>
      </w:r>
      <w:r>
        <w:rPr/>
        <w:t>выдохе</w:t>
      </w:r>
      <w:r>
        <w:rPr>
          <w:spacing w:val="-9"/>
        </w:rPr>
        <w:t> </w:t>
      </w:r>
      <w:r>
        <w:rPr/>
        <w:t>(чем</w:t>
      </w:r>
      <w:r>
        <w:rPr>
          <w:spacing w:val="-9"/>
        </w:rPr>
        <w:t> </w:t>
      </w:r>
      <w:r>
        <w:rPr/>
        <w:t>больше</w:t>
      </w:r>
      <w:r>
        <w:rPr>
          <w:spacing w:val="-10"/>
        </w:rPr>
        <w:t> </w:t>
      </w:r>
      <w:r>
        <w:rPr/>
        <w:t>счет,</w:t>
      </w:r>
      <w:r>
        <w:rPr>
          <w:spacing w:val="-9"/>
        </w:rPr>
        <w:t> </w:t>
      </w:r>
      <w:r>
        <w:rPr/>
        <w:t>тем</w:t>
      </w:r>
      <w:r>
        <w:rPr>
          <w:spacing w:val="-9"/>
        </w:rPr>
        <w:t> </w:t>
      </w:r>
      <w:r>
        <w:rPr/>
        <w:t>лучше</w:t>
      </w:r>
      <w:r>
        <w:rPr>
          <w:spacing w:val="-10"/>
        </w:rPr>
        <w:t> </w:t>
      </w:r>
      <w:r>
        <w:rPr/>
        <w:t>показатель, но не менее 30), Серкина и</w:t>
      </w:r>
      <w:r>
        <w:rPr>
          <w:spacing w:val="-3"/>
        </w:rPr>
        <w:t> </w:t>
      </w:r>
      <w:r>
        <w:rPr/>
        <w:t>Розенталя.</w:t>
      </w:r>
    </w:p>
    <w:p>
      <w:pPr>
        <w:pStyle w:val="BodyText"/>
        <w:spacing w:line="276" w:lineRule="auto" w:before="14"/>
        <w:ind w:right="673" w:firstLine="708"/>
      </w:pPr>
      <w:r>
        <w:rPr/>
        <w:t>Для оценки переносимости физической нагрузки рекомендуется последовательно применять тест с шестиминутной ходьбой, кардиопульмональное нагрузочное тестирование (КПНТ) с газовым анализом на беговой дорожке или велоэргометре</w:t>
      </w:r>
      <w:r>
        <w:rPr>
          <w:spacing w:val="-14"/>
        </w:rPr>
        <w:t> </w:t>
      </w:r>
      <w:r>
        <w:rPr/>
        <w:t>с</w:t>
      </w:r>
      <w:r>
        <w:rPr>
          <w:spacing w:val="-14"/>
        </w:rPr>
        <w:t> </w:t>
      </w:r>
      <w:r>
        <w:rPr/>
        <w:t>использованием</w:t>
      </w:r>
      <w:r>
        <w:rPr>
          <w:spacing w:val="-13"/>
        </w:rPr>
        <w:t> </w:t>
      </w:r>
      <w:r>
        <w:rPr/>
        <w:t>рамп-протокол</w:t>
      </w:r>
      <w:r>
        <w:rPr>
          <w:spacing w:val="-13"/>
        </w:rPr>
        <w:t> </w:t>
      </w:r>
      <w:r>
        <w:rPr/>
        <w:t>со</w:t>
      </w:r>
      <w:r>
        <w:rPr>
          <w:spacing w:val="-12"/>
        </w:rPr>
        <w:t> </w:t>
      </w:r>
      <w:r>
        <w:rPr/>
        <w:t>ступенчато</w:t>
      </w:r>
      <w:r>
        <w:rPr>
          <w:spacing w:val="-13"/>
        </w:rPr>
        <w:t> </w:t>
      </w:r>
      <w:r>
        <w:rPr/>
        <w:t>нарастающей</w:t>
      </w:r>
      <w:r>
        <w:rPr>
          <w:spacing w:val="-12"/>
        </w:rPr>
        <w:t> </w:t>
      </w:r>
      <w:r>
        <w:rPr/>
        <w:t>нагрузкой от 10 до 30 ватт/мин. с предварительным расчетом прироста мощности с учетом возраста,    роста,    веса    и     пола    тестируемого,    сопутствующих    заболеваний   и противопоказаний.</w:t>
      </w:r>
    </w:p>
    <w:p>
      <w:pPr>
        <w:pStyle w:val="BodyText"/>
        <w:spacing w:line="276" w:lineRule="auto" w:before="16"/>
        <w:ind w:right="674" w:firstLine="708"/>
      </w:pPr>
      <w:r>
        <w:rPr/>
        <w:t>Рекомендуется   оценивать   периферическую    мышечную    силу    пациентов с</w:t>
      </w:r>
      <w:r>
        <w:rPr>
          <w:spacing w:val="-3"/>
        </w:rPr>
        <w:t> </w:t>
      </w:r>
      <w:r>
        <w:rPr/>
        <w:t>помощью</w:t>
      </w:r>
      <w:r>
        <w:rPr>
          <w:spacing w:val="-9"/>
        </w:rPr>
        <w:t> </w:t>
      </w:r>
      <w:r>
        <w:rPr/>
        <w:t>шкалы</w:t>
      </w:r>
      <w:r>
        <w:rPr>
          <w:spacing w:val="-12"/>
        </w:rPr>
        <w:t> </w:t>
      </w:r>
      <w:r>
        <w:rPr/>
        <w:t>MRC,</w:t>
      </w:r>
      <w:r>
        <w:rPr>
          <w:spacing w:val="-11"/>
        </w:rPr>
        <w:t> </w:t>
      </w:r>
      <w:r>
        <w:rPr/>
        <w:t>мануального</w:t>
      </w:r>
      <w:r>
        <w:rPr>
          <w:spacing w:val="-11"/>
        </w:rPr>
        <w:t> </w:t>
      </w:r>
      <w:r>
        <w:rPr/>
        <w:t>мышечного</w:t>
      </w:r>
      <w:r>
        <w:rPr>
          <w:spacing w:val="-11"/>
        </w:rPr>
        <w:t> </w:t>
      </w:r>
      <w:r>
        <w:rPr/>
        <w:t>теста,</w:t>
      </w:r>
      <w:r>
        <w:rPr>
          <w:spacing w:val="-11"/>
        </w:rPr>
        <w:t> </w:t>
      </w:r>
      <w:r>
        <w:rPr/>
        <w:t>изокинетического</w:t>
      </w:r>
      <w:r>
        <w:rPr>
          <w:spacing w:val="-11"/>
        </w:rPr>
        <w:t> </w:t>
      </w:r>
      <w:r>
        <w:rPr/>
        <w:t>мышечного теста и измерения диапазона движений</w:t>
      </w:r>
      <w:r>
        <w:rPr>
          <w:spacing w:val="-1"/>
        </w:rPr>
        <w:t> </w:t>
      </w:r>
      <w:r>
        <w:rPr/>
        <w:t>суставов.</w:t>
      </w:r>
    </w:p>
    <w:p>
      <w:pPr>
        <w:pStyle w:val="BodyText"/>
        <w:spacing w:line="276" w:lineRule="auto" w:before="12"/>
        <w:ind w:right="674" w:firstLine="708"/>
      </w:pPr>
      <w:r>
        <w:rPr/>
        <w:t>Индивидуальная программа медицинской реабилитации должна учитывать все меры    первичной    и     вторичной     индивидуальной     профилактики     тромбозов и тромбоэмболий, регресса клинической симптоматики пневмонии, проявлений нарушения функций сердца, головного мозга, почек и</w:t>
      </w:r>
      <w:r>
        <w:rPr>
          <w:spacing w:val="1"/>
        </w:rPr>
        <w:t> </w:t>
      </w:r>
      <w:r>
        <w:rPr/>
        <w:t>др.</w:t>
      </w:r>
    </w:p>
    <w:p>
      <w:pPr>
        <w:pStyle w:val="BodyText"/>
        <w:spacing w:line="276" w:lineRule="auto" w:before="15"/>
        <w:ind w:right="673" w:firstLine="708"/>
      </w:pPr>
      <w:r>
        <w:rPr/>
        <w:t>При выписке и переводе на второй и третий этап медицинской реабилитации необходимо оценить способность пациентов передвигаться безопасно самостоятельно. У пациентов может быть высокий риск падения, связанный с низкой толерантностью к физической нагрузке, общей слабостью и астенией, снижением силы из-за нейропатии или миопатии, страха падения, нарушения координации и атаксии. Скрининг падения проводится с использованием шкалы оценки риска падений Морзе или шкалы</w:t>
      </w:r>
      <w:r>
        <w:rPr>
          <w:spacing w:val="-1"/>
        </w:rPr>
        <w:t> </w:t>
      </w:r>
      <w:r>
        <w:rPr/>
        <w:t>Хендрика.</w:t>
      </w:r>
    </w:p>
    <w:p>
      <w:pPr>
        <w:pStyle w:val="BodyText"/>
        <w:spacing w:line="278" w:lineRule="auto" w:before="13"/>
        <w:ind w:right="676" w:firstLine="708"/>
      </w:pPr>
      <w:r>
        <w:rPr/>
        <w:t>По результатам исследования в ИПМР включаются стандартизированные мероприятия по профилактике риска падения пациента.</w:t>
      </w:r>
    </w:p>
    <w:p>
      <w:pPr>
        <w:pStyle w:val="BodyText"/>
        <w:spacing w:line="276" w:lineRule="auto" w:before="10"/>
        <w:ind w:right="674" w:firstLine="708"/>
      </w:pPr>
      <w:r>
        <w:rPr/>
        <w:t>В стационарном отделении медицинской реабилитации пациентов с COVID-19 реабилитационные</w:t>
      </w:r>
      <w:r>
        <w:rPr>
          <w:spacing w:val="-8"/>
        </w:rPr>
        <w:t> </w:t>
      </w:r>
      <w:r>
        <w:rPr/>
        <w:t>мероприятия</w:t>
      </w:r>
      <w:r>
        <w:rPr>
          <w:spacing w:val="-7"/>
        </w:rPr>
        <w:t> </w:t>
      </w:r>
      <w:r>
        <w:rPr/>
        <w:t>должны</w:t>
      </w:r>
      <w:r>
        <w:rPr>
          <w:spacing w:val="-7"/>
        </w:rPr>
        <w:t> </w:t>
      </w:r>
      <w:r>
        <w:rPr/>
        <w:t>быть</w:t>
      </w:r>
      <w:r>
        <w:rPr>
          <w:spacing w:val="-9"/>
        </w:rPr>
        <w:t> </w:t>
      </w:r>
      <w:r>
        <w:rPr/>
        <w:t>направлены</w:t>
      </w:r>
      <w:r>
        <w:rPr>
          <w:spacing w:val="-7"/>
        </w:rPr>
        <w:t> </w:t>
      </w:r>
      <w:r>
        <w:rPr/>
        <w:t>на</w:t>
      </w:r>
      <w:r>
        <w:rPr>
          <w:spacing w:val="-8"/>
        </w:rPr>
        <w:t> </w:t>
      </w:r>
      <w:r>
        <w:rPr/>
        <w:t>продолжение</w:t>
      </w:r>
      <w:r>
        <w:rPr>
          <w:spacing w:val="-6"/>
        </w:rPr>
        <w:t> </w:t>
      </w:r>
      <w:r>
        <w:rPr/>
        <w:t>улучшения вентиляции легких,  газообмена,  дренажной  функции  бронхов,  улучшению  крово-  и лимфообращения в пораженной доле/ях легкого, ускорение процессов рассасывания зон отека и/или  уплотнения легочной ткани при воспалительных и иных процессах    в ней, профилактику возникновения ателектазов, спаечного процесса, повышение общей выносливости пациентов, коррекцию мышечной слабости, преодолению стресса, беспокойства, депрессии, нормализацию</w:t>
      </w:r>
      <w:r>
        <w:rPr>
          <w:spacing w:val="-1"/>
        </w:rPr>
        <w:t> </w:t>
      </w:r>
      <w:r>
        <w:rPr/>
        <w:t>сна.</w:t>
      </w:r>
    </w:p>
    <w:p>
      <w:pPr>
        <w:spacing w:after="0" w:line="276" w:lineRule="auto"/>
        <w:sectPr>
          <w:pgSz w:w="11920" w:h="16850"/>
          <w:pgMar w:header="0" w:footer="620" w:top="1060" w:bottom="880" w:left="1380" w:right="600"/>
        </w:sectPr>
      </w:pPr>
    </w:p>
    <w:p>
      <w:pPr>
        <w:pStyle w:val="BodyText"/>
        <w:spacing w:line="276" w:lineRule="auto" w:before="78"/>
        <w:ind w:right="674" w:firstLine="708"/>
      </w:pPr>
      <w:r>
        <w:rPr/>
        <w:t>Для улучшения вентиляции и отхождения мокроты рекомендуется применение ингаляции муколитика с использованием индивидуального компрессорного ингалятора,   дренажных    положений    и    дренажных    дыхательных    упражнений с удлиненным форсированным выдохом в зависимости от тяжести состояния пациента и локализации</w:t>
      </w:r>
      <w:r>
        <w:rPr>
          <w:spacing w:val="1"/>
        </w:rPr>
        <w:t> </w:t>
      </w:r>
      <w:r>
        <w:rPr/>
        <w:t>процесса</w:t>
      </w:r>
    </w:p>
    <w:p>
      <w:pPr>
        <w:pStyle w:val="BodyText"/>
        <w:spacing w:line="276" w:lineRule="auto" w:before="14"/>
        <w:ind w:right="672" w:firstLine="708"/>
      </w:pPr>
      <w:r>
        <w:rPr/>
        <w:t>Пациентам рекомендуется выполнять дыхательные упражнения с постоянным или</w:t>
      </w:r>
      <w:r>
        <w:rPr>
          <w:spacing w:val="-16"/>
        </w:rPr>
        <w:t> </w:t>
      </w:r>
      <w:r>
        <w:rPr/>
        <w:t>прерывистым</w:t>
      </w:r>
      <w:r>
        <w:rPr>
          <w:spacing w:val="-17"/>
        </w:rPr>
        <w:t> </w:t>
      </w:r>
      <w:r>
        <w:rPr/>
        <w:t>положительным</w:t>
      </w:r>
      <w:r>
        <w:rPr>
          <w:spacing w:val="-16"/>
        </w:rPr>
        <w:t> </w:t>
      </w:r>
      <w:r>
        <w:rPr/>
        <w:t>давлением</w:t>
      </w:r>
      <w:r>
        <w:rPr>
          <w:spacing w:val="-17"/>
        </w:rPr>
        <w:t> </w:t>
      </w:r>
      <w:r>
        <w:rPr/>
        <w:t>на</w:t>
      </w:r>
      <w:r>
        <w:rPr>
          <w:spacing w:val="-17"/>
        </w:rPr>
        <w:t> </w:t>
      </w:r>
      <w:r>
        <w:rPr/>
        <w:t>выдохе,</w:t>
      </w:r>
      <w:r>
        <w:rPr>
          <w:spacing w:val="-16"/>
        </w:rPr>
        <w:t> </w:t>
      </w:r>
      <w:r>
        <w:rPr/>
        <w:t>создаваемым</w:t>
      </w:r>
      <w:r>
        <w:rPr>
          <w:spacing w:val="-17"/>
        </w:rPr>
        <w:t> </w:t>
      </w:r>
      <w:r>
        <w:rPr/>
        <w:t>аппаратами</w:t>
      </w:r>
      <w:r>
        <w:rPr>
          <w:spacing w:val="-16"/>
        </w:rPr>
        <w:t> </w:t>
      </w:r>
      <w:r>
        <w:rPr/>
        <w:t>типа CPAP, BiPAP, дыхательными тренажеры PEP, аппаратом Фролова, PARI</w:t>
      </w:r>
      <w:r>
        <w:rPr>
          <w:spacing w:val="-15"/>
        </w:rPr>
        <w:t> </w:t>
      </w:r>
      <w:r>
        <w:rPr/>
        <w:t>O-PEP.</w:t>
      </w:r>
    </w:p>
    <w:p>
      <w:pPr>
        <w:pStyle w:val="BodyText"/>
        <w:spacing w:line="276" w:lineRule="auto" w:before="15"/>
        <w:ind w:right="676" w:firstLine="708"/>
      </w:pPr>
      <w:r>
        <w:rPr/>
        <w:t>С целью улучшения аэрации легких, эластичности легочной ткани и бронхов рекомендуется       использование       элементов       дыхательной        гимнастики   А.Н. Стрельниковой, полного дыхания йогов,</w:t>
      </w:r>
      <w:r>
        <w:rPr>
          <w:spacing w:val="-4"/>
        </w:rPr>
        <w:t> </w:t>
      </w:r>
      <w:r>
        <w:rPr/>
        <w:t>Цигун-терапии.</w:t>
      </w:r>
    </w:p>
    <w:p>
      <w:pPr>
        <w:pStyle w:val="BodyText"/>
        <w:spacing w:line="276" w:lineRule="auto" w:before="13"/>
        <w:ind w:right="674" w:firstLine="708"/>
      </w:pPr>
      <w:r>
        <w:rPr/>
        <w:t>Рекомендуется в комплекс реабилитационных мероприятий включать мобилизацию грудной клетки и ребер методами мануальной терапии, остеопатии, миофасциальный релиз дыхательных мышц, коррекцию мышечных триггеров дыхательной мускулатуры.</w:t>
      </w:r>
    </w:p>
    <w:p>
      <w:pPr>
        <w:pStyle w:val="BodyText"/>
        <w:spacing w:line="276" w:lineRule="auto" w:before="14"/>
        <w:ind w:right="674" w:firstLine="708"/>
      </w:pPr>
      <w:r>
        <w:rPr/>
        <w:t>С пациентами, не восстановившими способность самостоятельно поддерживать большую часть активного времени суток в вертикальном положении, рекомендуется проведение мероприятий по вертикализации в соответствии с протоколом, разработанным Союзом реабилитологов России и Федерацией анестезиологов- реаниматологов.</w:t>
      </w:r>
    </w:p>
    <w:p>
      <w:pPr>
        <w:pStyle w:val="BodyText"/>
        <w:spacing w:line="276" w:lineRule="auto" w:before="14"/>
        <w:ind w:right="677" w:firstLine="708"/>
      </w:pPr>
      <w:r>
        <w:rPr/>
        <w:t>Рекомендуется проведение упражнений, развивающих силу и силовую выносливость ведущих мышечных групп, направленных на восстановление основных двигательных навыков и активности, характерных для пациента до заболевания. При выполнении всех упражнений, связанных с ходьбой по лестнице, должны учитывать состояние коленных и тазобедренных суставов, а также массу тела пациента.</w:t>
      </w:r>
    </w:p>
    <w:p>
      <w:pPr>
        <w:pStyle w:val="BodyText"/>
        <w:spacing w:line="276" w:lineRule="auto" w:before="14"/>
        <w:ind w:right="675" w:firstLine="708"/>
      </w:pPr>
      <w:r>
        <w:rPr/>
        <w:t>Всем  пациентам  с   COVID-19   при   выявлении   нарушений   толерантности к нагрузкам необходимо проводить специальную тренировку для ее</w:t>
      </w:r>
      <w:r>
        <w:rPr>
          <w:spacing w:val="-14"/>
        </w:rPr>
        <w:t> </w:t>
      </w:r>
      <w:r>
        <w:rPr/>
        <w:t>восстановления.</w:t>
      </w:r>
    </w:p>
    <w:p>
      <w:pPr>
        <w:pStyle w:val="BodyText"/>
        <w:spacing w:line="276" w:lineRule="auto" w:before="13"/>
        <w:ind w:right="675" w:firstLine="708"/>
      </w:pPr>
      <w:r>
        <w:rPr/>
        <w:t>Чтобы исключить кислородную десатурацию как причину одышки при выполнении аэробных упражнений, пациентам с пониженной насыщенностью кислородом следует давать дополнительный кислород (как правило, если показатель </w:t>
      </w:r>
      <w:r>
        <w:rPr>
          <w:position w:val="2"/>
        </w:rPr>
        <w:t>SpO</w:t>
      </w:r>
      <w:r>
        <w:rPr>
          <w:sz w:val="16"/>
        </w:rPr>
        <w:t>2 </w:t>
      </w:r>
      <w:r>
        <w:rPr>
          <w:position w:val="2"/>
        </w:rPr>
        <w:t>&lt; 90%).</w:t>
      </w:r>
    </w:p>
    <w:p>
      <w:pPr>
        <w:pStyle w:val="BodyText"/>
        <w:spacing w:line="276" w:lineRule="auto" w:before="12"/>
        <w:ind w:right="673" w:firstLine="708"/>
      </w:pPr>
      <w:r>
        <w:rPr/>
        <w:t>Для  увеличения  мышечной  силы  рекомендуются  использовать  тренировки  с отягощениями, в которых используются относительно большие веса (60-70% от максимального веса, продемонстрированного в одной попытке (1 ПМ)) и небольшое количество</w:t>
      </w:r>
      <w:r>
        <w:rPr>
          <w:spacing w:val="-6"/>
        </w:rPr>
        <w:t> </w:t>
      </w:r>
      <w:r>
        <w:rPr/>
        <w:t>повторений</w:t>
      </w:r>
      <w:r>
        <w:rPr>
          <w:spacing w:val="-8"/>
        </w:rPr>
        <w:t> </w:t>
      </w:r>
      <w:r>
        <w:rPr/>
        <w:t>(8-15</w:t>
      </w:r>
      <w:r>
        <w:rPr>
          <w:spacing w:val="-4"/>
        </w:rPr>
        <w:t> </w:t>
      </w:r>
      <w:r>
        <w:rPr/>
        <w:t>повторений),</w:t>
      </w:r>
      <w:r>
        <w:rPr>
          <w:spacing w:val="-5"/>
        </w:rPr>
        <w:t> </w:t>
      </w:r>
      <w:r>
        <w:rPr/>
        <w:t>которые</w:t>
      </w:r>
      <w:r>
        <w:rPr>
          <w:spacing w:val="-7"/>
        </w:rPr>
        <w:t> </w:t>
      </w:r>
      <w:r>
        <w:rPr/>
        <w:t>следует</w:t>
      </w:r>
      <w:r>
        <w:rPr>
          <w:spacing w:val="-6"/>
        </w:rPr>
        <w:t> </w:t>
      </w:r>
      <w:r>
        <w:rPr/>
        <w:t>выполнять</w:t>
      </w:r>
      <w:r>
        <w:rPr>
          <w:spacing w:val="-5"/>
        </w:rPr>
        <w:t> </w:t>
      </w:r>
      <w:r>
        <w:rPr/>
        <w:t>несколько</w:t>
      </w:r>
      <w:r>
        <w:rPr>
          <w:spacing w:val="-5"/>
        </w:rPr>
        <w:t> </w:t>
      </w:r>
      <w:r>
        <w:rPr/>
        <w:t>раз</w:t>
      </w:r>
      <w:r>
        <w:rPr>
          <w:spacing w:val="-5"/>
        </w:rPr>
        <w:t> </w:t>
      </w:r>
      <w:r>
        <w:rPr/>
        <w:t>в день (от двух до четырех подходов, с интенсивностью от 50% до 85% от максимума) 2-3 раза в</w:t>
      </w:r>
      <w:r>
        <w:rPr>
          <w:spacing w:val="-3"/>
        </w:rPr>
        <w:t> </w:t>
      </w:r>
      <w:r>
        <w:rPr/>
        <w:t>неделю.</w:t>
      </w:r>
    </w:p>
    <w:p>
      <w:pPr>
        <w:pStyle w:val="BodyText"/>
        <w:spacing w:line="276" w:lineRule="auto" w:before="14"/>
        <w:ind w:right="676" w:firstLine="708"/>
      </w:pPr>
      <w:r>
        <w:rPr/>
        <w:t>Для увеличения выносливости мышц конечностей и устойчивости к мышечной усталости  рекомендованы  тренировки  с  меньшим  весом  (45-65%   от  1  ПМ),  но   с большим количеством повторений (15-25</w:t>
      </w:r>
      <w:r>
        <w:rPr>
          <w:spacing w:val="-3"/>
        </w:rPr>
        <w:t> </w:t>
      </w:r>
      <w:r>
        <w:rPr/>
        <w:t>повторений).</w:t>
      </w:r>
    </w:p>
    <w:p>
      <w:pPr>
        <w:pStyle w:val="BodyText"/>
        <w:spacing w:line="276" w:lineRule="auto" w:before="15"/>
        <w:ind w:right="674" w:firstLine="708"/>
      </w:pPr>
      <w:r>
        <w:rPr/>
        <w:t>Рекомендуется проведение нормоксической гипокситерапии с целью насыщения</w:t>
      </w:r>
      <w:r>
        <w:rPr>
          <w:spacing w:val="-18"/>
        </w:rPr>
        <w:t> </w:t>
      </w:r>
      <w:r>
        <w:rPr/>
        <w:t>тканей</w:t>
      </w:r>
      <w:r>
        <w:rPr>
          <w:spacing w:val="-16"/>
        </w:rPr>
        <w:t> </w:t>
      </w:r>
      <w:r>
        <w:rPr/>
        <w:t>кислородом,</w:t>
      </w:r>
      <w:r>
        <w:rPr>
          <w:spacing w:val="-15"/>
        </w:rPr>
        <w:t> </w:t>
      </w:r>
      <w:r>
        <w:rPr/>
        <w:t>увеличения</w:t>
      </w:r>
      <w:r>
        <w:rPr>
          <w:spacing w:val="-17"/>
        </w:rPr>
        <w:t> </w:t>
      </w:r>
      <w:r>
        <w:rPr/>
        <w:t>органного</w:t>
      </w:r>
      <w:r>
        <w:rPr>
          <w:spacing w:val="-17"/>
        </w:rPr>
        <w:t> </w:t>
      </w:r>
      <w:r>
        <w:rPr/>
        <w:t>кровотока,</w:t>
      </w:r>
      <w:r>
        <w:rPr>
          <w:spacing w:val="-15"/>
        </w:rPr>
        <w:t> </w:t>
      </w:r>
      <w:r>
        <w:rPr/>
        <w:t>улучшения</w:t>
      </w:r>
      <w:r>
        <w:rPr>
          <w:spacing w:val="-17"/>
        </w:rPr>
        <w:t> </w:t>
      </w:r>
      <w:r>
        <w:rPr/>
        <w:t>тканевого дыхания и уменьшения альвеолярной гипоксии с учетом противопоказаний к</w:t>
      </w:r>
      <w:r>
        <w:rPr>
          <w:spacing w:val="-11"/>
        </w:rPr>
        <w:t> </w:t>
      </w:r>
      <w:r>
        <w:rPr>
          <w:spacing w:val="-3"/>
        </w:rPr>
        <w:t>методу.</w:t>
      </w:r>
    </w:p>
    <w:p>
      <w:pPr>
        <w:spacing w:after="0" w:line="276" w:lineRule="auto"/>
        <w:sectPr>
          <w:pgSz w:w="11920" w:h="16850"/>
          <w:pgMar w:header="0" w:footer="620" w:top="1060" w:bottom="880" w:left="1380" w:right="600"/>
        </w:sectPr>
      </w:pPr>
    </w:p>
    <w:p>
      <w:pPr>
        <w:pStyle w:val="BodyText"/>
        <w:spacing w:line="276" w:lineRule="auto" w:before="78"/>
        <w:ind w:right="673" w:firstLine="708"/>
      </w:pPr>
      <w:r>
        <w:rPr/>
        <w:t>Рекомендуется выбирать неконтактные методики физиотерапии для включения в ИПМР. Методика физиотерапии может быть применена при условии соблюдения следующих  требований:   физиотерапевтическое   вмешательство   можно   провести  в палате, методика является бесконтактной либо возможна дезинфекция частей оборудования, которая вступает в физический контакт с</w:t>
      </w:r>
      <w:r>
        <w:rPr>
          <w:spacing w:val="-6"/>
        </w:rPr>
        <w:t> </w:t>
      </w:r>
      <w:r>
        <w:rPr/>
        <w:t>пациентом.</w:t>
      </w:r>
    </w:p>
    <w:p>
      <w:pPr>
        <w:pStyle w:val="BodyText"/>
        <w:spacing w:line="276" w:lineRule="auto" w:before="14"/>
        <w:ind w:right="673" w:firstLine="708"/>
      </w:pPr>
      <w:r>
        <w:rPr/>
        <w:t>С</w:t>
      </w:r>
      <w:r>
        <w:rPr>
          <w:spacing w:val="-8"/>
        </w:rPr>
        <w:t> </w:t>
      </w:r>
      <w:r>
        <w:rPr/>
        <w:t>12-14</w:t>
      </w:r>
      <w:r>
        <w:rPr>
          <w:spacing w:val="-9"/>
        </w:rPr>
        <w:t> </w:t>
      </w:r>
      <w:r>
        <w:rPr/>
        <w:t>дня</w:t>
      </w:r>
      <w:r>
        <w:rPr>
          <w:spacing w:val="-9"/>
        </w:rPr>
        <w:t> </w:t>
      </w:r>
      <w:r>
        <w:rPr/>
        <w:t>заболевания</w:t>
      </w:r>
      <w:r>
        <w:rPr>
          <w:spacing w:val="-8"/>
        </w:rPr>
        <w:t> </w:t>
      </w:r>
      <w:r>
        <w:rPr/>
        <w:t>при</w:t>
      </w:r>
      <w:r>
        <w:rPr>
          <w:spacing w:val="-8"/>
        </w:rPr>
        <w:t> </w:t>
      </w:r>
      <w:r>
        <w:rPr/>
        <w:t>отсутствии</w:t>
      </w:r>
      <w:r>
        <w:rPr>
          <w:spacing w:val="-7"/>
        </w:rPr>
        <w:t> </w:t>
      </w:r>
      <w:r>
        <w:rPr/>
        <w:t>осложнений</w:t>
      </w:r>
      <w:r>
        <w:rPr>
          <w:spacing w:val="-7"/>
        </w:rPr>
        <w:t> </w:t>
      </w:r>
      <w:r>
        <w:rPr/>
        <w:t>(бронхоэктазы,</w:t>
      </w:r>
      <w:r>
        <w:rPr>
          <w:spacing w:val="-9"/>
        </w:rPr>
        <w:t> </w:t>
      </w:r>
      <w:r>
        <w:rPr/>
        <w:t>ателектазы и др.) при соблюдении показаний и противопоказаний, рекомендовано применение индивидуально дозированной аэроионотерапии, инфракрасного лазерного излучения  с длиной волны 0,89-1,2 мкм, полихроматического поляризованного света, распространяющегося в параллельных плоскостях, обладающего высокой степенью поляризации (&gt;95%).</w:t>
      </w:r>
    </w:p>
    <w:p>
      <w:pPr>
        <w:pStyle w:val="BodyText"/>
        <w:spacing w:line="276" w:lineRule="auto" w:before="13"/>
        <w:ind w:right="676" w:firstLine="708"/>
      </w:pPr>
      <w:r>
        <w:rPr/>
        <w:t>Рекомендуется проведение индивидуальных мероприятий по психологической коррекции  и  психотерапии  пациентов,  семьи  и  близких  пациента  в  том  числе     в дистанционной форме для профилактики развития пост стрессовых расстройств, депрессии, патологических зависимостей и психосоматических</w:t>
      </w:r>
      <w:r>
        <w:rPr>
          <w:spacing w:val="-2"/>
        </w:rPr>
        <w:t> </w:t>
      </w:r>
      <w:r>
        <w:rPr/>
        <w:t>нарушений.</w:t>
      </w:r>
    </w:p>
    <w:p>
      <w:pPr>
        <w:pStyle w:val="BodyText"/>
        <w:spacing w:line="276" w:lineRule="auto" w:before="15"/>
        <w:ind w:right="675" w:firstLine="708"/>
      </w:pPr>
      <w:r>
        <w:rPr/>
        <w:t>Все пациенты с COVID-19 должны быть оценены для определения потребности в эрготерапии. Эрготерапия должна быть предоставлена всем пациентам, кто в ней нуждается.</w:t>
      </w:r>
    </w:p>
    <w:p>
      <w:pPr>
        <w:pStyle w:val="BodyText"/>
        <w:spacing w:line="276" w:lineRule="auto" w:before="15"/>
        <w:ind w:right="673" w:firstLine="708"/>
      </w:pPr>
      <w:r>
        <w:rPr/>
        <w:t>Проведение реабилитационных процедур обязательно должно включать в себя тщательный контроль за состоянием пациента и наличием у него противопоказаний, особенно со стороны дыхательной и сердечно-сосудистой системы. Рекомендуется организовать мониторинг сатурации  кислорода  у  пациентов  в  покое,  в  том  числе в ночное время, а по мере улучшения его состояния  -  при  физической  нагрузке  (6-ти мутный тест-ходьба, СЛФН).</w:t>
      </w:r>
    </w:p>
    <w:p>
      <w:pPr>
        <w:pStyle w:val="BodyText"/>
        <w:spacing w:line="276" w:lineRule="auto" w:before="13"/>
        <w:ind w:right="674" w:firstLine="772"/>
      </w:pPr>
      <w:r>
        <w:rPr/>
        <w:t>«Стоп-сигналами»</w:t>
      </w:r>
      <w:r>
        <w:rPr>
          <w:spacing w:val="-16"/>
        </w:rPr>
        <w:t> </w:t>
      </w:r>
      <w:r>
        <w:rPr/>
        <w:t>для</w:t>
      </w:r>
      <w:r>
        <w:rPr>
          <w:spacing w:val="-7"/>
        </w:rPr>
        <w:t> </w:t>
      </w:r>
      <w:r>
        <w:rPr/>
        <w:t>проведения</w:t>
      </w:r>
      <w:r>
        <w:rPr>
          <w:spacing w:val="-8"/>
        </w:rPr>
        <w:t> </w:t>
      </w:r>
      <w:r>
        <w:rPr/>
        <w:t>мероприятий</w:t>
      </w:r>
      <w:r>
        <w:rPr>
          <w:spacing w:val="-9"/>
        </w:rPr>
        <w:t> </w:t>
      </w:r>
      <w:r>
        <w:rPr/>
        <w:t>по</w:t>
      </w:r>
      <w:r>
        <w:rPr>
          <w:spacing w:val="-7"/>
        </w:rPr>
        <w:t> </w:t>
      </w:r>
      <w:r>
        <w:rPr/>
        <w:t>медицинской</w:t>
      </w:r>
      <w:r>
        <w:rPr>
          <w:spacing w:val="-7"/>
        </w:rPr>
        <w:t> </w:t>
      </w:r>
      <w:r>
        <w:rPr/>
        <w:t>реабилитации на этапе лечения пациента с коронавирусной пневмонией в условиях круглосуточного отделения медицинской реабилитации являются: температура выше 38 °С, усиление одышки; повышение ЧСС более 50% от исходной величины или снижение ЧСС </w:t>
      </w:r>
      <w:r>
        <w:rPr>
          <w:spacing w:val="-3"/>
        </w:rPr>
        <w:t>при </w:t>
      </w:r>
      <w:r>
        <w:rPr>
          <w:position w:val="2"/>
        </w:rPr>
        <w:t>нагрузке; РО</w:t>
      </w:r>
      <w:r>
        <w:rPr>
          <w:sz w:val="16"/>
        </w:rPr>
        <w:t>2 </w:t>
      </w:r>
      <w:r>
        <w:rPr>
          <w:position w:val="2"/>
        </w:rPr>
        <w:t>&lt; 90% или снижение на 4 пункта во время выполнения </w:t>
      </w:r>
      <w:r>
        <w:rPr/>
        <w:t>реабилитационных</w:t>
      </w:r>
      <w:r>
        <w:rPr>
          <w:spacing w:val="-7"/>
        </w:rPr>
        <w:t> </w:t>
      </w:r>
      <w:r>
        <w:rPr/>
        <w:t>мероприятий,</w:t>
      </w:r>
      <w:r>
        <w:rPr>
          <w:spacing w:val="-9"/>
        </w:rPr>
        <w:t> </w:t>
      </w:r>
      <w:r>
        <w:rPr/>
        <w:t>ЧД</w:t>
      </w:r>
      <w:r>
        <w:rPr>
          <w:spacing w:val="-9"/>
        </w:rPr>
        <w:t> </w:t>
      </w:r>
      <w:r>
        <w:rPr>
          <w:rFonts w:ascii="Symbol" w:hAnsi="Symbol"/>
        </w:rPr>
        <w:t></w:t>
      </w:r>
      <w:r>
        <w:rPr>
          <w:spacing w:val="-8"/>
        </w:rPr>
        <w:t> </w:t>
      </w:r>
      <w:r>
        <w:rPr/>
        <w:t>25,</w:t>
      </w:r>
      <w:r>
        <w:rPr>
          <w:spacing w:val="-9"/>
        </w:rPr>
        <w:t> </w:t>
      </w:r>
      <w:r>
        <w:rPr/>
        <w:t>чувство</w:t>
      </w:r>
      <w:r>
        <w:rPr>
          <w:spacing w:val="-9"/>
        </w:rPr>
        <w:t> </w:t>
      </w:r>
      <w:r>
        <w:rPr/>
        <w:t>стеснения</w:t>
      </w:r>
      <w:r>
        <w:rPr>
          <w:spacing w:val="-9"/>
        </w:rPr>
        <w:t> </w:t>
      </w:r>
      <w:r>
        <w:rPr/>
        <w:t>в</w:t>
      </w:r>
      <w:r>
        <w:rPr>
          <w:spacing w:val="-9"/>
        </w:rPr>
        <w:t> </w:t>
      </w:r>
      <w:r>
        <w:rPr/>
        <w:t>груди,</w:t>
      </w:r>
      <w:r>
        <w:rPr>
          <w:spacing w:val="-9"/>
        </w:rPr>
        <w:t> </w:t>
      </w:r>
      <w:r>
        <w:rPr/>
        <w:t>головокружение, головная боль, помутнение сознания, потливость, чувство нехватки</w:t>
      </w:r>
      <w:r>
        <w:rPr>
          <w:spacing w:val="-7"/>
        </w:rPr>
        <w:t> </w:t>
      </w:r>
      <w:r>
        <w:rPr/>
        <w:t>воздуха.</w:t>
      </w:r>
    </w:p>
    <w:p>
      <w:pPr>
        <w:pStyle w:val="BodyText"/>
        <w:spacing w:before="7"/>
        <w:ind w:left="0"/>
        <w:jc w:val="left"/>
        <w:rPr>
          <w:sz w:val="20"/>
        </w:rPr>
      </w:pPr>
    </w:p>
    <w:p>
      <w:pPr>
        <w:pStyle w:val="Heading3"/>
        <w:numPr>
          <w:ilvl w:val="2"/>
          <w:numId w:val="29"/>
        </w:numPr>
        <w:tabs>
          <w:tab w:pos="1630" w:val="left" w:leader="none"/>
        </w:tabs>
        <w:spacing w:line="259" w:lineRule="auto" w:before="0" w:after="0"/>
        <w:ind w:left="1029" w:right="1016" w:firstLine="0"/>
        <w:jc w:val="left"/>
      </w:pPr>
      <w:bookmarkStart w:name="5.9.4. Медицинская реабилитация в услови" w:id="119"/>
      <w:bookmarkEnd w:id="119"/>
      <w:r>
        <w:rPr>
          <w:b w:val="0"/>
        </w:rPr>
      </w:r>
      <w:bookmarkStart w:name="5.9.4. Медицинская реабилитация в услови" w:id="120"/>
      <w:bookmarkEnd w:id="120"/>
      <w:r>
        <w:rPr>
          <w:color w:val="1F487C"/>
        </w:rPr>
        <w:t>М</w:t>
      </w:r>
      <w:r>
        <w:rPr>
          <w:color w:val="1F487C"/>
        </w:rPr>
        <w:t>едицинская реабилитация в условиях отделения медицинской реабилитации дневного стационара или амбулаторно-поликлинической медицинской организации (3</w:t>
      </w:r>
      <w:r>
        <w:rPr>
          <w:color w:val="1F487C"/>
          <w:spacing w:val="-1"/>
        </w:rPr>
        <w:t> </w:t>
      </w:r>
      <w:r>
        <w:rPr>
          <w:color w:val="1F487C"/>
        </w:rPr>
        <w:t>этап)</w:t>
      </w:r>
    </w:p>
    <w:p>
      <w:pPr>
        <w:pStyle w:val="BodyText"/>
        <w:spacing w:line="276" w:lineRule="auto" w:before="118"/>
        <w:ind w:right="673" w:firstLine="708"/>
      </w:pPr>
      <w:r>
        <w:rPr/>
        <w:t>Учитывая распространенность коронавирусной инфекции, продолжительность лечения в специализированном стационаре и стационаре медицинской реабилитации, длительное вирусоносительство и выраженное снижение функций организма, значительно ограничивающее активность и участие пациента с COVID-19, рекомендуется, на сколько возможно, проводить мероприятия по медицинской реабилитации 3 этапа дистанционно с использованием телемедицинских технологий. Рекомендовано ограничить число процедур, для которых необходимо посещение пациентом поликлиник или стационара дневного пребывания.</w:t>
      </w:r>
    </w:p>
    <w:p>
      <w:pPr>
        <w:spacing w:after="0" w:line="276" w:lineRule="auto"/>
        <w:sectPr>
          <w:pgSz w:w="11920" w:h="16850"/>
          <w:pgMar w:header="0" w:footer="620" w:top="1060" w:bottom="880" w:left="1380" w:right="600"/>
        </w:sectPr>
      </w:pPr>
    </w:p>
    <w:p>
      <w:pPr>
        <w:pStyle w:val="BodyText"/>
        <w:spacing w:line="276" w:lineRule="auto" w:before="78"/>
        <w:ind w:right="675" w:firstLine="708"/>
      </w:pPr>
      <w:r>
        <w:rPr/>
        <w:t>Рекомендуется структурировать программу реабилитационных мероприятий пациентов в домашних условиях с приоритетом на восстановление показателей дыхательной системы, и толерантности к физическим нагрузкам, в режиме нарастающей нагрузки с клиническим контролем состояния.</w:t>
      </w:r>
    </w:p>
    <w:p>
      <w:pPr>
        <w:pStyle w:val="BodyText"/>
        <w:spacing w:line="276" w:lineRule="auto" w:before="15"/>
        <w:ind w:right="674" w:firstLine="708"/>
      </w:pPr>
      <w:r>
        <w:rPr/>
        <w:t>Пациентам, которые получают долговременную не инвазивную вентиляцию легких по месту жительства по поводу хронической дыхательной недостаточности, должна быть предоставлена возможность заниматься с дополнительной кислородной поддержкой во время занятий лечебной физкультурой, если это приемлемо для пациента.</w:t>
      </w:r>
      <w:r>
        <w:rPr>
          <w:spacing w:val="-7"/>
        </w:rPr>
        <w:t> </w:t>
      </w:r>
      <w:r>
        <w:rPr/>
        <w:t>Не</w:t>
      </w:r>
      <w:r>
        <w:rPr>
          <w:spacing w:val="-8"/>
        </w:rPr>
        <w:t> </w:t>
      </w:r>
      <w:r>
        <w:rPr/>
        <w:t>следует</w:t>
      </w:r>
      <w:r>
        <w:rPr>
          <w:spacing w:val="-6"/>
        </w:rPr>
        <w:t> </w:t>
      </w:r>
      <w:r>
        <w:rPr/>
        <w:t>проводить</w:t>
      </w:r>
      <w:r>
        <w:rPr>
          <w:spacing w:val="-6"/>
        </w:rPr>
        <w:t> </w:t>
      </w:r>
      <w:r>
        <w:rPr/>
        <w:t>долговременную</w:t>
      </w:r>
      <w:r>
        <w:rPr>
          <w:spacing w:val="-3"/>
        </w:rPr>
        <w:t> </w:t>
      </w:r>
      <w:r>
        <w:rPr/>
        <w:t>не</w:t>
      </w:r>
      <w:r>
        <w:rPr>
          <w:spacing w:val="-8"/>
        </w:rPr>
        <w:t> </w:t>
      </w:r>
      <w:r>
        <w:rPr/>
        <w:t>инвазивную</w:t>
      </w:r>
      <w:r>
        <w:rPr>
          <w:spacing w:val="-3"/>
        </w:rPr>
        <w:t> </w:t>
      </w:r>
      <w:r>
        <w:rPr/>
        <w:t>вентиляцию</w:t>
      </w:r>
      <w:r>
        <w:rPr>
          <w:spacing w:val="-7"/>
        </w:rPr>
        <w:t> </w:t>
      </w:r>
      <w:r>
        <w:rPr/>
        <w:t>по</w:t>
      </w:r>
      <w:r>
        <w:rPr>
          <w:spacing w:val="-7"/>
        </w:rPr>
        <w:t> </w:t>
      </w:r>
      <w:r>
        <w:rPr/>
        <w:t>месту жительства с единственной целью улучшения результатов во время легочной реабилитации.</w:t>
      </w:r>
    </w:p>
    <w:p>
      <w:pPr>
        <w:pStyle w:val="BodyText"/>
        <w:spacing w:line="276" w:lineRule="auto" w:before="12"/>
        <w:ind w:right="673" w:firstLine="708"/>
      </w:pPr>
      <w:r>
        <w:rPr/>
        <w:t>Рекомендуется по показаниям продолжить использование дыхательных упражнений с постоянным или прерывистым положительным давлением на выдохе, создаваемым аппаратами типа СИПАП, аппаратом Фролова, PARI O-PEP, элементов дыхательной</w:t>
      </w:r>
      <w:r>
        <w:rPr>
          <w:spacing w:val="-13"/>
        </w:rPr>
        <w:t> </w:t>
      </w:r>
      <w:r>
        <w:rPr/>
        <w:t>гимнастики</w:t>
      </w:r>
      <w:r>
        <w:rPr>
          <w:spacing w:val="-13"/>
        </w:rPr>
        <w:t> </w:t>
      </w:r>
      <w:r>
        <w:rPr/>
        <w:t>А.Н.</w:t>
      </w:r>
      <w:r>
        <w:rPr>
          <w:spacing w:val="-14"/>
        </w:rPr>
        <w:t> </w:t>
      </w:r>
      <w:r>
        <w:rPr/>
        <w:t>Стрельниковой,</w:t>
      </w:r>
      <w:r>
        <w:rPr>
          <w:spacing w:val="-16"/>
        </w:rPr>
        <w:t> </w:t>
      </w:r>
      <w:r>
        <w:rPr/>
        <w:t>полного</w:t>
      </w:r>
      <w:r>
        <w:rPr>
          <w:spacing w:val="-15"/>
        </w:rPr>
        <w:t> </w:t>
      </w:r>
      <w:r>
        <w:rPr/>
        <w:t>дыхания</w:t>
      </w:r>
      <w:r>
        <w:rPr>
          <w:spacing w:val="-17"/>
        </w:rPr>
        <w:t> </w:t>
      </w:r>
      <w:r>
        <w:rPr/>
        <w:t>йогов,</w:t>
      </w:r>
      <w:r>
        <w:rPr>
          <w:spacing w:val="-14"/>
        </w:rPr>
        <w:t> </w:t>
      </w:r>
      <w:r>
        <w:rPr/>
        <w:t>Цигун-терапии, техники мобилизации грудной клетки и ребер методами мануальной терапии, остеопатии, миофасциального релиза дыхательных мышц, коррекцию мышечных триггеров дыхательной</w:t>
      </w:r>
      <w:r>
        <w:rPr>
          <w:spacing w:val="-4"/>
        </w:rPr>
        <w:t> </w:t>
      </w:r>
      <w:r>
        <w:rPr/>
        <w:t>мускулатуры.</w:t>
      </w:r>
    </w:p>
    <w:p>
      <w:pPr>
        <w:pStyle w:val="BodyText"/>
        <w:spacing w:line="276" w:lineRule="auto" w:before="16"/>
        <w:ind w:right="672" w:firstLine="708"/>
      </w:pPr>
      <w:r>
        <w:rPr/>
        <w:t>ИПМР  на 3  этапе реабилитации  назначается  на основании проведенного  на  2 этапе или в условиях дневного стационара нагрузочного тестирования (ВЭМ, ТШХ) (см. 2</w:t>
      </w:r>
      <w:r>
        <w:rPr>
          <w:spacing w:val="-1"/>
        </w:rPr>
        <w:t> </w:t>
      </w:r>
      <w:r>
        <w:rPr/>
        <w:t>этап).</w:t>
      </w:r>
    </w:p>
    <w:p>
      <w:pPr>
        <w:pStyle w:val="BodyText"/>
        <w:spacing w:line="276" w:lineRule="auto" w:before="12"/>
        <w:ind w:right="674" w:firstLine="708"/>
      </w:pPr>
      <w:r>
        <w:rPr/>
        <w:t>Аэробные нагрузки продолжительностью 20-30 минут должны производиться  3</w:t>
      </w:r>
      <w:r>
        <w:rPr>
          <w:spacing w:val="-1"/>
        </w:rPr>
        <w:t> </w:t>
      </w:r>
      <w:r>
        <w:rPr/>
        <w:t>раза</w:t>
      </w:r>
      <w:r>
        <w:rPr>
          <w:spacing w:val="-7"/>
        </w:rPr>
        <w:t> </w:t>
      </w:r>
      <w:r>
        <w:rPr/>
        <w:t>в</w:t>
      </w:r>
      <w:r>
        <w:rPr>
          <w:spacing w:val="-6"/>
        </w:rPr>
        <w:t> </w:t>
      </w:r>
      <w:r>
        <w:rPr/>
        <w:t>неделю</w:t>
      </w:r>
      <w:r>
        <w:rPr>
          <w:spacing w:val="-6"/>
        </w:rPr>
        <w:t> </w:t>
      </w:r>
      <w:r>
        <w:rPr/>
        <w:t>на</w:t>
      </w:r>
      <w:r>
        <w:rPr>
          <w:spacing w:val="-7"/>
        </w:rPr>
        <w:t> </w:t>
      </w:r>
      <w:r>
        <w:rPr/>
        <w:t>протяжение</w:t>
      </w:r>
      <w:r>
        <w:rPr>
          <w:spacing w:val="-6"/>
        </w:rPr>
        <w:t> </w:t>
      </w:r>
      <w:r>
        <w:rPr/>
        <w:t>8-12</w:t>
      </w:r>
      <w:r>
        <w:rPr>
          <w:spacing w:val="-6"/>
        </w:rPr>
        <w:t> </w:t>
      </w:r>
      <w:r>
        <w:rPr/>
        <w:t>недель.</w:t>
      </w:r>
      <w:r>
        <w:rPr>
          <w:spacing w:val="-6"/>
        </w:rPr>
        <w:t> </w:t>
      </w:r>
      <w:r>
        <w:rPr/>
        <w:t>Интенсивность</w:t>
      </w:r>
      <w:r>
        <w:rPr>
          <w:spacing w:val="-4"/>
        </w:rPr>
        <w:t> </w:t>
      </w:r>
      <w:r>
        <w:rPr/>
        <w:t>и</w:t>
      </w:r>
      <w:r>
        <w:rPr>
          <w:spacing w:val="-5"/>
        </w:rPr>
        <w:t> </w:t>
      </w:r>
      <w:r>
        <w:rPr/>
        <w:t>вид</w:t>
      </w:r>
      <w:r>
        <w:rPr>
          <w:spacing w:val="-5"/>
        </w:rPr>
        <w:t> </w:t>
      </w:r>
      <w:r>
        <w:rPr/>
        <w:t>аэробной</w:t>
      </w:r>
      <w:r>
        <w:rPr>
          <w:spacing w:val="-5"/>
        </w:rPr>
        <w:t> </w:t>
      </w:r>
      <w:r>
        <w:rPr/>
        <w:t>тренировки (с постоянной нагрузкой или интервальная тренировка) должна подбираться индивидуально с учетом состояния пациента и его физических возможностей. Пациенты</w:t>
      </w:r>
      <w:r>
        <w:rPr>
          <w:spacing w:val="-11"/>
        </w:rPr>
        <w:t> </w:t>
      </w:r>
      <w:r>
        <w:rPr/>
        <w:t>должны</w:t>
      </w:r>
      <w:r>
        <w:rPr>
          <w:spacing w:val="-12"/>
        </w:rPr>
        <w:t> </w:t>
      </w:r>
      <w:r>
        <w:rPr/>
        <w:t>быть</w:t>
      </w:r>
      <w:r>
        <w:rPr>
          <w:spacing w:val="-13"/>
        </w:rPr>
        <w:t> </w:t>
      </w:r>
      <w:r>
        <w:rPr/>
        <w:t>обучены</w:t>
      </w:r>
      <w:r>
        <w:rPr>
          <w:spacing w:val="-12"/>
        </w:rPr>
        <w:t> </w:t>
      </w:r>
      <w:r>
        <w:rPr/>
        <w:t>контролю</w:t>
      </w:r>
      <w:r>
        <w:rPr>
          <w:spacing w:val="-9"/>
        </w:rPr>
        <w:t> </w:t>
      </w:r>
      <w:r>
        <w:rPr/>
        <w:t>эффективности</w:t>
      </w:r>
      <w:r>
        <w:rPr>
          <w:spacing w:val="-12"/>
        </w:rPr>
        <w:t> </w:t>
      </w:r>
      <w:r>
        <w:rPr/>
        <w:t>и</w:t>
      </w:r>
      <w:r>
        <w:rPr>
          <w:spacing w:val="-10"/>
        </w:rPr>
        <w:t> </w:t>
      </w:r>
      <w:r>
        <w:rPr/>
        <w:t>безопасности</w:t>
      </w:r>
      <w:r>
        <w:rPr>
          <w:spacing w:val="-10"/>
        </w:rPr>
        <w:t> </w:t>
      </w:r>
      <w:r>
        <w:rPr/>
        <w:t>физических нагрузок, знать</w:t>
      </w:r>
      <w:r>
        <w:rPr>
          <w:spacing w:val="4"/>
        </w:rPr>
        <w:t> </w:t>
      </w:r>
      <w:r>
        <w:rPr/>
        <w:t>«стоп-сигналы».</w:t>
      </w:r>
    </w:p>
    <w:p>
      <w:pPr>
        <w:pStyle w:val="BodyText"/>
        <w:spacing w:line="276" w:lineRule="auto" w:before="16"/>
        <w:ind w:right="673" w:firstLine="708"/>
      </w:pPr>
      <w:r>
        <w:rPr/>
        <w:t>У большинства пациентов со снижением функционирования интервальная тренировка является предпочтительной. Для пациентов, прошедших тестирование и обучение в условиях отделений реабилитации 2 и 3 этапа, возможно проведение индивидуально подобранных интервальных тренировок в домашних условиях (при уверенности в их безопасности и при использовании контролирующих устройств: пульсометров или фитнесс-браслетов).</w:t>
      </w:r>
    </w:p>
    <w:p>
      <w:pPr>
        <w:pStyle w:val="BodyText"/>
        <w:spacing w:line="276" w:lineRule="auto"/>
        <w:ind w:right="674" w:firstLine="708"/>
      </w:pPr>
      <w:r>
        <w:rPr/>
        <w:t>Рекомендуется продолжить тренировки с сопротивлением и отягощением для восстановления мышечной силы, выносливости мышц конечностей и  устойчивости   к мышечной усталости. Рекомендовано сочетать прогрессирующее мышечное сопротивление и аэробную нагрузку во время занятий лечебной</w:t>
      </w:r>
      <w:r>
        <w:rPr>
          <w:spacing w:val="-8"/>
        </w:rPr>
        <w:t> </w:t>
      </w:r>
      <w:r>
        <w:rPr/>
        <w:t>физкультурой.</w:t>
      </w:r>
    </w:p>
    <w:p>
      <w:pPr>
        <w:pStyle w:val="BodyText"/>
        <w:spacing w:line="276" w:lineRule="auto"/>
        <w:ind w:right="672" w:firstLine="708"/>
      </w:pPr>
      <w:r>
        <w:rPr/>
        <w:t>Рекомендовано, чтобы пациенты могли продолжать эффективную  тренировку с отягощениями после окончания занятий под наблюдением. Врач-реабилитолог (врач ЛФК) и медицинский психолог должны убедиться, что пациенты могут и хотят продолжать заниматься лечебной гимнастикой</w:t>
      </w:r>
      <w:r>
        <w:rPr>
          <w:spacing w:val="-4"/>
        </w:rPr>
        <w:t> </w:t>
      </w:r>
      <w:r>
        <w:rPr/>
        <w:t>самостоятельно.</w:t>
      </w:r>
    </w:p>
    <w:p>
      <w:pPr>
        <w:pStyle w:val="BodyText"/>
        <w:spacing w:line="276" w:lineRule="auto" w:before="14"/>
        <w:ind w:right="675" w:firstLine="708"/>
      </w:pPr>
      <w:r>
        <w:rPr/>
        <w:t>При наличии 2-х отрицательных тестов ПЦР /или наличии антител после перенесенной COVID-19 инфекции могут использоваться следующие физиотерапевтические методы лечения, с учетом показаний и противопоказаний:</w:t>
      </w:r>
    </w:p>
    <w:p>
      <w:pPr>
        <w:spacing w:after="0" w:line="276" w:lineRule="auto"/>
        <w:sectPr>
          <w:pgSz w:w="11920" w:h="16850"/>
          <w:pgMar w:header="0" w:footer="620" w:top="1060" w:bottom="880" w:left="1380" w:right="600"/>
        </w:sectPr>
      </w:pPr>
    </w:p>
    <w:p>
      <w:pPr>
        <w:pStyle w:val="BodyText"/>
        <w:spacing w:line="276" w:lineRule="auto" w:before="78"/>
        <w:ind w:right="675"/>
      </w:pPr>
      <w:r>
        <w:rPr/>
        <w:t>электромагнитное поле сверхвысокой частоты (ДМВ, СМВ), низкочастотная магнитотерапия, высокочастотная импульсная магнитотерапия, электрофорез лекарственных препаратов, СМТ-терапия (лечение синусоидальными модулированными токами), ультразвуковая терапия, индуктотермия.</w:t>
      </w:r>
    </w:p>
    <w:p>
      <w:pPr>
        <w:pStyle w:val="BodyText"/>
        <w:spacing w:line="276" w:lineRule="auto"/>
        <w:ind w:right="675" w:firstLine="708"/>
      </w:pPr>
      <w:r>
        <w:rPr/>
        <w:t>Пациентам, которые по каким-то причинам не могут или не хотят проходить активную программу реабилитации, при наличии признаков слабости четырехглавой мышцы и ягодичных мышц может быть предложена NMES (Нервно-мышечная электростимуляция.).</w:t>
      </w:r>
    </w:p>
    <w:p>
      <w:pPr>
        <w:pStyle w:val="BodyText"/>
        <w:spacing w:line="276" w:lineRule="auto" w:before="15"/>
        <w:ind w:right="674" w:firstLine="708"/>
      </w:pPr>
      <w:r>
        <w:rPr/>
        <w:t>Рекомендуется организовать работу службы психологической поддержки, основываясь на результатах первого и второго этапов медицинской реабилитации, формировать  мотивацию  пациентов   на   продолжение   самостоятельных   занятий  и формирование здорового образа  жизни.  Важно  стимулировать  пациентов,  чтобы у них была физическая нагрузка пять раз в неделю в течение 30</w:t>
      </w:r>
      <w:r>
        <w:rPr>
          <w:spacing w:val="-9"/>
        </w:rPr>
        <w:t> </w:t>
      </w:r>
      <w:r>
        <w:rPr/>
        <w:t>минут.</w:t>
      </w:r>
    </w:p>
    <w:p>
      <w:pPr>
        <w:pStyle w:val="BodyText"/>
        <w:spacing w:line="276" w:lineRule="auto" w:before="14"/>
        <w:ind w:right="674" w:firstLine="708"/>
      </w:pPr>
      <w:r>
        <w:rPr/>
        <w:t>Рекомендуется для достижения наилучшего результата организовать выполнение</w:t>
      </w:r>
      <w:r>
        <w:rPr>
          <w:spacing w:val="-12"/>
        </w:rPr>
        <w:t> </w:t>
      </w:r>
      <w:r>
        <w:rPr/>
        <w:t>ИПМР</w:t>
      </w:r>
      <w:r>
        <w:rPr>
          <w:spacing w:val="-10"/>
        </w:rPr>
        <w:t> </w:t>
      </w:r>
      <w:r>
        <w:rPr/>
        <w:t>3</w:t>
      </w:r>
      <w:r>
        <w:rPr>
          <w:spacing w:val="-13"/>
        </w:rPr>
        <w:t> </w:t>
      </w:r>
      <w:r>
        <w:rPr/>
        <w:t>раза</w:t>
      </w:r>
      <w:r>
        <w:rPr>
          <w:spacing w:val="-12"/>
        </w:rPr>
        <w:t> </w:t>
      </w:r>
      <w:r>
        <w:rPr/>
        <w:t>в</w:t>
      </w:r>
      <w:r>
        <w:rPr>
          <w:spacing w:val="-12"/>
        </w:rPr>
        <w:t> </w:t>
      </w:r>
      <w:r>
        <w:rPr/>
        <w:t>неделю.</w:t>
      </w:r>
      <w:r>
        <w:rPr>
          <w:spacing w:val="-11"/>
        </w:rPr>
        <w:t> </w:t>
      </w:r>
      <w:r>
        <w:rPr/>
        <w:t>Два</w:t>
      </w:r>
      <w:r>
        <w:rPr>
          <w:spacing w:val="-12"/>
        </w:rPr>
        <w:t> </w:t>
      </w:r>
      <w:r>
        <w:rPr/>
        <w:t>раза</w:t>
      </w:r>
      <w:r>
        <w:rPr>
          <w:spacing w:val="-12"/>
        </w:rPr>
        <w:t> </w:t>
      </w:r>
      <w:r>
        <w:rPr/>
        <w:t>в</w:t>
      </w:r>
      <w:r>
        <w:rPr>
          <w:spacing w:val="-12"/>
        </w:rPr>
        <w:t> </w:t>
      </w:r>
      <w:r>
        <w:rPr/>
        <w:t>неделю</w:t>
      </w:r>
      <w:r>
        <w:rPr>
          <w:spacing w:val="-10"/>
        </w:rPr>
        <w:t> </w:t>
      </w:r>
      <w:r>
        <w:rPr/>
        <w:t>под</w:t>
      </w:r>
      <w:r>
        <w:rPr>
          <w:spacing w:val="-13"/>
        </w:rPr>
        <w:t> </w:t>
      </w:r>
      <w:r>
        <w:rPr/>
        <w:t>наблюдением</w:t>
      </w:r>
      <w:r>
        <w:rPr>
          <w:spacing w:val="-12"/>
        </w:rPr>
        <w:t> </w:t>
      </w:r>
      <w:r>
        <w:rPr/>
        <w:t>специалистов, третий раз может осуществляться без</w:t>
      </w:r>
      <w:r>
        <w:rPr>
          <w:spacing w:val="1"/>
        </w:rPr>
        <w:t> </w:t>
      </w:r>
      <w:r>
        <w:rPr/>
        <w:t>наблюдения.</w:t>
      </w:r>
    </w:p>
    <w:p>
      <w:pPr>
        <w:pStyle w:val="BodyText"/>
        <w:spacing w:line="276" w:lineRule="auto" w:before="12"/>
        <w:ind w:right="674" w:firstLine="708"/>
      </w:pPr>
      <w:r>
        <w:rPr/>
        <w:t>Рекомендуются   программы   реабилитации,    включающие    как    минимум 12 занятий под наблюдением специалистов. Рекомендованная длительность программ реабилитации составляет от 6 до 12 недель. Всем пациентам, завершившим индивидуальную программу медицинской реабилитации после пневмонии в</w:t>
      </w:r>
      <w:r>
        <w:rPr>
          <w:spacing w:val="-39"/>
        </w:rPr>
        <w:t> </w:t>
      </w:r>
      <w:r>
        <w:rPr/>
        <w:t>следствии COVID-19, следует рекомендовать продолжать занятия</w:t>
      </w:r>
      <w:r>
        <w:rPr>
          <w:spacing w:val="-2"/>
        </w:rPr>
        <w:t> </w:t>
      </w:r>
      <w:r>
        <w:rPr/>
        <w:t>самостоятельно.</w:t>
      </w:r>
    </w:p>
    <w:p>
      <w:pPr>
        <w:pStyle w:val="BodyText"/>
        <w:spacing w:line="278" w:lineRule="auto" w:before="14"/>
        <w:ind w:right="676" w:firstLine="708"/>
      </w:pPr>
      <w:r>
        <w:rPr/>
        <w:t>Повторный курс реабилитации следует проводить для пациентов, которые прошли курс реабилитации более 1 года назад.</w:t>
      </w:r>
    </w:p>
    <w:p>
      <w:pPr>
        <w:pStyle w:val="BodyText"/>
        <w:spacing w:line="276" w:lineRule="auto" w:before="10"/>
        <w:ind w:right="675" w:firstLine="708"/>
      </w:pPr>
      <w:r>
        <w:rPr/>
        <w:t>В целом мероприятия по медицинской реабилитации пациентов с новой коронавирусной инфекцией следует проводить в соотвествии с «Временными методическими рекомендациями по медицинской реабилитации пациентов с новой коронавирусной инфекцией COVID-19» Союза Реабилитологов России (www.rehabrus.ru).</w:t>
      </w:r>
    </w:p>
    <w:p>
      <w:pPr>
        <w:pStyle w:val="BodyText"/>
        <w:spacing w:before="11"/>
        <w:ind w:left="0"/>
        <w:jc w:val="left"/>
        <w:rPr>
          <w:sz w:val="20"/>
        </w:rPr>
      </w:pPr>
    </w:p>
    <w:p>
      <w:pPr>
        <w:pStyle w:val="Heading2"/>
        <w:spacing w:line="259" w:lineRule="auto"/>
        <w:ind w:right="1509" w:hanging="1"/>
      </w:pPr>
      <w:bookmarkStart w:name="5.10. ПОРЯДОК ВЫПИСКИ (ПЕРЕВОДА) ПАЦИЕНТ" w:id="121"/>
      <w:bookmarkEnd w:id="121"/>
      <w:r>
        <w:rPr>
          <w:b w:val="0"/>
        </w:rPr>
      </w:r>
      <w:bookmarkStart w:name="_bookmark24" w:id="122"/>
      <w:bookmarkEnd w:id="122"/>
      <w:r>
        <w:rPr>
          <w:b w:val="0"/>
        </w:rPr>
      </w:r>
      <w:r>
        <w:rPr>
          <w:color w:val="1F487C"/>
        </w:rPr>
        <w:t>5.10. ПОРЯДОК ВЫПИСКИ (ПЕРЕВОДА) ПАЦИЕНТОВ ИЗ МЕДИЦИНСКОЙ ОРГАНИЗАЦИИ</w:t>
      </w:r>
    </w:p>
    <w:p>
      <w:pPr>
        <w:pStyle w:val="BodyText"/>
        <w:spacing w:line="312" w:lineRule="auto" w:before="117"/>
        <w:ind w:right="674" w:firstLine="708"/>
      </w:pPr>
      <w:r>
        <w:rPr/>
        <w:t>Выписка из медицинских  организаций,  оказывающих  медицинскую  помощь в стационарных условиях, пациентов в возрасте 18 лет и старше для продолжения лечения в амбулаторных условиях может осуществляться до получения результатов лабораторных исследований биологического материала на наличие РНК SARS-CoV-2 при наличии следуююих</w:t>
      </w:r>
      <w:r>
        <w:rPr>
          <w:spacing w:val="3"/>
        </w:rPr>
        <w:t> </w:t>
      </w:r>
      <w:r>
        <w:rPr/>
        <w:t>критериев:</w:t>
      </w:r>
    </w:p>
    <w:p>
      <w:pPr>
        <w:pStyle w:val="BodyText"/>
        <w:spacing w:before="4"/>
        <w:ind w:left="0"/>
        <w:jc w:val="left"/>
        <w:rPr>
          <w:sz w:val="31"/>
        </w:rPr>
      </w:pPr>
    </w:p>
    <w:p>
      <w:pPr>
        <w:pStyle w:val="ListParagraph"/>
        <w:numPr>
          <w:ilvl w:val="1"/>
          <w:numId w:val="24"/>
        </w:numPr>
        <w:tabs>
          <w:tab w:pos="1000" w:val="left" w:leader="none"/>
          <w:tab w:pos="1001" w:val="left" w:leader="none"/>
        </w:tabs>
        <w:spacing w:line="240" w:lineRule="auto" w:before="0" w:after="0"/>
        <w:ind w:left="1000" w:right="0" w:hanging="339"/>
        <w:jc w:val="left"/>
        <w:rPr>
          <w:sz w:val="24"/>
        </w:rPr>
      </w:pPr>
      <w:r>
        <w:rPr>
          <w:sz w:val="24"/>
        </w:rPr>
        <w:t>Стойкое улучшение клинической</w:t>
      </w:r>
      <w:r>
        <w:rPr>
          <w:spacing w:val="-9"/>
          <w:sz w:val="24"/>
        </w:rPr>
        <w:t> </w:t>
      </w:r>
      <w:r>
        <w:rPr>
          <w:sz w:val="24"/>
        </w:rPr>
        <w:t>картины;</w:t>
      </w:r>
    </w:p>
    <w:p>
      <w:pPr>
        <w:pStyle w:val="ListParagraph"/>
        <w:numPr>
          <w:ilvl w:val="1"/>
          <w:numId w:val="24"/>
        </w:numPr>
        <w:tabs>
          <w:tab w:pos="1000" w:val="left" w:leader="none"/>
          <w:tab w:pos="1001" w:val="left" w:leader="none"/>
        </w:tabs>
        <w:spacing w:line="240" w:lineRule="auto" w:before="83" w:after="0"/>
        <w:ind w:left="1000" w:right="0" w:hanging="339"/>
        <w:jc w:val="left"/>
        <w:rPr>
          <w:sz w:val="24"/>
        </w:rPr>
      </w:pPr>
      <w:r>
        <w:rPr>
          <w:sz w:val="24"/>
        </w:rPr>
        <w:t>Исчезновение лихорадки (t тела &lt; 37,5</w:t>
      </w:r>
      <w:r>
        <w:rPr>
          <w:spacing w:val="-8"/>
          <w:sz w:val="24"/>
        </w:rPr>
        <w:t> </w:t>
      </w:r>
      <w:r>
        <w:rPr>
          <w:sz w:val="24"/>
        </w:rPr>
        <w:t>°С);</w:t>
      </w:r>
    </w:p>
    <w:p>
      <w:pPr>
        <w:pStyle w:val="ListParagraph"/>
        <w:numPr>
          <w:ilvl w:val="1"/>
          <w:numId w:val="24"/>
        </w:numPr>
        <w:tabs>
          <w:tab w:pos="1000" w:val="left" w:leader="none"/>
          <w:tab w:pos="1001" w:val="left" w:leader="none"/>
        </w:tabs>
        <w:spacing w:line="302" w:lineRule="auto" w:before="82" w:after="0"/>
        <w:ind w:left="1000" w:right="677" w:hanging="339"/>
        <w:jc w:val="left"/>
        <w:rPr>
          <w:sz w:val="24"/>
        </w:rPr>
      </w:pPr>
      <w:r>
        <w:rPr>
          <w:position w:val="2"/>
          <w:sz w:val="24"/>
        </w:rPr>
        <w:t>Отсутствие признаков  нарастания  дыхательной  недостаточности  при  SpO</w:t>
      </w:r>
      <w:r>
        <w:rPr>
          <w:sz w:val="16"/>
        </w:rPr>
        <w:t>2  </w:t>
      </w:r>
      <w:r>
        <w:rPr>
          <w:sz w:val="24"/>
        </w:rPr>
        <w:t>на воздухе ≥</w:t>
      </w:r>
      <w:r>
        <w:rPr>
          <w:spacing w:val="-3"/>
          <w:sz w:val="24"/>
        </w:rPr>
        <w:t> </w:t>
      </w:r>
      <w:r>
        <w:rPr>
          <w:sz w:val="24"/>
        </w:rPr>
        <w:t>95%;</w:t>
      </w:r>
    </w:p>
    <w:p>
      <w:pPr>
        <w:pStyle w:val="ListParagraph"/>
        <w:numPr>
          <w:ilvl w:val="1"/>
          <w:numId w:val="24"/>
        </w:numPr>
        <w:tabs>
          <w:tab w:pos="1000" w:val="left" w:leader="none"/>
          <w:tab w:pos="1001" w:val="left" w:leader="none"/>
        </w:tabs>
        <w:spacing w:line="240" w:lineRule="auto" w:before="15" w:after="0"/>
        <w:ind w:left="1000" w:right="0" w:hanging="339"/>
        <w:jc w:val="left"/>
        <w:rPr>
          <w:sz w:val="24"/>
        </w:rPr>
      </w:pPr>
      <w:r>
        <w:rPr>
          <w:sz w:val="24"/>
        </w:rPr>
        <w:t>Уровень СРБ &lt; 10</w:t>
      </w:r>
      <w:r>
        <w:rPr>
          <w:spacing w:val="-4"/>
          <w:sz w:val="24"/>
        </w:rPr>
        <w:t> </w:t>
      </w:r>
      <w:r>
        <w:rPr>
          <w:sz w:val="24"/>
        </w:rPr>
        <w:t>мг/л;</w:t>
      </w:r>
    </w:p>
    <w:p>
      <w:pPr>
        <w:spacing w:after="0" w:line="240" w:lineRule="auto"/>
        <w:jc w:val="left"/>
        <w:rPr>
          <w:sz w:val="24"/>
        </w:rPr>
        <w:sectPr>
          <w:pgSz w:w="11920" w:h="16850"/>
          <w:pgMar w:header="0" w:footer="620" w:top="1060" w:bottom="880" w:left="1380" w:right="600"/>
        </w:sectPr>
      </w:pPr>
    </w:p>
    <w:p>
      <w:pPr>
        <w:pStyle w:val="ListParagraph"/>
        <w:numPr>
          <w:ilvl w:val="1"/>
          <w:numId w:val="24"/>
        </w:numPr>
        <w:tabs>
          <w:tab w:pos="1000" w:val="left" w:leader="none"/>
          <w:tab w:pos="1001" w:val="left" w:leader="none"/>
        </w:tabs>
        <w:spacing w:line="240" w:lineRule="auto" w:before="80" w:after="0"/>
        <w:ind w:left="1000" w:right="0" w:hanging="339"/>
        <w:jc w:val="left"/>
        <w:rPr>
          <w:sz w:val="24"/>
        </w:rPr>
      </w:pPr>
      <w:r>
        <w:rPr>
          <w:sz w:val="24"/>
        </w:rPr>
        <w:t>Уровень лейкоцитов в крови &gt;</w:t>
      </w:r>
      <w:r>
        <w:rPr>
          <w:spacing w:val="-5"/>
          <w:sz w:val="24"/>
        </w:rPr>
        <w:t> </w:t>
      </w:r>
      <w:r>
        <w:rPr>
          <w:sz w:val="24"/>
        </w:rPr>
        <w:t>3,0*10</w:t>
      </w:r>
      <w:r>
        <w:rPr>
          <w:sz w:val="24"/>
          <w:vertAlign w:val="superscript"/>
        </w:rPr>
        <w:t>9</w:t>
      </w:r>
      <w:r>
        <w:rPr>
          <w:sz w:val="24"/>
          <w:vertAlign w:val="baseline"/>
        </w:rPr>
        <w:t>/л.</w:t>
      </w:r>
    </w:p>
    <w:p>
      <w:pPr>
        <w:pStyle w:val="BodyText"/>
        <w:spacing w:before="4"/>
        <w:ind w:left="0"/>
        <w:jc w:val="left"/>
        <w:rPr>
          <w:sz w:val="39"/>
        </w:rPr>
      </w:pPr>
    </w:p>
    <w:p>
      <w:pPr>
        <w:pStyle w:val="BodyText"/>
        <w:spacing w:line="312" w:lineRule="auto"/>
        <w:ind w:right="677" w:firstLine="708"/>
      </w:pPr>
      <w:r>
        <w:rPr/>
        <w:t>При наличии вышеуказанных клинико-лабораторных критериев перевод пациентов в возрасте 18 лет и старше для продолжения лечения в стационарных условиях на койки для пациентов, находящихся в состоянии средней тяжести, может осуществляться до получения второго отрицательного результата лабораторных исследований биологического материала на наличие РНК SARS-CoV-2.</w:t>
      </w:r>
    </w:p>
    <w:p>
      <w:pPr>
        <w:pStyle w:val="BodyText"/>
        <w:spacing w:line="312" w:lineRule="auto"/>
        <w:ind w:right="673" w:firstLine="708"/>
      </w:pPr>
      <w:r>
        <w:rPr/>
        <w:t>При выписке пациента до получения двух отрицательных результатов лабораторных исследований его транспортировка осуществляется санитарным транспортом при условии использования водителем и сопровождающим медицинским работником</w:t>
      </w:r>
      <w:r>
        <w:rPr>
          <w:spacing w:val="-13"/>
        </w:rPr>
        <w:t> </w:t>
      </w:r>
      <w:r>
        <w:rPr/>
        <w:t>средств</w:t>
      </w:r>
      <w:r>
        <w:rPr>
          <w:spacing w:val="-12"/>
        </w:rPr>
        <w:t> </w:t>
      </w:r>
      <w:r>
        <w:rPr/>
        <w:t>индивидуальной</w:t>
      </w:r>
      <w:r>
        <w:rPr>
          <w:spacing w:val="-10"/>
        </w:rPr>
        <w:t> </w:t>
      </w:r>
      <w:r>
        <w:rPr/>
        <w:t>защиты</w:t>
      </w:r>
      <w:r>
        <w:rPr>
          <w:spacing w:val="-12"/>
        </w:rPr>
        <w:t> </w:t>
      </w:r>
      <w:r>
        <w:rPr/>
        <w:t>(очки,</w:t>
      </w:r>
      <w:r>
        <w:rPr>
          <w:spacing w:val="-11"/>
        </w:rPr>
        <w:t> </w:t>
      </w:r>
      <w:r>
        <w:rPr/>
        <w:t>одноразовые</w:t>
      </w:r>
      <w:r>
        <w:rPr>
          <w:spacing w:val="-12"/>
        </w:rPr>
        <w:t> </w:t>
      </w:r>
      <w:r>
        <w:rPr/>
        <w:t>перчатки,</w:t>
      </w:r>
      <w:r>
        <w:rPr>
          <w:spacing w:val="-11"/>
        </w:rPr>
        <w:t> </w:t>
      </w:r>
      <w:r>
        <w:rPr/>
        <w:t>респиратор соответствующего класса защиты, противочумный костюм 1 типа или одноразовый халат,</w:t>
      </w:r>
      <w:r>
        <w:rPr>
          <w:spacing w:val="-1"/>
        </w:rPr>
        <w:t> </w:t>
      </w:r>
      <w:r>
        <w:rPr/>
        <w:t>бахилы).</w:t>
      </w:r>
    </w:p>
    <w:p>
      <w:pPr>
        <w:pStyle w:val="BodyText"/>
        <w:spacing w:line="312" w:lineRule="auto" w:before="14"/>
        <w:ind w:right="674" w:firstLine="708"/>
      </w:pPr>
      <w:r>
        <w:rPr/>
        <w:t>Пациенту необходимо соблюдать режим самоизоляции до получения двух отрицательных результатов исследования биологического материала на наличие РНК SARS-CoV-2. В случае отсутствия у пациента условий для самоизоляции, необходимо рассмотреть вопрос о выписке пациента в обсерватор или другие организации, обеспечивающие условия изоляции на необходимый срок.</w:t>
      </w:r>
    </w:p>
    <w:p>
      <w:pPr>
        <w:pStyle w:val="BodyText"/>
        <w:spacing w:line="312" w:lineRule="auto" w:before="13"/>
        <w:ind w:right="676" w:firstLine="708"/>
      </w:pPr>
      <w:r>
        <w:rPr/>
        <w:t>Информация о выписке пациента из медицинской организации, оказывающей медицинскую помощь в стационарных условиях, передается в медицинскую организацию,   в    которой    пациенту   будет    оказываться    медицинская    помощь в амбулаторных</w:t>
      </w:r>
      <w:r>
        <w:rPr>
          <w:spacing w:val="2"/>
        </w:rPr>
        <w:t> </w:t>
      </w:r>
      <w:r>
        <w:rPr/>
        <w:t>условиях.</w:t>
      </w:r>
    </w:p>
    <w:p>
      <w:pPr>
        <w:pStyle w:val="BodyText"/>
        <w:spacing w:before="7"/>
        <w:ind w:left="0"/>
        <w:jc w:val="left"/>
        <w:rPr>
          <w:sz w:val="32"/>
        </w:rPr>
      </w:pPr>
    </w:p>
    <w:p>
      <w:pPr>
        <w:pStyle w:val="BodyText"/>
        <w:spacing w:line="312" w:lineRule="auto"/>
        <w:ind w:right="673" w:firstLine="708"/>
      </w:pPr>
      <w:r>
        <w:rPr/>
        <w:t>При оказании пациенту медицинской помощи в амбулаторных условиях, ему должно быть обеспечено:</w:t>
      </w:r>
    </w:p>
    <w:p>
      <w:pPr>
        <w:pStyle w:val="BodyText"/>
        <w:spacing w:before="9"/>
        <w:ind w:left="0"/>
        <w:jc w:val="left"/>
        <w:rPr>
          <w:sz w:val="33"/>
        </w:rPr>
      </w:pPr>
    </w:p>
    <w:p>
      <w:pPr>
        <w:pStyle w:val="ListParagraph"/>
        <w:numPr>
          <w:ilvl w:val="1"/>
          <w:numId w:val="24"/>
        </w:numPr>
        <w:tabs>
          <w:tab w:pos="1000" w:val="left" w:leader="none"/>
          <w:tab w:pos="1001" w:val="left" w:leader="none"/>
        </w:tabs>
        <w:spacing w:line="240" w:lineRule="auto" w:before="0" w:after="0"/>
        <w:ind w:left="1000" w:right="0" w:hanging="339"/>
        <w:jc w:val="left"/>
        <w:rPr>
          <w:sz w:val="24"/>
        </w:rPr>
      </w:pPr>
      <w:r>
        <w:rPr>
          <w:sz w:val="24"/>
        </w:rPr>
        <w:t>Ежедневное медицинское наблюдение, в том числе</w:t>
      </w:r>
      <w:r>
        <w:rPr>
          <w:spacing w:val="-7"/>
          <w:sz w:val="24"/>
        </w:rPr>
        <w:t> </w:t>
      </w:r>
      <w:r>
        <w:rPr>
          <w:sz w:val="24"/>
        </w:rPr>
        <w:t>дистанционное;</w:t>
      </w:r>
    </w:p>
    <w:p>
      <w:pPr>
        <w:pStyle w:val="ListParagraph"/>
        <w:numPr>
          <w:ilvl w:val="1"/>
          <w:numId w:val="24"/>
        </w:numPr>
        <w:tabs>
          <w:tab w:pos="1000" w:val="left" w:leader="none"/>
          <w:tab w:pos="1001" w:val="left" w:leader="none"/>
        </w:tabs>
        <w:spacing w:line="240" w:lineRule="auto" w:before="83" w:after="0"/>
        <w:ind w:left="1000" w:right="0" w:hanging="339"/>
        <w:jc w:val="left"/>
        <w:rPr>
          <w:sz w:val="24"/>
        </w:rPr>
      </w:pPr>
      <w:r>
        <w:rPr>
          <w:sz w:val="24"/>
        </w:rPr>
        <w:t>Проведение исследования РНК</w:t>
      </w:r>
      <w:r>
        <w:rPr>
          <w:spacing w:val="-3"/>
          <w:sz w:val="24"/>
        </w:rPr>
        <w:t> </w:t>
      </w:r>
      <w:r>
        <w:rPr>
          <w:sz w:val="24"/>
        </w:rPr>
        <w:t>SARS-CoV-2;</w:t>
      </w:r>
    </w:p>
    <w:p>
      <w:pPr>
        <w:pStyle w:val="ListParagraph"/>
        <w:numPr>
          <w:ilvl w:val="1"/>
          <w:numId w:val="24"/>
        </w:numPr>
        <w:tabs>
          <w:tab w:pos="1000" w:val="left" w:leader="none"/>
          <w:tab w:pos="1001" w:val="left" w:leader="none"/>
        </w:tabs>
        <w:spacing w:line="240" w:lineRule="auto" w:before="80" w:after="0"/>
        <w:ind w:left="1000" w:right="0" w:hanging="339"/>
        <w:jc w:val="left"/>
        <w:rPr>
          <w:sz w:val="24"/>
        </w:rPr>
      </w:pPr>
      <w:r>
        <w:rPr>
          <w:sz w:val="24"/>
        </w:rPr>
        <w:t>Проведение при необходимости РГ и/или КТ</w:t>
      </w:r>
      <w:r>
        <w:rPr>
          <w:spacing w:val="-2"/>
          <w:sz w:val="24"/>
        </w:rPr>
        <w:t> </w:t>
      </w:r>
      <w:r>
        <w:rPr>
          <w:sz w:val="24"/>
        </w:rPr>
        <w:t>ОГК.</w:t>
      </w:r>
    </w:p>
    <w:p>
      <w:pPr>
        <w:pStyle w:val="BodyText"/>
        <w:spacing w:before="4"/>
        <w:ind w:left="0"/>
        <w:jc w:val="left"/>
        <w:rPr>
          <w:sz w:val="39"/>
        </w:rPr>
      </w:pPr>
    </w:p>
    <w:p>
      <w:pPr>
        <w:pStyle w:val="BodyText"/>
        <w:spacing w:line="312" w:lineRule="auto"/>
        <w:ind w:right="674" w:firstLine="708"/>
      </w:pPr>
      <w:r>
        <w:rPr/>
        <w:t>Рентгенография и/или КТ перед выпиской для оценки динамики пневмонии    не являются обязательными процедурами, но могут быть назначены лечащим врачом по клиническим показаниям. В остальных случаях контрольная рентгенография и/или КТ выполняется в амбулаторных условиях через 1-2 месяца после выписки пациента из стационара.</w:t>
      </w:r>
    </w:p>
    <w:p>
      <w:pPr>
        <w:pStyle w:val="BodyText"/>
        <w:spacing w:before="14"/>
        <w:ind w:left="1029"/>
      </w:pPr>
      <w:r>
        <w:rPr/>
        <w:t>Рентгенологические критерии регресса патологических</w:t>
      </w:r>
      <w:r>
        <w:rPr>
          <w:spacing w:val="-9"/>
        </w:rPr>
        <w:t> </w:t>
      </w:r>
      <w:r>
        <w:rPr/>
        <w:t>изменений:</w:t>
      </w:r>
    </w:p>
    <w:p>
      <w:pPr>
        <w:pStyle w:val="BodyText"/>
        <w:ind w:left="0"/>
        <w:jc w:val="left"/>
        <w:rPr>
          <w:sz w:val="26"/>
        </w:rPr>
      </w:pPr>
    </w:p>
    <w:p>
      <w:pPr>
        <w:pStyle w:val="ListParagraph"/>
        <w:numPr>
          <w:ilvl w:val="1"/>
          <w:numId w:val="24"/>
        </w:numPr>
        <w:tabs>
          <w:tab w:pos="1000" w:val="left" w:leader="none"/>
          <w:tab w:pos="1001" w:val="left" w:leader="none"/>
        </w:tabs>
        <w:spacing w:line="304" w:lineRule="auto" w:before="173" w:after="0"/>
        <w:ind w:left="1000" w:right="672" w:hanging="339"/>
        <w:jc w:val="left"/>
        <w:rPr>
          <w:sz w:val="24"/>
        </w:rPr>
      </w:pPr>
      <w:r>
        <w:rPr>
          <w:sz w:val="24"/>
        </w:rPr>
        <w:t>Уменьшение зон «матового стекла», допустимы новые зоны «матового стекла» не более 25% поперечного размера</w:t>
      </w:r>
      <w:r>
        <w:rPr>
          <w:spacing w:val="-5"/>
          <w:sz w:val="24"/>
        </w:rPr>
        <w:t> </w:t>
      </w:r>
      <w:r>
        <w:rPr>
          <w:sz w:val="24"/>
        </w:rPr>
        <w:t>гемоторакса;</w:t>
      </w:r>
    </w:p>
    <w:p>
      <w:pPr>
        <w:spacing w:after="0" w:line="304" w:lineRule="auto"/>
        <w:jc w:val="left"/>
        <w:rPr>
          <w:sz w:val="24"/>
        </w:rPr>
        <w:sectPr>
          <w:pgSz w:w="11920" w:h="16850"/>
          <w:pgMar w:header="0" w:footer="620" w:top="1060" w:bottom="880" w:left="1380" w:right="600"/>
        </w:sectPr>
      </w:pPr>
    </w:p>
    <w:p>
      <w:pPr>
        <w:pStyle w:val="ListParagraph"/>
        <w:numPr>
          <w:ilvl w:val="1"/>
          <w:numId w:val="24"/>
        </w:numPr>
        <w:tabs>
          <w:tab w:pos="1000" w:val="left" w:leader="none"/>
          <w:tab w:pos="1001" w:val="left" w:leader="none"/>
        </w:tabs>
        <w:spacing w:line="240" w:lineRule="auto" w:before="80" w:after="0"/>
        <w:ind w:left="1000" w:right="0" w:hanging="339"/>
        <w:jc w:val="left"/>
        <w:rPr>
          <w:sz w:val="24"/>
        </w:rPr>
      </w:pPr>
      <w:r>
        <w:rPr>
          <w:sz w:val="24"/>
        </w:rPr>
        <w:t>Уменьшение в объеме видимых ранее зон</w:t>
      </w:r>
      <w:r>
        <w:rPr>
          <w:spacing w:val="-4"/>
          <w:sz w:val="24"/>
        </w:rPr>
        <w:t> </w:t>
      </w:r>
      <w:r>
        <w:rPr>
          <w:sz w:val="24"/>
        </w:rPr>
        <w:t>консолидации;</w:t>
      </w:r>
    </w:p>
    <w:p>
      <w:pPr>
        <w:pStyle w:val="ListParagraph"/>
        <w:numPr>
          <w:ilvl w:val="1"/>
          <w:numId w:val="24"/>
        </w:numPr>
        <w:tabs>
          <w:tab w:pos="1000" w:val="left" w:leader="none"/>
          <w:tab w:pos="1001" w:val="left" w:leader="none"/>
          <w:tab w:pos="2682" w:val="left" w:leader="none"/>
          <w:tab w:pos="4120" w:val="left" w:leader="none"/>
          <w:tab w:pos="5514" w:val="left" w:leader="none"/>
          <w:tab w:pos="7187" w:val="left" w:leader="none"/>
          <w:tab w:pos="7679" w:val="left" w:leader="none"/>
        </w:tabs>
        <w:spacing w:line="304" w:lineRule="auto" w:before="83" w:after="0"/>
        <w:ind w:left="1000" w:right="676" w:hanging="339"/>
        <w:jc w:val="left"/>
        <w:rPr>
          <w:sz w:val="24"/>
        </w:rPr>
      </w:pPr>
      <w:r>
        <w:rPr>
          <w:sz w:val="24"/>
        </w:rPr>
        <w:t>Резидуальные</w:t>
        <w:tab/>
        <w:t>уплотнения</w:t>
        <w:tab/>
        <w:t>паренхимы</w:t>
        <w:tab/>
        <w:t>вариабельные</w:t>
        <w:tab/>
        <w:t>по</w:t>
        <w:tab/>
        <w:t>протяженности и</w:t>
      </w:r>
      <w:r>
        <w:rPr>
          <w:spacing w:val="1"/>
          <w:sz w:val="24"/>
        </w:rPr>
        <w:t> </w:t>
      </w:r>
      <w:r>
        <w:rPr>
          <w:sz w:val="24"/>
        </w:rPr>
        <w:t>локализации;</w:t>
      </w:r>
    </w:p>
    <w:p>
      <w:pPr>
        <w:pStyle w:val="ListParagraph"/>
        <w:numPr>
          <w:ilvl w:val="1"/>
          <w:numId w:val="24"/>
        </w:numPr>
        <w:tabs>
          <w:tab w:pos="1000" w:val="left" w:leader="none"/>
          <w:tab w:pos="1001" w:val="left" w:leader="none"/>
        </w:tabs>
        <w:spacing w:line="240" w:lineRule="auto" w:before="10" w:after="0"/>
        <w:ind w:left="1000" w:right="0" w:hanging="339"/>
        <w:jc w:val="left"/>
        <w:rPr>
          <w:sz w:val="24"/>
        </w:rPr>
      </w:pPr>
      <w:r>
        <w:rPr>
          <w:sz w:val="24"/>
        </w:rPr>
        <w:t>Отсутствие плеврального выпота, ассоциированного с</w:t>
      </w:r>
      <w:r>
        <w:rPr>
          <w:spacing w:val="-4"/>
          <w:sz w:val="24"/>
        </w:rPr>
        <w:t> </w:t>
      </w:r>
      <w:r>
        <w:rPr>
          <w:sz w:val="24"/>
        </w:rPr>
        <w:t>COVID-19.</w:t>
      </w:r>
    </w:p>
    <w:p>
      <w:pPr>
        <w:pStyle w:val="BodyText"/>
        <w:spacing w:before="7"/>
        <w:ind w:left="0"/>
        <w:jc w:val="left"/>
        <w:rPr>
          <w:sz w:val="40"/>
        </w:rPr>
      </w:pPr>
    </w:p>
    <w:p>
      <w:pPr>
        <w:pStyle w:val="BodyText"/>
        <w:spacing w:line="312" w:lineRule="auto" w:before="1"/>
        <w:ind w:right="674" w:firstLine="708"/>
      </w:pPr>
      <w:r>
        <w:rPr/>
        <w:t>В амбулаторных условиях контрольные исследования проводят не ранее чем через</w:t>
      </w:r>
      <w:r>
        <w:rPr>
          <w:spacing w:val="-6"/>
        </w:rPr>
        <w:t> </w:t>
      </w:r>
      <w:r>
        <w:rPr/>
        <w:t>месяц</w:t>
      </w:r>
      <w:r>
        <w:rPr>
          <w:spacing w:val="-5"/>
        </w:rPr>
        <w:t> </w:t>
      </w:r>
      <w:r>
        <w:rPr/>
        <w:t>после</w:t>
      </w:r>
      <w:r>
        <w:rPr>
          <w:spacing w:val="-8"/>
        </w:rPr>
        <w:t> </w:t>
      </w:r>
      <w:r>
        <w:rPr/>
        <w:t>выписки.</w:t>
      </w:r>
      <w:r>
        <w:rPr>
          <w:spacing w:val="-6"/>
        </w:rPr>
        <w:t> </w:t>
      </w:r>
      <w:r>
        <w:rPr/>
        <w:t>Контрольное</w:t>
      </w:r>
      <w:r>
        <w:rPr>
          <w:spacing w:val="-7"/>
        </w:rPr>
        <w:t> </w:t>
      </w:r>
      <w:r>
        <w:rPr/>
        <w:t>исследование</w:t>
      </w:r>
      <w:r>
        <w:rPr>
          <w:spacing w:val="-8"/>
        </w:rPr>
        <w:t> </w:t>
      </w:r>
      <w:r>
        <w:rPr/>
        <w:t>не</w:t>
      </w:r>
      <w:r>
        <w:rPr>
          <w:spacing w:val="-10"/>
        </w:rPr>
        <w:t> </w:t>
      </w:r>
      <w:r>
        <w:rPr/>
        <w:t>проводится</w:t>
      </w:r>
      <w:r>
        <w:rPr>
          <w:spacing w:val="-9"/>
        </w:rPr>
        <w:t> </w:t>
      </w:r>
      <w:r>
        <w:rPr/>
        <w:t>в</w:t>
      </w:r>
      <w:r>
        <w:rPr>
          <w:spacing w:val="-7"/>
        </w:rPr>
        <w:t> </w:t>
      </w:r>
      <w:r>
        <w:rPr/>
        <w:t>случае</w:t>
      </w:r>
      <w:r>
        <w:rPr>
          <w:spacing w:val="-8"/>
        </w:rPr>
        <w:t> </w:t>
      </w:r>
      <w:r>
        <w:rPr/>
        <w:t>легкого течения перенесенного заболевания без специальных клинических</w:t>
      </w:r>
      <w:r>
        <w:rPr>
          <w:spacing w:val="-3"/>
        </w:rPr>
        <w:t> </w:t>
      </w:r>
      <w:r>
        <w:rPr/>
        <w:t>показаний.</w:t>
      </w:r>
    </w:p>
    <w:p>
      <w:pPr>
        <w:pStyle w:val="BodyText"/>
        <w:spacing w:line="312" w:lineRule="auto" w:before="13"/>
        <w:ind w:right="676" w:firstLine="708"/>
      </w:pPr>
      <w:r>
        <w:rPr/>
        <w:t>Контроль на амбулаторном этапе проводится с использованием того же метода (РГ или КТ ОГК), который был использован для последнего исследования перед выпиской в стационаре.</w:t>
      </w:r>
    </w:p>
    <w:p>
      <w:pPr>
        <w:pStyle w:val="BodyText"/>
        <w:spacing w:line="275" w:lineRule="exact"/>
        <w:ind w:left="1029"/>
      </w:pPr>
      <w:r>
        <w:rPr/>
        <w:t>Пациент считается выздоровевшим при наличии следующих критериев:</w:t>
      </w:r>
    </w:p>
    <w:p>
      <w:pPr>
        <w:pStyle w:val="BodyText"/>
        <w:spacing w:before="6"/>
        <w:ind w:left="0"/>
        <w:jc w:val="left"/>
        <w:rPr>
          <w:sz w:val="38"/>
        </w:rPr>
      </w:pPr>
    </w:p>
    <w:p>
      <w:pPr>
        <w:pStyle w:val="ListParagraph"/>
        <w:numPr>
          <w:ilvl w:val="1"/>
          <w:numId w:val="24"/>
        </w:numPr>
        <w:tabs>
          <w:tab w:pos="1000" w:val="left" w:leader="none"/>
          <w:tab w:pos="1001" w:val="left" w:leader="none"/>
        </w:tabs>
        <w:spacing w:line="240" w:lineRule="auto" w:before="0" w:after="0"/>
        <w:ind w:left="1000" w:right="0" w:hanging="339"/>
        <w:jc w:val="left"/>
        <w:rPr>
          <w:sz w:val="24"/>
        </w:rPr>
      </w:pPr>
      <w:r>
        <w:rPr>
          <w:sz w:val="24"/>
        </w:rPr>
        <w:t>t тела &lt; 37,2</w:t>
      </w:r>
      <w:r>
        <w:rPr>
          <w:spacing w:val="-3"/>
          <w:sz w:val="24"/>
        </w:rPr>
        <w:t> </w:t>
      </w:r>
      <w:r>
        <w:rPr>
          <w:sz w:val="24"/>
        </w:rPr>
        <w:t>°C;</w:t>
      </w:r>
    </w:p>
    <w:p>
      <w:pPr>
        <w:pStyle w:val="ListParagraph"/>
        <w:numPr>
          <w:ilvl w:val="1"/>
          <w:numId w:val="24"/>
        </w:numPr>
        <w:tabs>
          <w:tab w:pos="1000" w:val="left" w:leader="none"/>
          <w:tab w:pos="1001" w:val="left" w:leader="none"/>
        </w:tabs>
        <w:spacing w:line="240" w:lineRule="auto" w:before="82" w:after="0"/>
        <w:ind w:left="1000" w:right="0" w:hanging="339"/>
        <w:jc w:val="left"/>
        <w:rPr>
          <w:sz w:val="24"/>
        </w:rPr>
      </w:pPr>
      <w:r>
        <w:rPr>
          <w:position w:val="2"/>
          <w:sz w:val="24"/>
        </w:rPr>
        <w:t>SpO</w:t>
      </w:r>
      <w:r>
        <w:rPr>
          <w:sz w:val="16"/>
        </w:rPr>
        <w:t>2 </w:t>
      </w:r>
      <w:r>
        <w:rPr>
          <w:position w:val="2"/>
          <w:sz w:val="24"/>
        </w:rPr>
        <w:t>на воздухе &gt;</w:t>
      </w:r>
      <w:r>
        <w:rPr>
          <w:spacing w:val="-23"/>
          <w:position w:val="2"/>
          <w:sz w:val="24"/>
        </w:rPr>
        <w:t> </w:t>
      </w:r>
      <w:r>
        <w:rPr>
          <w:position w:val="2"/>
          <w:sz w:val="24"/>
        </w:rPr>
        <w:t>96%;</w:t>
      </w:r>
    </w:p>
    <w:p>
      <w:pPr>
        <w:pStyle w:val="ListParagraph"/>
        <w:numPr>
          <w:ilvl w:val="1"/>
          <w:numId w:val="24"/>
        </w:numPr>
        <w:tabs>
          <w:tab w:pos="1000" w:val="left" w:leader="none"/>
          <w:tab w:pos="1001" w:val="left" w:leader="none"/>
        </w:tabs>
        <w:spacing w:line="304" w:lineRule="auto" w:before="82" w:after="0"/>
        <w:ind w:left="1000" w:right="677" w:hanging="339"/>
        <w:jc w:val="left"/>
        <w:rPr>
          <w:sz w:val="24"/>
        </w:rPr>
      </w:pPr>
      <w:r>
        <w:rPr>
          <w:sz w:val="24"/>
        </w:rPr>
        <w:t>два отрицательных результата лабораторных исследований биологического материала на РНК SARS-CoV-2, взятых с интервалом не менее 1</w:t>
      </w:r>
      <w:r>
        <w:rPr>
          <w:spacing w:val="-10"/>
          <w:sz w:val="24"/>
        </w:rPr>
        <w:t> </w:t>
      </w:r>
      <w:r>
        <w:rPr>
          <w:sz w:val="24"/>
        </w:rPr>
        <w:t>суток.</w:t>
      </w:r>
    </w:p>
    <w:p>
      <w:pPr>
        <w:pStyle w:val="BodyText"/>
        <w:spacing w:before="10"/>
        <w:ind w:left="0"/>
        <w:jc w:val="left"/>
        <w:rPr>
          <w:sz w:val="31"/>
        </w:rPr>
      </w:pPr>
    </w:p>
    <w:p>
      <w:pPr>
        <w:pStyle w:val="BodyText"/>
        <w:spacing w:line="312" w:lineRule="auto"/>
        <w:ind w:right="676" w:firstLine="708"/>
      </w:pPr>
      <w:r>
        <w:rPr/>
        <w:t>При</w:t>
      </w:r>
      <w:r>
        <w:rPr>
          <w:spacing w:val="-13"/>
        </w:rPr>
        <w:t> </w:t>
      </w:r>
      <w:r>
        <w:rPr/>
        <w:t>наличии</w:t>
      </w:r>
      <w:r>
        <w:rPr>
          <w:spacing w:val="-13"/>
        </w:rPr>
        <w:t> </w:t>
      </w:r>
      <w:r>
        <w:rPr/>
        <w:t>двух</w:t>
      </w:r>
      <w:r>
        <w:rPr>
          <w:spacing w:val="-11"/>
        </w:rPr>
        <w:t> </w:t>
      </w:r>
      <w:r>
        <w:rPr/>
        <w:t>отрицательных</w:t>
      </w:r>
      <w:r>
        <w:rPr>
          <w:spacing w:val="-12"/>
        </w:rPr>
        <w:t> </w:t>
      </w:r>
      <w:r>
        <w:rPr/>
        <w:t>результатов</w:t>
      </w:r>
      <w:r>
        <w:rPr>
          <w:spacing w:val="-12"/>
        </w:rPr>
        <w:t> </w:t>
      </w:r>
      <w:r>
        <w:rPr/>
        <w:t>лабораторных</w:t>
      </w:r>
      <w:r>
        <w:rPr>
          <w:spacing w:val="-11"/>
        </w:rPr>
        <w:t> </w:t>
      </w:r>
      <w:r>
        <w:rPr/>
        <w:t>исследований</w:t>
      </w:r>
      <w:r>
        <w:rPr>
          <w:spacing w:val="-13"/>
        </w:rPr>
        <w:t> </w:t>
      </w:r>
      <w:r>
        <w:rPr/>
        <w:t>РНК SARS-CoV-2 пациент выписывается и транспортируется любым доступным транспортом (личным или</w:t>
      </w:r>
      <w:r>
        <w:rPr>
          <w:spacing w:val="-2"/>
        </w:rPr>
        <w:t> </w:t>
      </w:r>
      <w:r>
        <w:rPr/>
        <w:t>общественным).</w:t>
      </w:r>
    </w:p>
    <w:p>
      <w:pPr>
        <w:pStyle w:val="BodyText"/>
        <w:spacing w:before="5"/>
        <w:ind w:left="0"/>
        <w:jc w:val="left"/>
        <w:rPr>
          <w:sz w:val="31"/>
        </w:rPr>
      </w:pPr>
    </w:p>
    <w:p>
      <w:pPr>
        <w:pStyle w:val="Heading2"/>
        <w:spacing w:before="1"/>
      </w:pPr>
      <w:bookmarkStart w:name="6. ОСОБЕННОСТИ ВЕДЕНИЯ ДЕТЕЙ С COVID-19" w:id="123"/>
      <w:bookmarkEnd w:id="123"/>
      <w:r>
        <w:rPr>
          <w:b w:val="0"/>
        </w:rPr>
      </w:r>
      <w:bookmarkStart w:name="_bookmark25" w:id="124"/>
      <w:bookmarkEnd w:id="124"/>
      <w:r>
        <w:rPr>
          <w:b w:val="0"/>
        </w:rPr>
      </w:r>
      <w:r>
        <w:rPr>
          <w:color w:val="1F487C"/>
        </w:rPr>
        <w:t>6. ОСОБЕННОСТИ ВЕДЕНИЯ ДЕТЕЙ С COVID-19</w:t>
      </w:r>
    </w:p>
    <w:p>
      <w:pPr>
        <w:pStyle w:val="BodyText"/>
        <w:spacing w:line="312" w:lineRule="auto" w:before="197"/>
        <w:ind w:right="675" w:firstLine="708"/>
      </w:pPr>
      <w:r>
        <w:rPr/>
        <w:t>Подробная информация о диагностике, профилактике и лечении детей представлена в методических рекомендациях Минздрава России </w:t>
      </w:r>
      <w:r>
        <w:rPr>
          <w:color w:val="1F487C"/>
        </w:rPr>
        <w:t>«</w:t>
      </w:r>
      <w:hyperlink r:id="rId13">
        <w:r>
          <w:rPr>
            <w:color w:val="1F487C"/>
          </w:rPr>
          <w:t>Особенности</w:t>
        </w:r>
      </w:hyperlink>
      <w:r>
        <w:rPr>
          <w:color w:val="1F487C"/>
        </w:rPr>
        <w:t> </w:t>
      </w:r>
      <w:hyperlink r:id="rId13">
        <w:r>
          <w:rPr>
            <w:color w:val="1F487C"/>
          </w:rPr>
          <w:t>клинических проявлений и лечения заболевания, вызванного новой коронавирусной</w:t>
        </w:r>
      </w:hyperlink>
      <w:r>
        <w:rPr>
          <w:color w:val="1F487C"/>
        </w:rPr>
        <w:t> </w:t>
      </w:r>
      <w:hyperlink r:id="rId13">
        <w:r>
          <w:rPr>
            <w:color w:val="1F487C"/>
          </w:rPr>
          <w:t>инфекцией (COVID-19) у детей</w:t>
        </w:r>
      </w:hyperlink>
      <w:r>
        <w:rPr>
          <w:color w:val="1F487C"/>
        </w:rPr>
        <w:t>»</w:t>
      </w:r>
      <w:r>
        <w:rPr/>
        <w:t>.</w:t>
      </w:r>
    </w:p>
    <w:p>
      <w:pPr>
        <w:pStyle w:val="BodyText"/>
        <w:spacing w:line="312" w:lineRule="auto" w:before="1"/>
        <w:ind w:right="675" w:firstLine="708"/>
      </w:pPr>
      <w:r>
        <w:rPr/>
        <w:t>По имеющимся данным, дети болеют реже, с менее выраженной клинической симптоматикой,</w:t>
      </w:r>
      <w:r>
        <w:rPr>
          <w:spacing w:val="-13"/>
        </w:rPr>
        <w:t> </w:t>
      </w:r>
      <w:r>
        <w:rPr/>
        <w:t>реже</w:t>
      </w:r>
      <w:r>
        <w:rPr>
          <w:spacing w:val="-13"/>
        </w:rPr>
        <w:t> </w:t>
      </w:r>
      <w:r>
        <w:rPr/>
        <w:t>требуют</w:t>
      </w:r>
      <w:r>
        <w:rPr>
          <w:spacing w:val="-11"/>
        </w:rPr>
        <w:t> </w:t>
      </w:r>
      <w:r>
        <w:rPr/>
        <w:t>госпитализации,</w:t>
      </w:r>
      <w:r>
        <w:rPr>
          <w:spacing w:val="-13"/>
        </w:rPr>
        <w:t> </w:t>
      </w:r>
      <w:r>
        <w:rPr/>
        <w:t>заболевание</w:t>
      </w:r>
      <w:r>
        <w:rPr>
          <w:spacing w:val="-11"/>
        </w:rPr>
        <w:t> </w:t>
      </w:r>
      <w:r>
        <w:rPr/>
        <w:t>у</w:t>
      </w:r>
      <w:r>
        <w:rPr>
          <w:spacing w:val="-19"/>
        </w:rPr>
        <w:t> </w:t>
      </w:r>
      <w:r>
        <w:rPr/>
        <w:t>них</w:t>
      </w:r>
      <w:r>
        <w:rPr>
          <w:spacing w:val="-10"/>
        </w:rPr>
        <w:t> </w:t>
      </w:r>
      <w:r>
        <w:rPr/>
        <w:t>протекает</w:t>
      </w:r>
      <w:r>
        <w:rPr>
          <w:spacing w:val="-12"/>
        </w:rPr>
        <w:t> </w:t>
      </w:r>
      <w:r>
        <w:rPr/>
        <w:t>легче,</w:t>
      </w:r>
      <w:r>
        <w:rPr>
          <w:spacing w:val="-12"/>
        </w:rPr>
        <w:t> </w:t>
      </w:r>
      <w:r>
        <w:rPr/>
        <w:t>что, однако, не исключает случаев тяжелого</w:t>
      </w:r>
      <w:r>
        <w:rPr>
          <w:spacing w:val="-3"/>
        </w:rPr>
        <w:t> </w:t>
      </w:r>
      <w:r>
        <w:rPr/>
        <w:t>течения.</w:t>
      </w:r>
    </w:p>
    <w:p>
      <w:pPr>
        <w:pStyle w:val="BodyText"/>
        <w:spacing w:line="312" w:lineRule="auto" w:before="1"/>
        <w:ind w:right="674" w:firstLine="708"/>
      </w:pPr>
      <w:r>
        <w:rPr/>
        <w:t>Имеющиеся на сегодня данные свидетельствуют о том, что дети составляют до 10% в  структуре  инфицированных  SARS-CoV-2  и  до  2%  в  структуре  пациентов  с диагностированными клиническими случаями</w:t>
      </w:r>
      <w:r>
        <w:rPr>
          <w:spacing w:val="-3"/>
        </w:rPr>
        <w:t> </w:t>
      </w:r>
      <w:r>
        <w:rPr/>
        <w:t>COVID-19.</w:t>
      </w:r>
    </w:p>
    <w:p>
      <w:pPr>
        <w:pStyle w:val="BodyText"/>
        <w:spacing w:line="312" w:lineRule="auto"/>
        <w:ind w:right="677" w:firstLine="708"/>
      </w:pPr>
      <w:r>
        <w:rPr/>
        <w:t>В Российской Федерации дети составляют 7,6% зарегистрированных случаев COVID-19, количество  и  возрастная  структура  манифестных  заболеваний  у  детей в настоящее время не известны. Заболевание у новорожденных детей наблюдается крайне редко, при этом внутриутробной передачи инфекции не</w:t>
      </w:r>
      <w:r>
        <w:rPr>
          <w:spacing w:val="-5"/>
        </w:rPr>
        <w:t> </w:t>
      </w:r>
      <w:r>
        <w:rPr/>
        <w:t>доказано.</w:t>
      </w:r>
    </w:p>
    <w:p>
      <w:pPr>
        <w:spacing w:after="0" w:line="312" w:lineRule="auto"/>
        <w:sectPr>
          <w:pgSz w:w="11920" w:h="16850"/>
          <w:pgMar w:header="0" w:footer="620" w:top="1060" w:bottom="880" w:left="1380" w:right="600"/>
        </w:sectPr>
      </w:pPr>
    </w:p>
    <w:p>
      <w:pPr>
        <w:pStyle w:val="BodyText"/>
        <w:spacing w:line="312" w:lineRule="auto" w:before="78"/>
        <w:ind w:right="678" w:firstLine="708"/>
      </w:pPr>
      <w:r>
        <w:rPr/>
        <w:t>У детей существенно отличаются факторы риска, т.к. только в 9% случаев заражение вирусом SARS-CoV-2 связано с путешествиями в другие страны и 91% заболевших имели местные контакты, преимущественно в семейных очагах.</w:t>
      </w:r>
    </w:p>
    <w:p>
      <w:pPr>
        <w:pStyle w:val="BodyText"/>
        <w:spacing w:line="312" w:lineRule="auto"/>
        <w:ind w:right="675" w:firstLine="708"/>
      </w:pPr>
      <w:r>
        <w:rPr/>
        <w:t>У детей отмечается более легкое течение болезни в сравнении со взрослыми, развитие вирусной пневмонии не характерно, симптомы менее выражены, летальные исходы чрезвычайно редки. У детей так же как  у взрослых, доминируют лихорадка    и респираторный синдром, однако менее выражены лимфопения и воспалительные маркеры.</w:t>
      </w:r>
    </w:p>
    <w:p>
      <w:pPr>
        <w:pStyle w:val="BodyText"/>
        <w:ind w:left="1029"/>
      </w:pPr>
      <w:r>
        <w:rPr/>
        <w:t>Инкубационный период у детей колеблется от 2 до 10 дней, чаще составляет</w:t>
      </w:r>
    </w:p>
    <w:p>
      <w:pPr>
        <w:pStyle w:val="BodyText"/>
        <w:spacing w:before="82"/>
        <w:jc w:val="left"/>
      </w:pPr>
      <w:r>
        <w:rPr/>
        <w:t>2 дня.</w:t>
      </w:r>
    </w:p>
    <w:p>
      <w:pPr>
        <w:pStyle w:val="BodyText"/>
        <w:spacing w:before="84"/>
        <w:ind w:left="1029"/>
        <w:jc w:val="left"/>
      </w:pPr>
      <w:r>
        <w:rPr/>
        <w:t>Клинические симптомы COVID-19 у детей соответствуют клинической картине</w:t>
      </w:r>
    </w:p>
    <w:p>
      <w:pPr>
        <w:pStyle w:val="BodyText"/>
        <w:spacing w:line="312" w:lineRule="auto" w:before="82"/>
        <w:ind w:right="674"/>
      </w:pPr>
      <w:r>
        <w:rPr/>
        <w:t>ОРВИ, обусловленной другими вирусами: лихорадка, кашель, боль в горле, чихание, слабость, миалгия. Выраженность лихорадочной реакции может быть различна: лихорадка до 38 °С отмечается у половины больных детей, у трети детей регистрируется повышение t тела от 38,1 до 39,0 °С.</w:t>
      </w:r>
    </w:p>
    <w:p>
      <w:pPr>
        <w:pStyle w:val="BodyText"/>
        <w:spacing w:line="312" w:lineRule="auto"/>
        <w:ind w:right="673" w:firstLine="708"/>
      </w:pPr>
      <w:r>
        <w:rPr/>
        <w:t>Накопленный опыт наблюдения за манифестными случаями COVID-19 у детей показывает,</w:t>
      </w:r>
      <w:r>
        <w:rPr>
          <w:spacing w:val="-16"/>
        </w:rPr>
        <w:t> </w:t>
      </w:r>
      <w:r>
        <w:rPr/>
        <w:t>что</w:t>
      </w:r>
      <w:r>
        <w:rPr>
          <w:spacing w:val="-16"/>
        </w:rPr>
        <w:t> </w:t>
      </w:r>
      <w:r>
        <w:rPr/>
        <w:t>характерное</w:t>
      </w:r>
      <w:r>
        <w:rPr>
          <w:spacing w:val="-17"/>
        </w:rPr>
        <w:t> </w:t>
      </w:r>
      <w:r>
        <w:rPr/>
        <w:t>сочетание</w:t>
      </w:r>
      <w:r>
        <w:rPr>
          <w:spacing w:val="-17"/>
        </w:rPr>
        <w:t> </w:t>
      </w:r>
      <w:r>
        <w:rPr/>
        <w:t>лихорадки,</w:t>
      </w:r>
      <w:r>
        <w:rPr>
          <w:spacing w:val="-16"/>
        </w:rPr>
        <w:t> </w:t>
      </w:r>
      <w:r>
        <w:rPr/>
        <w:t>кашля</w:t>
      </w:r>
      <w:r>
        <w:rPr>
          <w:spacing w:val="-15"/>
        </w:rPr>
        <w:t> </w:t>
      </w:r>
      <w:r>
        <w:rPr/>
        <w:t>и</w:t>
      </w:r>
      <w:r>
        <w:rPr>
          <w:spacing w:val="-15"/>
        </w:rPr>
        <w:t> </w:t>
      </w:r>
      <w:r>
        <w:rPr/>
        <w:t>одышки</w:t>
      </w:r>
      <w:r>
        <w:rPr>
          <w:spacing w:val="-15"/>
        </w:rPr>
        <w:t> </w:t>
      </w:r>
      <w:r>
        <w:rPr/>
        <w:t>имеет</w:t>
      </w:r>
      <w:r>
        <w:rPr>
          <w:spacing w:val="-15"/>
        </w:rPr>
        <w:t> </w:t>
      </w:r>
      <w:r>
        <w:rPr/>
        <w:t>место</w:t>
      </w:r>
      <w:r>
        <w:rPr>
          <w:spacing w:val="-16"/>
        </w:rPr>
        <w:t> </w:t>
      </w:r>
      <w:r>
        <w:rPr/>
        <w:t>только у 73% (у взрослых – 93%). Сопоставление частоты отдельных симптомов также показывает преобладание их у взрослых. По данным американских исследователей, лишь 56% пациентов детского возраста сообщили о лихорадке, 54% о кашле и 13% об одышке, по сравнению с 71%, 80% и 43% соответственно среди пациентов в возрасте 18-64 лет. У детей не только реже отмечают клинические проявления интоксикации (головная боль  28% против 58%  у взрослых;  миалгия – 23% против 61% взрослых)  и дыхательной недостаточности, но и желудочно-кишечные проявления (тошнота/рвота – у 11% против 16%; абдоминальная боль – 5,8% против 12%; диарея</w:t>
      </w:r>
      <w:r>
        <w:rPr>
          <w:spacing w:val="-36"/>
        </w:rPr>
        <w:t> </w:t>
      </w:r>
      <w:r>
        <w:rPr/>
        <w:t>– 13% против 31%). Тахикардия отмечается у половины госпитализированных детей, </w:t>
      </w:r>
      <w:r>
        <w:rPr>
          <w:position w:val="2"/>
        </w:rPr>
        <w:t>тахипноэ – у трети. У детей редко наблюдается снижение SpO</w:t>
      </w:r>
      <w:r>
        <w:rPr>
          <w:sz w:val="16"/>
        </w:rPr>
        <w:t>2 </w:t>
      </w:r>
      <w:r>
        <w:rPr>
          <w:position w:val="2"/>
        </w:rPr>
        <w:t>&lt;</w:t>
      </w:r>
      <w:r>
        <w:rPr>
          <w:spacing w:val="-30"/>
          <w:position w:val="2"/>
        </w:rPr>
        <w:t> </w:t>
      </w:r>
      <w:r>
        <w:rPr>
          <w:position w:val="2"/>
        </w:rPr>
        <w:t>92%.</w:t>
      </w:r>
    </w:p>
    <w:p>
      <w:pPr>
        <w:pStyle w:val="BodyText"/>
        <w:spacing w:line="312" w:lineRule="auto"/>
        <w:ind w:right="675" w:firstLine="708"/>
      </w:pPr>
      <w:r>
        <w:rPr/>
        <w:t>По</w:t>
      </w:r>
      <w:r>
        <w:rPr>
          <w:spacing w:val="-13"/>
        </w:rPr>
        <w:t> </w:t>
      </w:r>
      <w:r>
        <w:rPr/>
        <w:t>разным</w:t>
      </w:r>
      <w:r>
        <w:rPr>
          <w:spacing w:val="-14"/>
        </w:rPr>
        <w:t> </w:t>
      </w:r>
      <w:r>
        <w:rPr/>
        <w:t>данным,</w:t>
      </w:r>
      <w:r>
        <w:rPr>
          <w:spacing w:val="-13"/>
        </w:rPr>
        <w:t> </w:t>
      </w:r>
      <w:r>
        <w:rPr/>
        <w:t>от</w:t>
      </w:r>
      <w:r>
        <w:rPr>
          <w:spacing w:val="-13"/>
        </w:rPr>
        <w:t> </w:t>
      </w:r>
      <w:r>
        <w:rPr/>
        <w:t>5,7%</w:t>
      </w:r>
      <w:r>
        <w:rPr>
          <w:spacing w:val="-14"/>
        </w:rPr>
        <w:t> </w:t>
      </w:r>
      <w:r>
        <w:rPr/>
        <w:t>до</w:t>
      </w:r>
      <w:r>
        <w:rPr>
          <w:spacing w:val="-13"/>
        </w:rPr>
        <w:t> </w:t>
      </w:r>
      <w:r>
        <w:rPr/>
        <w:t>20%</w:t>
      </w:r>
      <w:r>
        <w:rPr>
          <w:spacing w:val="-12"/>
        </w:rPr>
        <w:t> </w:t>
      </w:r>
      <w:r>
        <w:rPr/>
        <w:t>детей</w:t>
      </w:r>
      <w:r>
        <w:rPr>
          <w:spacing w:val="-10"/>
        </w:rPr>
        <w:t> </w:t>
      </w:r>
      <w:r>
        <w:rPr/>
        <w:t>с</w:t>
      </w:r>
      <w:r>
        <w:rPr>
          <w:spacing w:val="-14"/>
        </w:rPr>
        <w:t> </w:t>
      </w:r>
      <w:r>
        <w:rPr/>
        <w:t>COVID-19</w:t>
      </w:r>
      <w:r>
        <w:rPr>
          <w:spacing w:val="-11"/>
        </w:rPr>
        <w:t> </w:t>
      </w:r>
      <w:r>
        <w:rPr/>
        <w:t>были</w:t>
      </w:r>
      <w:r>
        <w:rPr>
          <w:spacing w:val="-12"/>
        </w:rPr>
        <w:t> </w:t>
      </w:r>
      <w:r>
        <w:rPr/>
        <w:t>госпитализированы, остальные лечились амбулаторно, в том числе пациенты с легкими, субклиническими и бессимптомными формами, у которых вирус SARS-CoV-2 был выделен при обследовании по контакту. В США у</w:t>
      </w:r>
      <w:r>
        <w:rPr>
          <w:spacing w:val="-45"/>
        </w:rPr>
        <w:t> </w:t>
      </w:r>
      <w:r>
        <w:rPr/>
        <w:t>детей с COVID-19 госпитализация потребовалась только 1,6-2,5% пациентов, причем необходимости в оказании реанимационной помощи не было.</w:t>
      </w:r>
    </w:p>
    <w:p>
      <w:pPr>
        <w:pStyle w:val="BodyText"/>
        <w:spacing w:line="312" w:lineRule="auto"/>
        <w:ind w:right="677" w:firstLine="708"/>
      </w:pPr>
      <w:r>
        <w:rPr/>
        <w:t>Выраженность клинических проявлений коронавирусной инфекции варьирует от отсутствия симптомов (бессимптомное течение) или легких респираторных симптомов до тяжелой ТОРС, протекающего с:</w:t>
      </w:r>
    </w:p>
    <w:p>
      <w:pPr>
        <w:pStyle w:val="BodyText"/>
        <w:spacing w:before="2"/>
        <w:ind w:left="0"/>
        <w:jc w:val="left"/>
        <w:rPr>
          <w:sz w:val="31"/>
        </w:rPr>
      </w:pPr>
    </w:p>
    <w:p>
      <w:pPr>
        <w:pStyle w:val="ListParagraph"/>
        <w:numPr>
          <w:ilvl w:val="0"/>
          <w:numId w:val="30"/>
        </w:numPr>
        <w:tabs>
          <w:tab w:pos="1000" w:val="left" w:leader="none"/>
          <w:tab w:pos="1001" w:val="left" w:leader="none"/>
        </w:tabs>
        <w:spacing w:line="240" w:lineRule="auto" w:before="0" w:after="0"/>
        <w:ind w:left="1000" w:right="0" w:hanging="339"/>
        <w:jc w:val="left"/>
        <w:rPr>
          <w:sz w:val="24"/>
        </w:rPr>
      </w:pPr>
      <w:r>
        <w:rPr>
          <w:sz w:val="24"/>
        </w:rPr>
        <w:t>Высокой лихорадкой;</w:t>
      </w:r>
    </w:p>
    <w:p>
      <w:pPr>
        <w:pStyle w:val="ListParagraph"/>
        <w:numPr>
          <w:ilvl w:val="0"/>
          <w:numId w:val="30"/>
        </w:numPr>
        <w:tabs>
          <w:tab w:pos="1000" w:val="left" w:leader="none"/>
          <w:tab w:pos="1001" w:val="left" w:leader="none"/>
        </w:tabs>
        <w:spacing w:line="240" w:lineRule="auto" w:before="83" w:after="0"/>
        <w:ind w:left="1000" w:right="0" w:hanging="339"/>
        <w:jc w:val="left"/>
        <w:rPr>
          <w:sz w:val="24"/>
        </w:rPr>
      </w:pPr>
      <w:r>
        <w:rPr>
          <w:sz w:val="24"/>
        </w:rPr>
        <w:t>Выраженным нарушением самочувствия вплоть до нарушения</w:t>
      </w:r>
      <w:r>
        <w:rPr>
          <w:spacing w:val="-5"/>
          <w:sz w:val="24"/>
        </w:rPr>
        <w:t> </w:t>
      </w:r>
      <w:r>
        <w:rPr>
          <w:sz w:val="24"/>
        </w:rPr>
        <w:t>сознания;</w:t>
      </w:r>
    </w:p>
    <w:p>
      <w:pPr>
        <w:spacing w:after="0" w:line="240" w:lineRule="auto"/>
        <w:jc w:val="left"/>
        <w:rPr>
          <w:sz w:val="24"/>
        </w:rPr>
        <w:sectPr>
          <w:pgSz w:w="11920" w:h="16850"/>
          <w:pgMar w:header="0" w:footer="620" w:top="1060" w:bottom="880" w:left="1380" w:right="600"/>
        </w:sectPr>
      </w:pPr>
    </w:p>
    <w:p>
      <w:pPr>
        <w:pStyle w:val="ListParagraph"/>
        <w:numPr>
          <w:ilvl w:val="0"/>
          <w:numId w:val="30"/>
        </w:numPr>
        <w:tabs>
          <w:tab w:pos="1000" w:val="left" w:leader="none"/>
          <w:tab w:pos="1001" w:val="left" w:leader="none"/>
        </w:tabs>
        <w:spacing w:line="240" w:lineRule="auto" w:before="80" w:after="0"/>
        <w:ind w:left="1000" w:right="0" w:hanging="339"/>
        <w:jc w:val="left"/>
        <w:rPr>
          <w:sz w:val="24"/>
        </w:rPr>
      </w:pPr>
      <w:r>
        <w:rPr>
          <w:sz w:val="24"/>
        </w:rPr>
        <w:t>Ознобом,</w:t>
      </w:r>
      <w:r>
        <w:rPr>
          <w:spacing w:val="-1"/>
          <w:sz w:val="24"/>
        </w:rPr>
        <w:t> </w:t>
      </w:r>
      <w:r>
        <w:rPr>
          <w:sz w:val="24"/>
        </w:rPr>
        <w:t>потливостью;</w:t>
      </w:r>
    </w:p>
    <w:p>
      <w:pPr>
        <w:pStyle w:val="ListParagraph"/>
        <w:numPr>
          <w:ilvl w:val="0"/>
          <w:numId w:val="30"/>
        </w:numPr>
        <w:tabs>
          <w:tab w:pos="1000" w:val="left" w:leader="none"/>
          <w:tab w:pos="1001" w:val="left" w:leader="none"/>
        </w:tabs>
        <w:spacing w:line="240" w:lineRule="auto" w:before="83" w:after="0"/>
        <w:ind w:left="1000" w:right="0" w:hanging="339"/>
        <w:jc w:val="left"/>
        <w:rPr>
          <w:sz w:val="24"/>
        </w:rPr>
      </w:pPr>
      <w:r>
        <w:rPr>
          <w:sz w:val="24"/>
        </w:rPr>
        <w:t>Головными и мышечными</w:t>
      </w:r>
      <w:r>
        <w:rPr>
          <w:spacing w:val="2"/>
          <w:sz w:val="24"/>
        </w:rPr>
        <w:t> </w:t>
      </w:r>
      <w:r>
        <w:rPr>
          <w:sz w:val="24"/>
        </w:rPr>
        <w:t>болями;</w:t>
      </w:r>
    </w:p>
    <w:p>
      <w:pPr>
        <w:pStyle w:val="ListParagraph"/>
        <w:numPr>
          <w:ilvl w:val="0"/>
          <w:numId w:val="30"/>
        </w:numPr>
        <w:tabs>
          <w:tab w:pos="1000" w:val="left" w:leader="none"/>
          <w:tab w:pos="1001" w:val="left" w:leader="none"/>
        </w:tabs>
        <w:spacing w:line="240" w:lineRule="auto" w:before="80" w:after="0"/>
        <w:ind w:left="1000" w:right="0" w:hanging="339"/>
        <w:jc w:val="left"/>
        <w:rPr>
          <w:sz w:val="24"/>
        </w:rPr>
      </w:pPr>
      <w:r>
        <w:rPr>
          <w:sz w:val="24"/>
        </w:rPr>
        <w:t>Сухим кашлем, одышкой, учащенным и затрудненным</w:t>
      </w:r>
      <w:r>
        <w:rPr>
          <w:spacing w:val="-2"/>
          <w:sz w:val="24"/>
        </w:rPr>
        <w:t> </w:t>
      </w:r>
      <w:r>
        <w:rPr>
          <w:sz w:val="24"/>
        </w:rPr>
        <w:t>дыханием;</w:t>
      </w:r>
    </w:p>
    <w:p>
      <w:pPr>
        <w:pStyle w:val="ListParagraph"/>
        <w:numPr>
          <w:ilvl w:val="0"/>
          <w:numId w:val="30"/>
        </w:numPr>
        <w:tabs>
          <w:tab w:pos="1000" w:val="left" w:leader="none"/>
          <w:tab w:pos="1001" w:val="left" w:leader="none"/>
        </w:tabs>
        <w:spacing w:line="240" w:lineRule="auto" w:before="83" w:after="0"/>
        <w:ind w:left="1000" w:right="0" w:hanging="339"/>
        <w:jc w:val="left"/>
        <w:rPr>
          <w:sz w:val="24"/>
        </w:rPr>
      </w:pPr>
      <w:r>
        <w:rPr>
          <w:sz w:val="24"/>
        </w:rPr>
        <w:t>Учащенным</w:t>
      </w:r>
      <w:r>
        <w:rPr>
          <w:spacing w:val="-2"/>
          <w:sz w:val="24"/>
        </w:rPr>
        <w:t> </w:t>
      </w:r>
      <w:r>
        <w:rPr>
          <w:sz w:val="24"/>
        </w:rPr>
        <w:t>сердцебиением.</w:t>
      </w:r>
    </w:p>
    <w:p>
      <w:pPr>
        <w:pStyle w:val="BodyText"/>
        <w:spacing w:before="4"/>
        <w:ind w:left="0"/>
        <w:jc w:val="left"/>
        <w:rPr>
          <w:sz w:val="39"/>
        </w:rPr>
      </w:pPr>
    </w:p>
    <w:p>
      <w:pPr>
        <w:pStyle w:val="BodyText"/>
        <w:spacing w:line="312" w:lineRule="auto"/>
        <w:ind w:right="674" w:firstLine="708"/>
      </w:pPr>
      <w:r>
        <w:rPr/>
        <w:t>Наиболее частым проявлением ТОРС является двусторонняя вирусная пневмония, осложненная ОРДС или отеком легких. Возможна остановка дыхания, что требует ИВЛ и оказания помощи в условиях ОРИТ.</w:t>
      </w:r>
    </w:p>
    <w:p>
      <w:pPr>
        <w:pStyle w:val="BodyText"/>
        <w:spacing w:line="312" w:lineRule="auto"/>
        <w:ind w:right="676" w:firstLine="708"/>
      </w:pPr>
      <w:r>
        <w:rPr/>
        <w:t>Неблагоприятные исходы развиваются при прогрессирующей дыхательной недостаточности, присоединении вторичной инфекции, протекающей в виде сепсиса.</w:t>
      </w:r>
    </w:p>
    <w:p>
      <w:pPr>
        <w:pStyle w:val="BodyText"/>
        <w:ind w:left="1029"/>
      </w:pPr>
      <w:r>
        <w:rPr/>
        <w:t>Возможные осложнения:</w:t>
      </w:r>
    </w:p>
    <w:p>
      <w:pPr>
        <w:pStyle w:val="BodyText"/>
        <w:spacing w:before="6"/>
        <w:ind w:left="0"/>
        <w:jc w:val="left"/>
        <w:rPr>
          <w:sz w:val="38"/>
        </w:rPr>
      </w:pPr>
    </w:p>
    <w:p>
      <w:pPr>
        <w:pStyle w:val="ListParagraph"/>
        <w:numPr>
          <w:ilvl w:val="0"/>
          <w:numId w:val="30"/>
        </w:numPr>
        <w:tabs>
          <w:tab w:pos="1000" w:val="left" w:leader="none"/>
          <w:tab w:pos="1001" w:val="left" w:leader="none"/>
        </w:tabs>
        <w:spacing w:line="240" w:lineRule="auto" w:before="0" w:after="0"/>
        <w:ind w:left="1000" w:right="0" w:hanging="339"/>
        <w:jc w:val="left"/>
        <w:rPr>
          <w:sz w:val="24"/>
        </w:rPr>
      </w:pPr>
      <w:r>
        <w:rPr>
          <w:sz w:val="24"/>
        </w:rPr>
        <w:t>ОРДС;</w:t>
      </w:r>
    </w:p>
    <w:p>
      <w:pPr>
        <w:pStyle w:val="ListParagraph"/>
        <w:numPr>
          <w:ilvl w:val="0"/>
          <w:numId w:val="30"/>
        </w:numPr>
        <w:tabs>
          <w:tab w:pos="1000" w:val="left" w:leader="none"/>
          <w:tab w:pos="1001" w:val="left" w:leader="none"/>
        </w:tabs>
        <w:spacing w:line="240" w:lineRule="auto" w:before="83" w:after="0"/>
        <w:ind w:left="1000" w:right="0" w:hanging="339"/>
        <w:jc w:val="left"/>
        <w:rPr>
          <w:sz w:val="24"/>
        </w:rPr>
      </w:pPr>
      <w:r>
        <w:rPr>
          <w:sz w:val="24"/>
        </w:rPr>
        <w:t>Острая сердечная</w:t>
      </w:r>
      <w:r>
        <w:rPr>
          <w:spacing w:val="-1"/>
          <w:sz w:val="24"/>
        </w:rPr>
        <w:t> </w:t>
      </w:r>
      <w:r>
        <w:rPr>
          <w:sz w:val="24"/>
        </w:rPr>
        <w:t>недостаточность;</w:t>
      </w:r>
    </w:p>
    <w:p>
      <w:pPr>
        <w:pStyle w:val="ListParagraph"/>
        <w:numPr>
          <w:ilvl w:val="0"/>
          <w:numId w:val="30"/>
        </w:numPr>
        <w:tabs>
          <w:tab w:pos="1000" w:val="left" w:leader="none"/>
          <w:tab w:pos="1001" w:val="left" w:leader="none"/>
        </w:tabs>
        <w:spacing w:line="240" w:lineRule="auto" w:before="82" w:after="0"/>
        <w:ind w:left="1000" w:right="0" w:hanging="339"/>
        <w:jc w:val="left"/>
        <w:rPr>
          <w:sz w:val="24"/>
        </w:rPr>
      </w:pPr>
      <w:r>
        <w:rPr>
          <w:sz w:val="24"/>
        </w:rPr>
        <w:t>Острая почечная</w:t>
      </w:r>
      <w:r>
        <w:rPr>
          <w:spacing w:val="-1"/>
          <w:sz w:val="24"/>
        </w:rPr>
        <w:t> </w:t>
      </w:r>
      <w:r>
        <w:rPr>
          <w:sz w:val="24"/>
        </w:rPr>
        <w:t>недостаточность;</w:t>
      </w:r>
    </w:p>
    <w:p>
      <w:pPr>
        <w:pStyle w:val="ListParagraph"/>
        <w:numPr>
          <w:ilvl w:val="0"/>
          <w:numId w:val="30"/>
        </w:numPr>
        <w:tabs>
          <w:tab w:pos="1000" w:val="left" w:leader="none"/>
          <w:tab w:pos="1001" w:val="left" w:leader="none"/>
        </w:tabs>
        <w:spacing w:line="240" w:lineRule="auto" w:before="81" w:after="0"/>
        <w:ind w:left="1000" w:right="0" w:hanging="339"/>
        <w:jc w:val="left"/>
        <w:rPr>
          <w:sz w:val="24"/>
        </w:rPr>
      </w:pPr>
      <w:r>
        <w:rPr>
          <w:sz w:val="24"/>
        </w:rPr>
        <w:t>Септический шок;</w:t>
      </w:r>
    </w:p>
    <w:p>
      <w:pPr>
        <w:pStyle w:val="ListParagraph"/>
        <w:numPr>
          <w:ilvl w:val="0"/>
          <w:numId w:val="30"/>
        </w:numPr>
        <w:tabs>
          <w:tab w:pos="1000" w:val="left" w:leader="none"/>
          <w:tab w:pos="1001" w:val="left" w:leader="none"/>
        </w:tabs>
        <w:spacing w:line="240" w:lineRule="auto" w:before="83" w:after="0"/>
        <w:ind w:left="1000" w:right="0" w:hanging="339"/>
        <w:jc w:val="left"/>
        <w:rPr>
          <w:sz w:val="24"/>
        </w:rPr>
      </w:pPr>
      <w:r>
        <w:rPr>
          <w:sz w:val="24"/>
        </w:rPr>
        <w:t>Полиорганная недостаточность (нарушение функций многих органов и</w:t>
      </w:r>
      <w:r>
        <w:rPr>
          <w:spacing w:val="-7"/>
          <w:sz w:val="24"/>
        </w:rPr>
        <w:t> </w:t>
      </w:r>
      <w:r>
        <w:rPr>
          <w:sz w:val="24"/>
        </w:rPr>
        <w:t>систем).</w:t>
      </w:r>
    </w:p>
    <w:p>
      <w:pPr>
        <w:pStyle w:val="BodyText"/>
        <w:spacing w:before="4"/>
        <w:ind w:left="0"/>
        <w:jc w:val="left"/>
        <w:rPr>
          <w:sz w:val="39"/>
        </w:rPr>
      </w:pPr>
    </w:p>
    <w:p>
      <w:pPr>
        <w:pStyle w:val="BodyText"/>
        <w:spacing w:line="312" w:lineRule="auto"/>
        <w:ind w:right="673" w:firstLine="708"/>
      </w:pPr>
      <w:r>
        <w:rPr/>
        <w:t>Не у всех детей с подозрением на COVID-19, переносивших тяжелые формы заболевания, был лабораторно выделен вирус SARS-CoV-2, что не позволяет исключить сочетанные инфекции или наличие других респираторных заболеваний у детей с подозрительными случаями заболеваний на основании клинико- эпидемиологических данных.</w:t>
      </w:r>
    </w:p>
    <w:p>
      <w:pPr>
        <w:pStyle w:val="BodyText"/>
        <w:spacing w:line="312" w:lineRule="auto"/>
        <w:ind w:right="675" w:firstLine="708"/>
      </w:pPr>
      <w:r>
        <w:rPr>
          <w:b/>
        </w:rPr>
        <w:t>Легкая степень тяжести </w:t>
      </w:r>
      <w:r>
        <w:rPr/>
        <w:t>характеризуется повышением t тела не выше 38,5 °С, отсутствием одышки в покое, но возможно появление ее при физической нагрузке, </w:t>
      </w:r>
      <w:r>
        <w:rPr>
          <w:position w:val="2"/>
        </w:rPr>
        <w:t>SpO</w:t>
      </w:r>
      <w:r>
        <w:rPr>
          <w:sz w:val="16"/>
        </w:rPr>
        <w:t>2 </w:t>
      </w:r>
      <w:r>
        <w:rPr>
          <w:position w:val="2"/>
        </w:rPr>
        <w:t>&gt;</w:t>
      </w:r>
      <w:r>
        <w:rPr>
          <w:spacing w:val="-21"/>
          <w:position w:val="2"/>
        </w:rPr>
        <w:t> </w:t>
      </w:r>
      <w:r>
        <w:rPr>
          <w:position w:val="2"/>
        </w:rPr>
        <w:t>95%.</w:t>
      </w:r>
    </w:p>
    <w:p>
      <w:pPr>
        <w:pStyle w:val="BodyText"/>
        <w:spacing w:line="312" w:lineRule="auto"/>
        <w:ind w:right="677" w:firstLine="708"/>
      </w:pPr>
      <w:r>
        <w:rPr>
          <w:b/>
        </w:rPr>
        <w:t>Средняя степень тяжести </w:t>
      </w:r>
      <w:r>
        <w:rPr/>
        <w:t>характеризуется повышением t тела выше 38,5 °С, отсутствием</w:t>
      </w:r>
      <w:r>
        <w:rPr>
          <w:spacing w:val="-18"/>
        </w:rPr>
        <w:t> </w:t>
      </w:r>
      <w:r>
        <w:rPr/>
        <w:t>одышки</w:t>
      </w:r>
      <w:r>
        <w:rPr>
          <w:spacing w:val="-15"/>
        </w:rPr>
        <w:t> </w:t>
      </w:r>
      <w:r>
        <w:rPr/>
        <w:t>в</w:t>
      </w:r>
      <w:r>
        <w:rPr>
          <w:spacing w:val="-16"/>
        </w:rPr>
        <w:t> </w:t>
      </w:r>
      <w:r>
        <w:rPr/>
        <w:t>покое,</w:t>
      </w:r>
      <w:r>
        <w:rPr>
          <w:spacing w:val="-16"/>
        </w:rPr>
        <w:t> </w:t>
      </w:r>
      <w:r>
        <w:rPr/>
        <w:t>но</w:t>
      </w:r>
      <w:r>
        <w:rPr>
          <w:spacing w:val="-17"/>
        </w:rPr>
        <w:t> </w:t>
      </w:r>
      <w:r>
        <w:rPr/>
        <w:t>ее</w:t>
      </w:r>
      <w:r>
        <w:rPr>
          <w:spacing w:val="-17"/>
        </w:rPr>
        <w:t> </w:t>
      </w:r>
      <w:r>
        <w:rPr/>
        <w:t>появлением</w:t>
      </w:r>
      <w:r>
        <w:rPr>
          <w:spacing w:val="-17"/>
        </w:rPr>
        <w:t> </w:t>
      </w:r>
      <w:r>
        <w:rPr/>
        <w:t>при</w:t>
      </w:r>
      <w:r>
        <w:rPr>
          <w:spacing w:val="-15"/>
        </w:rPr>
        <w:t> </w:t>
      </w:r>
      <w:r>
        <w:rPr/>
        <w:t>физической</w:t>
      </w:r>
      <w:r>
        <w:rPr>
          <w:spacing w:val="-15"/>
        </w:rPr>
        <w:t> </w:t>
      </w:r>
      <w:r>
        <w:rPr/>
        <w:t>нагрузке</w:t>
      </w:r>
      <w:r>
        <w:rPr>
          <w:spacing w:val="-18"/>
        </w:rPr>
        <w:t> </w:t>
      </w:r>
      <w:r>
        <w:rPr/>
        <w:t>(крике/плаче), </w:t>
      </w:r>
      <w:r>
        <w:rPr>
          <w:position w:val="2"/>
        </w:rPr>
        <w:t>SpO</w:t>
      </w:r>
      <w:r>
        <w:rPr>
          <w:sz w:val="16"/>
        </w:rPr>
        <w:t>2 </w:t>
      </w:r>
      <w:r>
        <w:rPr>
          <w:position w:val="2"/>
        </w:rPr>
        <w:t>≤</w:t>
      </w:r>
      <w:r>
        <w:rPr>
          <w:spacing w:val="-20"/>
          <w:position w:val="2"/>
        </w:rPr>
        <w:t> </w:t>
      </w:r>
      <w:r>
        <w:rPr>
          <w:position w:val="2"/>
        </w:rPr>
        <w:t>95%.</w:t>
      </w:r>
    </w:p>
    <w:p>
      <w:pPr>
        <w:pStyle w:val="BodyText"/>
        <w:spacing w:line="312" w:lineRule="auto"/>
        <w:ind w:right="674" w:firstLine="708"/>
      </w:pPr>
      <w:r>
        <w:rPr>
          <w:b/>
        </w:rPr>
        <w:t>Тяжелая степень </w:t>
      </w:r>
      <w:r>
        <w:rPr/>
        <w:t>COVID-19 характеризуется диспноэ (чувство нехватки воздуха, стеснения в области грудной клетки, одышка или тахипноэ), </w:t>
      </w:r>
      <w:r>
        <w:rPr>
          <w:position w:val="2"/>
        </w:rPr>
        <w:t>цианозом/акроцианозом, SpO</w:t>
      </w:r>
      <w:r>
        <w:rPr>
          <w:sz w:val="16"/>
        </w:rPr>
        <w:t>2 </w:t>
      </w:r>
      <w:r>
        <w:rPr>
          <w:position w:val="2"/>
        </w:rPr>
        <w:t>≤ 93%.</w:t>
      </w:r>
    </w:p>
    <w:p>
      <w:pPr>
        <w:pStyle w:val="BodyText"/>
        <w:spacing w:line="312" w:lineRule="auto"/>
        <w:ind w:right="674" w:firstLine="708"/>
      </w:pPr>
      <w:r>
        <w:rPr>
          <w:b/>
        </w:rPr>
        <w:t>Крайне тяжелую степень </w:t>
      </w:r>
      <w:r>
        <w:rPr/>
        <w:t>регистрируют при развитии дыхательной недостаточности с необходимостью респираторной поддержки, ОРДС, шока, признаков полиорганной недостаточности (энцефалопатии, сердечно-сосудистой, почечной, печеночной недостаточности, ДВС-синдрома).</w:t>
      </w:r>
    </w:p>
    <w:p>
      <w:pPr>
        <w:pStyle w:val="BodyText"/>
        <w:spacing w:line="312" w:lineRule="auto"/>
        <w:ind w:right="674" w:firstLine="708"/>
      </w:pPr>
      <w:r>
        <w:rPr/>
        <w:t>Частота тяжелых и крайне тяжелых случаев заболевания не превышает 1%. Случаи крайне тяжелого COVID-19 у детей регистрируют обычно при наличии факторов риска: тяжелых преморбидных заболеваний (дети, имеющие заболевания</w:t>
      </w:r>
    </w:p>
    <w:p>
      <w:pPr>
        <w:spacing w:after="0" w:line="312" w:lineRule="auto"/>
        <w:sectPr>
          <w:pgSz w:w="11920" w:h="16850"/>
          <w:pgMar w:header="0" w:footer="620" w:top="1060" w:bottom="880" w:left="1380" w:right="600"/>
        </w:sectPr>
      </w:pPr>
    </w:p>
    <w:p>
      <w:pPr>
        <w:pStyle w:val="BodyText"/>
        <w:spacing w:line="312" w:lineRule="auto" w:before="78"/>
        <w:ind w:right="673"/>
      </w:pPr>
      <w:r>
        <w:rPr/>
        <w:t>легких, врожденные пороки сердца, бронхолегочную дисплазию, болезнь Кавасаки, гидронефроз, лейкемию и др.), иммунодефицитные состояния разного генеза (чаще заболевают дети старше 5 лет; в 1,5 раза чаще регистрируют пневмонии), нельзя также исключить влияние на тяжесть состояния коинфекции с другими респираторными вирусами (респираторно-синцитиальный вирус, риновирус, бокавирус, аденовирус), для которых характерно поражение нижних отделов респираторного тракта (пневмония, бронхиолит).</w:t>
      </w:r>
    </w:p>
    <w:p>
      <w:pPr>
        <w:pStyle w:val="BodyText"/>
        <w:spacing w:line="312" w:lineRule="auto"/>
        <w:ind w:right="674" w:firstLine="708"/>
      </w:pPr>
      <w:r>
        <w:rPr/>
        <w:t>При выявлении бессимптомной формы или легкой степени тяжести COVID-19 допустимо</w:t>
      </w:r>
      <w:r>
        <w:rPr>
          <w:spacing w:val="-5"/>
        </w:rPr>
        <w:t> </w:t>
      </w:r>
      <w:r>
        <w:rPr/>
        <w:t>лечение</w:t>
      </w:r>
      <w:r>
        <w:rPr>
          <w:spacing w:val="-5"/>
        </w:rPr>
        <w:t> </w:t>
      </w:r>
      <w:r>
        <w:rPr/>
        <w:t>в</w:t>
      </w:r>
      <w:r>
        <w:rPr>
          <w:spacing w:val="-4"/>
        </w:rPr>
        <w:t> </w:t>
      </w:r>
      <w:r>
        <w:rPr/>
        <w:t>амбулаторных условиях</w:t>
      </w:r>
      <w:r>
        <w:rPr>
          <w:spacing w:val="-2"/>
        </w:rPr>
        <w:t> </w:t>
      </w:r>
      <w:r>
        <w:rPr/>
        <w:t>в</w:t>
      </w:r>
      <w:r>
        <w:rPr>
          <w:spacing w:val="-4"/>
        </w:rPr>
        <w:t> </w:t>
      </w:r>
      <w:r>
        <w:rPr/>
        <w:t>том</w:t>
      </w:r>
      <w:r>
        <w:rPr>
          <w:spacing w:val="-5"/>
        </w:rPr>
        <w:t> </w:t>
      </w:r>
      <w:r>
        <w:rPr/>
        <w:t>числе</w:t>
      </w:r>
      <w:r>
        <w:rPr>
          <w:spacing w:val="-6"/>
        </w:rPr>
        <w:t> </w:t>
      </w:r>
      <w:r>
        <w:rPr/>
        <w:t>и</w:t>
      </w:r>
      <w:r>
        <w:rPr>
          <w:spacing w:val="-3"/>
        </w:rPr>
        <w:t> </w:t>
      </w:r>
      <w:r>
        <w:rPr/>
        <w:t>на</w:t>
      </w:r>
      <w:r>
        <w:rPr>
          <w:spacing w:val="-5"/>
        </w:rPr>
        <w:t> </w:t>
      </w:r>
      <w:r>
        <w:rPr/>
        <w:t>дому.</w:t>
      </w:r>
      <w:r>
        <w:rPr>
          <w:spacing w:val="-4"/>
        </w:rPr>
        <w:t> </w:t>
      </w:r>
      <w:r>
        <w:rPr/>
        <w:t>В</w:t>
      </w:r>
      <w:r>
        <w:rPr>
          <w:spacing w:val="-7"/>
        </w:rPr>
        <w:t> </w:t>
      </w:r>
      <w:r>
        <w:rPr/>
        <w:t>случае</w:t>
      </w:r>
      <w:r>
        <w:rPr>
          <w:spacing w:val="-5"/>
        </w:rPr>
        <w:t> </w:t>
      </w:r>
      <w:r>
        <w:rPr/>
        <w:t>решения о возможности лечения в амбулаторных условиях врач должен объяснить родителям или другим законным представителям ребенка необходимость соблюдать режим изоляции. Законные представители ребенка, осуществляющие уход, подписывают информированное согласие установленного образца. При условии амбулаторного лечения возможно использовать дистанционное консультирование больного (законного представителя) с помощью телемедицинских</w:t>
      </w:r>
      <w:r>
        <w:rPr>
          <w:spacing w:val="-6"/>
        </w:rPr>
        <w:t> </w:t>
      </w:r>
      <w:r>
        <w:rPr/>
        <w:t>технологий.</w:t>
      </w:r>
    </w:p>
    <w:p>
      <w:pPr>
        <w:pStyle w:val="BodyText"/>
        <w:spacing w:before="9"/>
        <w:ind w:left="0"/>
        <w:jc w:val="left"/>
        <w:rPr>
          <w:sz w:val="20"/>
        </w:rPr>
      </w:pPr>
    </w:p>
    <w:p>
      <w:pPr>
        <w:pStyle w:val="Heading3"/>
        <w:spacing w:line="259" w:lineRule="auto"/>
        <w:ind w:right="1532"/>
        <w:jc w:val="left"/>
      </w:pPr>
      <w:bookmarkStart w:name="Показания для госпитализации детей с COV" w:id="125"/>
      <w:bookmarkEnd w:id="125"/>
      <w:r>
        <w:rPr>
          <w:b w:val="0"/>
        </w:rPr>
      </w:r>
      <w:r>
        <w:rPr>
          <w:color w:val="1F487C"/>
        </w:rPr>
        <w:t>Показания для госпитализации детей с COVID-19 или подозрением на него:</w:t>
      </w:r>
    </w:p>
    <w:p>
      <w:pPr>
        <w:pStyle w:val="ListParagraph"/>
        <w:numPr>
          <w:ilvl w:val="0"/>
          <w:numId w:val="31"/>
        </w:numPr>
        <w:tabs>
          <w:tab w:pos="1455" w:val="left" w:leader="none"/>
        </w:tabs>
        <w:spacing w:line="312" w:lineRule="auto" w:before="119" w:after="0"/>
        <w:ind w:left="321" w:right="675" w:firstLine="852"/>
        <w:jc w:val="left"/>
        <w:rPr>
          <w:sz w:val="24"/>
        </w:rPr>
      </w:pPr>
      <w:r>
        <w:rPr>
          <w:sz w:val="24"/>
        </w:rPr>
        <w:t>Тяжелая или среднетяжелая степень респираторного заболевания или внебольничная</w:t>
      </w:r>
      <w:r>
        <w:rPr>
          <w:spacing w:val="-1"/>
          <w:sz w:val="24"/>
        </w:rPr>
        <w:t> </w:t>
      </w:r>
      <w:r>
        <w:rPr>
          <w:sz w:val="24"/>
        </w:rPr>
        <w:t>пневмония.</w:t>
      </w:r>
    </w:p>
    <w:p>
      <w:pPr>
        <w:pStyle w:val="ListParagraph"/>
        <w:numPr>
          <w:ilvl w:val="0"/>
          <w:numId w:val="31"/>
        </w:numPr>
        <w:tabs>
          <w:tab w:pos="1455" w:val="left" w:leader="none"/>
        </w:tabs>
        <w:spacing w:line="312" w:lineRule="auto" w:before="0" w:after="0"/>
        <w:ind w:left="321" w:right="677" w:firstLine="852"/>
        <w:jc w:val="left"/>
        <w:rPr>
          <w:sz w:val="24"/>
        </w:rPr>
      </w:pPr>
      <w:r>
        <w:rPr>
          <w:sz w:val="24"/>
        </w:rPr>
        <w:t>Лихорадка</w:t>
      </w:r>
      <w:r>
        <w:rPr>
          <w:spacing w:val="-9"/>
          <w:sz w:val="24"/>
        </w:rPr>
        <w:t> </w:t>
      </w:r>
      <w:r>
        <w:rPr>
          <w:sz w:val="24"/>
        </w:rPr>
        <w:t>выше</w:t>
      </w:r>
      <w:r>
        <w:rPr>
          <w:spacing w:val="-9"/>
          <w:sz w:val="24"/>
        </w:rPr>
        <w:t> </w:t>
      </w:r>
      <w:r>
        <w:rPr>
          <w:sz w:val="24"/>
        </w:rPr>
        <w:t>38,5</w:t>
      </w:r>
      <w:r>
        <w:rPr>
          <w:spacing w:val="-5"/>
          <w:sz w:val="24"/>
        </w:rPr>
        <w:t> </w:t>
      </w:r>
      <w:r>
        <w:rPr>
          <w:sz w:val="24"/>
        </w:rPr>
        <w:t>°С,</w:t>
      </w:r>
      <w:r>
        <w:rPr>
          <w:spacing w:val="-8"/>
          <w:sz w:val="24"/>
        </w:rPr>
        <w:t> </w:t>
      </w:r>
      <w:r>
        <w:rPr>
          <w:sz w:val="24"/>
        </w:rPr>
        <w:t>в</w:t>
      </w:r>
      <w:r>
        <w:rPr>
          <w:spacing w:val="-7"/>
          <w:sz w:val="24"/>
        </w:rPr>
        <w:t> </w:t>
      </w:r>
      <w:r>
        <w:rPr>
          <w:sz w:val="24"/>
        </w:rPr>
        <w:t>том</w:t>
      </w:r>
      <w:r>
        <w:rPr>
          <w:spacing w:val="-6"/>
          <w:sz w:val="24"/>
        </w:rPr>
        <w:t> </w:t>
      </w:r>
      <w:r>
        <w:rPr>
          <w:sz w:val="24"/>
        </w:rPr>
        <w:t>числе</w:t>
      </w:r>
      <w:r>
        <w:rPr>
          <w:spacing w:val="-9"/>
          <w:sz w:val="24"/>
        </w:rPr>
        <w:t> </w:t>
      </w:r>
      <w:r>
        <w:rPr>
          <w:sz w:val="24"/>
        </w:rPr>
        <w:t>по</w:t>
      </w:r>
      <w:r>
        <w:rPr>
          <w:spacing w:val="-8"/>
          <w:sz w:val="24"/>
        </w:rPr>
        <w:t> </w:t>
      </w:r>
      <w:r>
        <w:rPr>
          <w:sz w:val="24"/>
        </w:rPr>
        <w:t>данным</w:t>
      </w:r>
      <w:r>
        <w:rPr>
          <w:spacing w:val="-8"/>
          <w:sz w:val="24"/>
        </w:rPr>
        <w:t> </w:t>
      </w:r>
      <w:r>
        <w:rPr>
          <w:sz w:val="24"/>
        </w:rPr>
        <w:t>анамнеза,</w:t>
      </w:r>
      <w:r>
        <w:rPr>
          <w:spacing w:val="-7"/>
          <w:sz w:val="24"/>
        </w:rPr>
        <w:t> </w:t>
      </w:r>
      <w:r>
        <w:rPr>
          <w:sz w:val="24"/>
        </w:rPr>
        <w:t>или</w:t>
      </w:r>
      <w:r>
        <w:rPr>
          <w:spacing w:val="-7"/>
          <w:sz w:val="24"/>
        </w:rPr>
        <w:t> </w:t>
      </w:r>
      <w:r>
        <w:rPr>
          <w:sz w:val="24"/>
        </w:rPr>
        <w:t>ниже</w:t>
      </w:r>
      <w:r>
        <w:rPr>
          <w:spacing w:val="-9"/>
          <w:sz w:val="24"/>
        </w:rPr>
        <w:t> </w:t>
      </w:r>
      <w:r>
        <w:rPr>
          <w:sz w:val="24"/>
        </w:rPr>
        <w:t>36,0</w:t>
      </w:r>
      <w:r>
        <w:rPr>
          <w:spacing w:val="-7"/>
          <w:sz w:val="24"/>
        </w:rPr>
        <w:t> </w:t>
      </w:r>
      <w:r>
        <w:rPr>
          <w:sz w:val="24"/>
        </w:rPr>
        <w:t>°С или при длительности лихорадки выше 38,0 °С более 5</w:t>
      </w:r>
      <w:r>
        <w:rPr>
          <w:spacing w:val="-5"/>
          <w:sz w:val="24"/>
        </w:rPr>
        <w:t> </w:t>
      </w:r>
      <w:r>
        <w:rPr>
          <w:sz w:val="24"/>
        </w:rPr>
        <w:t>дней.</w:t>
      </w:r>
    </w:p>
    <w:p>
      <w:pPr>
        <w:pStyle w:val="ListParagraph"/>
        <w:numPr>
          <w:ilvl w:val="0"/>
          <w:numId w:val="31"/>
        </w:numPr>
        <w:tabs>
          <w:tab w:pos="1455" w:val="left" w:leader="none"/>
        </w:tabs>
        <w:spacing w:line="240" w:lineRule="auto" w:before="1" w:after="0"/>
        <w:ind w:left="1454" w:right="0" w:hanging="282"/>
        <w:jc w:val="left"/>
        <w:rPr>
          <w:sz w:val="24"/>
        </w:rPr>
      </w:pPr>
      <w:r>
        <w:rPr>
          <w:sz w:val="24"/>
        </w:rPr>
        <w:t>Одышка в покое или при</w:t>
      </w:r>
      <w:r>
        <w:rPr>
          <w:spacing w:val="-5"/>
          <w:sz w:val="24"/>
        </w:rPr>
        <w:t> </w:t>
      </w:r>
      <w:r>
        <w:rPr>
          <w:sz w:val="24"/>
        </w:rPr>
        <w:t>беспокойстве.</w:t>
      </w:r>
    </w:p>
    <w:p>
      <w:pPr>
        <w:pStyle w:val="ListParagraph"/>
        <w:numPr>
          <w:ilvl w:val="0"/>
          <w:numId w:val="31"/>
        </w:numPr>
        <w:tabs>
          <w:tab w:pos="1455" w:val="left" w:leader="none"/>
        </w:tabs>
        <w:spacing w:line="312" w:lineRule="auto" w:before="84" w:after="0"/>
        <w:ind w:left="321" w:right="677" w:firstLine="852"/>
        <w:jc w:val="left"/>
        <w:rPr>
          <w:sz w:val="24"/>
        </w:rPr>
      </w:pPr>
      <w:r>
        <w:rPr>
          <w:sz w:val="24"/>
        </w:rPr>
        <w:t>Тахипноэ, не связанное с лихорадкой, более 20%  от  возрастной нормы:  до 1 года – более 50, от 1 до 5 лет – более 40, старше 5 лет – более 30 в</w:t>
      </w:r>
      <w:r>
        <w:rPr>
          <w:spacing w:val="-5"/>
          <w:sz w:val="24"/>
        </w:rPr>
        <w:t> </w:t>
      </w:r>
      <w:r>
        <w:rPr>
          <w:sz w:val="24"/>
        </w:rPr>
        <w:t>мин.</w:t>
      </w:r>
    </w:p>
    <w:p>
      <w:pPr>
        <w:pStyle w:val="ListParagraph"/>
        <w:numPr>
          <w:ilvl w:val="0"/>
          <w:numId w:val="31"/>
        </w:numPr>
        <w:tabs>
          <w:tab w:pos="1455" w:val="left" w:leader="none"/>
        </w:tabs>
        <w:spacing w:line="312" w:lineRule="auto" w:before="0" w:after="0"/>
        <w:ind w:left="321" w:right="677" w:firstLine="852"/>
        <w:jc w:val="left"/>
        <w:rPr>
          <w:sz w:val="24"/>
        </w:rPr>
      </w:pPr>
      <w:r>
        <w:rPr>
          <w:sz w:val="24"/>
        </w:rPr>
        <w:t>Тахикардия, не связанная с лихорадкой, более 20% от возрастной нормы: до 1 года – более 140, от 1 до 5 лет – более 130, старше 5 лет – более 120 в</w:t>
      </w:r>
      <w:r>
        <w:rPr>
          <w:spacing w:val="-9"/>
          <w:sz w:val="24"/>
        </w:rPr>
        <w:t> </w:t>
      </w:r>
      <w:r>
        <w:rPr>
          <w:sz w:val="24"/>
        </w:rPr>
        <w:t>мин.</w:t>
      </w:r>
    </w:p>
    <w:p>
      <w:pPr>
        <w:pStyle w:val="BodyText"/>
        <w:spacing w:line="278" w:lineRule="exact"/>
        <w:ind w:left="1173"/>
        <w:jc w:val="left"/>
      </w:pPr>
      <w:r>
        <w:rPr>
          <w:position w:val="2"/>
        </w:rPr>
        <w:t>6. SpO</w:t>
      </w:r>
      <w:r>
        <w:rPr>
          <w:sz w:val="16"/>
        </w:rPr>
        <w:t>2 </w:t>
      </w:r>
      <w:r>
        <w:rPr>
          <w:position w:val="2"/>
        </w:rPr>
        <w:t>≤ 95%.</w:t>
      </w:r>
    </w:p>
    <w:p>
      <w:pPr>
        <w:pStyle w:val="ListParagraph"/>
        <w:numPr>
          <w:ilvl w:val="0"/>
          <w:numId w:val="32"/>
        </w:numPr>
        <w:tabs>
          <w:tab w:pos="1455" w:val="left" w:leader="none"/>
        </w:tabs>
        <w:spacing w:line="312" w:lineRule="auto" w:before="79" w:after="0"/>
        <w:ind w:left="321" w:right="676" w:firstLine="852"/>
        <w:jc w:val="left"/>
        <w:rPr>
          <w:sz w:val="24"/>
        </w:rPr>
      </w:pPr>
      <w:r>
        <w:rPr>
          <w:sz w:val="24"/>
        </w:rPr>
        <w:t>Угнетение сознания (сонливость) или повышенное возбуждение, инверсия сна, отказ от еды и питья.</w:t>
      </w:r>
    </w:p>
    <w:p>
      <w:pPr>
        <w:pStyle w:val="ListParagraph"/>
        <w:numPr>
          <w:ilvl w:val="0"/>
          <w:numId w:val="32"/>
        </w:numPr>
        <w:tabs>
          <w:tab w:pos="1455" w:val="left" w:leader="none"/>
        </w:tabs>
        <w:spacing w:line="240" w:lineRule="auto" w:before="0" w:after="0"/>
        <w:ind w:left="1454" w:right="0" w:hanging="282"/>
        <w:jc w:val="left"/>
        <w:rPr>
          <w:sz w:val="24"/>
        </w:rPr>
      </w:pPr>
      <w:r>
        <w:rPr>
          <w:sz w:val="24"/>
        </w:rPr>
        <w:t>Судороги.</w:t>
      </w:r>
    </w:p>
    <w:p>
      <w:pPr>
        <w:pStyle w:val="ListParagraph"/>
        <w:numPr>
          <w:ilvl w:val="0"/>
          <w:numId w:val="32"/>
        </w:numPr>
        <w:tabs>
          <w:tab w:pos="1455" w:val="left" w:leader="none"/>
          <w:tab w:pos="2855" w:val="left" w:leader="none"/>
          <w:tab w:pos="4696" w:val="left" w:leader="none"/>
          <w:tab w:pos="5939" w:val="left" w:leader="none"/>
          <w:tab w:pos="6551" w:val="left" w:leader="none"/>
          <w:tab w:pos="7929" w:val="left" w:leader="none"/>
        </w:tabs>
        <w:spacing w:line="312" w:lineRule="auto" w:before="84" w:after="0"/>
        <w:ind w:left="321" w:right="680" w:firstLine="852"/>
        <w:jc w:val="left"/>
        <w:rPr>
          <w:sz w:val="24"/>
        </w:rPr>
      </w:pPr>
      <w:r>
        <w:rPr>
          <w:sz w:val="24"/>
        </w:rPr>
        <w:t>Отсутствие</w:t>
        <w:tab/>
        <w:t>положительной</w:t>
        <w:tab/>
        <w:t>динамики</w:t>
        <w:tab/>
        <w:t>или</w:t>
        <w:tab/>
        <w:t>нарастание</w:t>
        <w:tab/>
      </w:r>
      <w:r>
        <w:rPr>
          <w:spacing w:val="-3"/>
          <w:sz w:val="24"/>
        </w:rPr>
        <w:t>клинической </w:t>
      </w:r>
      <w:r>
        <w:rPr>
          <w:sz w:val="24"/>
        </w:rPr>
        <w:t>симптоматики на фоне проводимой терапии через 5 дней после начала</w:t>
      </w:r>
      <w:r>
        <w:rPr>
          <w:spacing w:val="-9"/>
          <w:sz w:val="24"/>
        </w:rPr>
        <w:t> </w:t>
      </w:r>
      <w:r>
        <w:rPr>
          <w:sz w:val="24"/>
        </w:rPr>
        <w:t>заболевания.</w:t>
      </w:r>
    </w:p>
    <w:p>
      <w:pPr>
        <w:pStyle w:val="ListParagraph"/>
        <w:numPr>
          <w:ilvl w:val="0"/>
          <w:numId w:val="32"/>
        </w:numPr>
        <w:tabs>
          <w:tab w:pos="1737" w:val="left" w:leader="none"/>
          <w:tab w:pos="1738" w:val="left" w:leader="none"/>
        </w:tabs>
        <w:spacing w:line="240" w:lineRule="auto" w:before="0" w:after="0"/>
        <w:ind w:left="1737" w:right="0" w:hanging="565"/>
        <w:jc w:val="left"/>
        <w:rPr>
          <w:sz w:val="24"/>
        </w:rPr>
      </w:pPr>
      <w:r>
        <w:rPr>
          <w:sz w:val="24"/>
        </w:rPr>
        <w:t>Наличие тяжелых фоновых</w:t>
      </w:r>
      <w:r>
        <w:rPr>
          <w:spacing w:val="2"/>
          <w:sz w:val="24"/>
        </w:rPr>
        <w:t> </w:t>
      </w:r>
      <w:r>
        <w:rPr>
          <w:sz w:val="24"/>
        </w:rPr>
        <w:t>заболеваний:</w:t>
      </w:r>
    </w:p>
    <w:p>
      <w:pPr>
        <w:pStyle w:val="ListParagraph"/>
        <w:numPr>
          <w:ilvl w:val="1"/>
          <w:numId w:val="32"/>
        </w:numPr>
        <w:tabs>
          <w:tab w:pos="2098" w:val="left" w:leader="none"/>
        </w:tabs>
        <w:spacing w:line="304" w:lineRule="auto" w:before="83" w:after="0"/>
        <w:ind w:left="2097" w:right="675" w:hanging="360"/>
        <w:jc w:val="both"/>
        <w:rPr>
          <w:sz w:val="24"/>
        </w:rPr>
      </w:pPr>
      <w:r>
        <w:rPr>
          <w:sz w:val="24"/>
        </w:rPr>
        <w:t>Врожденные  и  приобретенные  заболевания  сердца,  в  том  числе  в анамнезе (пороки сердца, нарушения ритма, миокардиопатия или миокардит);</w:t>
      </w:r>
    </w:p>
    <w:p>
      <w:pPr>
        <w:pStyle w:val="ListParagraph"/>
        <w:numPr>
          <w:ilvl w:val="1"/>
          <w:numId w:val="32"/>
        </w:numPr>
        <w:tabs>
          <w:tab w:pos="2098" w:val="left" w:leader="none"/>
        </w:tabs>
        <w:spacing w:line="304" w:lineRule="auto" w:before="4" w:after="0"/>
        <w:ind w:left="2097" w:right="674" w:hanging="360"/>
        <w:jc w:val="both"/>
        <w:rPr>
          <w:sz w:val="24"/>
        </w:rPr>
      </w:pPr>
      <w:r>
        <w:rPr>
          <w:sz w:val="24"/>
        </w:rPr>
        <w:t>Хронические заболевания легких (бронхолегочная дисплазия, бронхиальная астма, муковисцидоз, бронхоэктатическая болезнь, врожденные пороки легких и</w:t>
      </w:r>
      <w:r>
        <w:rPr>
          <w:spacing w:val="2"/>
          <w:sz w:val="24"/>
        </w:rPr>
        <w:t> </w:t>
      </w:r>
      <w:r>
        <w:rPr>
          <w:sz w:val="24"/>
        </w:rPr>
        <w:t>др);</w:t>
      </w:r>
    </w:p>
    <w:p>
      <w:pPr>
        <w:spacing w:after="0" w:line="304" w:lineRule="auto"/>
        <w:jc w:val="both"/>
        <w:rPr>
          <w:sz w:val="24"/>
        </w:rPr>
        <w:sectPr>
          <w:pgSz w:w="11920" w:h="16850"/>
          <w:pgMar w:header="0" w:footer="620" w:top="1060" w:bottom="880" w:left="1380" w:right="600"/>
        </w:sectPr>
      </w:pPr>
    </w:p>
    <w:p>
      <w:pPr>
        <w:pStyle w:val="ListParagraph"/>
        <w:numPr>
          <w:ilvl w:val="1"/>
          <w:numId w:val="32"/>
        </w:numPr>
        <w:tabs>
          <w:tab w:pos="2098" w:val="left" w:leader="none"/>
        </w:tabs>
        <w:spacing w:line="304" w:lineRule="auto" w:before="59" w:after="0"/>
        <w:ind w:left="2097" w:right="674" w:hanging="360"/>
        <w:jc w:val="both"/>
        <w:rPr>
          <w:sz w:val="24"/>
        </w:rPr>
      </w:pPr>
      <w:r>
        <w:rPr>
          <w:sz w:val="24"/>
        </w:rPr>
        <w:t>Первичный или вторичный иммунодефицит, в том числе ВИЧ-инфекция, аутоиммунные заболевания, иммуносупрессивная терапия;</w:t>
      </w:r>
    </w:p>
    <w:p>
      <w:pPr>
        <w:pStyle w:val="ListParagraph"/>
        <w:numPr>
          <w:ilvl w:val="1"/>
          <w:numId w:val="32"/>
        </w:numPr>
        <w:tabs>
          <w:tab w:pos="2097" w:val="left" w:leader="none"/>
          <w:tab w:pos="2098" w:val="left" w:leader="none"/>
        </w:tabs>
        <w:spacing w:line="240" w:lineRule="auto" w:before="4" w:after="0"/>
        <w:ind w:left="2097" w:right="0" w:hanging="361"/>
        <w:jc w:val="left"/>
        <w:rPr>
          <w:sz w:val="24"/>
        </w:rPr>
      </w:pPr>
      <w:r>
        <w:rPr>
          <w:sz w:val="24"/>
        </w:rPr>
        <w:t>Онкогематологические заболевания,</w:t>
      </w:r>
      <w:r>
        <w:rPr>
          <w:spacing w:val="-2"/>
          <w:sz w:val="24"/>
        </w:rPr>
        <w:t> </w:t>
      </w:r>
      <w:r>
        <w:rPr>
          <w:sz w:val="24"/>
        </w:rPr>
        <w:t>химиотерапия;</w:t>
      </w:r>
    </w:p>
    <w:p>
      <w:pPr>
        <w:pStyle w:val="ListParagraph"/>
        <w:numPr>
          <w:ilvl w:val="1"/>
          <w:numId w:val="32"/>
        </w:numPr>
        <w:tabs>
          <w:tab w:pos="2097" w:val="left" w:leader="none"/>
          <w:tab w:pos="2098" w:val="left" w:leader="none"/>
        </w:tabs>
        <w:spacing w:line="240" w:lineRule="auto" w:before="74" w:after="0"/>
        <w:ind w:left="2097" w:right="0" w:hanging="361"/>
        <w:jc w:val="left"/>
        <w:rPr>
          <w:sz w:val="24"/>
        </w:rPr>
      </w:pPr>
      <w:r>
        <w:rPr>
          <w:sz w:val="24"/>
        </w:rPr>
        <w:t>Метаболические заболевания (сахарный диабет, ожирение и</w:t>
      </w:r>
      <w:r>
        <w:rPr>
          <w:spacing w:val="-3"/>
          <w:sz w:val="24"/>
        </w:rPr>
        <w:t> </w:t>
      </w:r>
      <w:r>
        <w:rPr>
          <w:sz w:val="24"/>
        </w:rPr>
        <w:t>др);</w:t>
      </w:r>
    </w:p>
    <w:p>
      <w:pPr>
        <w:pStyle w:val="ListParagraph"/>
        <w:numPr>
          <w:ilvl w:val="1"/>
          <w:numId w:val="32"/>
        </w:numPr>
        <w:tabs>
          <w:tab w:pos="2097" w:val="left" w:leader="none"/>
          <w:tab w:pos="2098" w:val="left" w:leader="none"/>
        </w:tabs>
        <w:spacing w:line="240" w:lineRule="auto" w:before="74" w:after="0"/>
        <w:ind w:left="2097" w:right="0" w:hanging="361"/>
        <w:jc w:val="left"/>
        <w:rPr>
          <w:sz w:val="24"/>
        </w:rPr>
      </w:pPr>
      <w:r>
        <w:rPr>
          <w:sz w:val="24"/>
        </w:rPr>
        <w:t>Заболевания печени и</w:t>
      </w:r>
      <w:r>
        <w:rPr>
          <w:spacing w:val="1"/>
          <w:sz w:val="24"/>
        </w:rPr>
        <w:t> </w:t>
      </w:r>
      <w:r>
        <w:rPr>
          <w:sz w:val="24"/>
        </w:rPr>
        <w:t>почек.</w:t>
      </w:r>
    </w:p>
    <w:p>
      <w:pPr>
        <w:pStyle w:val="ListParagraph"/>
        <w:numPr>
          <w:ilvl w:val="0"/>
          <w:numId w:val="32"/>
        </w:numPr>
        <w:tabs>
          <w:tab w:pos="1738" w:val="left" w:leader="none"/>
        </w:tabs>
        <w:spacing w:line="240" w:lineRule="auto" w:before="73" w:after="0"/>
        <w:ind w:left="1737" w:right="0" w:hanging="565"/>
        <w:jc w:val="both"/>
        <w:rPr>
          <w:sz w:val="24"/>
        </w:rPr>
      </w:pPr>
      <w:r>
        <w:rPr>
          <w:sz w:val="24"/>
        </w:rPr>
        <w:t>Невозможность изоляции при проживании с лицами из групп</w:t>
      </w:r>
      <w:r>
        <w:rPr>
          <w:spacing w:val="-3"/>
          <w:sz w:val="24"/>
        </w:rPr>
        <w:t> </w:t>
      </w:r>
      <w:r>
        <w:rPr>
          <w:sz w:val="24"/>
        </w:rPr>
        <w:t>риска.</w:t>
      </w:r>
    </w:p>
    <w:p>
      <w:pPr>
        <w:pStyle w:val="ListParagraph"/>
        <w:numPr>
          <w:ilvl w:val="0"/>
          <w:numId w:val="32"/>
        </w:numPr>
        <w:tabs>
          <w:tab w:pos="1738" w:val="left" w:leader="none"/>
        </w:tabs>
        <w:spacing w:line="312" w:lineRule="auto" w:before="84" w:after="0"/>
        <w:ind w:left="321" w:right="673" w:firstLine="852"/>
        <w:jc w:val="both"/>
        <w:rPr>
          <w:sz w:val="24"/>
        </w:rPr>
      </w:pPr>
      <w:r>
        <w:rPr>
          <w:sz w:val="24"/>
        </w:rPr>
        <w:t>Отсутствие условий для лечения на дому или гарантий выполнения рекомендаций (общежитие, учреждения социального обеспечения, пункт временного размещения, социально неблагополучная семья, плохие социально-бытовые</w:t>
      </w:r>
      <w:r>
        <w:rPr>
          <w:spacing w:val="-15"/>
          <w:sz w:val="24"/>
        </w:rPr>
        <w:t> </w:t>
      </w:r>
      <w:r>
        <w:rPr>
          <w:sz w:val="24"/>
        </w:rPr>
        <w:t>условия).</w:t>
      </w:r>
    </w:p>
    <w:p>
      <w:pPr>
        <w:pStyle w:val="BodyText"/>
        <w:spacing w:before="9"/>
        <w:ind w:left="0"/>
        <w:jc w:val="left"/>
        <w:rPr>
          <w:sz w:val="20"/>
        </w:rPr>
      </w:pPr>
    </w:p>
    <w:p>
      <w:pPr>
        <w:pStyle w:val="Heading3"/>
      </w:pPr>
      <w:bookmarkStart w:name="Показания для перевода в ОРИТ:" w:id="126"/>
      <w:bookmarkEnd w:id="126"/>
      <w:r>
        <w:rPr>
          <w:b w:val="0"/>
        </w:rPr>
      </w:r>
      <w:r>
        <w:rPr>
          <w:color w:val="1F487C"/>
        </w:rPr>
        <w:t>Показания для перевода в ОРИТ:</w:t>
      </w:r>
    </w:p>
    <w:p>
      <w:pPr>
        <w:pStyle w:val="ListParagraph"/>
        <w:numPr>
          <w:ilvl w:val="0"/>
          <w:numId w:val="33"/>
        </w:numPr>
        <w:tabs>
          <w:tab w:pos="1030" w:val="left" w:leader="none"/>
        </w:tabs>
        <w:spacing w:line="312" w:lineRule="auto" w:before="141" w:after="0"/>
        <w:ind w:left="1029" w:right="675" w:hanging="425"/>
        <w:jc w:val="both"/>
        <w:rPr>
          <w:sz w:val="24"/>
        </w:rPr>
      </w:pPr>
      <w:r>
        <w:rPr>
          <w:sz w:val="24"/>
        </w:rPr>
        <w:t>Нарушение сознания (14 баллов и менее по шкале комы Глазго для соответствующей возрастной категории) или необъяснимое выраженное возбуждение (плач, крик) на фоне течения</w:t>
      </w:r>
      <w:r>
        <w:rPr>
          <w:spacing w:val="-5"/>
          <w:sz w:val="24"/>
        </w:rPr>
        <w:t> </w:t>
      </w:r>
      <w:r>
        <w:rPr>
          <w:sz w:val="24"/>
        </w:rPr>
        <w:t>ОРИ;</w:t>
      </w:r>
    </w:p>
    <w:p>
      <w:pPr>
        <w:pStyle w:val="ListParagraph"/>
        <w:numPr>
          <w:ilvl w:val="0"/>
          <w:numId w:val="33"/>
        </w:numPr>
        <w:tabs>
          <w:tab w:pos="1030" w:val="left" w:leader="none"/>
        </w:tabs>
        <w:spacing w:line="312" w:lineRule="auto" w:before="2" w:after="0"/>
        <w:ind w:left="1029" w:right="679" w:hanging="425"/>
        <w:jc w:val="both"/>
        <w:rPr>
          <w:sz w:val="24"/>
        </w:rPr>
      </w:pPr>
      <w:r>
        <w:rPr>
          <w:sz w:val="24"/>
        </w:rPr>
        <w:t>Увеличение</w:t>
      </w:r>
      <w:r>
        <w:rPr>
          <w:spacing w:val="-13"/>
          <w:sz w:val="24"/>
        </w:rPr>
        <w:t> </w:t>
      </w:r>
      <w:r>
        <w:rPr>
          <w:sz w:val="24"/>
        </w:rPr>
        <w:t>ЧДД</w:t>
      </w:r>
      <w:r>
        <w:rPr>
          <w:spacing w:val="-13"/>
          <w:sz w:val="24"/>
        </w:rPr>
        <w:t> </w:t>
      </w:r>
      <w:r>
        <w:rPr>
          <w:sz w:val="24"/>
        </w:rPr>
        <w:t>более</w:t>
      </w:r>
      <w:r>
        <w:rPr>
          <w:spacing w:val="-12"/>
          <w:sz w:val="24"/>
        </w:rPr>
        <w:t> </w:t>
      </w:r>
      <w:r>
        <w:rPr>
          <w:sz w:val="24"/>
        </w:rPr>
        <w:t>чем</w:t>
      </w:r>
      <w:r>
        <w:rPr>
          <w:spacing w:val="-13"/>
          <w:sz w:val="24"/>
        </w:rPr>
        <w:t> </w:t>
      </w:r>
      <w:r>
        <w:rPr>
          <w:sz w:val="24"/>
        </w:rPr>
        <w:t>на</w:t>
      </w:r>
      <w:r>
        <w:rPr>
          <w:spacing w:val="-13"/>
          <w:sz w:val="24"/>
        </w:rPr>
        <w:t> </w:t>
      </w:r>
      <w:r>
        <w:rPr>
          <w:sz w:val="24"/>
        </w:rPr>
        <w:t>15%</w:t>
      </w:r>
      <w:r>
        <w:rPr>
          <w:spacing w:val="-12"/>
          <w:sz w:val="24"/>
        </w:rPr>
        <w:t> </w:t>
      </w:r>
      <w:r>
        <w:rPr>
          <w:sz w:val="24"/>
        </w:rPr>
        <w:t>от</w:t>
      </w:r>
      <w:r>
        <w:rPr>
          <w:spacing w:val="-11"/>
          <w:sz w:val="24"/>
        </w:rPr>
        <w:t> </w:t>
      </w:r>
      <w:r>
        <w:rPr>
          <w:sz w:val="24"/>
        </w:rPr>
        <w:t>физиологических</w:t>
      </w:r>
      <w:r>
        <w:rPr>
          <w:spacing w:val="-12"/>
          <w:sz w:val="24"/>
        </w:rPr>
        <w:t> </w:t>
      </w:r>
      <w:r>
        <w:rPr>
          <w:sz w:val="24"/>
        </w:rPr>
        <w:t>возрастных</w:t>
      </w:r>
      <w:r>
        <w:rPr>
          <w:spacing w:val="-10"/>
          <w:sz w:val="24"/>
        </w:rPr>
        <w:t> </w:t>
      </w:r>
      <w:r>
        <w:rPr>
          <w:sz w:val="24"/>
        </w:rPr>
        <w:t>показателей в состоянии</w:t>
      </w:r>
      <w:r>
        <w:rPr>
          <w:spacing w:val="-1"/>
          <w:sz w:val="24"/>
        </w:rPr>
        <w:t> </w:t>
      </w:r>
      <w:r>
        <w:rPr>
          <w:sz w:val="24"/>
        </w:rPr>
        <w:t>покоя;</w:t>
      </w:r>
    </w:p>
    <w:p>
      <w:pPr>
        <w:pStyle w:val="ListParagraph"/>
        <w:numPr>
          <w:ilvl w:val="0"/>
          <w:numId w:val="33"/>
        </w:numPr>
        <w:tabs>
          <w:tab w:pos="1030" w:val="left" w:leader="none"/>
        </w:tabs>
        <w:spacing w:line="240" w:lineRule="auto" w:before="0" w:after="0"/>
        <w:ind w:left="1029" w:right="0" w:hanging="426"/>
        <w:jc w:val="both"/>
        <w:rPr>
          <w:sz w:val="24"/>
        </w:rPr>
      </w:pPr>
      <w:r>
        <w:rPr>
          <w:sz w:val="24"/>
        </w:rPr>
        <w:t>Стонущее или кряхтящее</w:t>
      </w:r>
      <w:r>
        <w:rPr>
          <w:spacing w:val="-2"/>
          <w:sz w:val="24"/>
        </w:rPr>
        <w:t> </w:t>
      </w:r>
      <w:r>
        <w:rPr>
          <w:sz w:val="24"/>
        </w:rPr>
        <w:t>дыхание;</w:t>
      </w:r>
    </w:p>
    <w:p>
      <w:pPr>
        <w:pStyle w:val="ListParagraph"/>
        <w:numPr>
          <w:ilvl w:val="0"/>
          <w:numId w:val="33"/>
        </w:numPr>
        <w:tabs>
          <w:tab w:pos="1029" w:val="left" w:leader="none"/>
          <w:tab w:pos="1030" w:val="left" w:leader="none"/>
        </w:tabs>
        <w:spacing w:line="312" w:lineRule="auto" w:before="81" w:after="0"/>
        <w:ind w:left="1029" w:right="679" w:hanging="425"/>
        <w:jc w:val="left"/>
        <w:rPr>
          <w:sz w:val="24"/>
        </w:rPr>
      </w:pPr>
      <w:r>
        <w:rPr>
          <w:sz w:val="24"/>
        </w:rPr>
        <w:t>Увеличение</w:t>
      </w:r>
      <w:r>
        <w:rPr>
          <w:spacing w:val="-13"/>
          <w:sz w:val="24"/>
        </w:rPr>
        <w:t> </w:t>
      </w:r>
      <w:r>
        <w:rPr>
          <w:sz w:val="24"/>
        </w:rPr>
        <w:t>ЧСС</w:t>
      </w:r>
      <w:r>
        <w:rPr>
          <w:spacing w:val="-10"/>
          <w:sz w:val="24"/>
        </w:rPr>
        <w:t> </w:t>
      </w:r>
      <w:r>
        <w:rPr>
          <w:sz w:val="24"/>
        </w:rPr>
        <w:t>более</w:t>
      </w:r>
      <w:r>
        <w:rPr>
          <w:spacing w:val="-13"/>
          <w:sz w:val="24"/>
        </w:rPr>
        <w:t> </w:t>
      </w:r>
      <w:r>
        <w:rPr>
          <w:sz w:val="24"/>
        </w:rPr>
        <w:t>чем</w:t>
      </w:r>
      <w:r>
        <w:rPr>
          <w:spacing w:val="-12"/>
          <w:sz w:val="24"/>
        </w:rPr>
        <w:t> </w:t>
      </w:r>
      <w:r>
        <w:rPr>
          <w:sz w:val="24"/>
        </w:rPr>
        <w:t>на</w:t>
      </w:r>
      <w:r>
        <w:rPr>
          <w:spacing w:val="-12"/>
          <w:sz w:val="24"/>
        </w:rPr>
        <w:t> </w:t>
      </w:r>
      <w:r>
        <w:rPr>
          <w:sz w:val="24"/>
        </w:rPr>
        <w:t>15%</w:t>
      </w:r>
      <w:r>
        <w:rPr>
          <w:spacing w:val="-10"/>
          <w:sz w:val="24"/>
        </w:rPr>
        <w:t> </w:t>
      </w:r>
      <w:r>
        <w:rPr>
          <w:sz w:val="24"/>
        </w:rPr>
        <w:t>от</w:t>
      </w:r>
      <w:r>
        <w:rPr>
          <w:spacing w:val="-10"/>
          <w:sz w:val="24"/>
        </w:rPr>
        <w:t> </w:t>
      </w:r>
      <w:r>
        <w:rPr>
          <w:sz w:val="24"/>
        </w:rPr>
        <w:t>физиологических</w:t>
      </w:r>
      <w:r>
        <w:rPr>
          <w:spacing w:val="-9"/>
          <w:sz w:val="24"/>
        </w:rPr>
        <w:t> </w:t>
      </w:r>
      <w:r>
        <w:rPr>
          <w:sz w:val="24"/>
        </w:rPr>
        <w:t>возрастных</w:t>
      </w:r>
      <w:r>
        <w:rPr>
          <w:spacing w:val="-12"/>
          <w:sz w:val="24"/>
        </w:rPr>
        <w:t> </w:t>
      </w:r>
      <w:r>
        <w:rPr>
          <w:sz w:val="24"/>
        </w:rPr>
        <w:t>показателей в состоянии</w:t>
      </w:r>
      <w:r>
        <w:rPr>
          <w:spacing w:val="-1"/>
          <w:sz w:val="24"/>
        </w:rPr>
        <w:t> </w:t>
      </w:r>
      <w:r>
        <w:rPr>
          <w:sz w:val="24"/>
        </w:rPr>
        <w:t>покоя;</w:t>
      </w:r>
    </w:p>
    <w:p>
      <w:pPr>
        <w:pStyle w:val="ListParagraph"/>
        <w:numPr>
          <w:ilvl w:val="0"/>
          <w:numId w:val="33"/>
        </w:numPr>
        <w:tabs>
          <w:tab w:pos="1029" w:val="left" w:leader="none"/>
          <w:tab w:pos="1030" w:val="left" w:leader="none"/>
        </w:tabs>
        <w:spacing w:line="312" w:lineRule="auto" w:before="0" w:after="0"/>
        <w:ind w:left="1029" w:right="677" w:hanging="425"/>
        <w:jc w:val="left"/>
        <w:rPr>
          <w:sz w:val="24"/>
        </w:rPr>
      </w:pPr>
      <w:r>
        <w:rPr>
          <w:sz w:val="24"/>
        </w:rPr>
        <w:t>Цианоз и одышка, определяемые при визуальном осмотре, раздувание крыльев носа у детей первого года</w:t>
      </w:r>
      <w:r>
        <w:rPr>
          <w:spacing w:val="-5"/>
          <w:sz w:val="24"/>
        </w:rPr>
        <w:t> </w:t>
      </w:r>
      <w:r>
        <w:rPr>
          <w:sz w:val="24"/>
        </w:rPr>
        <w:t>жизни;</w:t>
      </w:r>
    </w:p>
    <w:p>
      <w:pPr>
        <w:pStyle w:val="BodyText"/>
        <w:tabs>
          <w:tab w:pos="1029" w:val="left" w:leader="none"/>
        </w:tabs>
        <w:spacing w:line="278" w:lineRule="exact"/>
        <w:ind w:left="604"/>
        <w:jc w:val="left"/>
      </w:pPr>
      <w:r>
        <w:rPr>
          <w:position w:val="2"/>
        </w:rPr>
        <w:t>6.</w:t>
        <w:tab/>
        <w:t>SpO</w:t>
      </w:r>
      <w:r>
        <w:rPr>
          <w:sz w:val="16"/>
        </w:rPr>
        <w:t>2 </w:t>
      </w:r>
      <w:r>
        <w:rPr>
          <w:position w:val="2"/>
        </w:rPr>
        <w:t>≤</w:t>
      </w:r>
      <w:r>
        <w:rPr>
          <w:spacing w:val="-20"/>
          <w:position w:val="2"/>
        </w:rPr>
        <w:t> </w:t>
      </w:r>
      <w:r>
        <w:rPr>
          <w:position w:val="2"/>
        </w:rPr>
        <w:t>93%;</w:t>
      </w:r>
    </w:p>
    <w:p>
      <w:pPr>
        <w:pStyle w:val="ListParagraph"/>
        <w:numPr>
          <w:ilvl w:val="0"/>
          <w:numId w:val="34"/>
        </w:numPr>
        <w:tabs>
          <w:tab w:pos="1029" w:val="left" w:leader="none"/>
          <w:tab w:pos="1030" w:val="left" w:leader="none"/>
        </w:tabs>
        <w:spacing w:line="240" w:lineRule="auto" w:before="82" w:after="0"/>
        <w:ind w:left="1029" w:right="0" w:hanging="426"/>
        <w:jc w:val="left"/>
        <w:rPr>
          <w:sz w:val="24"/>
        </w:rPr>
      </w:pPr>
      <w:r>
        <w:rPr>
          <w:position w:val="2"/>
          <w:sz w:val="24"/>
        </w:rPr>
        <w:t>Респираторный ацидоз (рСО</w:t>
      </w:r>
      <w:r>
        <w:rPr>
          <w:sz w:val="16"/>
        </w:rPr>
        <w:t>2 </w:t>
      </w:r>
      <w:r>
        <w:rPr>
          <w:position w:val="2"/>
          <w:sz w:val="24"/>
        </w:rPr>
        <w:t>&gt; 50 мм рт.</w:t>
      </w:r>
      <w:r>
        <w:rPr>
          <w:spacing w:val="-23"/>
          <w:position w:val="2"/>
          <w:sz w:val="24"/>
        </w:rPr>
        <w:t> </w:t>
      </w:r>
      <w:r>
        <w:rPr>
          <w:position w:val="2"/>
          <w:sz w:val="24"/>
        </w:rPr>
        <w:t>ст.);</w:t>
      </w:r>
    </w:p>
    <w:p>
      <w:pPr>
        <w:pStyle w:val="ListParagraph"/>
        <w:numPr>
          <w:ilvl w:val="0"/>
          <w:numId w:val="34"/>
        </w:numPr>
        <w:tabs>
          <w:tab w:pos="1029" w:val="left" w:leader="none"/>
          <w:tab w:pos="1030" w:val="left" w:leader="none"/>
        </w:tabs>
        <w:spacing w:line="240" w:lineRule="auto" w:before="79" w:after="0"/>
        <w:ind w:left="1029" w:right="0" w:hanging="426"/>
        <w:jc w:val="left"/>
        <w:rPr>
          <w:sz w:val="23"/>
        </w:rPr>
      </w:pPr>
      <w:r>
        <w:rPr>
          <w:sz w:val="23"/>
        </w:rPr>
        <w:t>Декомпенсированные нарушения кислотно-основного состояния крови (рН &lt;</w:t>
      </w:r>
      <w:r>
        <w:rPr>
          <w:spacing w:val="-12"/>
          <w:sz w:val="23"/>
        </w:rPr>
        <w:t> </w:t>
      </w:r>
      <w:r>
        <w:rPr>
          <w:sz w:val="23"/>
        </w:rPr>
        <w:t>7,25);</w:t>
      </w:r>
    </w:p>
    <w:p>
      <w:pPr>
        <w:pStyle w:val="ListParagraph"/>
        <w:numPr>
          <w:ilvl w:val="0"/>
          <w:numId w:val="34"/>
        </w:numPr>
        <w:tabs>
          <w:tab w:pos="1029" w:val="left" w:leader="none"/>
          <w:tab w:pos="1030" w:val="left" w:leader="none"/>
        </w:tabs>
        <w:spacing w:line="240" w:lineRule="auto" w:before="79" w:after="0"/>
        <w:ind w:left="1029" w:right="0" w:hanging="426"/>
        <w:jc w:val="left"/>
        <w:rPr>
          <w:sz w:val="24"/>
        </w:rPr>
      </w:pPr>
      <w:r>
        <w:rPr>
          <w:sz w:val="24"/>
        </w:rPr>
        <w:t>Выраженные нарушения тканевой перфузии, артериальная</w:t>
      </w:r>
      <w:r>
        <w:rPr>
          <w:spacing w:val="-3"/>
          <w:sz w:val="24"/>
        </w:rPr>
        <w:t> </w:t>
      </w:r>
      <w:r>
        <w:rPr>
          <w:sz w:val="24"/>
        </w:rPr>
        <w:t>гипотензия;</w:t>
      </w:r>
    </w:p>
    <w:p>
      <w:pPr>
        <w:pStyle w:val="ListParagraph"/>
        <w:numPr>
          <w:ilvl w:val="0"/>
          <w:numId w:val="34"/>
        </w:numPr>
        <w:tabs>
          <w:tab w:pos="1030" w:val="left" w:leader="none"/>
        </w:tabs>
        <w:spacing w:line="240" w:lineRule="auto" w:before="84" w:after="0"/>
        <w:ind w:left="1029" w:right="0" w:hanging="426"/>
        <w:jc w:val="left"/>
        <w:rPr>
          <w:sz w:val="24"/>
        </w:rPr>
      </w:pPr>
      <w:r>
        <w:rPr>
          <w:sz w:val="24"/>
        </w:rPr>
        <w:t>Лактат-ацидоз (концентрация лактата &gt; 2,5</w:t>
      </w:r>
      <w:r>
        <w:rPr>
          <w:spacing w:val="-3"/>
          <w:sz w:val="24"/>
        </w:rPr>
        <w:t> </w:t>
      </w:r>
      <w:r>
        <w:rPr>
          <w:sz w:val="24"/>
        </w:rPr>
        <w:t>ммоль/л);</w:t>
      </w:r>
    </w:p>
    <w:p>
      <w:pPr>
        <w:pStyle w:val="ListParagraph"/>
        <w:numPr>
          <w:ilvl w:val="0"/>
          <w:numId w:val="34"/>
        </w:numPr>
        <w:tabs>
          <w:tab w:pos="1030" w:val="left" w:leader="none"/>
        </w:tabs>
        <w:spacing w:line="240" w:lineRule="auto" w:before="82" w:after="0"/>
        <w:ind w:left="1029" w:right="0" w:hanging="426"/>
        <w:jc w:val="left"/>
        <w:rPr>
          <w:sz w:val="24"/>
        </w:rPr>
      </w:pPr>
      <w:r>
        <w:rPr>
          <w:sz w:val="24"/>
        </w:rPr>
        <w:t>Артериальная гипотония с клиническими проявлениями</w:t>
      </w:r>
      <w:r>
        <w:rPr>
          <w:spacing w:val="-1"/>
          <w:sz w:val="24"/>
        </w:rPr>
        <w:t> </w:t>
      </w:r>
      <w:r>
        <w:rPr>
          <w:sz w:val="24"/>
        </w:rPr>
        <w:t>шока;</w:t>
      </w:r>
    </w:p>
    <w:p>
      <w:pPr>
        <w:pStyle w:val="ListParagraph"/>
        <w:numPr>
          <w:ilvl w:val="0"/>
          <w:numId w:val="34"/>
        </w:numPr>
        <w:tabs>
          <w:tab w:pos="1030" w:val="left" w:leader="none"/>
        </w:tabs>
        <w:spacing w:line="312" w:lineRule="auto" w:before="84" w:after="0"/>
        <w:ind w:left="1029" w:right="676" w:hanging="425"/>
        <w:jc w:val="left"/>
        <w:rPr>
          <w:sz w:val="24"/>
        </w:rPr>
      </w:pPr>
      <w:r>
        <w:rPr>
          <w:sz w:val="24"/>
        </w:rPr>
        <w:t>Снижение</w:t>
      </w:r>
      <w:r>
        <w:rPr>
          <w:spacing w:val="-11"/>
          <w:sz w:val="24"/>
        </w:rPr>
        <w:t> </w:t>
      </w:r>
      <w:r>
        <w:rPr>
          <w:sz w:val="24"/>
        </w:rPr>
        <w:t>диуреза</w:t>
      </w:r>
      <w:r>
        <w:rPr>
          <w:spacing w:val="-11"/>
          <w:sz w:val="24"/>
        </w:rPr>
        <w:t> </w:t>
      </w:r>
      <w:r>
        <w:rPr>
          <w:sz w:val="24"/>
        </w:rPr>
        <w:t>до</w:t>
      </w:r>
      <w:r>
        <w:rPr>
          <w:spacing w:val="-4"/>
          <w:sz w:val="24"/>
        </w:rPr>
        <w:t> </w:t>
      </w:r>
      <w:r>
        <w:rPr>
          <w:sz w:val="24"/>
        </w:rPr>
        <w:t>уровня</w:t>
      </w:r>
      <w:r>
        <w:rPr>
          <w:spacing w:val="-10"/>
          <w:sz w:val="24"/>
        </w:rPr>
        <w:t> </w:t>
      </w:r>
      <w:r>
        <w:rPr>
          <w:sz w:val="24"/>
        </w:rPr>
        <w:t>олигоурии</w:t>
      </w:r>
      <w:r>
        <w:rPr>
          <w:spacing w:val="-9"/>
          <w:sz w:val="24"/>
        </w:rPr>
        <w:t> </w:t>
      </w:r>
      <w:r>
        <w:rPr>
          <w:sz w:val="24"/>
        </w:rPr>
        <w:t>и</w:t>
      </w:r>
      <w:r>
        <w:rPr>
          <w:spacing w:val="-8"/>
          <w:sz w:val="24"/>
        </w:rPr>
        <w:t> </w:t>
      </w:r>
      <w:r>
        <w:rPr>
          <w:sz w:val="24"/>
        </w:rPr>
        <w:t>ниже</w:t>
      </w:r>
      <w:r>
        <w:rPr>
          <w:spacing w:val="-11"/>
          <w:sz w:val="24"/>
        </w:rPr>
        <w:t> </w:t>
      </w:r>
      <w:r>
        <w:rPr>
          <w:sz w:val="24"/>
        </w:rPr>
        <w:t>(ниже</w:t>
      </w:r>
      <w:r>
        <w:rPr>
          <w:spacing w:val="-11"/>
          <w:sz w:val="24"/>
        </w:rPr>
        <w:t> </w:t>
      </w:r>
      <w:r>
        <w:rPr>
          <w:sz w:val="24"/>
        </w:rPr>
        <w:t>50%</w:t>
      </w:r>
      <w:r>
        <w:rPr>
          <w:spacing w:val="-9"/>
          <w:sz w:val="24"/>
        </w:rPr>
        <w:t> </w:t>
      </w:r>
      <w:r>
        <w:rPr>
          <w:sz w:val="24"/>
        </w:rPr>
        <w:t>от</w:t>
      </w:r>
      <w:r>
        <w:rPr>
          <w:spacing w:val="-9"/>
          <w:sz w:val="24"/>
        </w:rPr>
        <w:t> </w:t>
      </w:r>
      <w:r>
        <w:rPr>
          <w:sz w:val="24"/>
        </w:rPr>
        <w:t>возрастной</w:t>
      </w:r>
      <w:r>
        <w:rPr>
          <w:spacing w:val="-10"/>
          <w:sz w:val="24"/>
        </w:rPr>
        <w:t> </w:t>
      </w:r>
      <w:r>
        <w:rPr>
          <w:sz w:val="24"/>
        </w:rPr>
        <w:t>нормы и менее);</w:t>
      </w:r>
    </w:p>
    <w:p>
      <w:pPr>
        <w:pStyle w:val="ListParagraph"/>
        <w:numPr>
          <w:ilvl w:val="0"/>
          <w:numId w:val="34"/>
        </w:numPr>
        <w:tabs>
          <w:tab w:pos="1030" w:val="left" w:leader="none"/>
        </w:tabs>
        <w:spacing w:line="240" w:lineRule="auto" w:before="0" w:after="0"/>
        <w:ind w:left="1029" w:right="0" w:hanging="426"/>
        <w:jc w:val="left"/>
        <w:rPr>
          <w:sz w:val="24"/>
        </w:rPr>
      </w:pPr>
      <w:r>
        <w:rPr>
          <w:sz w:val="24"/>
        </w:rPr>
        <w:t>Появление кашля с примесью крови в мокроте, боли или тяжести в</w:t>
      </w:r>
      <w:r>
        <w:rPr>
          <w:spacing w:val="-6"/>
          <w:sz w:val="24"/>
        </w:rPr>
        <w:t> </w:t>
      </w:r>
      <w:r>
        <w:rPr>
          <w:sz w:val="24"/>
        </w:rPr>
        <w:t>груди;</w:t>
      </w:r>
    </w:p>
    <w:p>
      <w:pPr>
        <w:pStyle w:val="ListParagraph"/>
        <w:numPr>
          <w:ilvl w:val="0"/>
          <w:numId w:val="34"/>
        </w:numPr>
        <w:tabs>
          <w:tab w:pos="1030" w:val="left" w:leader="none"/>
        </w:tabs>
        <w:spacing w:line="240" w:lineRule="auto" w:before="82" w:after="0"/>
        <w:ind w:left="1029" w:right="0" w:hanging="426"/>
        <w:jc w:val="left"/>
        <w:rPr>
          <w:sz w:val="24"/>
        </w:rPr>
      </w:pPr>
      <w:r>
        <w:rPr>
          <w:sz w:val="24"/>
        </w:rPr>
        <w:t>Появление признаков геморрагического</w:t>
      </w:r>
      <w:r>
        <w:rPr>
          <w:spacing w:val="-3"/>
          <w:sz w:val="24"/>
        </w:rPr>
        <w:t> </w:t>
      </w:r>
      <w:r>
        <w:rPr>
          <w:sz w:val="24"/>
        </w:rPr>
        <w:t>синдрома.</w:t>
      </w:r>
    </w:p>
    <w:p>
      <w:pPr>
        <w:pStyle w:val="BodyText"/>
        <w:spacing w:line="312" w:lineRule="auto" w:before="84"/>
        <w:ind w:right="678" w:firstLine="708"/>
      </w:pPr>
      <w:r>
        <w:rPr/>
        <w:t>В оказании медицинской помощи в условиях ОРИТ нуждаются от 0,5% до 2% госпитализированных детей.</w:t>
      </w:r>
    </w:p>
    <w:p>
      <w:pPr>
        <w:pStyle w:val="BodyText"/>
        <w:spacing w:line="312" w:lineRule="auto"/>
        <w:ind w:right="675" w:firstLine="708"/>
      </w:pPr>
      <w:r>
        <w:rPr/>
        <w:t>В качестве противовирусной терапии детей с COVID-19 в случаях заболеваний среднетяжелой и легкой степени тяжести рекомендуются препараты ИФН-α, при тяжелой степени тяжести используется внутривенные иммуноглобулины.</w:t>
      </w:r>
    </w:p>
    <w:p>
      <w:pPr>
        <w:pStyle w:val="BodyText"/>
        <w:spacing w:line="312" w:lineRule="auto"/>
        <w:ind w:right="676" w:firstLine="708"/>
      </w:pPr>
      <w:r>
        <w:rPr/>
        <w:t>Интерферон-альфа может снизить вирусную нагрузку на начальных стадиях болезни,</w:t>
      </w:r>
      <w:r>
        <w:rPr>
          <w:spacing w:val="-18"/>
        </w:rPr>
        <w:t> </w:t>
      </w:r>
      <w:r>
        <w:rPr/>
        <w:t>облегчить</w:t>
      </w:r>
      <w:r>
        <w:rPr>
          <w:spacing w:val="-16"/>
        </w:rPr>
        <w:t> </w:t>
      </w:r>
      <w:r>
        <w:rPr/>
        <w:t>симптомы</w:t>
      </w:r>
      <w:r>
        <w:rPr>
          <w:spacing w:val="-17"/>
        </w:rPr>
        <w:t> </w:t>
      </w:r>
      <w:r>
        <w:rPr/>
        <w:t>и</w:t>
      </w:r>
      <w:r>
        <w:rPr>
          <w:spacing w:val="-13"/>
        </w:rPr>
        <w:t> </w:t>
      </w:r>
      <w:r>
        <w:rPr/>
        <w:t>уменьшить</w:t>
      </w:r>
      <w:r>
        <w:rPr>
          <w:spacing w:val="-16"/>
        </w:rPr>
        <w:t> </w:t>
      </w:r>
      <w:r>
        <w:rPr/>
        <w:t>длительность</w:t>
      </w:r>
      <w:r>
        <w:rPr>
          <w:spacing w:val="-17"/>
        </w:rPr>
        <w:t> </w:t>
      </w:r>
      <w:r>
        <w:rPr/>
        <w:t>болезни.</w:t>
      </w:r>
      <w:r>
        <w:rPr>
          <w:spacing w:val="-17"/>
        </w:rPr>
        <w:t> </w:t>
      </w:r>
      <w:r>
        <w:rPr/>
        <w:t>Исследования</w:t>
      </w:r>
      <w:r>
        <w:rPr>
          <w:spacing w:val="-17"/>
        </w:rPr>
        <w:t> </w:t>
      </w:r>
      <w:r>
        <w:rPr/>
        <w:t>в</w:t>
      </w:r>
      <w:r>
        <w:rPr>
          <w:spacing w:val="-17"/>
        </w:rPr>
        <w:t> </w:t>
      </w:r>
      <w:r>
        <w:rPr/>
        <w:t>КНР</w:t>
      </w:r>
    </w:p>
    <w:p>
      <w:pPr>
        <w:spacing w:after="0" w:line="312" w:lineRule="auto"/>
        <w:sectPr>
          <w:pgSz w:w="11920" w:h="16850"/>
          <w:pgMar w:header="0" w:footer="620" w:top="1080" w:bottom="880" w:left="1380" w:right="600"/>
        </w:sectPr>
      </w:pPr>
    </w:p>
    <w:p>
      <w:pPr>
        <w:pStyle w:val="BodyText"/>
        <w:spacing w:line="312" w:lineRule="auto" w:before="78"/>
        <w:ind w:right="675"/>
      </w:pPr>
      <w:r>
        <w:rPr/>
        <w:t>у детей показали возможность более длительного выделения вируса с фекалиями, чем из верхних дыхательных путей (до 28 против 14 дней). Поэтому обоснованно применение препаратов ИФН-α в свечах, особенно с антиоксидантами, которые обеспечивают системное действие препарата, могут способствовать сокращению периода выделения вируса SARS-CoV-2 с фекалиями.</w:t>
      </w:r>
    </w:p>
    <w:p>
      <w:pPr>
        <w:pStyle w:val="BodyText"/>
        <w:spacing w:line="312" w:lineRule="auto"/>
        <w:ind w:right="673" w:firstLine="708"/>
      </w:pPr>
      <w:r>
        <w:rPr/>
        <w:t>Умифеновир применяется у пациентов с COVID-19, однако отсутствуют доказательства его эффективности и безопасности. У детей возможно применение препарата в возрасте старше 6 лет.</w:t>
      </w:r>
    </w:p>
    <w:p>
      <w:pPr>
        <w:pStyle w:val="BodyText"/>
        <w:spacing w:line="312" w:lineRule="auto"/>
        <w:ind w:right="674" w:firstLine="708"/>
      </w:pPr>
      <w:r>
        <w:rPr/>
        <w:t>Антибактериальная терапия показана при наличии признаков присоединения   к инфекции COVID-19 бактериальной</w:t>
      </w:r>
      <w:r>
        <w:rPr>
          <w:spacing w:val="4"/>
        </w:rPr>
        <w:t> </w:t>
      </w:r>
      <w:r>
        <w:rPr/>
        <w:t>инфекции.</w:t>
      </w:r>
    </w:p>
    <w:p>
      <w:pPr>
        <w:pStyle w:val="BodyText"/>
        <w:ind w:left="1029"/>
      </w:pPr>
      <w:r>
        <w:rPr/>
        <w:t>Выздоровление у детей преимущественно происходит в течение 1-2 недель.</w:t>
      </w:r>
    </w:p>
    <w:p>
      <w:pPr>
        <w:pStyle w:val="BodyText"/>
        <w:spacing w:before="6"/>
        <w:ind w:left="0"/>
        <w:jc w:val="left"/>
        <w:rPr>
          <w:sz w:val="38"/>
        </w:rPr>
      </w:pPr>
    </w:p>
    <w:p>
      <w:pPr>
        <w:pStyle w:val="Heading2"/>
        <w:numPr>
          <w:ilvl w:val="1"/>
          <w:numId w:val="34"/>
        </w:numPr>
        <w:tabs>
          <w:tab w:pos="1311" w:val="left" w:leader="none"/>
        </w:tabs>
        <w:spacing w:line="240" w:lineRule="auto" w:before="0" w:after="0"/>
        <w:ind w:left="1310" w:right="0" w:hanging="282"/>
        <w:jc w:val="left"/>
      </w:pPr>
      <w:bookmarkStart w:name="7. ПРОФИЛАКТИКА КОРОНАВИРУСНОЙ ИНФЕКЦИИ" w:id="127"/>
      <w:bookmarkEnd w:id="127"/>
      <w:r>
        <w:rPr>
          <w:b w:val="0"/>
        </w:rPr>
      </w:r>
      <w:bookmarkStart w:name="_bookmark26" w:id="128"/>
      <w:bookmarkEnd w:id="128"/>
      <w:r>
        <w:rPr>
          <w:b w:val="0"/>
        </w:rPr>
      </w:r>
      <w:bookmarkStart w:name="_bookmark26" w:id="129"/>
      <w:bookmarkEnd w:id="129"/>
      <w:r>
        <w:rPr>
          <w:color w:val="1F487C"/>
        </w:rPr>
        <w:t>П</w:t>
      </w:r>
      <w:r>
        <w:rPr>
          <w:color w:val="1F487C"/>
        </w:rPr>
        <w:t>РОФИЛАКТИКА КОРОНАВИРУСНОЙ</w:t>
      </w:r>
      <w:r>
        <w:rPr>
          <w:color w:val="1F487C"/>
          <w:spacing w:val="-4"/>
        </w:rPr>
        <w:t> </w:t>
      </w:r>
      <w:r>
        <w:rPr>
          <w:color w:val="1F487C"/>
        </w:rPr>
        <w:t>ИНФЕКЦИИ</w:t>
      </w:r>
    </w:p>
    <w:p>
      <w:pPr>
        <w:pStyle w:val="BodyText"/>
        <w:spacing w:before="11"/>
        <w:ind w:left="0"/>
        <w:jc w:val="left"/>
        <w:rPr>
          <w:b/>
          <w:sz w:val="27"/>
        </w:rPr>
      </w:pPr>
    </w:p>
    <w:p>
      <w:pPr>
        <w:pStyle w:val="ListParagraph"/>
        <w:numPr>
          <w:ilvl w:val="2"/>
          <w:numId w:val="34"/>
        </w:numPr>
        <w:tabs>
          <w:tab w:pos="1522" w:val="left" w:leader="none"/>
        </w:tabs>
        <w:spacing w:line="259" w:lineRule="auto" w:before="0" w:after="0"/>
        <w:ind w:left="1029" w:right="1769" w:firstLine="0"/>
        <w:jc w:val="left"/>
        <w:rPr>
          <w:b/>
          <w:sz w:val="28"/>
        </w:rPr>
      </w:pPr>
      <w:bookmarkStart w:name="7.1. СПЕЦИФИЧЕСКАЯ ПРОФИЛАКТИКА COVID-19" w:id="130"/>
      <w:bookmarkEnd w:id="130"/>
      <w:r>
        <w:rPr/>
      </w:r>
      <w:bookmarkStart w:name="_bookmark27" w:id="131"/>
      <w:bookmarkEnd w:id="131"/>
      <w:r>
        <w:rPr/>
      </w:r>
      <w:bookmarkStart w:name="_bookmark27" w:id="132"/>
      <w:bookmarkEnd w:id="132"/>
      <w:r>
        <w:rPr>
          <w:b/>
          <w:color w:val="1F487C"/>
          <w:sz w:val="28"/>
        </w:rPr>
        <w:t>С</w:t>
      </w:r>
      <w:r>
        <w:rPr>
          <w:b/>
          <w:color w:val="1F487C"/>
          <w:sz w:val="28"/>
        </w:rPr>
        <w:t>ПЕЦИФИЧЕСКАЯ ПРОФИЛАКТИКА COVID-19 У</w:t>
      </w:r>
      <w:r>
        <w:rPr>
          <w:b/>
          <w:color w:val="1F487C"/>
          <w:spacing w:val="-2"/>
          <w:sz w:val="28"/>
        </w:rPr>
        <w:t> </w:t>
      </w:r>
      <w:r>
        <w:rPr>
          <w:b/>
          <w:color w:val="1F487C"/>
          <w:sz w:val="28"/>
        </w:rPr>
        <w:t>ВЗРОСЛЫХ</w:t>
      </w:r>
    </w:p>
    <w:p>
      <w:pPr>
        <w:pStyle w:val="BodyText"/>
        <w:spacing w:line="312" w:lineRule="auto" w:before="119"/>
        <w:ind w:right="674" w:firstLine="708"/>
      </w:pPr>
      <w:bookmarkStart w:name="В Российской Федерации зарегистрированы " w:id="133"/>
      <w:bookmarkEnd w:id="133"/>
      <w:r>
        <w:rPr/>
      </w:r>
      <w:r>
        <w:rPr/>
        <w:t>В Российской Федерации зарегистрированы две вакцины для профилактики новой коронавирусной инфекции COVID-19 у взрослых лиц от 18 до 60 лет, индуцирующие формирование гуморального и клеточного иммунитета в отношении SARS-CoV-2:</w:t>
      </w:r>
    </w:p>
    <w:p>
      <w:pPr>
        <w:pStyle w:val="ListParagraph"/>
        <w:numPr>
          <w:ilvl w:val="0"/>
          <w:numId w:val="35"/>
        </w:numPr>
        <w:tabs>
          <w:tab w:pos="1030" w:val="left" w:leader="none"/>
        </w:tabs>
        <w:spacing w:line="304" w:lineRule="auto" w:before="2" w:after="0"/>
        <w:ind w:left="1029" w:right="673" w:hanging="360"/>
        <w:jc w:val="both"/>
        <w:rPr>
          <w:sz w:val="24"/>
        </w:rPr>
      </w:pPr>
      <w:bookmarkStart w:name=" 11.08.2020 г. зарегистрирована комбини" w:id="134"/>
      <w:bookmarkEnd w:id="134"/>
      <w:r>
        <w:rPr/>
      </w:r>
      <w:bookmarkStart w:name=" 11.08.2020 г. зарегистрирована комбини" w:id="135"/>
      <w:bookmarkEnd w:id="135"/>
      <w:r>
        <w:rPr>
          <w:sz w:val="24"/>
        </w:rPr>
        <w:t>11.08.2020</w:t>
      </w:r>
      <w:r>
        <w:rPr>
          <w:sz w:val="24"/>
        </w:rPr>
        <w:t> г. </w:t>
      </w:r>
      <w:hyperlink r:id="rId16">
        <w:r>
          <w:rPr>
            <w:color w:val="0562C1"/>
            <w:sz w:val="24"/>
          </w:rPr>
          <w:t>зарегистрирована</w:t>
        </w:r>
      </w:hyperlink>
      <w:r>
        <w:rPr>
          <w:color w:val="0562C1"/>
          <w:sz w:val="24"/>
        </w:rPr>
        <w:t> </w:t>
      </w:r>
      <w:r>
        <w:rPr>
          <w:sz w:val="24"/>
        </w:rPr>
        <w:t>комбинированная векторная вакцина («Гам-КОВИД-Вак»),</w:t>
      </w:r>
    </w:p>
    <w:p>
      <w:pPr>
        <w:pStyle w:val="ListParagraph"/>
        <w:numPr>
          <w:ilvl w:val="0"/>
          <w:numId w:val="35"/>
        </w:numPr>
        <w:tabs>
          <w:tab w:pos="1030" w:val="left" w:leader="none"/>
        </w:tabs>
        <w:spacing w:line="316" w:lineRule="auto" w:before="11" w:after="0"/>
        <w:ind w:left="1029" w:right="674" w:hanging="360"/>
        <w:jc w:val="both"/>
        <w:rPr>
          <w:sz w:val="24"/>
        </w:rPr>
      </w:pPr>
      <w:r>
        <w:rPr>
          <w:sz w:val="24"/>
        </w:rPr>
        <w:t>13.10.2020 г.</w:t>
      </w:r>
      <w:r>
        <w:rPr>
          <w:color w:val="0562C1"/>
          <w:sz w:val="24"/>
        </w:rPr>
        <w:t> </w:t>
      </w:r>
      <w:hyperlink r:id="rId17">
        <w:r>
          <w:rPr>
            <w:color w:val="0562C1"/>
            <w:sz w:val="24"/>
            <w:u w:val="single" w:color="0562C1"/>
          </w:rPr>
          <w:t>зарегистрирована</w:t>
        </w:r>
      </w:hyperlink>
      <w:r>
        <w:rPr>
          <w:color w:val="0562C1"/>
          <w:sz w:val="24"/>
        </w:rPr>
        <w:t> </w:t>
      </w:r>
      <w:r>
        <w:rPr>
          <w:sz w:val="24"/>
        </w:rPr>
        <w:t>вакцина на основе пептидных антигенов («ЭпиВакКорона»).</w:t>
      </w:r>
    </w:p>
    <w:p>
      <w:pPr>
        <w:pStyle w:val="BodyText"/>
        <w:spacing w:line="324" w:lineRule="auto" w:before="21"/>
        <w:ind w:right="672" w:firstLine="708"/>
      </w:pPr>
      <w:r>
        <w:rPr/>
        <w:t>Комбинированная векторная вакцина («Гам-КОВИД-Вак») получена биотехнологическим путем, при котором вирус SARS-CoV-2 не используется. Препарат состоит из </w:t>
      </w:r>
      <w:r>
        <w:rPr>
          <w:spacing w:val="-3"/>
        </w:rPr>
        <w:t>двух </w:t>
      </w:r>
      <w:r>
        <w:rPr/>
        <w:t>компонентов: рекомбинантный аденовирусный вектор на основе аденовируса человека 26 серотипа, несущий ген S-белка SARS-CoV-2 (компонент </w:t>
      </w:r>
      <w:r>
        <w:rPr>
          <w:spacing w:val="-3"/>
        </w:rPr>
        <w:t>I) </w:t>
      </w:r>
      <w:r>
        <w:rPr/>
        <w:t>и рекомбинантный аденовирусный вектор на основе аденовируса человека 5 серотипа, несущий ген S-белка SARS-CoV-2 (компонент II). Вакцина должна</w:t>
      </w:r>
      <w:r>
        <w:rPr>
          <w:spacing w:val="-14"/>
        </w:rPr>
        <w:t> </w:t>
      </w:r>
      <w:r>
        <w:rPr/>
        <w:t>храниться</w:t>
      </w:r>
      <w:r>
        <w:rPr>
          <w:spacing w:val="-13"/>
        </w:rPr>
        <w:t> </w:t>
      </w:r>
      <w:r>
        <w:rPr/>
        <w:t>в</w:t>
      </w:r>
      <w:r>
        <w:rPr>
          <w:spacing w:val="-14"/>
        </w:rPr>
        <w:t> </w:t>
      </w:r>
      <w:r>
        <w:rPr/>
        <w:t>защищенном</w:t>
      </w:r>
      <w:r>
        <w:rPr>
          <w:spacing w:val="-14"/>
        </w:rPr>
        <w:t> </w:t>
      </w:r>
      <w:r>
        <w:rPr/>
        <w:t>от</w:t>
      </w:r>
      <w:r>
        <w:rPr>
          <w:spacing w:val="-15"/>
        </w:rPr>
        <w:t> </w:t>
      </w:r>
      <w:r>
        <w:rPr/>
        <w:t>света</w:t>
      </w:r>
      <w:r>
        <w:rPr>
          <w:spacing w:val="-14"/>
        </w:rPr>
        <w:t> </w:t>
      </w:r>
      <w:r>
        <w:rPr/>
        <w:t>месте,</w:t>
      </w:r>
      <w:r>
        <w:rPr>
          <w:spacing w:val="-14"/>
        </w:rPr>
        <w:t> </w:t>
      </w:r>
      <w:r>
        <w:rPr>
          <w:color w:val="2D74B5"/>
        </w:rPr>
        <w:t>при</w:t>
      </w:r>
      <w:r>
        <w:rPr>
          <w:color w:val="2D74B5"/>
          <w:spacing w:val="-15"/>
        </w:rPr>
        <w:t> </w:t>
      </w:r>
      <w:r>
        <w:rPr>
          <w:color w:val="2D74B5"/>
        </w:rPr>
        <w:t>температуре</w:t>
      </w:r>
      <w:r>
        <w:rPr>
          <w:color w:val="2D74B5"/>
          <w:spacing w:val="-14"/>
        </w:rPr>
        <w:t> </w:t>
      </w:r>
      <w:r>
        <w:rPr>
          <w:color w:val="2D74B5"/>
        </w:rPr>
        <w:t>не</w:t>
      </w:r>
      <w:r>
        <w:rPr>
          <w:color w:val="2D74B5"/>
          <w:spacing w:val="-3"/>
        </w:rPr>
        <w:t> </w:t>
      </w:r>
      <w:r>
        <w:rPr>
          <w:color w:val="2D74B5"/>
        </w:rPr>
        <w:t>выше</w:t>
      </w:r>
      <w:r>
        <w:rPr>
          <w:color w:val="2D74B5"/>
          <w:spacing w:val="-13"/>
        </w:rPr>
        <w:t> </w:t>
      </w:r>
      <w:r>
        <w:rPr>
          <w:color w:val="2D74B5"/>
        </w:rPr>
        <w:t>минус</w:t>
      </w:r>
      <w:r>
        <w:rPr>
          <w:color w:val="2D74B5"/>
          <w:spacing w:val="-14"/>
        </w:rPr>
        <w:t> </w:t>
      </w:r>
      <w:r>
        <w:rPr>
          <w:color w:val="2D74B5"/>
        </w:rPr>
        <w:t>18</w:t>
      </w:r>
      <w:r>
        <w:rPr>
          <w:color w:val="2D74B5"/>
          <w:spacing w:val="-3"/>
        </w:rPr>
        <w:t> </w:t>
      </w:r>
      <w:r>
        <w:rPr>
          <w:color w:val="2D74B5"/>
        </w:rPr>
        <w:t>°C. Хранение размороженного препарата допускается не более 30 минут. </w:t>
      </w:r>
      <w:r>
        <w:rPr/>
        <w:t>Вакцинацию проводят в два этапа: вначале вводят компонент I в дозе 0,5 мл, затем через 3 недели компонент II в дозе 0,5 мл. Препарат вводят внутримышечно в верхнюю треть наружной поверхности плеча, а при невозможности – в латеральную широкую мышцу бедра.</w:t>
      </w:r>
    </w:p>
    <w:p>
      <w:pPr>
        <w:pStyle w:val="BodyText"/>
        <w:spacing w:line="324" w:lineRule="auto" w:before="14"/>
        <w:ind w:right="674" w:firstLine="708"/>
      </w:pPr>
      <w:r>
        <w:rPr/>
        <w:t>Вакцина</w:t>
      </w:r>
      <w:r>
        <w:rPr>
          <w:spacing w:val="-14"/>
        </w:rPr>
        <w:t> </w:t>
      </w:r>
      <w:r>
        <w:rPr/>
        <w:t>на</w:t>
      </w:r>
      <w:r>
        <w:rPr>
          <w:spacing w:val="-13"/>
        </w:rPr>
        <w:t> </w:t>
      </w:r>
      <w:r>
        <w:rPr/>
        <w:t>основе</w:t>
      </w:r>
      <w:r>
        <w:rPr>
          <w:spacing w:val="-14"/>
        </w:rPr>
        <w:t> </w:t>
      </w:r>
      <w:r>
        <w:rPr/>
        <w:t>пептидных</w:t>
      </w:r>
      <w:r>
        <w:rPr>
          <w:spacing w:val="-10"/>
        </w:rPr>
        <w:t> </w:t>
      </w:r>
      <w:r>
        <w:rPr/>
        <w:t>антигенов</w:t>
      </w:r>
      <w:r>
        <w:rPr>
          <w:spacing w:val="-14"/>
        </w:rPr>
        <w:t> </w:t>
      </w:r>
      <w:r>
        <w:rPr/>
        <w:t>(«ЭпиВакКорона»)</w:t>
      </w:r>
      <w:r>
        <w:rPr>
          <w:spacing w:val="-10"/>
        </w:rPr>
        <w:t> </w:t>
      </w:r>
      <w:r>
        <w:rPr/>
        <w:t>представляет</w:t>
      </w:r>
      <w:r>
        <w:rPr>
          <w:spacing w:val="-12"/>
        </w:rPr>
        <w:t> </w:t>
      </w:r>
      <w:r>
        <w:rPr/>
        <w:t>собой химически синтезированные пептидные антигены белка S вируса SARS-CoV-2, конъюгированные с белком-носителем и адсорбированные на</w:t>
      </w:r>
      <w:r>
        <w:rPr>
          <w:spacing w:val="57"/>
        </w:rPr>
        <w:t> </w:t>
      </w:r>
      <w:r>
        <w:rPr/>
        <w:t>алюминий-содержащем</w:t>
      </w:r>
    </w:p>
    <w:p>
      <w:pPr>
        <w:spacing w:after="0" w:line="324" w:lineRule="auto"/>
        <w:sectPr>
          <w:pgSz w:w="11920" w:h="16850"/>
          <w:pgMar w:header="0" w:footer="620" w:top="1060" w:bottom="880" w:left="1380" w:right="600"/>
        </w:sectPr>
      </w:pPr>
    </w:p>
    <w:p>
      <w:pPr>
        <w:pStyle w:val="BodyText"/>
        <w:spacing w:line="324" w:lineRule="auto" w:before="78"/>
        <w:ind w:right="674"/>
      </w:pPr>
      <w:r>
        <w:rPr/>
        <w:t>адъюванте (алюминия гидроксиде). </w:t>
      </w:r>
      <w:r>
        <w:rPr>
          <w:color w:val="006FC0"/>
        </w:rPr>
        <w:t>Вакцина хранится при температуре от +2 до +8 °C</w:t>
      </w:r>
      <w:r>
        <w:rPr/>
        <w:t>. </w:t>
      </w:r>
      <w:r>
        <w:rPr>
          <w:color w:val="006FC0"/>
        </w:rPr>
        <w:t>Вакцину</w:t>
      </w:r>
      <w:r>
        <w:rPr>
          <w:color w:val="006FC0"/>
          <w:spacing w:val="-22"/>
        </w:rPr>
        <w:t> </w:t>
      </w:r>
      <w:r>
        <w:rPr>
          <w:color w:val="006FC0"/>
        </w:rPr>
        <w:t>не</w:t>
      </w:r>
      <w:r>
        <w:rPr>
          <w:color w:val="006FC0"/>
          <w:spacing w:val="-14"/>
        </w:rPr>
        <w:t> </w:t>
      </w:r>
      <w:r>
        <w:rPr>
          <w:color w:val="006FC0"/>
        </w:rPr>
        <w:t>замораживать!</w:t>
      </w:r>
      <w:r>
        <w:rPr>
          <w:color w:val="006FC0"/>
          <w:spacing w:val="-14"/>
        </w:rPr>
        <w:t> </w:t>
      </w:r>
      <w:r>
        <w:rPr/>
        <w:t>Вакцину</w:t>
      </w:r>
      <w:r>
        <w:rPr>
          <w:spacing w:val="-20"/>
        </w:rPr>
        <w:t> </w:t>
      </w:r>
      <w:r>
        <w:rPr/>
        <w:t>вводят</w:t>
      </w:r>
      <w:r>
        <w:rPr>
          <w:spacing w:val="-14"/>
        </w:rPr>
        <w:t> </w:t>
      </w:r>
      <w:r>
        <w:rPr/>
        <w:t>двукратно</w:t>
      </w:r>
      <w:r>
        <w:rPr>
          <w:spacing w:val="-14"/>
        </w:rPr>
        <w:t> </w:t>
      </w:r>
      <w:r>
        <w:rPr/>
        <w:t>с</w:t>
      </w:r>
      <w:r>
        <w:rPr>
          <w:spacing w:val="-16"/>
        </w:rPr>
        <w:t> </w:t>
      </w:r>
      <w:r>
        <w:rPr/>
        <w:t>интервалом</w:t>
      </w:r>
      <w:r>
        <w:rPr>
          <w:spacing w:val="-16"/>
        </w:rPr>
        <w:t> </w:t>
      </w:r>
      <w:r>
        <w:rPr/>
        <w:t>не</w:t>
      </w:r>
      <w:r>
        <w:rPr>
          <w:spacing w:val="-15"/>
        </w:rPr>
        <w:t> </w:t>
      </w:r>
      <w:r>
        <w:rPr/>
        <w:t>менее</w:t>
      </w:r>
      <w:r>
        <w:rPr>
          <w:spacing w:val="-16"/>
        </w:rPr>
        <w:t> </w:t>
      </w:r>
      <w:r>
        <w:rPr/>
        <w:t>14-21</w:t>
      </w:r>
      <w:r>
        <w:rPr>
          <w:spacing w:val="-15"/>
        </w:rPr>
        <w:t> </w:t>
      </w:r>
      <w:r>
        <w:rPr/>
        <w:t>день в дозе 0,5 мл внутримышечно в верхнюю треть наружной поверхности плеча, а при невозможности – в латеральную широкую мышцу</w:t>
      </w:r>
      <w:r>
        <w:rPr>
          <w:spacing w:val="-7"/>
        </w:rPr>
        <w:t> </w:t>
      </w:r>
      <w:r>
        <w:rPr/>
        <w:t>бедра.</w:t>
      </w:r>
    </w:p>
    <w:p>
      <w:pPr>
        <w:pStyle w:val="BodyText"/>
        <w:spacing w:line="324" w:lineRule="auto" w:before="15"/>
        <w:ind w:right="673" w:firstLine="708"/>
      </w:pPr>
      <w:r>
        <w:rPr/>
        <w:t>В день проведения вакцинации пациент должен быть осмотрен медицинским работником с обязательным измерением температуры тела. В случае повышения температуры тела более 37 °C вакцинацию не проводят. После введения вакцины пациент должен находиться под наблюдением  медицинского  работника  в  течение 30</w:t>
      </w:r>
      <w:r>
        <w:rPr>
          <w:spacing w:val="-1"/>
        </w:rPr>
        <w:t> </w:t>
      </w:r>
      <w:r>
        <w:rPr/>
        <w:t>минут.</w:t>
      </w:r>
    </w:p>
    <w:p>
      <w:pPr>
        <w:pStyle w:val="BodyText"/>
        <w:spacing w:line="324" w:lineRule="auto" w:before="14"/>
        <w:ind w:right="676" w:firstLine="708"/>
      </w:pPr>
      <w:r>
        <w:rPr/>
        <w:t>Приоритетной вакцинации </w:t>
      </w:r>
      <w:hyperlink w:history="true" w:anchor="_bookmark29">
        <w:r>
          <w:rPr>
            <w:vertAlign w:val="superscript"/>
          </w:rPr>
          <w:t>1</w:t>
        </w:r>
      </w:hyperlink>
      <w:r>
        <w:rPr>
          <w:vertAlign w:val="baseline"/>
        </w:rPr>
        <w:t> против COVID-19, подлежат следующие контингенты:</w:t>
      </w:r>
    </w:p>
    <w:p>
      <w:pPr>
        <w:pStyle w:val="ListParagraph"/>
        <w:numPr>
          <w:ilvl w:val="0"/>
          <w:numId w:val="36"/>
        </w:numPr>
        <w:tabs>
          <w:tab w:pos="1316" w:val="left" w:leader="none"/>
        </w:tabs>
        <w:spacing w:line="240" w:lineRule="auto" w:before="13" w:after="0"/>
        <w:ind w:left="1315" w:right="0" w:hanging="436"/>
        <w:jc w:val="both"/>
        <w:rPr>
          <w:sz w:val="24"/>
        </w:rPr>
      </w:pPr>
      <w:r>
        <w:rPr>
          <w:sz w:val="24"/>
        </w:rPr>
        <w:t>Работники</w:t>
      </w:r>
    </w:p>
    <w:p>
      <w:pPr>
        <w:pStyle w:val="BodyText"/>
        <w:spacing w:before="5"/>
        <w:ind w:left="0"/>
        <w:jc w:val="left"/>
        <w:rPr>
          <w:sz w:val="31"/>
        </w:rPr>
      </w:pPr>
    </w:p>
    <w:p>
      <w:pPr>
        <w:pStyle w:val="ListParagraph"/>
        <w:numPr>
          <w:ilvl w:val="0"/>
          <w:numId w:val="35"/>
        </w:numPr>
        <w:tabs>
          <w:tab w:pos="1000" w:val="left" w:leader="none"/>
          <w:tab w:pos="1001" w:val="left" w:leader="none"/>
        </w:tabs>
        <w:spacing w:line="240" w:lineRule="auto" w:before="0" w:after="0"/>
        <w:ind w:left="1000" w:right="0" w:hanging="339"/>
        <w:jc w:val="left"/>
        <w:rPr>
          <w:sz w:val="24"/>
        </w:rPr>
      </w:pPr>
      <w:r>
        <w:rPr>
          <w:sz w:val="24"/>
        </w:rPr>
        <w:t>медицинских организаций (все</w:t>
      </w:r>
      <w:r>
        <w:rPr>
          <w:spacing w:val="1"/>
          <w:sz w:val="24"/>
        </w:rPr>
        <w:t> </w:t>
      </w:r>
      <w:r>
        <w:rPr>
          <w:sz w:val="24"/>
        </w:rPr>
        <w:t>сотрудники),</w:t>
      </w:r>
    </w:p>
    <w:p>
      <w:pPr>
        <w:pStyle w:val="ListParagraph"/>
        <w:numPr>
          <w:ilvl w:val="0"/>
          <w:numId w:val="35"/>
        </w:numPr>
        <w:tabs>
          <w:tab w:pos="1000" w:val="left" w:leader="none"/>
          <w:tab w:pos="1001" w:val="left" w:leader="none"/>
        </w:tabs>
        <w:spacing w:line="240" w:lineRule="auto" w:before="81" w:after="0"/>
        <w:ind w:left="1000" w:right="0" w:hanging="339"/>
        <w:jc w:val="left"/>
        <w:rPr>
          <w:sz w:val="24"/>
        </w:rPr>
      </w:pPr>
      <w:r>
        <w:rPr>
          <w:sz w:val="24"/>
        </w:rPr>
        <w:t>образовательных</w:t>
      </w:r>
      <w:r>
        <w:rPr>
          <w:spacing w:val="1"/>
          <w:sz w:val="24"/>
        </w:rPr>
        <w:t> </w:t>
      </w:r>
      <w:r>
        <w:rPr>
          <w:sz w:val="24"/>
        </w:rPr>
        <w:t>организаций,</w:t>
      </w:r>
    </w:p>
    <w:p>
      <w:pPr>
        <w:pStyle w:val="ListParagraph"/>
        <w:numPr>
          <w:ilvl w:val="0"/>
          <w:numId w:val="35"/>
        </w:numPr>
        <w:tabs>
          <w:tab w:pos="1000" w:val="left" w:leader="none"/>
          <w:tab w:pos="1001" w:val="left" w:leader="none"/>
        </w:tabs>
        <w:spacing w:line="240" w:lineRule="auto" w:before="82" w:after="0"/>
        <w:ind w:left="1000" w:right="0" w:hanging="339"/>
        <w:jc w:val="left"/>
        <w:rPr>
          <w:sz w:val="24"/>
        </w:rPr>
      </w:pPr>
      <w:r>
        <w:rPr>
          <w:sz w:val="24"/>
        </w:rPr>
        <w:t>полиции,</w:t>
      </w:r>
    </w:p>
    <w:p>
      <w:pPr>
        <w:pStyle w:val="ListParagraph"/>
        <w:numPr>
          <w:ilvl w:val="0"/>
          <w:numId w:val="35"/>
        </w:numPr>
        <w:tabs>
          <w:tab w:pos="1000" w:val="left" w:leader="none"/>
          <w:tab w:pos="1001" w:val="left" w:leader="none"/>
        </w:tabs>
        <w:spacing w:line="240" w:lineRule="auto" w:before="83" w:after="0"/>
        <w:ind w:left="1000" w:right="0" w:hanging="339"/>
        <w:jc w:val="left"/>
        <w:rPr>
          <w:sz w:val="24"/>
        </w:rPr>
      </w:pPr>
      <w:r>
        <w:rPr>
          <w:sz w:val="24"/>
        </w:rPr>
        <w:t>общественного</w:t>
      </w:r>
      <w:r>
        <w:rPr>
          <w:spacing w:val="-1"/>
          <w:sz w:val="24"/>
        </w:rPr>
        <w:t> </w:t>
      </w:r>
      <w:r>
        <w:rPr>
          <w:sz w:val="24"/>
        </w:rPr>
        <w:t>транспорта,</w:t>
      </w:r>
    </w:p>
    <w:p>
      <w:pPr>
        <w:pStyle w:val="ListParagraph"/>
        <w:numPr>
          <w:ilvl w:val="0"/>
          <w:numId w:val="35"/>
        </w:numPr>
        <w:tabs>
          <w:tab w:pos="1000" w:val="left" w:leader="none"/>
          <w:tab w:pos="1001" w:val="left" w:leader="none"/>
        </w:tabs>
        <w:spacing w:line="240" w:lineRule="auto" w:before="81" w:after="0"/>
        <w:ind w:left="1000" w:right="0" w:hanging="339"/>
        <w:jc w:val="left"/>
        <w:rPr>
          <w:sz w:val="24"/>
        </w:rPr>
      </w:pPr>
      <w:r>
        <w:rPr>
          <w:sz w:val="24"/>
        </w:rPr>
        <w:t>торговли,</w:t>
      </w:r>
    </w:p>
    <w:p>
      <w:pPr>
        <w:pStyle w:val="ListParagraph"/>
        <w:numPr>
          <w:ilvl w:val="0"/>
          <w:numId w:val="35"/>
        </w:numPr>
        <w:tabs>
          <w:tab w:pos="1000" w:val="left" w:leader="none"/>
          <w:tab w:pos="1001" w:val="left" w:leader="none"/>
        </w:tabs>
        <w:spacing w:line="240" w:lineRule="auto" w:before="82" w:after="0"/>
        <w:ind w:left="1000" w:right="0" w:hanging="339"/>
        <w:jc w:val="left"/>
        <w:rPr>
          <w:sz w:val="24"/>
        </w:rPr>
      </w:pPr>
      <w:r>
        <w:rPr>
          <w:sz w:val="24"/>
        </w:rPr>
        <w:t>органов социальной защиты</w:t>
      </w:r>
      <w:r>
        <w:rPr>
          <w:spacing w:val="-5"/>
          <w:sz w:val="24"/>
        </w:rPr>
        <w:t> </w:t>
      </w:r>
      <w:r>
        <w:rPr>
          <w:sz w:val="24"/>
        </w:rPr>
        <w:t>населения,</w:t>
      </w:r>
    </w:p>
    <w:p>
      <w:pPr>
        <w:pStyle w:val="ListParagraph"/>
        <w:numPr>
          <w:ilvl w:val="0"/>
          <w:numId w:val="35"/>
        </w:numPr>
        <w:tabs>
          <w:tab w:pos="1000" w:val="left" w:leader="none"/>
          <w:tab w:pos="1001" w:val="left" w:leader="none"/>
        </w:tabs>
        <w:spacing w:line="240" w:lineRule="auto" w:before="83" w:after="0"/>
        <w:ind w:left="1000" w:right="0" w:hanging="339"/>
        <w:jc w:val="left"/>
        <w:rPr>
          <w:sz w:val="24"/>
        </w:rPr>
      </w:pPr>
      <w:r>
        <w:rPr>
          <w:sz w:val="24"/>
        </w:rPr>
        <w:t>предприятий общественного питания,</w:t>
      </w:r>
    </w:p>
    <w:p>
      <w:pPr>
        <w:pStyle w:val="ListParagraph"/>
        <w:numPr>
          <w:ilvl w:val="0"/>
          <w:numId w:val="35"/>
        </w:numPr>
        <w:tabs>
          <w:tab w:pos="1001" w:val="left" w:leader="none"/>
        </w:tabs>
        <w:spacing w:line="309" w:lineRule="auto" w:before="81" w:after="0"/>
        <w:ind w:left="1000" w:right="674" w:hanging="339"/>
        <w:jc w:val="both"/>
        <w:rPr>
          <w:sz w:val="24"/>
        </w:rPr>
      </w:pPr>
      <w:r>
        <w:rPr>
          <w:sz w:val="24"/>
        </w:rPr>
        <w:t>других организаций, работа которых связана с непосредственным контактом     с большим количеством людей (гостиниц, парикмахерских, химчисток, банков, охранных предприятий и</w:t>
      </w:r>
      <w:r>
        <w:rPr>
          <w:spacing w:val="-2"/>
          <w:sz w:val="24"/>
        </w:rPr>
        <w:t> </w:t>
      </w:r>
      <w:r>
        <w:rPr>
          <w:sz w:val="24"/>
        </w:rPr>
        <w:t>других);</w:t>
      </w:r>
    </w:p>
    <w:p>
      <w:pPr>
        <w:pStyle w:val="BodyText"/>
        <w:spacing w:before="10"/>
        <w:ind w:left="0"/>
        <w:jc w:val="left"/>
        <w:rPr>
          <w:sz w:val="28"/>
        </w:rPr>
      </w:pPr>
    </w:p>
    <w:p>
      <w:pPr>
        <w:pStyle w:val="ListParagraph"/>
        <w:numPr>
          <w:ilvl w:val="0"/>
          <w:numId w:val="36"/>
        </w:numPr>
        <w:tabs>
          <w:tab w:pos="1316" w:val="left" w:leader="none"/>
        </w:tabs>
        <w:spacing w:line="276" w:lineRule="auto" w:before="0" w:after="0"/>
        <w:ind w:left="321" w:right="674" w:firstLine="708"/>
        <w:jc w:val="both"/>
        <w:rPr>
          <w:sz w:val="24"/>
        </w:rPr>
      </w:pPr>
      <w:r>
        <w:rPr>
          <w:sz w:val="24"/>
        </w:rPr>
        <w:t>Обучающиеся в организациях среднего и высшего профессионального образования;</w:t>
      </w:r>
    </w:p>
    <w:p>
      <w:pPr>
        <w:pStyle w:val="ListParagraph"/>
        <w:numPr>
          <w:ilvl w:val="0"/>
          <w:numId w:val="36"/>
        </w:numPr>
        <w:tabs>
          <w:tab w:pos="1316" w:val="left" w:leader="none"/>
        </w:tabs>
        <w:spacing w:line="275" w:lineRule="exact" w:before="0" w:after="0"/>
        <w:ind w:left="1315" w:right="0" w:hanging="287"/>
        <w:jc w:val="both"/>
        <w:rPr>
          <w:sz w:val="24"/>
        </w:rPr>
      </w:pPr>
      <w:r>
        <w:rPr>
          <w:sz w:val="24"/>
        </w:rPr>
        <w:t>Лица, подлежащие призыву на военную</w:t>
      </w:r>
      <w:r>
        <w:rPr>
          <w:spacing w:val="-5"/>
          <w:sz w:val="24"/>
        </w:rPr>
        <w:t> </w:t>
      </w:r>
      <w:r>
        <w:rPr>
          <w:sz w:val="24"/>
        </w:rPr>
        <w:t>службу.</w:t>
      </w:r>
    </w:p>
    <w:p>
      <w:pPr>
        <w:pStyle w:val="BodyText"/>
        <w:spacing w:line="276" w:lineRule="auto" w:before="139"/>
        <w:ind w:right="674" w:firstLine="708"/>
      </w:pPr>
      <w:r>
        <w:rPr/>
        <w:t>В многочисленных исследованиях показано, что более 80% вируснейтрализующих антител направлены к рецептор-связывающему домену (RBD) S-белка SARS-CoV-2. При оценке напряженности поствакцинального протективного иммунитета</w:t>
      </w:r>
      <w:r>
        <w:rPr>
          <w:spacing w:val="-18"/>
        </w:rPr>
        <w:t> </w:t>
      </w:r>
      <w:r>
        <w:rPr/>
        <w:t>методом</w:t>
      </w:r>
      <w:r>
        <w:rPr>
          <w:spacing w:val="-18"/>
        </w:rPr>
        <w:t> </w:t>
      </w:r>
      <w:r>
        <w:rPr/>
        <w:t>иммуноферментного</w:t>
      </w:r>
      <w:r>
        <w:rPr>
          <w:spacing w:val="-17"/>
        </w:rPr>
        <w:t> </w:t>
      </w:r>
      <w:r>
        <w:rPr/>
        <w:t>анализа</w:t>
      </w:r>
      <w:r>
        <w:rPr>
          <w:spacing w:val="-18"/>
        </w:rPr>
        <w:t> </w:t>
      </w:r>
      <w:r>
        <w:rPr/>
        <w:t>рекомендуется</w:t>
      </w:r>
      <w:r>
        <w:rPr>
          <w:spacing w:val="-16"/>
        </w:rPr>
        <w:t> </w:t>
      </w:r>
      <w:r>
        <w:rPr/>
        <w:t>определение</w:t>
      </w:r>
      <w:r>
        <w:rPr>
          <w:spacing w:val="-18"/>
        </w:rPr>
        <w:t> </w:t>
      </w:r>
      <w:r>
        <w:rPr/>
        <w:t>антител к рецептор-связывающему домену (анти-RBD</w:t>
      </w:r>
      <w:r>
        <w:rPr>
          <w:spacing w:val="-9"/>
        </w:rPr>
        <w:t> </w:t>
      </w:r>
      <w:r>
        <w:rPr/>
        <w:t>антител).</w:t>
      </w:r>
    </w:p>
    <w:p>
      <w:pPr>
        <w:pStyle w:val="BodyText"/>
        <w:spacing w:before="11"/>
        <w:ind w:left="0"/>
        <w:jc w:val="left"/>
        <w:rPr>
          <w:sz w:val="20"/>
        </w:rPr>
      </w:pPr>
    </w:p>
    <w:p>
      <w:pPr>
        <w:pStyle w:val="Heading2"/>
        <w:numPr>
          <w:ilvl w:val="2"/>
          <w:numId w:val="34"/>
        </w:numPr>
        <w:tabs>
          <w:tab w:pos="1522" w:val="left" w:leader="none"/>
        </w:tabs>
        <w:spacing w:line="240" w:lineRule="auto" w:before="0" w:after="0"/>
        <w:ind w:left="1521" w:right="0" w:hanging="493"/>
        <w:jc w:val="both"/>
      </w:pPr>
      <w:bookmarkStart w:name="7.2. НЕСПЕЦИФИЧЕСКАЯ ПРОФИЛАКТИКА COVID-" w:id="136"/>
      <w:bookmarkEnd w:id="136"/>
      <w:r>
        <w:rPr>
          <w:b w:val="0"/>
        </w:rPr>
      </w:r>
      <w:bookmarkStart w:name="_bookmark28" w:id="137"/>
      <w:bookmarkEnd w:id="137"/>
      <w:r>
        <w:rPr>
          <w:b w:val="0"/>
        </w:rPr>
      </w:r>
      <w:bookmarkStart w:name="_bookmark28" w:id="138"/>
      <w:bookmarkEnd w:id="138"/>
      <w:r>
        <w:rPr>
          <w:color w:val="1F487C"/>
        </w:rPr>
        <w:t>НЕ</w:t>
      </w:r>
      <w:r>
        <w:rPr>
          <w:color w:val="1F487C"/>
        </w:rPr>
        <w:t>СПЕЦИФИЧЕСКАЯ ПРОФИЛАКТИКА</w:t>
      </w:r>
      <w:r>
        <w:rPr>
          <w:color w:val="1F487C"/>
          <w:spacing w:val="-6"/>
        </w:rPr>
        <w:t> </w:t>
      </w:r>
      <w:r>
        <w:rPr>
          <w:color w:val="1F487C"/>
        </w:rPr>
        <w:t>COVID-19</w:t>
      </w:r>
    </w:p>
    <w:p>
      <w:pPr>
        <w:pStyle w:val="BodyText"/>
        <w:spacing w:line="312" w:lineRule="auto" w:before="145"/>
        <w:ind w:right="675" w:firstLine="708"/>
      </w:pPr>
      <w:r>
        <w:rPr/>
        <w:t>Неспецифическая профилактика представляет собой мероприятия, направленные   на   предотвращение   распространения    инфекции,   и   проводится    в отношении источника инфекции (больного человека), механизма</w:t>
      </w:r>
      <w:r>
        <w:rPr>
          <w:spacing w:val="22"/>
        </w:rPr>
        <w:t> </w:t>
      </w:r>
      <w:r>
        <w:rPr/>
        <w:t>передачи</w:t>
      </w:r>
    </w:p>
    <w:p>
      <w:pPr>
        <w:pStyle w:val="BodyText"/>
        <w:spacing w:before="9"/>
        <w:ind w:left="0"/>
        <w:jc w:val="left"/>
        <w:rPr>
          <w:sz w:val="25"/>
        </w:rPr>
      </w:pPr>
      <w:r>
        <w:rPr/>
        <w:pict>
          <v:rect style="position:absolute;margin-left:85.080002pt;margin-top:16.787596pt;width:144pt;height:.72pt;mso-position-horizontal-relative:page;mso-position-vertical-relative:paragraph;z-index:-15724544;mso-wrap-distance-left:0;mso-wrap-distance-right:0" filled="true" fillcolor="#000000" stroked="false">
            <v:fill type="solid"/>
            <w10:wrap type="topAndBottom"/>
          </v:rect>
        </w:pict>
      </w:r>
    </w:p>
    <w:p>
      <w:pPr>
        <w:pStyle w:val="BodyText"/>
        <w:spacing w:before="5"/>
        <w:ind w:left="0"/>
        <w:jc w:val="left"/>
        <w:rPr>
          <w:sz w:val="6"/>
        </w:rPr>
      </w:pPr>
    </w:p>
    <w:p>
      <w:pPr>
        <w:spacing w:before="99"/>
        <w:ind w:left="321" w:right="0" w:firstLine="708"/>
        <w:jc w:val="left"/>
        <w:rPr>
          <w:sz w:val="20"/>
        </w:rPr>
      </w:pPr>
      <w:bookmarkStart w:name="_bookmark29" w:id="139"/>
      <w:bookmarkEnd w:id="139"/>
      <w:r>
        <w:rPr/>
      </w:r>
      <w:r>
        <w:rPr>
          <w:sz w:val="20"/>
          <w:vertAlign w:val="superscript"/>
        </w:rPr>
        <w:t>1</w:t>
      </w:r>
      <w:r>
        <w:rPr>
          <w:sz w:val="20"/>
          <w:vertAlign w:val="baseline"/>
        </w:rPr>
        <w:t> Вакцинации подлежат лица, не болевшие COVID-19 и не имеющие антител к SARS-CoV-2 по результатам серологических исследований</w:t>
      </w:r>
    </w:p>
    <w:p>
      <w:pPr>
        <w:spacing w:after="0"/>
        <w:jc w:val="left"/>
        <w:rPr>
          <w:sz w:val="20"/>
        </w:rPr>
        <w:sectPr>
          <w:pgSz w:w="11920" w:h="16850"/>
          <w:pgMar w:header="0" w:footer="620" w:top="1060" w:bottom="880" w:left="1380" w:right="600"/>
        </w:sectPr>
      </w:pPr>
    </w:p>
    <w:p>
      <w:pPr>
        <w:pStyle w:val="BodyText"/>
        <w:spacing w:line="312" w:lineRule="auto" w:before="78"/>
        <w:ind w:right="615"/>
        <w:jc w:val="left"/>
      </w:pPr>
      <w:r>
        <w:rPr/>
        <w:t>возбудителя инфекции, а также потенциально восприимчивого контингента (защита лиц, находящихся и/или находившихся в контакте с больным человеком).</w:t>
      </w:r>
    </w:p>
    <w:p>
      <w:pPr>
        <w:pStyle w:val="BodyText"/>
        <w:spacing w:before="10"/>
        <w:ind w:left="0"/>
        <w:jc w:val="left"/>
        <w:rPr>
          <w:sz w:val="20"/>
        </w:rPr>
      </w:pPr>
    </w:p>
    <w:p>
      <w:pPr>
        <w:pStyle w:val="Heading3"/>
        <w:jc w:val="left"/>
      </w:pPr>
      <w:bookmarkStart w:name="Мероприятия в отношении источника инфекц" w:id="140"/>
      <w:bookmarkEnd w:id="140"/>
      <w:r>
        <w:rPr>
          <w:b w:val="0"/>
        </w:rPr>
      </w:r>
      <w:r>
        <w:rPr>
          <w:color w:val="1F487C"/>
        </w:rPr>
        <w:t>Мероприятия в отношении источника инфекции:</w:t>
      </w:r>
    </w:p>
    <w:p>
      <w:pPr>
        <w:pStyle w:val="ListParagraph"/>
        <w:numPr>
          <w:ilvl w:val="0"/>
          <w:numId w:val="35"/>
        </w:numPr>
        <w:tabs>
          <w:tab w:pos="1000" w:val="left" w:leader="none"/>
          <w:tab w:pos="1001" w:val="left" w:leader="none"/>
        </w:tabs>
        <w:spacing w:line="304" w:lineRule="auto" w:before="144" w:after="0"/>
        <w:ind w:left="1000" w:right="679" w:hanging="339"/>
        <w:jc w:val="left"/>
        <w:rPr>
          <w:sz w:val="24"/>
        </w:rPr>
      </w:pPr>
      <w:r>
        <w:rPr>
          <w:sz w:val="24"/>
        </w:rPr>
        <w:t>Ранняя  диагностика  и  активное  выявление  инфицированных,  в  том  числе   с бессимптомными</w:t>
      </w:r>
      <w:r>
        <w:rPr>
          <w:spacing w:val="-1"/>
          <w:sz w:val="24"/>
        </w:rPr>
        <w:t> </w:t>
      </w:r>
      <w:r>
        <w:rPr>
          <w:sz w:val="24"/>
        </w:rPr>
        <w:t>формами;</w:t>
      </w:r>
    </w:p>
    <w:p>
      <w:pPr>
        <w:pStyle w:val="ListParagraph"/>
        <w:numPr>
          <w:ilvl w:val="0"/>
          <w:numId w:val="35"/>
        </w:numPr>
        <w:tabs>
          <w:tab w:pos="1000" w:val="left" w:leader="none"/>
          <w:tab w:pos="1001" w:val="left" w:leader="none"/>
        </w:tabs>
        <w:spacing w:line="240" w:lineRule="auto" w:before="10" w:after="0"/>
        <w:ind w:left="1000" w:right="0" w:hanging="339"/>
        <w:jc w:val="left"/>
        <w:rPr>
          <w:sz w:val="24"/>
        </w:rPr>
      </w:pPr>
      <w:r>
        <w:rPr>
          <w:sz w:val="24"/>
        </w:rPr>
        <w:t>Изоляция больных и лиц с подозрением на</w:t>
      </w:r>
      <w:r>
        <w:rPr>
          <w:spacing w:val="-3"/>
          <w:sz w:val="24"/>
        </w:rPr>
        <w:t> </w:t>
      </w:r>
      <w:r>
        <w:rPr>
          <w:sz w:val="24"/>
        </w:rPr>
        <w:t>заболевание;</w:t>
      </w:r>
    </w:p>
    <w:p>
      <w:pPr>
        <w:pStyle w:val="ListParagraph"/>
        <w:numPr>
          <w:ilvl w:val="0"/>
          <w:numId w:val="35"/>
        </w:numPr>
        <w:tabs>
          <w:tab w:pos="1000" w:val="left" w:leader="none"/>
          <w:tab w:pos="1001" w:val="left" w:leader="none"/>
        </w:tabs>
        <w:spacing w:line="240" w:lineRule="auto" w:before="83" w:after="0"/>
        <w:ind w:left="1000" w:right="0" w:hanging="339"/>
        <w:jc w:val="left"/>
        <w:rPr>
          <w:sz w:val="24"/>
        </w:rPr>
      </w:pPr>
      <w:r>
        <w:rPr>
          <w:sz w:val="24"/>
        </w:rPr>
        <w:t>Назначение этиотропной</w:t>
      </w:r>
      <w:r>
        <w:rPr>
          <w:spacing w:val="-1"/>
          <w:sz w:val="24"/>
        </w:rPr>
        <w:t> </w:t>
      </w:r>
      <w:r>
        <w:rPr>
          <w:sz w:val="24"/>
        </w:rPr>
        <w:t>терапии.</w:t>
      </w:r>
    </w:p>
    <w:p>
      <w:pPr>
        <w:pStyle w:val="BodyText"/>
        <w:spacing w:before="8"/>
        <w:ind w:left="0"/>
        <w:jc w:val="left"/>
        <w:rPr>
          <w:sz w:val="27"/>
        </w:rPr>
      </w:pPr>
    </w:p>
    <w:p>
      <w:pPr>
        <w:pStyle w:val="Heading3"/>
        <w:spacing w:line="261" w:lineRule="auto"/>
        <w:ind w:right="1793"/>
      </w:pPr>
      <w:bookmarkStart w:name="Мероприятия, направленные на механизм пе" w:id="141"/>
      <w:bookmarkEnd w:id="141"/>
      <w:r>
        <w:rPr>
          <w:b w:val="0"/>
        </w:rPr>
      </w:r>
      <w:r>
        <w:rPr>
          <w:color w:val="1F487C"/>
        </w:rPr>
        <w:t>Мероприятия, направленные на механизм передачи возбудителя инфекции:</w:t>
      </w:r>
    </w:p>
    <w:p>
      <w:pPr>
        <w:pStyle w:val="ListParagraph"/>
        <w:numPr>
          <w:ilvl w:val="0"/>
          <w:numId w:val="35"/>
        </w:numPr>
        <w:tabs>
          <w:tab w:pos="1001" w:val="left" w:leader="none"/>
        </w:tabs>
        <w:spacing w:line="240" w:lineRule="auto" w:before="118" w:after="0"/>
        <w:ind w:left="1000" w:right="0" w:hanging="339"/>
        <w:jc w:val="both"/>
        <w:rPr>
          <w:sz w:val="24"/>
        </w:rPr>
      </w:pPr>
      <w:r>
        <w:rPr>
          <w:sz w:val="24"/>
        </w:rPr>
        <w:t>Соблюдение режима</w:t>
      </w:r>
      <w:r>
        <w:rPr>
          <w:spacing w:val="-3"/>
          <w:sz w:val="24"/>
        </w:rPr>
        <w:t> </w:t>
      </w:r>
      <w:r>
        <w:rPr>
          <w:sz w:val="24"/>
        </w:rPr>
        <w:t>самоизоляции;</w:t>
      </w:r>
    </w:p>
    <w:p>
      <w:pPr>
        <w:pStyle w:val="ListParagraph"/>
        <w:numPr>
          <w:ilvl w:val="0"/>
          <w:numId w:val="35"/>
        </w:numPr>
        <w:tabs>
          <w:tab w:pos="1001" w:val="left" w:leader="none"/>
        </w:tabs>
        <w:spacing w:line="309" w:lineRule="auto" w:before="80" w:after="0"/>
        <w:ind w:left="1000" w:right="675" w:hanging="339"/>
        <w:jc w:val="both"/>
        <w:rPr>
          <w:sz w:val="24"/>
        </w:rPr>
      </w:pPr>
      <w:r>
        <w:rPr>
          <w:sz w:val="24"/>
        </w:rPr>
        <w:t>Соблюдение правил личной гигиены (мыть руки с мылом, использовать одноразовые</w:t>
      </w:r>
      <w:r>
        <w:rPr>
          <w:spacing w:val="-14"/>
          <w:sz w:val="24"/>
        </w:rPr>
        <w:t> </w:t>
      </w:r>
      <w:r>
        <w:rPr>
          <w:sz w:val="24"/>
        </w:rPr>
        <w:t>салфетки</w:t>
      </w:r>
      <w:r>
        <w:rPr>
          <w:spacing w:val="-12"/>
          <w:sz w:val="24"/>
        </w:rPr>
        <w:t> </w:t>
      </w:r>
      <w:r>
        <w:rPr>
          <w:sz w:val="24"/>
        </w:rPr>
        <w:t>при</w:t>
      </w:r>
      <w:r>
        <w:rPr>
          <w:spacing w:val="-11"/>
          <w:sz w:val="24"/>
        </w:rPr>
        <w:t> </w:t>
      </w:r>
      <w:r>
        <w:rPr>
          <w:sz w:val="24"/>
        </w:rPr>
        <w:t>чихании</w:t>
      </w:r>
      <w:r>
        <w:rPr>
          <w:spacing w:val="-12"/>
          <w:sz w:val="24"/>
        </w:rPr>
        <w:t> </w:t>
      </w:r>
      <w:r>
        <w:rPr>
          <w:sz w:val="24"/>
        </w:rPr>
        <w:t>и</w:t>
      </w:r>
      <w:r>
        <w:rPr>
          <w:spacing w:val="-14"/>
          <w:sz w:val="24"/>
        </w:rPr>
        <w:t> </w:t>
      </w:r>
      <w:r>
        <w:rPr>
          <w:sz w:val="24"/>
        </w:rPr>
        <w:t>кашле,</w:t>
      </w:r>
      <w:r>
        <w:rPr>
          <w:spacing w:val="-13"/>
          <w:sz w:val="24"/>
        </w:rPr>
        <w:t> </w:t>
      </w:r>
      <w:r>
        <w:rPr>
          <w:sz w:val="24"/>
        </w:rPr>
        <w:t>прикасаться</w:t>
      </w:r>
      <w:r>
        <w:rPr>
          <w:spacing w:val="-13"/>
          <w:sz w:val="24"/>
        </w:rPr>
        <w:t> </w:t>
      </w:r>
      <w:r>
        <w:rPr>
          <w:sz w:val="24"/>
        </w:rPr>
        <w:t>к</w:t>
      </w:r>
      <w:r>
        <w:rPr>
          <w:spacing w:val="-11"/>
          <w:sz w:val="24"/>
        </w:rPr>
        <w:t> </w:t>
      </w:r>
      <w:r>
        <w:rPr>
          <w:sz w:val="24"/>
        </w:rPr>
        <w:t>лицу</w:t>
      </w:r>
      <w:r>
        <w:rPr>
          <w:spacing w:val="-21"/>
          <w:sz w:val="24"/>
        </w:rPr>
        <w:t> </w:t>
      </w:r>
      <w:r>
        <w:rPr>
          <w:sz w:val="24"/>
        </w:rPr>
        <w:t>только</w:t>
      </w:r>
      <w:r>
        <w:rPr>
          <w:spacing w:val="-13"/>
          <w:sz w:val="24"/>
        </w:rPr>
        <w:t> </w:t>
      </w:r>
      <w:r>
        <w:rPr>
          <w:sz w:val="24"/>
        </w:rPr>
        <w:t>чистыми салфетками или вымытыми</w:t>
      </w:r>
      <w:r>
        <w:rPr>
          <w:spacing w:val="2"/>
          <w:sz w:val="24"/>
        </w:rPr>
        <w:t> </w:t>
      </w:r>
      <w:r>
        <w:rPr>
          <w:sz w:val="24"/>
        </w:rPr>
        <w:t>руками);</w:t>
      </w:r>
    </w:p>
    <w:p>
      <w:pPr>
        <w:pStyle w:val="ListParagraph"/>
        <w:numPr>
          <w:ilvl w:val="0"/>
          <w:numId w:val="35"/>
        </w:numPr>
        <w:tabs>
          <w:tab w:pos="1001" w:val="left" w:leader="none"/>
        </w:tabs>
        <w:spacing w:line="304" w:lineRule="auto" w:before="3" w:after="0"/>
        <w:ind w:left="1000" w:right="678" w:hanging="339"/>
        <w:jc w:val="both"/>
        <w:rPr>
          <w:sz w:val="24"/>
        </w:rPr>
      </w:pPr>
      <w:r>
        <w:rPr>
          <w:sz w:val="24"/>
        </w:rPr>
        <w:t>Использование одноразовых медицинских масок, которые должны сменяться каждые 2</w:t>
      </w:r>
      <w:r>
        <w:rPr>
          <w:spacing w:val="-2"/>
          <w:sz w:val="24"/>
        </w:rPr>
        <w:t> </w:t>
      </w:r>
      <w:r>
        <w:rPr>
          <w:sz w:val="24"/>
        </w:rPr>
        <w:t>ч;</w:t>
      </w:r>
    </w:p>
    <w:p>
      <w:pPr>
        <w:pStyle w:val="ListParagraph"/>
        <w:numPr>
          <w:ilvl w:val="0"/>
          <w:numId w:val="35"/>
        </w:numPr>
        <w:tabs>
          <w:tab w:pos="1000" w:val="left" w:leader="none"/>
          <w:tab w:pos="1001" w:val="left" w:leader="none"/>
        </w:tabs>
        <w:spacing w:line="240" w:lineRule="auto" w:before="11" w:after="0"/>
        <w:ind w:left="1000" w:right="0" w:hanging="339"/>
        <w:jc w:val="left"/>
        <w:rPr>
          <w:sz w:val="24"/>
        </w:rPr>
      </w:pPr>
      <w:r>
        <w:rPr>
          <w:sz w:val="24"/>
        </w:rPr>
        <w:t>Использование СИЗ для</w:t>
      </w:r>
      <w:r>
        <w:rPr>
          <w:spacing w:val="-3"/>
          <w:sz w:val="24"/>
        </w:rPr>
        <w:t> </w:t>
      </w:r>
      <w:r>
        <w:rPr>
          <w:sz w:val="24"/>
        </w:rPr>
        <w:t>медработников;</w:t>
      </w:r>
    </w:p>
    <w:p>
      <w:pPr>
        <w:pStyle w:val="ListParagraph"/>
        <w:numPr>
          <w:ilvl w:val="0"/>
          <w:numId w:val="35"/>
        </w:numPr>
        <w:tabs>
          <w:tab w:pos="1000" w:val="left" w:leader="none"/>
          <w:tab w:pos="1001" w:val="left" w:leader="none"/>
        </w:tabs>
        <w:spacing w:line="240" w:lineRule="auto" w:before="83" w:after="0"/>
        <w:ind w:left="1000" w:right="0" w:hanging="339"/>
        <w:jc w:val="left"/>
        <w:rPr>
          <w:sz w:val="24"/>
        </w:rPr>
      </w:pPr>
      <w:r>
        <w:rPr>
          <w:sz w:val="24"/>
        </w:rPr>
        <w:t>Проведение дезинфекционных мероприятий;</w:t>
      </w:r>
    </w:p>
    <w:p>
      <w:pPr>
        <w:pStyle w:val="ListParagraph"/>
        <w:numPr>
          <w:ilvl w:val="0"/>
          <w:numId w:val="35"/>
        </w:numPr>
        <w:tabs>
          <w:tab w:pos="1000" w:val="left" w:leader="none"/>
          <w:tab w:pos="1001" w:val="left" w:leader="none"/>
        </w:tabs>
        <w:spacing w:line="240" w:lineRule="auto" w:before="82" w:after="0"/>
        <w:ind w:left="1000" w:right="0" w:hanging="339"/>
        <w:jc w:val="left"/>
        <w:rPr>
          <w:sz w:val="24"/>
        </w:rPr>
      </w:pPr>
      <w:r>
        <w:rPr>
          <w:sz w:val="24"/>
        </w:rPr>
        <w:t>Обеззараживание и уничтожение медицинских отходов класса</w:t>
      </w:r>
      <w:r>
        <w:rPr>
          <w:spacing w:val="-3"/>
          <w:sz w:val="24"/>
        </w:rPr>
        <w:t> </w:t>
      </w:r>
      <w:r>
        <w:rPr>
          <w:sz w:val="24"/>
        </w:rPr>
        <w:t>В;</w:t>
      </w:r>
    </w:p>
    <w:p>
      <w:pPr>
        <w:pStyle w:val="ListParagraph"/>
        <w:numPr>
          <w:ilvl w:val="0"/>
          <w:numId w:val="35"/>
        </w:numPr>
        <w:tabs>
          <w:tab w:pos="1000" w:val="left" w:leader="none"/>
          <w:tab w:pos="1001" w:val="left" w:leader="none"/>
        </w:tabs>
        <w:spacing w:line="240" w:lineRule="auto" w:before="81" w:after="0"/>
        <w:ind w:left="1000" w:right="0" w:hanging="339"/>
        <w:jc w:val="left"/>
        <w:rPr>
          <w:sz w:val="24"/>
        </w:rPr>
      </w:pPr>
      <w:r>
        <w:rPr>
          <w:sz w:val="24"/>
        </w:rPr>
        <w:t>Транспортировка больных специальным</w:t>
      </w:r>
      <w:r>
        <w:rPr>
          <w:spacing w:val="-1"/>
          <w:sz w:val="24"/>
        </w:rPr>
        <w:t> </w:t>
      </w:r>
      <w:r>
        <w:rPr>
          <w:sz w:val="24"/>
        </w:rPr>
        <w:t>транспортом.</w:t>
      </w:r>
    </w:p>
    <w:p>
      <w:pPr>
        <w:pStyle w:val="Heading3"/>
        <w:spacing w:before="203"/>
        <w:jc w:val="left"/>
      </w:pPr>
      <w:r>
        <w:rPr>
          <w:color w:val="1F487C"/>
        </w:rPr>
        <w:t>Мероприятия, направленные на восприимчивый контингент:</w:t>
      </w:r>
    </w:p>
    <w:p>
      <w:pPr>
        <w:pStyle w:val="ListParagraph"/>
        <w:numPr>
          <w:ilvl w:val="0"/>
          <w:numId w:val="35"/>
        </w:numPr>
        <w:tabs>
          <w:tab w:pos="1001" w:val="left" w:leader="none"/>
        </w:tabs>
        <w:spacing w:line="309" w:lineRule="auto" w:before="201" w:after="0"/>
        <w:ind w:left="1000" w:right="673" w:hanging="339"/>
        <w:jc w:val="both"/>
        <w:rPr>
          <w:sz w:val="24"/>
        </w:rPr>
      </w:pPr>
      <w:r>
        <w:rPr>
          <w:sz w:val="24"/>
        </w:rPr>
        <w:t>Элиминационная</w:t>
      </w:r>
      <w:r>
        <w:rPr>
          <w:spacing w:val="-17"/>
          <w:sz w:val="24"/>
        </w:rPr>
        <w:t> </w:t>
      </w:r>
      <w:r>
        <w:rPr>
          <w:sz w:val="24"/>
        </w:rPr>
        <w:t>терапия,</w:t>
      </w:r>
      <w:r>
        <w:rPr>
          <w:spacing w:val="-16"/>
          <w:sz w:val="24"/>
        </w:rPr>
        <w:t> </w:t>
      </w:r>
      <w:r>
        <w:rPr>
          <w:sz w:val="24"/>
        </w:rPr>
        <w:t>представляющая</w:t>
      </w:r>
      <w:r>
        <w:rPr>
          <w:spacing w:val="-17"/>
          <w:sz w:val="24"/>
        </w:rPr>
        <w:t> </w:t>
      </w:r>
      <w:r>
        <w:rPr>
          <w:sz w:val="24"/>
        </w:rPr>
        <w:t>собой</w:t>
      </w:r>
      <w:r>
        <w:rPr>
          <w:spacing w:val="-15"/>
          <w:sz w:val="24"/>
        </w:rPr>
        <w:t> </w:t>
      </w:r>
      <w:r>
        <w:rPr>
          <w:sz w:val="24"/>
        </w:rPr>
        <w:t>орошение</w:t>
      </w:r>
      <w:r>
        <w:rPr>
          <w:spacing w:val="-18"/>
          <w:sz w:val="24"/>
        </w:rPr>
        <w:t> </w:t>
      </w:r>
      <w:r>
        <w:rPr>
          <w:sz w:val="24"/>
        </w:rPr>
        <w:t>слизистой</w:t>
      </w:r>
      <w:r>
        <w:rPr>
          <w:spacing w:val="-15"/>
          <w:sz w:val="24"/>
        </w:rPr>
        <w:t> </w:t>
      </w:r>
      <w:r>
        <w:rPr>
          <w:sz w:val="24"/>
        </w:rPr>
        <w:t>оболочки полости</w:t>
      </w:r>
      <w:r>
        <w:rPr>
          <w:spacing w:val="-8"/>
          <w:sz w:val="24"/>
        </w:rPr>
        <w:t> </w:t>
      </w:r>
      <w:r>
        <w:rPr>
          <w:sz w:val="24"/>
        </w:rPr>
        <w:t>носа</w:t>
      </w:r>
      <w:r>
        <w:rPr>
          <w:spacing w:val="-10"/>
          <w:sz w:val="24"/>
        </w:rPr>
        <w:t> </w:t>
      </w:r>
      <w:r>
        <w:rPr>
          <w:sz w:val="24"/>
        </w:rPr>
        <w:t>изотоническим</w:t>
      </w:r>
      <w:r>
        <w:rPr>
          <w:spacing w:val="-9"/>
          <w:sz w:val="24"/>
        </w:rPr>
        <w:t> </w:t>
      </w:r>
      <w:r>
        <w:rPr>
          <w:sz w:val="24"/>
        </w:rPr>
        <w:t>раствором</w:t>
      </w:r>
      <w:r>
        <w:rPr>
          <w:spacing w:val="-7"/>
          <w:sz w:val="24"/>
        </w:rPr>
        <w:t> </w:t>
      </w:r>
      <w:r>
        <w:rPr>
          <w:sz w:val="24"/>
        </w:rPr>
        <w:t>хлорида</w:t>
      </w:r>
      <w:r>
        <w:rPr>
          <w:spacing w:val="-10"/>
          <w:sz w:val="24"/>
        </w:rPr>
        <w:t> </w:t>
      </w:r>
      <w:r>
        <w:rPr>
          <w:sz w:val="24"/>
        </w:rPr>
        <w:t>натрия,</w:t>
      </w:r>
      <w:r>
        <w:rPr>
          <w:spacing w:val="-9"/>
          <w:sz w:val="24"/>
        </w:rPr>
        <w:t> </w:t>
      </w:r>
      <w:r>
        <w:rPr>
          <w:sz w:val="24"/>
        </w:rPr>
        <w:t>обеспечивает</w:t>
      </w:r>
      <w:r>
        <w:rPr>
          <w:spacing w:val="-6"/>
          <w:sz w:val="24"/>
        </w:rPr>
        <w:t> </w:t>
      </w:r>
      <w:r>
        <w:rPr>
          <w:sz w:val="24"/>
        </w:rPr>
        <w:t>снижение числа как вирусных, так бактериальных возбудителей инфекционных заболеваний;</w:t>
      </w:r>
    </w:p>
    <w:p>
      <w:pPr>
        <w:pStyle w:val="ListParagraph"/>
        <w:numPr>
          <w:ilvl w:val="0"/>
          <w:numId w:val="35"/>
        </w:numPr>
        <w:tabs>
          <w:tab w:pos="1001" w:val="left" w:leader="none"/>
        </w:tabs>
        <w:spacing w:line="304" w:lineRule="auto" w:before="5" w:after="0"/>
        <w:ind w:left="1000" w:right="677" w:hanging="339"/>
        <w:jc w:val="both"/>
        <w:rPr>
          <w:sz w:val="24"/>
        </w:rPr>
      </w:pPr>
      <w:r>
        <w:rPr>
          <w:sz w:val="24"/>
        </w:rPr>
        <w:t>Использование лекарственных средств для местного применения, обладающих барьерными функциями;</w:t>
      </w:r>
    </w:p>
    <w:p>
      <w:pPr>
        <w:pStyle w:val="ListParagraph"/>
        <w:numPr>
          <w:ilvl w:val="0"/>
          <w:numId w:val="35"/>
        </w:numPr>
        <w:tabs>
          <w:tab w:pos="1001" w:val="left" w:leader="none"/>
        </w:tabs>
        <w:spacing w:line="309" w:lineRule="auto" w:before="13" w:after="0"/>
        <w:ind w:left="1000" w:right="676" w:hanging="339"/>
        <w:jc w:val="both"/>
        <w:rPr>
          <w:sz w:val="24"/>
        </w:rPr>
      </w:pPr>
      <w:r>
        <w:rPr>
          <w:sz w:val="24"/>
        </w:rPr>
        <w:t>Своевременное обращение пациента в медицинские организации в случае появления симптомов ОРИ является одним из ключевых факторов профилактики осложнений и распространения</w:t>
      </w:r>
      <w:r>
        <w:rPr>
          <w:spacing w:val="-3"/>
          <w:sz w:val="24"/>
        </w:rPr>
        <w:t> </w:t>
      </w:r>
      <w:r>
        <w:rPr>
          <w:sz w:val="24"/>
        </w:rPr>
        <w:t>инфекции.</w:t>
      </w:r>
    </w:p>
    <w:p>
      <w:pPr>
        <w:pStyle w:val="BodyText"/>
        <w:spacing w:before="9"/>
        <w:ind w:left="0"/>
        <w:jc w:val="left"/>
        <w:rPr>
          <w:sz w:val="20"/>
        </w:rPr>
      </w:pPr>
    </w:p>
    <w:p>
      <w:pPr>
        <w:pStyle w:val="Heading2"/>
        <w:numPr>
          <w:ilvl w:val="2"/>
          <w:numId w:val="34"/>
        </w:numPr>
        <w:tabs>
          <w:tab w:pos="1522" w:val="left" w:leader="none"/>
        </w:tabs>
        <w:spacing w:line="259" w:lineRule="auto" w:before="1" w:after="0"/>
        <w:ind w:left="1029" w:right="1361" w:firstLine="0"/>
        <w:jc w:val="left"/>
      </w:pPr>
      <w:bookmarkStart w:name="7.3. МЕДИКАМЕНТОЗНАЯ ПРОФИЛАКТИКА COVID-" w:id="142"/>
      <w:bookmarkEnd w:id="142"/>
      <w:r>
        <w:rPr>
          <w:b w:val="0"/>
        </w:rPr>
      </w:r>
      <w:bookmarkStart w:name="_bookmark30" w:id="143"/>
      <w:bookmarkEnd w:id="143"/>
      <w:r>
        <w:rPr>
          <w:b w:val="0"/>
        </w:rPr>
      </w:r>
      <w:bookmarkStart w:name="_bookmark30" w:id="144"/>
      <w:bookmarkEnd w:id="144"/>
      <w:r>
        <w:rPr>
          <w:color w:val="1F487C"/>
        </w:rPr>
        <w:t>М</w:t>
      </w:r>
      <w:r>
        <w:rPr>
          <w:color w:val="1F487C"/>
        </w:rPr>
        <w:t>ЕДИКАМЕНТОЗНАЯ ПРОФИЛАКТИКА COVID-19 У</w:t>
      </w:r>
      <w:r>
        <w:rPr>
          <w:color w:val="1F487C"/>
          <w:spacing w:val="-2"/>
        </w:rPr>
        <w:t> </w:t>
      </w:r>
      <w:r>
        <w:rPr>
          <w:color w:val="1F487C"/>
        </w:rPr>
        <w:t>ВЗРОСЛЫХ</w:t>
      </w:r>
    </w:p>
    <w:p>
      <w:pPr>
        <w:pStyle w:val="BodyText"/>
        <w:spacing w:line="312" w:lineRule="auto" w:before="119"/>
        <w:ind w:right="674" w:firstLine="708"/>
      </w:pPr>
      <w:r>
        <w:rPr/>
        <w:t>Для медикаментозной профилактики COVID-19 у взрослых возможно назначение рекомбинантного ИФН-α интраназально (капли или спрей) или умифеновира.</w:t>
      </w:r>
    </w:p>
    <w:p>
      <w:pPr>
        <w:spacing w:after="0" w:line="312" w:lineRule="auto"/>
        <w:sectPr>
          <w:pgSz w:w="11920" w:h="16850"/>
          <w:pgMar w:header="0" w:footer="620" w:top="1060" w:bottom="880" w:left="1380" w:right="600"/>
        </w:sectPr>
      </w:pPr>
    </w:p>
    <w:p>
      <w:pPr>
        <w:pStyle w:val="BodyText"/>
        <w:spacing w:line="312" w:lineRule="auto" w:before="78"/>
        <w:ind w:right="674" w:firstLine="708"/>
      </w:pPr>
      <w:r>
        <w:rPr/>
        <w:t>В качестве медикаментозной  профилактики  при  непосредственном  контакте с больным рассматривается использование препарата гидроксихлорохин или рекомбинантного ИФН-α интраназально в комбинации с</w:t>
      </w:r>
      <w:r>
        <w:rPr>
          <w:spacing w:val="-5"/>
        </w:rPr>
        <w:t> </w:t>
      </w:r>
      <w:r>
        <w:rPr/>
        <w:t>умифеновиром.</w:t>
      </w:r>
    </w:p>
    <w:p>
      <w:pPr>
        <w:pStyle w:val="BodyText"/>
        <w:spacing w:line="312" w:lineRule="auto"/>
        <w:ind w:right="674" w:firstLine="708"/>
      </w:pPr>
      <w:r>
        <w:rPr/>
        <w:t>Для</w:t>
      </w:r>
      <w:r>
        <w:rPr>
          <w:spacing w:val="-8"/>
        </w:rPr>
        <w:t> </w:t>
      </w:r>
      <w:r>
        <w:rPr/>
        <w:t>медикаментозной</w:t>
      </w:r>
      <w:r>
        <w:rPr>
          <w:spacing w:val="-6"/>
        </w:rPr>
        <w:t> </w:t>
      </w:r>
      <w:r>
        <w:rPr/>
        <w:t>профилактики</w:t>
      </w:r>
      <w:r>
        <w:rPr>
          <w:spacing w:val="-10"/>
        </w:rPr>
        <w:t> </w:t>
      </w:r>
      <w:r>
        <w:rPr/>
        <w:t>COVID-19</w:t>
      </w:r>
      <w:r>
        <w:rPr>
          <w:spacing w:val="-5"/>
        </w:rPr>
        <w:t> </w:t>
      </w:r>
      <w:r>
        <w:rPr/>
        <w:t>у</w:t>
      </w:r>
      <w:r>
        <w:rPr>
          <w:spacing w:val="-12"/>
        </w:rPr>
        <w:t> </w:t>
      </w:r>
      <w:r>
        <w:rPr/>
        <w:t>беременных</w:t>
      </w:r>
      <w:r>
        <w:rPr>
          <w:spacing w:val="-6"/>
        </w:rPr>
        <w:t> </w:t>
      </w:r>
      <w:r>
        <w:rPr/>
        <w:t>возможно</w:t>
      </w:r>
      <w:r>
        <w:rPr>
          <w:spacing w:val="-7"/>
        </w:rPr>
        <w:t> </w:t>
      </w:r>
      <w:r>
        <w:rPr/>
        <w:t>только интраназальное введение рекомбинантного</w:t>
      </w:r>
      <w:r>
        <w:rPr>
          <w:spacing w:val="-3"/>
        </w:rPr>
        <w:t> </w:t>
      </w:r>
      <w:r>
        <w:rPr/>
        <w:t>ИФН-α.</w:t>
      </w:r>
    </w:p>
    <w:p>
      <w:pPr>
        <w:pStyle w:val="BodyText"/>
        <w:spacing w:line="312" w:lineRule="auto"/>
        <w:ind w:right="674" w:firstLine="708"/>
      </w:pPr>
      <w:r>
        <w:rPr/>
        <w:t>Учитывая рост заболеваемости и высокие  риски  распространения инфекции на территории нашей страны, целесообразно назначение медикаментозной профилактики определенным группам населения, включая медицинских работников (см. </w:t>
      </w:r>
      <w:hyperlink w:history="true" w:anchor="_bookmark67">
        <w:r>
          <w:rPr>
            <w:color w:val="0562C1"/>
            <w:u w:val="single" w:color="0562C1"/>
          </w:rPr>
          <w:t>Приложение</w:t>
        </w:r>
        <w:r>
          <w:rPr>
            <w:color w:val="0562C1"/>
            <w:spacing w:val="-2"/>
            <w:u w:val="single" w:color="0562C1"/>
          </w:rPr>
          <w:t> </w:t>
        </w:r>
        <w:r>
          <w:rPr>
            <w:color w:val="0562C1"/>
            <w:u w:val="single" w:color="0562C1"/>
          </w:rPr>
          <w:t>12</w:t>
        </w:r>
      </w:hyperlink>
      <w:r>
        <w:rPr/>
        <w:t>).</w:t>
      </w:r>
    </w:p>
    <w:p>
      <w:pPr>
        <w:pStyle w:val="BodyText"/>
        <w:spacing w:before="2"/>
        <w:ind w:left="0"/>
        <w:jc w:val="left"/>
        <w:rPr>
          <w:sz w:val="13"/>
        </w:rPr>
      </w:pPr>
    </w:p>
    <w:p>
      <w:pPr>
        <w:pStyle w:val="Heading2"/>
        <w:numPr>
          <w:ilvl w:val="2"/>
          <w:numId w:val="34"/>
        </w:numPr>
        <w:tabs>
          <w:tab w:pos="1522" w:val="left" w:leader="none"/>
        </w:tabs>
        <w:spacing w:line="259" w:lineRule="auto" w:before="89" w:after="0"/>
        <w:ind w:left="1029" w:right="1847" w:firstLine="0"/>
        <w:jc w:val="left"/>
      </w:pPr>
      <w:bookmarkStart w:name="7.4. МЕРОПРИЯТИЯ ПО ПРЕДУПРЕЖДЕНИЮ РАСПР" w:id="145"/>
      <w:bookmarkEnd w:id="145"/>
      <w:r>
        <w:rPr>
          <w:b w:val="0"/>
        </w:rPr>
      </w:r>
      <w:bookmarkStart w:name="_bookmark31" w:id="146"/>
      <w:bookmarkEnd w:id="146"/>
      <w:r>
        <w:rPr>
          <w:b w:val="0"/>
        </w:rPr>
      </w:r>
      <w:bookmarkStart w:name="_bookmark31" w:id="147"/>
      <w:bookmarkEnd w:id="147"/>
      <w:r>
        <w:rPr>
          <w:color w:val="1F487C"/>
        </w:rPr>
        <w:t>М</w:t>
      </w:r>
      <w:r>
        <w:rPr>
          <w:color w:val="1F487C"/>
        </w:rPr>
        <w:t>ЕРОПРИЯТИЯ ПО ПРЕДУПРЕЖДЕНИЮ РАСПРОСТРАНЕНИЯ COVID-19 В МЕДИЦИНСКОЙ ОРГАНИЗАЦИИ</w:t>
      </w:r>
    </w:p>
    <w:p>
      <w:pPr>
        <w:pStyle w:val="BodyText"/>
        <w:spacing w:line="312" w:lineRule="auto" w:before="119"/>
        <w:ind w:right="674" w:firstLine="708"/>
      </w:pPr>
      <w:r>
        <w:rPr/>
        <w:t>При поступлении в приемное отделение медицинской организации, оказывающей    медицинскую    помощь     в     стационарных     условиях,    пациента с клиническими проявлениями ОРВИ  с  характерными  для  COVID-19  симптомами и данными эпидемиологического анамнеза, медицинский работник проводит</w:t>
      </w:r>
      <w:r>
        <w:rPr>
          <w:spacing w:val="-41"/>
        </w:rPr>
        <w:t> </w:t>
      </w:r>
      <w:r>
        <w:rPr/>
        <w:t>комплекс первичных противоэпидемических мероприятий с использованием</w:t>
      </w:r>
      <w:r>
        <w:rPr>
          <w:spacing w:val="-2"/>
        </w:rPr>
        <w:t> </w:t>
      </w:r>
      <w:r>
        <w:rPr/>
        <w:t>СИЗ.</w:t>
      </w:r>
    </w:p>
    <w:p>
      <w:pPr>
        <w:pStyle w:val="BodyText"/>
        <w:spacing w:line="312" w:lineRule="auto"/>
        <w:ind w:right="674" w:firstLine="708"/>
      </w:pPr>
      <w:r>
        <w:rPr/>
        <w:t>Медицинский работник, не выходя из помещения, в котором выявлен больной, с использованием имеющихся средств связи извещает руководителя медицинской организации о выявленном пациенте и его состоянии для решения вопроса об его изоляции  по  месту  его  выявления  (бокс  приемного  отделения)  до  его  перевода   в мельцеровский бокс медицинской организации, в которой был выявлен больной, или госпитализации в специализированный инфекционный стационар при невозможности организовать изоляцию пациента в медицинской организации, в которой он был выявлен.    В     случае     изоляции     пациента     по     месту     выявления,     перевод в специализированный инфекционный стационар осуществляется после подтверждения диагноза</w:t>
      </w:r>
      <w:r>
        <w:rPr>
          <w:spacing w:val="-2"/>
        </w:rPr>
        <w:t> </w:t>
      </w:r>
      <w:r>
        <w:rPr/>
        <w:t>COVID-19.</w:t>
      </w:r>
    </w:p>
    <w:p>
      <w:pPr>
        <w:pStyle w:val="BodyText"/>
        <w:spacing w:line="312" w:lineRule="auto"/>
        <w:ind w:right="674" w:firstLine="708"/>
      </w:pPr>
      <w:r>
        <w:rPr/>
        <w:t>Медицинский работник должен использовать СИЗ (шапочка, противочумный (хирургический) халат, респиратор класса защиты FFP2 или FFP3), предварительно обработав руки и открытые части тела дезинфицирующими средствами.</w:t>
      </w:r>
    </w:p>
    <w:p>
      <w:pPr>
        <w:pStyle w:val="BodyText"/>
        <w:spacing w:line="312" w:lineRule="auto"/>
        <w:ind w:right="673" w:firstLine="708"/>
      </w:pPr>
      <w:r>
        <w:rPr/>
        <w:t>Медицинские работники, выявившие пациента с клиническими проявлениями ОРВИ с характерными для COVID-19 симптомами, должны осуществлять наблюдение пациента до приезда и передачи его выездной бригаде скорой медицинской помощи.</w:t>
      </w:r>
    </w:p>
    <w:p>
      <w:pPr>
        <w:pStyle w:val="BodyText"/>
        <w:spacing w:line="312" w:lineRule="auto"/>
        <w:ind w:right="674" w:firstLine="708"/>
      </w:pPr>
      <w:r>
        <w:rPr/>
        <w:t>После медицинской эвакуации пациента медицинский работник, выявивший пациента, снимает СИЗ, помещает их в бачок с дезинфицирующим раствором, обрабатывает дезинфицирующим раствором обувь и руки, полностью переодевается  в запасной комплект одежды. Открытые части тела обрабатываются кожным антисептиком. Рот и горло прополаскивают 70% этиловым спиртом, в нос и в глаза закапывают 2 % раствор борной</w:t>
      </w:r>
      <w:r>
        <w:rPr>
          <w:spacing w:val="-2"/>
        </w:rPr>
        <w:t> </w:t>
      </w:r>
      <w:r>
        <w:rPr/>
        <w:t>кислоты.</w:t>
      </w:r>
    </w:p>
    <w:p>
      <w:pPr>
        <w:spacing w:after="0" w:line="312" w:lineRule="auto"/>
        <w:sectPr>
          <w:pgSz w:w="11920" w:h="16850"/>
          <w:pgMar w:header="0" w:footer="620" w:top="1060" w:bottom="880" w:left="1380" w:right="600"/>
        </w:sectPr>
      </w:pPr>
    </w:p>
    <w:p>
      <w:pPr>
        <w:pStyle w:val="BodyText"/>
        <w:spacing w:line="312" w:lineRule="auto" w:before="78"/>
        <w:ind w:right="675" w:firstLine="708"/>
      </w:pPr>
      <w:r>
        <w:rPr/>
        <w:t>Руководитель медицинской организации, в которой был выявлен пациент, организует сбор биологического материала (мазок из носо- и ротоглотки) у всех медицинских работников и лиц, находившихся с ним в контакте, и направляет их для проведения соответствующего лабораторного исследования.</w:t>
      </w:r>
    </w:p>
    <w:p>
      <w:pPr>
        <w:pStyle w:val="BodyText"/>
        <w:spacing w:line="312" w:lineRule="auto"/>
        <w:ind w:right="675" w:firstLine="708"/>
      </w:pPr>
      <w:r>
        <w:rPr/>
        <w:t>Лаборатория является зоной повышенной биологической опасности. При проведении исследований на COVID-19 эта опасность многократно возрастает. Работа МАНК проводится в соответствии с Методическими указаниями МУ 1.3.2569-09</w:t>
      </w:r>
    </w:p>
    <w:p>
      <w:pPr>
        <w:pStyle w:val="BodyText"/>
        <w:spacing w:line="312" w:lineRule="auto"/>
        <w:ind w:right="679"/>
      </w:pPr>
      <w:r>
        <w:rPr/>
        <w:t>«Организация работы лабораторий, использующих МАНК при работе с материалом, содержащим микроорганизмы I-IV группы патогенности».</w:t>
      </w:r>
    </w:p>
    <w:p>
      <w:pPr>
        <w:pStyle w:val="BodyText"/>
        <w:spacing w:line="312" w:lineRule="auto"/>
        <w:ind w:right="674" w:firstLine="708"/>
      </w:pPr>
      <w:r>
        <w:rPr/>
        <w:t>Высокую</w:t>
      </w:r>
      <w:r>
        <w:rPr>
          <w:spacing w:val="-11"/>
        </w:rPr>
        <w:t> </w:t>
      </w:r>
      <w:r>
        <w:rPr/>
        <w:t>биологическую</w:t>
      </w:r>
      <w:r>
        <w:rPr>
          <w:spacing w:val="-11"/>
        </w:rPr>
        <w:t> </w:t>
      </w:r>
      <w:r>
        <w:rPr/>
        <w:t>опасность</w:t>
      </w:r>
      <w:r>
        <w:rPr>
          <w:spacing w:val="-14"/>
        </w:rPr>
        <w:t> </w:t>
      </w:r>
      <w:r>
        <w:rPr/>
        <w:t>представляют</w:t>
      </w:r>
      <w:r>
        <w:rPr>
          <w:spacing w:val="-10"/>
        </w:rPr>
        <w:t> </w:t>
      </w:r>
      <w:r>
        <w:rPr/>
        <w:t>не</w:t>
      </w:r>
      <w:r>
        <w:rPr>
          <w:spacing w:val="-15"/>
        </w:rPr>
        <w:t> </w:t>
      </w:r>
      <w:r>
        <w:rPr/>
        <w:t>только</w:t>
      </w:r>
      <w:r>
        <w:rPr>
          <w:spacing w:val="-11"/>
        </w:rPr>
        <w:t> </w:t>
      </w:r>
      <w:r>
        <w:rPr/>
        <w:t>МАНК,</w:t>
      </w:r>
      <w:r>
        <w:rPr>
          <w:spacing w:val="-14"/>
        </w:rPr>
        <w:t> </w:t>
      </w:r>
      <w:r>
        <w:rPr/>
        <w:t>но</w:t>
      </w:r>
      <w:r>
        <w:rPr>
          <w:spacing w:val="-14"/>
        </w:rPr>
        <w:t> </w:t>
      </w:r>
      <w:r>
        <w:rPr/>
        <w:t>и</w:t>
      </w:r>
      <w:r>
        <w:rPr>
          <w:spacing w:val="-10"/>
        </w:rPr>
        <w:t> </w:t>
      </w:r>
      <w:r>
        <w:rPr/>
        <w:t>любые иные</w:t>
      </w:r>
      <w:r>
        <w:rPr>
          <w:spacing w:val="-15"/>
        </w:rPr>
        <w:t> </w:t>
      </w:r>
      <w:r>
        <w:rPr/>
        <w:t>лабораторные</w:t>
      </w:r>
      <w:r>
        <w:rPr>
          <w:spacing w:val="-15"/>
        </w:rPr>
        <w:t> </w:t>
      </w:r>
      <w:r>
        <w:rPr/>
        <w:t>исследования</w:t>
      </w:r>
      <w:r>
        <w:rPr>
          <w:spacing w:val="-14"/>
        </w:rPr>
        <w:t> </w:t>
      </w:r>
      <w:r>
        <w:rPr/>
        <w:t>на</w:t>
      </w:r>
      <w:r>
        <w:rPr>
          <w:spacing w:val="-15"/>
        </w:rPr>
        <w:t> </w:t>
      </w:r>
      <w:r>
        <w:rPr/>
        <w:t>материале</w:t>
      </w:r>
      <w:r>
        <w:rPr>
          <w:spacing w:val="-13"/>
        </w:rPr>
        <w:t> </w:t>
      </w:r>
      <w:r>
        <w:rPr/>
        <w:t>от</w:t>
      </w:r>
      <w:r>
        <w:rPr>
          <w:spacing w:val="-14"/>
        </w:rPr>
        <w:t> </w:t>
      </w:r>
      <w:r>
        <w:rPr/>
        <w:t>больных</w:t>
      </w:r>
      <w:r>
        <w:rPr>
          <w:spacing w:val="-14"/>
        </w:rPr>
        <w:t> </w:t>
      </w:r>
      <w:r>
        <w:rPr/>
        <w:t>COVID-19</w:t>
      </w:r>
      <w:r>
        <w:rPr>
          <w:spacing w:val="-12"/>
        </w:rPr>
        <w:t> </w:t>
      </w:r>
      <w:r>
        <w:rPr/>
        <w:t>в</w:t>
      </w:r>
      <w:r>
        <w:rPr>
          <w:spacing w:val="-15"/>
        </w:rPr>
        <w:t> </w:t>
      </w:r>
      <w:r>
        <w:rPr/>
        <w:t>других</w:t>
      </w:r>
      <w:r>
        <w:rPr>
          <w:spacing w:val="-12"/>
        </w:rPr>
        <w:t> </w:t>
      </w:r>
      <w:r>
        <w:rPr/>
        <w:t>отделах лаборатории.   Не    рекомендуется    поведение    исследования    мокроты    больных  с</w:t>
      </w:r>
      <w:r>
        <w:rPr>
          <w:spacing w:val="-3"/>
        </w:rPr>
        <w:t> </w:t>
      </w:r>
      <w:r>
        <w:rPr/>
        <w:t>внебольничной</w:t>
      </w:r>
      <w:r>
        <w:rPr>
          <w:spacing w:val="-13"/>
        </w:rPr>
        <w:t> </w:t>
      </w:r>
      <w:r>
        <w:rPr/>
        <w:t>пневмонией</w:t>
      </w:r>
      <w:r>
        <w:rPr>
          <w:spacing w:val="-12"/>
        </w:rPr>
        <w:t> </w:t>
      </w:r>
      <w:r>
        <w:rPr/>
        <w:t>в</w:t>
      </w:r>
      <w:r>
        <w:rPr>
          <w:spacing w:val="-15"/>
        </w:rPr>
        <w:t> </w:t>
      </w:r>
      <w:r>
        <w:rPr/>
        <w:t>общеклиническом</w:t>
      </w:r>
      <w:r>
        <w:rPr>
          <w:spacing w:val="-14"/>
        </w:rPr>
        <w:t> </w:t>
      </w:r>
      <w:r>
        <w:rPr/>
        <w:t>отделе</w:t>
      </w:r>
      <w:r>
        <w:rPr>
          <w:spacing w:val="-15"/>
        </w:rPr>
        <w:t> </w:t>
      </w:r>
      <w:r>
        <w:rPr/>
        <w:t>до</w:t>
      </w:r>
      <w:r>
        <w:rPr>
          <w:spacing w:val="-14"/>
        </w:rPr>
        <w:t> </w:t>
      </w:r>
      <w:r>
        <w:rPr/>
        <w:t>получения</w:t>
      </w:r>
      <w:r>
        <w:rPr>
          <w:spacing w:val="-14"/>
        </w:rPr>
        <w:t> </w:t>
      </w:r>
      <w:r>
        <w:rPr/>
        <w:t>отрицательного результата на COVID-19. В случае положительного ответа все работы должны поводиться в боксе биологической безопасности не ниже II класса защиты и в рамках бактериологического исследования. Общий анализ мокроты может выполняться по строгим показаниям при потенциальной клинической информативности и при полной экипировке сотрудника лаборатории, как для работы с</w:t>
      </w:r>
      <w:r>
        <w:rPr>
          <w:spacing w:val="-5"/>
        </w:rPr>
        <w:t> </w:t>
      </w:r>
      <w:r>
        <w:rPr/>
        <w:t>МАНК.</w:t>
      </w:r>
    </w:p>
    <w:p>
      <w:pPr>
        <w:pStyle w:val="BodyText"/>
        <w:spacing w:line="312" w:lineRule="auto" w:before="1"/>
        <w:ind w:right="676" w:firstLine="708"/>
      </w:pPr>
      <w:r>
        <w:rPr/>
        <w:t>В целях обеззараживания воздуха в приемном отделении проводится дезинфекция дезинфицирующими средствами, применяются бактерицидный облучатель или другие устройства для обеззараживания воздуха и (или) поверхностей для</w:t>
      </w:r>
      <w:r>
        <w:rPr>
          <w:spacing w:val="-10"/>
        </w:rPr>
        <w:t> </w:t>
      </w:r>
      <w:r>
        <w:rPr/>
        <w:t>дезинфекции</w:t>
      </w:r>
      <w:r>
        <w:rPr>
          <w:spacing w:val="-8"/>
        </w:rPr>
        <w:t> </w:t>
      </w:r>
      <w:r>
        <w:rPr/>
        <w:t>воздушной</w:t>
      </w:r>
      <w:r>
        <w:rPr>
          <w:spacing w:val="-8"/>
        </w:rPr>
        <w:t> </w:t>
      </w:r>
      <w:r>
        <w:rPr/>
        <w:t>среды</w:t>
      </w:r>
      <w:r>
        <w:rPr>
          <w:spacing w:val="-10"/>
        </w:rPr>
        <w:t> </w:t>
      </w:r>
      <w:r>
        <w:rPr/>
        <w:t>помещения.</w:t>
      </w:r>
      <w:r>
        <w:rPr>
          <w:spacing w:val="-9"/>
        </w:rPr>
        <w:t> </w:t>
      </w:r>
      <w:r>
        <w:rPr/>
        <w:t>Количество</w:t>
      </w:r>
      <w:r>
        <w:rPr>
          <w:spacing w:val="-9"/>
        </w:rPr>
        <w:t> </w:t>
      </w:r>
      <w:r>
        <w:rPr/>
        <w:t>необходимых</w:t>
      </w:r>
      <w:r>
        <w:rPr>
          <w:spacing w:val="-7"/>
        </w:rPr>
        <w:t> </w:t>
      </w:r>
      <w:r>
        <w:rPr/>
        <w:t>облучателей рассчитывается</w:t>
      </w:r>
      <w:r>
        <w:rPr>
          <w:spacing w:val="-12"/>
        </w:rPr>
        <w:t> </w:t>
      </w:r>
      <w:r>
        <w:rPr/>
        <w:t>в</w:t>
      </w:r>
      <w:r>
        <w:rPr>
          <w:spacing w:val="-13"/>
        </w:rPr>
        <w:t> </w:t>
      </w:r>
      <w:r>
        <w:rPr/>
        <w:t>соответствии</w:t>
      </w:r>
      <w:r>
        <w:rPr>
          <w:spacing w:val="-10"/>
        </w:rPr>
        <w:t> </w:t>
      </w:r>
      <w:r>
        <w:rPr/>
        <w:t>с</w:t>
      </w:r>
      <w:r>
        <w:rPr>
          <w:spacing w:val="-13"/>
        </w:rPr>
        <w:t> </w:t>
      </w:r>
      <w:r>
        <w:rPr/>
        <w:t>инструкцией</w:t>
      </w:r>
      <w:r>
        <w:rPr>
          <w:spacing w:val="-12"/>
        </w:rPr>
        <w:t> </w:t>
      </w:r>
      <w:r>
        <w:rPr/>
        <w:t>по</w:t>
      </w:r>
      <w:r>
        <w:rPr>
          <w:spacing w:val="-12"/>
        </w:rPr>
        <w:t> </w:t>
      </w:r>
      <w:r>
        <w:rPr/>
        <w:t>их</w:t>
      </w:r>
      <w:r>
        <w:rPr>
          <w:spacing w:val="-11"/>
        </w:rPr>
        <w:t> </w:t>
      </w:r>
      <w:r>
        <w:rPr/>
        <w:t>применению</w:t>
      </w:r>
      <w:r>
        <w:rPr>
          <w:spacing w:val="-14"/>
        </w:rPr>
        <w:t> </w:t>
      </w:r>
      <w:r>
        <w:rPr/>
        <w:t>на</w:t>
      </w:r>
      <w:r>
        <w:rPr>
          <w:spacing w:val="-14"/>
        </w:rPr>
        <w:t> </w:t>
      </w:r>
      <w:r>
        <w:rPr/>
        <w:t>кубатуру</w:t>
      </w:r>
      <w:r>
        <w:rPr>
          <w:spacing w:val="-16"/>
        </w:rPr>
        <w:t> </w:t>
      </w:r>
      <w:r>
        <w:rPr/>
        <w:t>площади, на которой они будут</w:t>
      </w:r>
      <w:r>
        <w:rPr>
          <w:spacing w:val="5"/>
        </w:rPr>
        <w:t> </w:t>
      </w:r>
      <w:r>
        <w:rPr/>
        <w:t>установлены.</w:t>
      </w:r>
    </w:p>
    <w:p>
      <w:pPr>
        <w:pStyle w:val="BodyText"/>
        <w:spacing w:line="312" w:lineRule="auto"/>
        <w:ind w:right="678" w:firstLine="708"/>
      </w:pPr>
      <w:r>
        <w:rPr/>
        <w:t>В случае подтверждения диагноза COVID-19 в стационаре необходимо выявить лиц, имевших контакт с пациентом, среди:</w:t>
      </w:r>
    </w:p>
    <w:p>
      <w:pPr>
        <w:pStyle w:val="BodyText"/>
        <w:spacing w:before="3"/>
        <w:ind w:left="0"/>
        <w:jc w:val="left"/>
        <w:rPr>
          <w:sz w:val="31"/>
        </w:rPr>
      </w:pPr>
    </w:p>
    <w:p>
      <w:pPr>
        <w:pStyle w:val="ListParagraph"/>
        <w:numPr>
          <w:ilvl w:val="0"/>
          <w:numId w:val="35"/>
        </w:numPr>
        <w:tabs>
          <w:tab w:pos="1000" w:val="left" w:leader="none"/>
          <w:tab w:pos="1001" w:val="left" w:leader="none"/>
        </w:tabs>
        <w:spacing w:line="240" w:lineRule="auto" w:before="0" w:after="0"/>
        <w:ind w:left="1000" w:right="0" w:hanging="339"/>
        <w:jc w:val="left"/>
        <w:rPr>
          <w:sz w:val="24"/>
        </w:rPr>
      </w:pPr>
      <w:r>
        <w:rPr>
          <w:sz w:val="24"/>
        </w:rPr>
        <w:t>Находившихся в данном</w:t>
      </w:r>
      <w:r>
        <w:rPr>
          <w:spacing w:val="-1"/>
          <w:sz w:val="24"/>
        </w:rPr>
        <w:t> </w:t>
      </w:r>
      <w:r>
        <w:rPr>
          <w:sz w:val="24"/>
        </w:rPr>
        <w:t>учреждении;</w:t>
      </w:r>
    </w:p>
    <w:p>
      <w:pPr>
        <w:pStyle w:val="ListParagraph"/>
        <w:numPr>
          <w:ilvl w:val="0"/>
          <w:numId w:val="35"/>
        </w:numPr>
        <w:tabs>
          <w:tab w:pos="1000" w:val="left" w:leader="none"/>
          <w:tab w:pos="1001" w:val="left" w:leader="none"/>
        </w:tabs>
        <w:spacing w:line="304" w:lineRule="auto" w:before="83" w:after="0"/>
        <w:ind w:left="1000" w:right="677" w:hanging="339"/>
        <w:jc w:val="left"/>
        <w:rPr>
          <w:sz w:val="24"/>
        </w:rPr>
      </w:pPr>
      <w:r>
        <w:rPr>
          <w:sz w:val="24"/>
        </w:rPr>
        <w:t>Переведенных или  направленных  (на  консультацию,  стационарное  лечение) в другие медицинские организации, и</w:t>
      </w:r>
      <w:r>
        <w:rPr>
          <w:spacing w:val="-6"/>
          <w:sz w:val="24"/>
        </w:rPr>
        <w:t> </w:t>
      </w:r>
      <w:r>
        <w:rPr>
          <w:sz w:val="24"/>
        </w:rPr>
        <w:t>выписанных;</w:t>
      </w:r>
    </w:p>
    <w:p>
      <w:pPr>
        <w:pStyle w:val="ListParagraph"/>
        <w:numPr>
          <w:ilvl w:val="0"/>
          <w:numId w:val="35"/>
        </w:numPr>
        <w:tabs>
          <w:tab w:pos="1000" w:val="left" w:leader="none"/>
          <w:tab w:pos="1001" w:val="left" w:leader="none"/>
        </w:tabs>
        <w:spacing w:line="304" w:lineRule="auto" w:before="10" w:after="0"/>
        <w:ind w:left="1000" w:right="677" w:hanging="339"/>
        <w:jc w:val="left"/>
        <w:rPr>
          <w:sz w:val="24"/>
        </w:rPr>
      </w:pPr>
      <w:r>
        <w:rPr>
          <w:sz w:val="24"/>
        </w:rPr>
        <w:t>Медицинских и иных работников (гардероб, регистратура, диагностические, смотровые</w:t>
      </w:r>
      <w:r>
        <w:rPr>
          <w:spacing w:val="-2"/>
          <w:sz w:val="24"/>
        </w:rPr>
        <w:t> </w:t>
      </w:r>
      <w:r>
        <w:rPr>
          <w:sz w:val="24"/>
        </w:rPr>
        <w:t>кабинеты);</w:t>
      </w:r>
    </w:p>
    <w:p>
      <w:pPr>
        <w:pStyle w:val="ListParagraph"/>
        <w:numPr>
          <w:ilvl w:val="0"/>
          <w:numId w:val="35"/>
        </w:numPr>
        <w:tabs>
          <w:tab w:pos="1000" w:val="left" w:leader="none"/>
          <w:tab w:pos="1001" w:val="left" w:leader="none"/>
        </w:tabs>
        <w:spacing w:line="304" w:lineRule="auto" w:before="11" w:after="0"/>
        <w:ind w:left="1000" w:right="679" w:hanging="339"/>
        <w:jc w:val="left"/>
        <w:rPr>
          <w:sz w:val="24"/>
        </w:rPr>
      </w:pPr>
      <w:r>
        <w:rPr>
          <w:sz w:val="24"/>
        </w:rPr>
        <w:t>Посетителей медицинской организации, а также посетителей, покинувших медицинскую организацию к моменту выявления</w:t>
      </w:r>
      <w:r>
        <w:rPr>
          <w:spacing w:val="-8"/>
          <w:sz w:val="24"/>
        </w:rPr>
        <w:t> </w:t>
      </w:r>
      <w:r>
        <w:rPr>
          <w:sz w:val="24"/>
        </w:rPr>
        <w:t>пациента;</w:t>
      </w:r>
    </w:p>
    <w:p>
      <w:pPr>
        <w:pStyle w:val="ListParagraph"/>
        <w:numPr>
          <w:ilvl w:val="0"/>
          <w:numId w:val="35"/>
        </w:numPr>
        <w:tabs>
          <w:tab w:pos="1000" w:val="left" w:leader="none"/>
          <w:tab w:pos="1001" w:val="left" w:leader="none"/>
        </w:tabs>
        <w:spacing w:line="240" w:lineRule="auto" w:before="10" w:after="0"/>
        <w:ind w:left="1000" w:right="0" w:hanging="339"/>
        <w:jc w:val="left"/>
        <w:rPr>
          <w:sz w:val="24"/>
        </w:rPr>
      </w:pPr>
      <w:r>
        <w:rPr>
          <w:sz w:val="24"/>
        </w:rPr>
        <w:t>Лиц по месту жительства пациента, работы,</w:t>
      </w:r>
      <w:r>
        <w:rPr>
          <w:spacing w:val="-7"/>
          <w:sz w:val="24"/>
        </w:rPr>
        <w:t> </w:t>
      </w:r>
      <w:r>
        <w:rPr>
          <w:sz w:val="24"/>
        </w:rPr>
        <w:t>учебы.</w:t>
      </w:r>
    </w:p>
    <w:p>
      <w:pPr>
        <w:pStyle w:val="BodyText"/>
        <w:spacing w:before="4"/>
        <w:ind w:left="0"/>
        <w:jc w:val="left"/>
        <w:rPr>
          <w:sz w:val="39"/>
        </w:rPr>
      </w:pPr>
    </w:p>
    <w:p>
      <w:pPr>
        <w:pStyle w:val="BodyText"/>
        <w:spacing w:line="312" w:lineRule="auto" w:before="1"/>
        <w:ind w:right="676" w:firstLine="708"/>
      </w:pPr>
      <w:r>
        <w:rPr/>
        <w:t>За лицами, контактными с пациентом, устанавливают медицинское наблюдение.</w:t>
      </w:r>
    </w:p>
    <w:p>
      <w:pPr>
        <w:spacing w:after="0" w:line="312" w:lineRule="auto"/>
        <w:sectPr>
          <w:pgSz w:w="11920" w:h="16850"/>
          <w:pgMar w:header="0" w:footer="620" w:top="1060" w:bottom="880" w:left="1380" w:right="600"/>
        </w:sectPr>
      </w:pPr>
    </w:p>
    <w:p>
      <w:pPr>
        <w:pStyle w:val="BodyText"/>
        <w:spacing w:line="312" w:lineRule="auto" w:before="78"/>
        <w:ind w:right="675" w:firstLine="708"/>
      </w:pPr>
      <w:r>
        <w:rPr/>
        <w:t>В</w:t>
      </w:r>
      <w:r>
        <w:rPr>
          <w:spacing w:val="-17"/>
        </w:rPr>
        <w:t> </w:t>
      </w:r>
      <w:r>
        <w:rPr/>
        <w:t>условиях</w:t>
      </w:r>
      <w:r>
        <w:rPr>
          <w:spacing w:val="-15"/>
        </w:rPr>
        <w:t> </w:t>
      </w:r>
      <w:r>
        <w:rPr/>
        <w:t>высокой</w:t>
      </w:r>
      <w:r>
        <w:rPr>
          <w:spacing w:val="-17"/>
        </w:rPr>
        <w:t> </w:t>
      </w:r>
      <w:r>
        <w:rPr/>
        <w:t>вероятности</w:t>
      </w:r>
      <w:r>
        <w:rPr>
          <w:spacing w:val="-19"/>
        </w:rPr>
        <w:t> </w:t>
      </w:r>
      <w:r>
        <w:rPr/>
        <w:t>поступления</w:t>
      </w:r>
      <w:r>
        <w:rPr>
          <w:spacing w:val="-17"/>
        </w:rPr>
        <w:t> </w:t>
      </w:r>
      <w:r>
        <w:rPr/>
        <w:t>пациента</w:t>
      </w:r>
      <w:r>
        <w:rPr>
          <w:spacing w:val="-19"/>
        </w:rPr>
        <w:t> </w:t>
      </w:r>
      <w:r>
        <w:rPr/>
        <w:t>с</w:t>
      </w:r>
      <w:r>
        <w:rPr>
          <w:spacing w:val="-19"/>
        </w:rPr>
        <w:t> </w:t>
      </w:r>
      <w:r>
        <w:rPr/>
        <w:t>новой</w:t>
      </w:r>
      <w:r>
        <w:rPr>
          <w:spacing w:val="-18"/>
        </w:rPr>
        <w:t> </w:t>
      </w:r>
      <w:r>
        <w:rPr/>
        <w:t>коронавирусной инфекцией (наличие местной передачи инфекции на территории) необходимо реализовать следующие</w:t>
      </w:r>
      <w:r>
        <w:rPr>
          <w:spacing w:val="-2"/>
        </w:rPr>
        <w:t> </w:t>
      </w:r>
      <w:r>
        <w:rPr/>
        <w:t>мероприятия:</w:t>
      </w:r>
    </w:p>
    <w:p>
      <w:pPr>
        <w:pStyle w:val="BodyText"/>
        <w:spacing w:before="4"/>
        <w:ind w:left="0"/>
        <w:jc w:val="left"/>
        <w:rPr>
          <w:sz w:val="31"/>
        </w:rPr>
      </w:pPr>
    </w:p>
    <w:p>
      <w:pPr>
        <w:pStyle w:val="ListParagraph"/>
        <w:numPr>
          <w:ilvl w:val="0"/>
          <w:numId w:val="35"/>
        </w:numPr>
        <w:tabs>
          <w:tab w:pos="1000" w:val="left" w:leader="none"/>
          <w:tab w:pos="1001" w:val="left" w:leader="none"/>
        </w:tabs>
        <w:spacing w:line="304" w:lineRule="auto" w:before="0" w:after="0"/>
        <w:ind w:left="1000" w:right="677" w:hanging="339"/>
        <w:jc w:val="left"/>
        <w:rPr>
          <w:sz w:val="24"/>
        </w:rPr>
      </w:pPr>
      <w:r>
        <w:rPr>
          <w:sz w:val="24"/>
        </w:rPr>
        <w:t>Запрет на посещения пациентов в медицинских организациях стационарного типа родственниками и другими</w:t>
      </w:r>
      <w:r>
        <w:rPr>
          <w:spacing w:val="-2"/>
          <w:sz w:val="24"/>
        </w:rPr>
        <w:t> </w:t>
      </w:r>
      <w:r>
        <w:rPr>
          <w:sz w:val="24"/>
        </w:rPr>
        <w:t>лицами;</w:t>
      </w:r>
    </w:p>
    <w:p>
      <w:pPr>
        <w:pStyle w:val="ListParagraph"/>
        <w:numPr>
          <w:ilvl w:val="0"/>
          <w:numId w:val="35"/>
        </w:numPr>
        <w:tabs>
          <w:tab w:pos="1000" w:val="left" w:leader="none"/>
          <w:tab w:pos="1001" w:val="left" w:leader="none"/>
        </w:tabs>
        <w:spacing w:line="304" w:lineRule="auto" w:before="11" w:after="0"/>
        <w:ind w:left="1000" w:right="673" w:hanging="339"/>
        <w:jc w:val="left"/>
        <w:rPr>
          <w:sz w:val="24"/>
        </w:rPr>
      </w:pPr>
      <w:r>
        <w:rPr>
          <w:sz w:val="24"/>
        </w:rPr>
        <w:t>Запрет посещения  медицинских  организаций  стационарного  типа  лицами,  не являющимися сотрудниками</w:t>
      </w:r>
      <w:r>
        <w:rPr>
          <w:spacing w:val="-1"/>
          <w:sz w:val="24"/>
        </w:rPr>
        <w:t> </w:t>
      </w:r>
      <w:r>
        <w:rPr>
          <w:sz w:val="24"/>
        </w:rPr>
        <w:t>организации;</w:t>
      </w:r>
    </w:p>
    <w:p>
      <w:pPr>
        <w:pStyle w:val="ListParagraph"/>
        <w:numPr>
          <w:ilvl w:val="0"/>
          <w:numId w:val="35"/>
        </w:numPr>
        <w:tabs>
          <w:tab w:pos="1000" w:val="left" w:leader="none"/>
          <w:tab w:pos="1001" w:val="left" w:leader="none"/>
        </w:tabs>
        <w:spacing w:line="240" w:lineRule="auto" w:before="10" w:after="0"/>
        <w:ind w:left="1000" w:right="0" w:hanging="339"/>
        <w:jc w:val="left"/>
        <w:rPr>
          <w:sz w:val="24"/>
        </w:rPr>
      </w:pPr>
      <w:r>
        <w:rPr>
          <w:sz w:val="24"/>
        </w:rPr>
        <w:t>Остановка и перенос плановой</w:t>
      </w:r>
      <w:r>
        <w:rPr>
          <w:spacing w:val="-1"/>
          <w:sz w:val="24"/>
        </w:rPr>
        <w:t> </w:t>
      </w:r>
      <w:r>
        <w:rPr>
          <w:sz w:val="24"/>
        </w:rPr>
        <w:t>госпитализации;</w:t>
      </w:r>
    </w:p>
    <w:p>
      <w:pPr>
        <w:pStyle w:val="ListParagraph"/>
        <w:numPr>
          <w:ilvl w:val="0"/>
          <w:numId w:val="35"/>
        </w:numPr>
        <w:tabs>
          <w:tab w:pos="1001" w:val="left" w:leader="none"/>
        </w:tabs>
        <w:spacing w:line="304" w:lineRule="auto" w:before="83" w:after="0"/>
        <w:ind w:left="1000" w:right="678" w:hanging="339"/>
        <w:jc w:val="both"/>
        <w:rPr>
          <w:sz w:val="24"/>
        </w:rPr>
      </w:pPr>
      <w:r>
        <w:rPr>
          <w:sz w:val="24"/>
        </w:rPr>
        <w:t>Проведение 2-кратного в течение суток медицинского осмотра и термометрии всех стационарных пациентов с записью результатов в листе</w:t>
      </w:r>
      <w:r>
        <w:rPr>
          <w:spacing w:val="-7"/>
          <w:sz w:val="24"/>
        </w:rPr>
        <w:t> </w:t>
      </w:r>
      <w:r>
        <w:rPr>
          <w:sz w:val="24"/>
        </w:rPr>
        <w:t>наблюдения;</w:t>
      </w:r>
    </w:p>
    <w:p>
      <w:pPr>
        <w:pStyle w:val="ListParagraph"/>
        <w:numPr>
          <w:ilvl w:val="0"/>
          <w:numId w:val="35"/>
        </w:numPr>
        <w:tabs>
          <w:tab w:pos="1001" w:val="left" w:leader="none"/>
        </w:tabs>
        <w:spacing w:line="309" w:lineRule="auto" w:before="11" w:after="0"/>
        <w:ind w:left="1000" w:right="674" w:hanging="339"/>
        <w:jc w:val="both"/>
        <w:rPr>
          <w:sz w:val="24"/>
        </w:rPr>
      </w:pPr>
      <w:r>
        <w:rPr>
          <w:sz w:val="24"/>
        </w:rPr>
        <w:t>Обучение</w:t>
      </w:r>
      <w:r>
        <w:rPr>
          <w:spacing w:val="-19"/>
          <w:sz w:val="24"/>
        </w:rPr>
        <w:t> </w:t>
      </w:r>
      <w:r>
        <w:rPr>
          <w:sz w:val="24"/>
        </w:rPr>
        <w:t>и</w:t>
      </w:r>
      <w:r>
        <w:rPr>
          <w:spacing w:val="-17"/>
          <w:sz w:val="24"/>
        </w:rPr>
        <w:t> </w:t>
      </w:r>
      <w:r>
        <w:rPr>
          <w:sz w:val="24"/>
        </w:rPr>
        <w:t>инструктаж</w:t>
      </w:r>
      <w:r>
        <w:rPr>
          <w:spacing w:val="-15"/>
          <w:sz w:val="24"/>
        </w:rPr>
        <w:t> </w:t>
      </w:r>
      <w:r>
        <w:rPr>
          <w:sz w:val="24"/>
        </w:rPr>
        <w:t>медицинских</w:t>
      </w:r>
      <w:r>
        <w:rPr>
          <w:spacing w:val="-15"/>
          <w:sz w:val="24"/>
        </w:rPr>
        <w:t> </w:t>
      </w:r>
      <w:r>
        <w:rPr>
          <w:sz w:val="24"/>
        </w:rPr>
        <w:t>сотрудников</w:t>
      </w:r>
      <w:r>
        <w:rPr>
          <w:spacing w:val="-17"/>
          <w:sz w:val="24"/>
        </w:rPr>
        <w:t> </w:t>
      </w:r>
      <w:r>
        <w:rPr>
          <w:sz w:val="24"/>
        </w:rPr>
        <w:t>по</w:t>
      </w:r>
      <w:r>
        <w:rPr>
          <w:spacing w:val="-18"/>
          <w:sz w:val="24"/>
        </w:rPr>
        <w:t> </w:t>
      </w:r>
      <w:r>
        <w:rPr>
          <w:sz w:val="24"/>
        </w:rPr>
        <w:t>вопросам</w:t>
      </w:r>
      <w:r>
        <w:rPr>
          <w:spacing w:val="-18"/>
          <w:sz w:val="24"/>
        </w:rPr>
        <w:t> </w:t>
      </w:r>
      <w:r>
        <w:rPr>
          <w:sz w:val="24"/>
        </w:rPr>
        <w:t>предупреждения распространения коронавирусной инфекции COVID-19, проведения противоэпидемических мероприятий, использованию СИЗ и мерах личной профилактики;</w:t>
      </w:r>
    </w:p>
    <w:p>
      <w:pPr>
        <w:pStyle w:val="ListParagraph"/>
        <w:numPr>
          <w:ilvl w:val="0"/>
          <w:numId w:val="35"/>
        </w:numPr>
        <w:tabs>
          <w:tab w:pos="1001" w:val="left" w:leader="none"/>
        </w:tabs>
        <w:spacing w:line="304" w:lineRule="auto" w:before="4" w:after="0"/>
        <w:ind w:left="1000" w:right="675" w:hanging="339"/>
        <w:jc w:val="both"/>
        <w:rPr>
          <w:sz w:val="24"/>
        </w:rPr>
      </w:pPr>
      <w:r>
        <w:rPr>
          <w:sz w:val="24"/>
        </w:rPr>
        <w:t>Разработка порядка действий при выявлении пациента с подозрением на инфекцию, вызванную новым</w:t>
      </w:r>
      <w:r>
        <w:rPr>
          <w:spacing w:val="1"/>
          <w:sz w:val="24"/>
        </w:rPr>
        <w:t> </w:t>
      </w:r>
      <w:r>
        <w:rPr>
          <w:sz w:val="24"/>
        </w:rPr>
        <w:t>коронавирусом.</w:t>
      </w:r>
    </w:p>
    <w:p>
      <w:pPr>
        <w:pStyle w:val="BodyText"/>
        <w:spacing w:before="4"/>
        <w:ind w:left="0"/>
        <w:jc w:val="left"/>
        <w:rPr>
          <w:sz w:val="33"/>
        </w:rPr>
      </w:pPr>
    </w:p>
    <w:p>
      <w:pPr>
        <w:pStyle w:val="BodyText"/>
        <w:spacing w:line="312" w:lineRule="auto"/>
        <w:ind w:right="675" w:firstLine="708"/>
      </w:pPr>
      <w:r>
        <w:rPr/>
        <w:t>В медицинских организациях стационарного типа необходимо организовать изоляторы,</w:t>
      </w:r>
      <w:r>
        <w:rPr>
          <w:spacing w:val="-17"/>
        </w:rPr>
        <w:t> </w:t>
      </w:r>
      <w:r>
        <w:rPr/>
        <w:t>куда</w:t>
      </w:r>
      <w:r>
        <w:rPr>
          <w:spacing w:val="-14"/>
        </w:rPr>
        <w:t> </w:t>
      </w:r>
      <w:r>
        <w:rPr/>
        <w:t>может</w:t>
      </w:r>
      <w:r>
        <w:rPr>
          <w:spacing w:val="-10"/>
        </w:rPr>
        <w:t> </w:t>
      </w:r>
      <w:r>
        <w:rPr/>
        <w:t>быть</w:t>
      </w:r>
      <w:r>
        <w:rPr>
          <w:spacing w:val="-14"/>
        </w:rPr>
        <w:t> </w:t>
      </w:r>
      <w:r>
        <w:rPr/>
        <w:t>помещен</w:t>
      </w:r>
      <w:r>
        <w:rPr>
          <w:spacing w:val="-12"/>
        </w:rPr>
        <w:t> </w:t>
      </w:r>
      <w:r>
        <w:rPr/>
        <w:t>пациент</w:t>
      </w:r>
      <w:r>
        <w:rPr>
          <w:spacing w:val="-15"/>
        </w:rPr>
        <w:t> </w:t>
      </w:r>
      <w:r>
        <w:rPr/>
        <w:t>с</w:t>
      </w:r>
      <w:r>
        <w:rPr>
          <w:spacing w:val="-15"/>
        </w:rPr>
        <w:t> </w:t>
      </w:r>
      <w:r>
        <w:rPr/>
        <w:t>подозрением</w:t>
      </w:r>
      <w:r>
        <w:rPr>
          <w:spacing w:val="-14"/>
        </w:rPr>
        <w:t> </w:t>
      </w:r>
      <w:r>
        <w:rPr/>
        <w:t>на</w:t>
      </w:r>
      <w:r>
        <w:rPr>
          <w:spacing w:val="-17"/>
        </w:rPr>
        <w:t> </w:t>
      </w:r>
      <w:r>
        <w:rPr/>
        <w:t>инфекцию,</w:t>
      </w:r>
      <w:r>
        <w:rPr>
          <w:spacing w:val="-14"/>
        </w:rPr>
        <w:t> </w:t>
      </w:r>
      <w:r>
        <w:rPr/>
        <w:t>вызванную новым</w:t>
      </w:r>
      <w:r>
        <w:rPr>
          <w:spacing w:val="-2"/>
        </w:rPr>
        <w:t> </w:t>
      </w:r>
      <w:r>
        <w:rPr/>
        <w:t>вирусом.</w:t>
      </w:r>
    </w:p>
    <w:p>
      <w:pPr>
        <w:pStyle w:val="BodyText"/>
        <w:spacing w:line="312" w:lineRule="auto"/>
        <w:ind w:right="673" w:firstLine="708"/>
      </w:pPr>
      <w:r>
        <w:rPr/>
        <w:t>Госпитализацию больных (лиц с подозрением на заболевание) осуществляют   в боксы,  боксированные  палаты  или,  при  их   отсутствии,  в  палаты  со  шлюзом    и санузлом с соблюдением принципа одномоментности (цикличности) заполнения палат и с учетом тяжести состояния больных. Лиц с подозрением на заболевание рекомендуется размещать в одноместных палатах. Больные с подтвержденным диагнозом могут быть размещены в палатах на 2 - 4 места при соблюдении гигиенических требований к площади палат на 1 койку в стационарах инфекционного профиля</w:t>
      </w:r>
      <w:r>
        <w:rPr>
          <w:spacing w:val="-11"/>
        </w:rPr>
        <w:t> </w:t>
      </w:r>
      <w:r>
        <w:rPr/>
        <w:t>(не</w:t>
      </w:r>
      <w:r>
        <w:rPr>
          <w:spacing w:val="-11"/>
        </w:rPr>
        <w:t> </w:t>
      </w:r>
      <w:r>
        <w:rPr/>
        <w:t>менее</w:t>
      </w:r>
      <w:r>
        <w:rPr>
          <w:spacing w:val="-11"/>
        </w:rPr>
        <w:t> </w:t>
      </w:r>
      <w:r>
        <w:rPr/>
        <w:t>8</w:t>
      </w:r>
      <w:r>
        <w:rPr>
          <w:spacing w:val="-10"/>
        </w:rPr>
        <w:t> </w:t>
      </w:r>
      <w:r>
        <w:rPr/>
        <w:t>кв.</w:t>
      </w:r>
      <w:r>
        <w:rPr>
          <w:spacing w:val="-8"/>
        </w:rPr>
        <w:t> </w:t>
      </w:r>
      <w:r>
        <w:rPr/>
        <w:t>м)</w:t>
      </w:r>
      <w:r>
        <w:rPr>
          <w:spacing w:val="-11"/>
        </w:rPr>
        <w:t> </w:t>
      </w:r>
      <w:r>
        <w:rPr/>
        <w:t>и</w:t>
      </w:r>
      <w:r>
        <w:rPr>
          <w:spacing w:val="-9"/>
        </w:rPr>
        <w:t> </w:t>
      </w:r>
      <w:r>
        <w:rPr/>
        <w:t>размещении</w:t>
      </w:r>
      <w:r>
        <w:rPr>
          <w:spacing w:val="-9"/>
        </w:rPr>
        <w:t> </w:t>
      </w:r>
      <w:r>
        <w:rPr/>
        <w:t>коек</w:t>
      </w:r>
      <w:r>
        <w:rPr>
          <w:spacing w:val="-12"/>
        </w:rPr>
        <w:t> </w:t>
      </w:r>
      <w:r>
        <w:rPr/>
        <w:t>на</w:t>
      </w:r>
      <w:r>
        <w:rPr>
          <w:spacing w:val="-11"/>
        </w:rPr>
        <w:t> </w:t>
      </w:r>
      <w:r>
        <w:rPr/>
        <w:t>расстоянии</w:t>
      </w:r>
      <w:r>
        <w:rPr>
          <w:spacing w:val="-9"/>
        </w:rPr>
        <w:t> </w:t>
      </w:r>
      <w:r>
        <w:rPr/>
        <w:t>не</w:t>
      </w:r>
      <w:r>
        <w:rPr>
          <w:spacing w:val="-11"/>
        </w:rPr>
        <w:t> </w:t>
      </w:r>
      <w:r>
        <w:rPr/>
        <w:t>менее</w:t>
      </w:r>
      <w:r>
        <w:rPr>
          <w:spacing w:val="-9"/>
        </w:rPr>
        <w:t> </w:t>
      </w:r>
      <w:r>
        <w:rPr/>
        <w:t>1,5</w:t>
      </w:r>
      <w:r>
        <w:rPr>
          <w:spacing w:val="-11"/>
        </w:rPr>
        <w:t> </w:t>
      </w:r>
      <w:r>
        <w:rPr/>
        <w:t>-</w:t>
      </w:r>
      <w:r>
        <w:rPr>
          <w:spacing w:val="-11"/>
        </w:rPr>
        <w:t> </w:t>
      </w:r>
      <w:r>
        <w:rPr/>
        <w:t>2</w:t>
      </w:r>
      <w:r>
        <w:rPr>
          <w:spacing w:val="-10"/>
        </w:rPr>
        <w:t> </w:t>
      </w:r>
      <w:r>
        <w:rPr/>
        <w:t>метра</w:t>
      </w:r>
      <w:r>
        <w:rPr>
          <w:spacing w:val="-11"/>
        </w:rPr>
        <w:t> </w:t>
      </w:r>
      <w:r>
        <w:rPr/>
        <w:t>друг от</w:t>
      </w:r>
      <w:r>
        <w:rPr>
          <w:spacing w:val="-15"/>
        </w:rPr>
        <w:t> </w:t>
      </w:r>
      <w:r>
        <w:rPr/>
        <w:t>друга.</w:t>
      </w:r>
      <w:r>
        <w:rPr>
          <w:spacing w:val="-16"/>
        </w:rPr>
        <w:t> </w:t>
      </w:r>
      <w:r>
        <w:rPr/>
        <w:t>Пациенты</w:t>
      </w:r>
      <w:r>
        <w:rPr>
          <w:spacing w:val="-15"/>
        </w:rPr>
        <w:t> </w:t>
      </w:r>
      <w:r>
        <w:rPr/>
        <w:t>в</w:t>
      </w:r>
      <w:r>
        <w:rPr>
          <w:spacing w:val="-16"/>
        </w:rPr>
        <w:t> </w:t>
      </w:r>
      <w:r>
        <w:rPr/>
        <w:t>присутствии</w:t>
      </w:r>
      <w:r>
        <w:rPr>
          <w:spacing w:val="-13"/>
        </w:rPr>
        <w:t> </w:t>
      </w:r>
      <w:r>
        <w:rPr/>
        <w:t>персонала</w:t>
      </w:r>
      <w:r>
        <w:rPr>
          <w:spacing w:val="-16"/>
        </w:rPr>
        <w:t> </w:t>
      </w:r>
      <w:r>
        <w:rPr/>
        <w:t>или</w:t>
      </w:r>
      <w:r>
        <w:rPr>
          <w:spacing w:val="-14"/>
        </w:rPr>
        <w:t> </w:t>
      </w:r>
      <w:r>
        <w:rPr/>
        <w:t>других</w:t>
      </w:r>
      <w:r>
        <w:rPr>
          <w:spacing w:val="-12"/>
        </w:rPr>
        <w:t> </w:t>
      </w:r>
      <w:r>
        <w:rPr/>
        <w:t>пациентов</w:t>
      </w:r>
      <w:r>
        <w:rPr>
          <w:spacing w:val="-18"/>
        </w:rPr>
        <w:t> </w:t>
      </w:r>
      <w:r>
        <w:rPr/>
        <w:t>должны</w:t>
      </w:r>
      <w:r>
        <w:rPr>
          <w:spacing w:val="-15"/>
        </w:rPr>
        <w:t> </w:t>
      </w:r>
      <w:r>
        <w:rPr/>
        <w:t>находиться в медицинских масках и соблюдать гигиену рук. Выход пациентов за пределы палат (боксов)  не  допускается.  Разрешается   использование   средств   мобильной   связи (в отделениях реанимации с учетом клинического состояния) с проведением их дезинфекции спиртосодержащими</w:t>
      </w:r>
      <w:r>
        <w:rPr>
          <w:spacing w:val="1"/>
        </w:rPr>
        <w:t> </w:t>
      </w:r>
      <w:r>
        <w:rPr/>
        <w:t>средствами.</w:t>
      </w:r>
    </w:p>
    <w:p>
      <w:pPr>
        <w:pStyle w:val="BodyText"/>
        <w:spacing w:line="312" w:lineRule="auto"/>
        <w:ind w:right="674" w:firstLine="708"/>
      </w:pPr>
      <w:r>
        <w:rPr/>
        <w:t>Для проведения медицинских манипуляций, ухода, уборки, дезинфекции необходимо закрепить персонал и инвентарь для работы только с этим пациентом. Необходимо пересмотреть инструкции для медицинского персонала с целью минимизации посещения зоны изоляции пациента. Например, совмещение врачебного</w:t>
      </w:r>
    </w:p>
    <w:p>
      <w:pPr>
        <w:spacing w:after="0" w:line="312" w:lineRule="auto"/>
        <w:sectPr>
          <w:pgSz w:w="11920" w:h="16850"/>
          <w:pgMar w:header="0" w:footer="620" w:top="1060" w:bottom="880" w:left="1380" w:right="600"/>
        </w:sectPr>
      </w:pPr>
    </w:p>
    <w:p>
      <w:pPr>
        <w:pStyle w:val="BodyText"/>
        <w:spacing w:line="312" w:lineRule="auto" w:before="78"/>
        <w:ind w:right="674"/>
      </w:pPr>
      <w:r>
        <w:rPr/>
        <w:t>осмотра и малых инвазивных вмешательств). Все входящие в палату-изолятор должны фиксироваться в журнале.</w:t>
      </w:r>
    </w:p>
    <w:p>
      <w:pPr>
        <w:pStyle w:val="BodyText"/>
        <w:spacing w:line="312" w:lineRule="auto"/>
        <w:ind w:right="674" w:firstLine="708"/>
      </w:pPr>
      <w:r>
        <w:rPr/>
        <w:t>Перемещения пациента внутри медицинской организации строго запрещены. Однако, если отсутствуют необходимые материально-технические ресурсы оказания медицинской помощи (например, переносные аппараты УЗИ, передвижные стойки рентген-оборудования),  пациент   перемещается   по   строго   заданным   маршрутам в транспортировочном изолирующем боксе для инфекционных больных. При отсутствии транспортировочного изолирующего бокса перед выходом из палаты пациент должен быть переодет в чистую одежду, на рот и нос надет респиратор, руки пациента обработаны спиртовым антисептиком. При перемещении пациент не должен дотрагиваться до каких-либо поверхностей (стены, ручки дверей и др.).</w:t>
      </w:r>
    </w:p>
    <w:p>
      <w:pPr>
        <w:pStyle w:val="BodyText"/>
        <w:spacing w:line="312" w:lineRule="auto"/>
        <w:ind w:right="674" w:firstLine="708"/>
      </w:pPr>
      <w:r>
        <w:rPr/>
        <w:t>Пациенты с подозрением на инфекцию и с подтвержденной инфекцией должны быть разделены  (находиться  в  разных  палатах).  При  выявлении  новых  пациентов с подозрением на инфекцию, они могут быть размещены в отделение (палату) вместе с другими пациентами с подозрением на</w:t>
      </w:r>
      <w:r>
        <w:rPr>
          <w:spacing w:val="-6"/>
        </w:rPr>
        <w:t> </w:t>
      </w:r>
      <w:r>
        <w:rPr/>
        <w:t>инфекцию.</w:t>
      </w:r>
    </w:p>
    <w:p>
      <w:pPr>
        <w:pStyle w:val="BodyText"/>
        <w:spacing w:line="312" w:lineRule="auto"/>
        <w:ind w:right="673" w:firstLine="708"/>
      </w:pPr>
      <w:r>
        <w:rPr/>
        <w:t>Если  в   период   госпитализации   пациенту   с   подозрением   на   инфекцию  и с подтвержденной инфекцией потребуется интенсивная терапия или кислородная поддержка  по  возможности  пост  интенсивной  терапии  необходимо  организовать  в палате, куда изолирован пациент. Если это невозможно, то необходимо организовать изолятор и отдельный пост в отделении реанимации и интенсивной терапии. Должны соблюдаться следующие</w:t>
      </w:r>
      <w:r>
        <w:rPr>
          <w:spacing w:val="-2"/>
        </w:rPr>
        <w:t> </w:t>
      </w:r>
      <w:r>
        <w:rPr/>
        <w:t>требования:</w:t>
      </w:r>
    </w:p>
    <w:p>
      <w:pPr>
        <w:pStyle w:val="BodyText"/>
        <w:spacing w:before="5"/>
        <w:ind w:left="0"/>
        <w:jc w:val="left"/>
        <w:rPr>
          <w:sz w:val="31"/>
        </w:rPr>
      </w:pPr>
    </w:p>
    <w:p>
      <w:pPr>
        <w:pStyle w:val="ListParagraph"/>
        <w:numPr>
          <w:ilvl w:val="0"/>
          <w:numId w:val="35"/>
        </w:numPr>
        <w:tabs>
          <w:tab w:pos="1000" w:val="left" w:leader="none"/>
          <w:tab w:pos="1001" w:val="left" w:leader="none"/>
        </w:tabs>
        <w:spacing w:line="240" w:lineRule="auto" w:before="0" w:after="0"/>
        <w:ind w:left="1000" w:right="0" w:hanging="339"/>
        <w:jc w:val="left"/>
        <w:rPr>
          <w:sz w:val="24"/>
        </w:rPr>
      </w:pPr>
      <w:r>
        <w:rPr>
          <w:sz w:val="24"/>
        </w:rPr>
        <w:t>Надеть на пациента респиратор или медицинскую маску, если это</w:t>
      </w:r>
      <w:r>
        <w:rPr>
          <w:spacing w:val="-2"/>
          <w:sz w:val="24"/>
        </w:rPr>
        <w:t> </w:t>
      </w:r>
      <w:r>
        <w:rPr>
          <w:sz w:val="24"/>
        </w:rPr>
        <w:t>возможно;</w:t>
      </w:r>
    </w:p>
    <w:p>
      <w:pPr>
        <w:pStyle w:val="ListParagraph"/>
        <w:numPr>
          <w:ilvl w:val="0"/>
          <w:numId w:val="35"/>
        </w:numPr>
        <w:tabs>
          <w:tab w:pos="1000" w:val="left" w:leader="none"/>
          <w:tab w:pos="1001" w:val="left" w:leader="none"/>
        </w:tabs>
        <w:spacing w:line="240" w:lineRule="auto" w:before="80" w:after="0"/>
        <w:ind w:left="1000" w:right="0" w:hanging="339"/>
        <w:jc w:val="left"/>
        <w:rPr>
          <w:sz w:val="24"/>
        </w:rPr>
      </w:pPr>
      <w:r>
        <w:rPr>
          <w:sz w:val="24"/>
        </w:rPr>
        <w:t>При ИВЛ использовать закрытые дыхательные</w:t>
      </w:r>
      <w:r>
        <w:rPr>
          <w:spacing w:val="-8"/>
          <w:sz w:val="24"/>
        </w:rPr>
        <w:t> </w:t>
      </w:r>
      <w:r>
        <w:rPr>
          <w:sz w:val="24"/>
        </w:rPr>
        <w:t>контуры;</w:t>
      </w:r>
    </w:p>
    <w:p>
      <w:pPr>
        <w:pStyle w:val="ListParagraph"/>
        <w:numPr>
          <w:ilvl w:val="0"/>
          <w:numId w:val="35"/>
        </w:numPr>
        <w:tabs>
          <w:tab w:pos="1000" w:val="left" w:leader="none"/>
          <w:tab w:pos="1001" w:val="left" w:leader="none"/>
        </w:tabs>
        <w:spacing w:line="240" w:lineRule="auto" w:before="83" w:after="0"/>
        <w:ind w:left="1000" w:right="0" w:hanging="339"/>
        <w:jc w:val="left"/>
        <w:rPr>
          <w:sz w:val="24"/>
        </w:rPr>
      </w:pPr>
      <w:r>
        <w:rPr>
          <w:sz w:val="24"/>
        </w:rPr>
        <w:t>Все медицинское оборудование должно быть закреплено за</w:t>
      </w:r>
      <w:r>
        <w:rPr>
          <w:spacing w:val="-9"/>
          <w:sz w:val="24"/>
        </w:rPr>
        <w:t> </w:t>
      </w:r>
      <w:r>
        <w:rPr>
          <w:sz w:val="24"/>
        </w:rPr>
        <w:t>пациентом;</w:t>
      </w:r>
    </w:p>
    <w:p>
      <w:pPr>
        <w:pStyle w:val="ListParagraph"/>
        <w:numPr>
          <w:ilvl w:val="0"/>
          <w:numId w:val="35"/>
        </w:numPr>
        <w:tabs>
          <w:tab w:pos="1000" w:val="left" w:leader="none"/>
          <w:tab w:pos="1001" w:val="left" w:leader="none"/>
        </w:tabs>
        <w:spacing w:line="240" w:lineRule="auto" w:before="83" w:after="0"/>
        <w:ind w:left="1000" w:right="0" w:hanging="339"/>
        <w:jc w:val="left"/>
        <w:rPr>
          <w:sz w:val="24"/>
        </w:rPr>
      </w:pPr>
      <w:r>
        <w:rPr>
          <w:sz w:val="24"/>
        </w:rPr>
        <w:t>Допуск в зону, где размещен пациент, должен быть</w:t>
      </w:r>
      <w:r>
        <w:rPr>
          <w:spacing w:val="-4"/>
          <w:sz w:val="24"/>
        </w:rPr>
        <w:t> </w:t>
      </w:r>
      <w:r>
        <w:rPr>
          <w:sz w:val="24"/>
        </w:rPr>
        <w:t>ограничен;</w:t>
      </w:r>
    </w:p>
    <w:p>
      <w:pPr>
        <w:pStyle w:val="ListParagraph"/>
        <w:numPr>
          <w:ilvl w:val="0"/>
          <w:numId w:val="35"/>
        </w:numPr>
        <w:tabs>
          <w:tab w:pos="1000" w:val="left" w:leader="none"/>
          <w:tab w:pos="1001" w:val="left" w:leader="none"/>
        </w:tabs>
        <w:spacing w:line="240" w:lineRule="auto" w:before="80" w:after="0"/>
        <w:ind w:left="1000" w:right="0" w:hanging="339"/>
        <w:jc w:val="left"/>
        <w:rPr>
          <w:sz w:val="24"/>
        </w:rPr>
      </w:pPr>
      <w:r>
        <w:rPr>
          <w:sz w:val="24"/>
        </w:rPr>
        <w:t>В отделении должны быть организованы сбор и утилизация отходов класса</w:t>
      </w:r>
      <w:r>
        <w:rPr>
          <w:spacing w:val="-8"/>
          <w:sz w:val="24"/>
        </w:rPr>
        <w:t> </w:t>
      </w:r>
      <w:r>
        <w:rPr>
          <w:sz w:val="24"/>
        </w:rPr>
        <w:t>В.</w:t>
      </w:r>
    </w:p>
    <w:p>
      <w:pPr>
        <w:pStyle w:val="BodyText"/>
        <w:spacing w:before="4"/>
        <w:ind w:left="0"/>
        <w:jc w:val="left"/>
        <w:rPr>
          <w:sz w:val="39"/>
        </w:rPr>
      </w:pPr>
    </w:p>
    <w:p>
      <w:pPr>
        <w:pStyle w:val="BodyText"/>
        <w:spacing w:line="312" w:lineRule="auto" w:before="1"/>
        <w:ind w:right="676" w:firstLine="708"/>
      </w:pPr>
      <w:r>
        <w:rPr/>
        <w:t>При проведении медицинских манипуляций, генерирующих аэрозоль (интубация трахеи, неинвазивная вентиляция легких, трахеотомия, сердечно- легочная реанимация, искусственная вентиляция легких с помощью ручных аппаратов перед интубацией и бронхоскопией), персонал должен:</w:t>
      </w:r>
    </w:p>
    <w:p>
      <w:pPr>
        <w:pStyle w:val="BodyText"/>
        <w:spacing w:before="5"/>
        <w:ind w:left="0"/>
        <w:jc w:val="left"/>
        <w:rPr>
          <w:sz w:val="31"/>
        </w:rPr>
      </w:pPr>
    </w:p>
    <w:p>
      <w:pPr>
        <w:pStyle w:val="ListParagraph"/>
        <w:numPr>
          <w:ilvl w:val="0"/>
          <w:numId w:val="35"/>
        </w:numPr>
        <w:tabs>
          <w:tab w:pos="1001" w:val="left" w:leader="none"/>
        </w:tabs>
        <w:spacing w:line="309" w:lineRule="auto" w:before="0" w:after="0"/>
        <w:ind w:left="1000" w:right="673" w:hanging="339"/>
        <w:jc w:val="both"/>
        <w:rPr>
          <w:sz w:val="24"/>
        </w:rPr>
      </w:pPr>
      <w:r>
        <w:rPr>
          <w:sz w:val="24"/>
        </w:rPr>
        <w:t>Использовать респиратор (типа NIOSH-certified N95, FFP3, или аналогичные). При</w:t>
      </w:r>
      <w:r>
        <w:rPr>
          <w:spacing w:val="-12"/>
          <w:sz w:val="24"/>
        </w:rPr>
        <w:t> </w:t>
      </w:r>
      <w:r>
        <w:rPr>
          <w:sz w:val="24"/>
        </w:rPr>
        <w:t>использовании</w:t>
      </w:r>
      <w:r>
        <w:rPr>
          <w:spacing w:val="-11"/>
          <w:sz w:val="24"/>
        </w:rPr>
        <w:t> </w:t>
      </w:r>
      <w:r>
        <w:rPr>
          <w:sz w:val="24"/>
        </w:rPr>
        <w:t>одноразового</w:t>
      </w:r>
      <w:r>
        <w:rPr>
          <w:spacing w:val="-13"/>
          <w:sz w:val="24"/>
        </w:rPr>
        <w:t> </w:t>
      </w:r>
      <w:r>
        <w:rPr>
          <w:sz w:val="24"/>
        </w:rPr>
        <w:t>респиратора</w:t>
      </w:r>
      <w:r>
        <w:rPr>
          <w:spacing w:val="-13"/>
          <w:sz w:val="24"/>
        </w:rPr>
        <w:t> </w:t>
      </w:r>
      <w:r>
        <w:rPr>
          <w:sz w:val="24"/>
        </w:rPr>
        <w:t>обязательно</w:t>
      </w:r>
      <w:r>
        <w:rPr>
          <w:spacing w:val="-15"/>
          <w:sz w:val="24"/>
        </w:rPr>
        <w:t> </w:t>
      </w:r>
      <w:r>
        <w:rPr>
          <w:sz w:val="24"/>
        </w:rPr>
        <w:t>проводится</w:t>
      </w:r>
      <w:r>
        <w:rPr>
          <w:spacing w:val="-12"/>
          <w:sz w:val="24"/>
        </w:rPr>
        <w:t> </w:t>
      </w:r>
      <w:r>
        <w:rPr>
          <w:sz w:val="24"/>
        </w:rPr>
        <w:t>проверка герметичности. Необходимо учитывать, что в случае пользователей СИЗ, имеющих усы и (или) бороду, обеспечение герметичности может быть затруднено;</w:t>
      </w:r>
    </w:p>
    <w:p>
      <w:pPr>
        <w:spacing w:after="0" w:line="309" w:lineRule="auto"/>
        <w:jc w:val="both"/>
        <w:rPr>
          <w:sz w:val="24"/>
        </w:rPr>
        <w:sectPr>
          <w:pgSz w:w="11920" w:h="16850"/>
          <w:pgMar w:header="0" w:footer="620" w:top="1060" w:bottom="880" w:left="1380" w:right="600"/>
        </w:sectPr>
      </w:pPr>
    </w:p>
    <w:p>
      <w:pPr>
        <w:pStyle w:val="ListParagraph"/>
        <w:numPr>
          <w:ilvl w:val="0"/>
          <w:numId w:val="35"/>
        </w:numPr>
        <w:tabs>
          <w:tab w:pos="1001" w:val="left" w:leader="none"/>
        </w:tabs>
        <w:spacing w:line="304" w:lineRule="auto" w:before="80" w:after="0"/>
        <w:ind w:left="1000" w:right="676" w:hanging="339"/>
        <w:jc w:val="both"/>
        <w:rPr>
          <w:sz w:val="24"/>
        </w:rPr>
      </w:pPr>
      <w:r>
        <w:rPr>
          <w:sz w:val="24"/>
        </w:rPr>
        <w:t>Использовать защиту для глаз (например, защитные очки или защитный щиток для лица);</w:t>
      </w:r>
    </w:p>
    <w:p>
      <w:pPr>
        <w:pStyle w:val="ListParagraph"/>
        <w:numPr>
          <w:ilvl w:val="0"/>
          <w:numId w:val="35"/>
        </w:numPr>
        <w:tabs>
          <w:tab w:pos="1001" w:val="left" w:leader="none"/>
        </w:tabs>
        <w:spacing w:line="312" w:lineRule="auto" w:before="11" w:after="0"/>
        <w:ind w:left="1000" w:right="676" w:hanging="339"/>
        <w:jc w:val="both"/>
        <w:rPr>
          <w:sz w:val="24"/>
        </w:rPr>
      </w:pPr>
      <w:r>
        <w:rPr>
          <w:sz w:val="24"/>
        </w:rPr>
        <w:t>Носить защитный комбинезон, в случае его отсутствия – одноразовый хирургический</w:t>
      </w:r>
      <w:r>
        <w:rPr>
          <w:spacing w:val="-6"/>
          <w:sz w:val="24"/>
        </w:rPr>
        <w:t> </w:t>
      </w:r>
      <w:r>
        <w:rPr>
          <w:sz w:val="24"/>
        </w:rPr>
        <w:t>халат</w:t>
      </w:r>
      <w:r>
        <w:rPr>
          <w:spacing w:val="-6"/>
          <w:sz w:val="24"/>
        </w:rPr>
        <w:t> </w:t>
      </w:r>
      <w:r>
        <w:rPr>
          <w:sz w:val="24"/>
        </w:rPr>
        <w:t>и</w:t>
      </w:r>
      <w:r>
        <w:rPr>
          <w:spacing w:val="-9"/>
          <w:sz w:val="24"/>
        </w:rPr>
        <w:t> </w:t>
      </w:r>
      <w:r>
        <w:rPr>
          <w:sz w:val="24"/>
        </w:rPr>
        <w:t>перчатки.</w:t>
      </w:r>
      <w:r>
        <w:rPr>
          <w:spacing w:val="-6"/>
          <w:sz w:val="24"/>
        </w:rPr>
        <w:t> </w:t>
      </w:r>
      <w:r>
        <w:rPr>
          <w:sz w:val="24"/>
        </w:rPr>
        <w:t>Перчатки</w:t>
      </w:r>
      <w:r>
        <w:rPr>
          <w:spacing w:val="-5"/>
          <w:sz w:val="24"/>
        </w:rPr>
        <w:t> </w:t>
      </w:r>
      <w:r>
        <w:rPr>
          <w:sz w:val="24"/>
        </w:rPr>
        <w:t>должны</w:t>
      </w:r>
      <w:r>
        <w:rPr>
          <w:spacing w:val="-8"/>
          <w:sz w:val="24"/>
        </w:rPr>
        <w:t> </w:t>
      </w:r>
      <w:r>
        <w:rPr>
          <w:sz w:val="24"/>
        </w:rPr>
        <w:t>быть</w:t>
      </w:r>
      <w:r>
        <w:rPr>
          <w:spacing w:val="-5"/>
          <w:sz w:val="24"/>
        </w:rPr>
        <w:t> </w:t>
      </w:r>
      <w:r>
        <w:rPr>
          <w:sz w:val="24"/>
        </w:rPr>
        <w:t>натянуты</w:t>
      </w:r>
      <w:r>
        <w:rPr>
          <w:spacing w:val="-7"/>
          <w:sz w:val="24"/>
        </w:rPr>
        <w:t> </w:t>
      </w:r>
      <w:r>
        <w:rPr>
          <w:sz w:val="24"/>
        </w:rPr>
        <w:t>поверх</w:t>
      </w:r>
      <w:r>
        <w:rPr>
          <w:spacing w:val="-5"/>
          <w:sz w:val="24"/>
        </w:rPr>
        <w:t> </w:t>
      </w:r>
      <w:r>
        <w:rPr>
          <w:sz w:val="24"/>
        </w:rPr>
        <w:t>краев рукавов. Если халаты не являются водостойкими, при осуществлении процедур, в ходе которых ожидается работа с большими объемами жидкостей, которые могут проникнуть в халат, необходимо использовать водонепроницаемые фартуки;</w:t>
      </w:r>
    </w:p>
    <w:p>
      <w:pPr>
        <w:pStyle w:val="ListParagraph"/>
        <w:numPr>
          <w:ilvl w:val="0"/>
          <w:numId w:val="35"/>
        </w:numPr>
        <w:tabs>
          <w:tab w:pos="1001" w:val="left" w:leader="none"/>
        </w:tabs>
        <w:spacing w:line="309" w:lineRule="auto" w:before="0" w:after="0"/>
        <w:ind w:left="1000" w:right="672" w:hanging="339"/>
        <w:jc w:val="both"/>
        <w:rPr>
          <w:sz w:val="24"/>
        </w:rPr>
      </w:pPr>
      <w:r>
        <w:rPr>
          <w:sz w:val="24"/>
        </w:rPr>
        <w:t>Минимизировать количество контактов с пациентом. Сгруппировать манипуляции  для  их  последовательного  проведения:  переход  от  «чистых»  к</w:t>
      </w:r>
      <w:r>
        <w:rPr>
          <w:spacing w:val="4"/>
          <w:sz w:val="24"/>
        </w:rPr>
        <w:t> </w:t>
      </w:r>
      <w:r>
        <w:rPr>
          <w:sz w:val="24"/>
        </w:rPr>
        <w:t>«грязным».</w:t>
      </w:r>
    </w:p>
    <w:p>
      <w:pPr>
        <w:pStyle w:val="BodyText"/>
        <w:spacing w:before="9"/>
        <w:ind w:left="0"/>
        <w:jc w:val="left"/>
        <w:rPr>
          <w:sz w:val="31"/>
        </w:rPr>
      </w:pPr>
    </w:p>
    <w:p>
      <w:pPr>
        <w:pStyle w:val="BodyText"/>
        <w:spacing w:line="312" w:lineRule="auto" w:before="1"/>
        <w:ind w:right="679" w:firstLine="708"/>
      </w:pPr>
      <w:r>
        <w:rPr/>
        <w:t>Все</w:t>
      </w:r>
      <w:r>
        <w:rPr>
          <w:spacing w:val="-10"/>
        </w:rPr>
        <w:t> </w:t>
      </w:r>
      <w:r>
        <w:rPr/>
        <w:t>средства</w:t>
      </w:r>
      <w:r>
        <w:rPr>
          <w:spacing w:val="-12"/>
        </w:rPr>
        <w:t> </w:t>
      </w:r>
      <w:r>
        <w:rPr/>
        <w:t>индивидуальной</w:t>
      </w:r>
      <w:r>
        <w:rPr>
          <w:spacing w:val="-10"/>
        </w:rPr>
        <w:t> </w:t>
      </w:r>
      <w:r>
        <w:rPr/>
        <w:t>защиты</w:t>
      </w:r>
      <w:r>
        <w:rPr>
          <w:spacing w:val="-12"/>
        </w:rPr>
        <w:t> </w:t>
      </w:r>
      <w:r>
        <w:rPr/>
        <w:t>должны</w:t>
      </w:r>
      <w:r>
        <w:rPr>
          <w:spacing w:val="-14"/>
        </w:rPr>
        <w:t> </w:t>
      </w:r>
      <w:r>
        <w:rPr/>
        <w:t>быть</w:t>
      </w:r>
      <w:r>
        <w:rPr>
          <w:spacing w:val="-10"/>
        </w:rPr>
        <w:t> </w:t>
      </w:r>
      <w:r>
        <w:rPr/>
        <w:t>сняты</w:t>
      </w:r>
      <w:r>
        <w:rPr>
          <w:spacing w:val="-11"/>
        </w:rPr>
        <w:t> </w:t>
      </w:r>
      <w:r>
        <w:rPr/>
        <w:t>и</w:t>
      </w:r>
      <w:r>
        <w:rPr>
          <w:spacing w:val="-9"/>
        </w:rPr>
        <w:t> </w:t>
      </w:r>
      <w:r>
        <w:rPr/>
        <w:t>сброшены</w:t>
      </w:r>
      <w:r>
        <w:rPr>
          <w:spacing w:val="-12"/>
        </w:rPr>
        <w:t> </w:t>
      </w:r>
      <w:r>
        <w:rPr/>
        <w:t>в</w:t>
      </w:r>
      <w:r>
        <w:rPr>
          <w:spacing w:val="-12"/>
        </w:rPr>
        <w:t> </w:t>
      </w:r>
      <w:r>
        <w:rPr/>
        <w:t>бак</w:t>
      </w:r>
      <w:r>
        <w:rPr>
          <w:spacing w:val="-10"/>
        </w:rPr>
        <w:t> </w:t>
      </w:r>
      <w:r>
        <w:rPr/>
        <w:t>для отходов класса В, не покидая реанимационной</w:t>
      </w:r>
      <w:r>
        <w:rPr>
          <w:spacing w:val="-6"/>
        </w:rPr>
        <w:t> </w:t>
      </w:r>
      <w:r>
        <w:rPr/>
        <w:t>палаты.</w:t>
      </w:r>
    </w:p>
    <w:p>
      <w:pPr>
        <w:pStyle w:val="BodyText"/>
        <w:spacing w:line="312" w:lineRule="auto"/>
        <w:ind w:right="674" w:firstLine="708"/>
      </w:pPr>
      <w:r>
        <w:rPr/>
        <w:t>Медицинские отходы, в том числе биологические выделения пациентов (мокрота, моча, кал и др.), относятся к чрезвычайно эпидемиологически опасным отходам класса В и подлежат обязательному обеззараживанию (дезинфекции)/обезвреживанию физическими методами (термические, микроволновые, радиационные и другие), для чего в медицинской организации необходимо  предусмотреть  наличие  специализированной  установки,  работающей  с использованием таких методов. Вывоз необеззараженных отходов класса В за пределы территории медицинской организации не допускается. После аппаратных способов обеззараживания с применением физических методов и изменения внешнего вида отходов, отходы класса В могут накапливаться, временно храниться, транспортироваться, уничтожаться и захораниваться совместно с отходами класса А. Применение химических методов дезинфекции возможно только для обеззараживания пищевых отходов и выделений больных, а также при организации противоэпидемических мероприятий в очагах. Утилизация медицинских отходов проводится</w:t>
      </w:r>
      <w:r>
        <w:rPr>
          <w:spacing w:val="-14"/>
        </w:rPr>
        <w:t> </w:t>
      </w:r>
      <w:r>
        <w:rPr/>
        <w:t>в</w:t>
      </w:r>
      <w:r>
        <w:rPr>
          <w:spacing w:val="-15"/>
        </w:rPr>
        <w:t> </w:t>
      </w:r>
      <w:r>
        <w:rPr/>
        <w:t>соответствии</w:t>
      </w:r>
      <w:r>
        <w:rPr>
          <w:spacing w:val="-14"/>
        </w:rPr>
        <w:t> </w:t>
      </w:r>
      <w:r>
        <w:rPr/>
        <w:t>с</w:t>
      </w:r>
      <w:r>
        <w:rPr>
          <w:spacing w:val="-17"/>
        </w:rPr>
        <w:t> </w:t>
      </w:r>
      <w:r>
        <w:rPr/>
        <w:t>принятым</w:t>
      </w:r>
      <w:r>
        <w:rPr>
          <w:spacing w:val="-15"/>
        </w:rPr>
        <w:t> </w:t>
      </w:r>
      <w:r>
        <w:rPr/>
        <w:t>в</w:t>
      </w:r>
      <w:r>
        <w:rPr>
          <w:spacing w:val="-13"/>
        </w:rPr>
        <w:t> </w:t>
      </w:r>
      <w:r>
        <w:rPr/>
        <w:t>учреждении</w:t>
      </w:r>
      <w:r>
        <w:rPr>
          <w:spacing w:val="-16"/>
        </w:rPr>
        <w:t> </w:t>
      </w:r>
      <w:r>
        <w:rPr/>
        <w:t>регламентом,</w:t>
      </w:r>
      <w:r>
        <w:rPr>
          <w:spacing w:val="-14"/>
        </w:rPr>
        <w:t> </w:t>
      </w:r>
      <w:r>
        <w:rPr/>
        <w:t>не</w:t>
      </w:r>
      <w:r>
        <w:rPr>
          <w:spacing w:val="-18"/>
        </w:rPr>
        <w:t> </w:t>
      </w:r>
      <w:r>
        <w:rPr/>
        <w:t>противоречащим санитарно- эпидемиологическим правилам и</w:t>
      </w:r>
      <w:r>
        <w:rPr>
          <w:spacing w:val="-3"/>
        </w:rPr>
        <w:t> </w:t>
      </w:r>
      <w:r>
        <w:rPr/>
        <w:t>нормам.</w:t>
      </w:r>
    </w:p>
    <w:p>
      <w:pPr>
        <w:pStyle w:val="BodyText"/>
        <w:ind w:left="0"/>
        <w:jc w:val="left"/>
        <w:rPr>
          <w:sz w:val="21"/>
        </w:rPr>
      </w:pPr>
    </w:p>
    <w:p>
      <w:pPr>
        <w:pStyle w:val="Heading2"/>
        <w:numPr>
          <w:ilvl w:val="2"/>
          <w:numId w:val="34"/>
        </w:numPr>
        <w:tabs>
          <w:tab w:pos="1522" w:val="left" w:leader="none"/>
        </w:tabs>
        <w:spacing w:line="259" w:lineRule="auto" w:before="0" w:after="0"/>
        <w:ind w:left="1029" w:right="1851" w:firstLine="0"/>
        <w:jc w:val="both"/>
      </w:pPr>
      <w:bookmarkStart w:name="7.5. РАЦИОНАЛЬНОЕ ИСПОЛЬЗОВАНИЕ СРЕДСТВ " w:id="148"/>
      <w:bookmarkEnd w:id="148"/>
      <w:r>
        <w:rPr>
          <w:b w:val="0"/>
        </w:rPr>
      </w:r>
      <w:bookmarkStart w:name="_bookmark32" w:id="149"/>
      <w:bookmarkEnd w:id="149"/>
      <w:r>
        <w:rPr>
          <w:b w:val="0"/>
        </w:rPr>
      </w:r>
      <w:bookmarkStart w:name="_bookmark32" w:id="150"/>
      <w:bookmarkEnd w:id="150"/>
      <w:r>
        <w:rPr>
          <w:color w:val="1F487C"/>
        </w:rPr>
        <w:t>РА</w:t>
      </w:r>
      <w:r>
        <w:rPr>
          <w:color w:val="1F487C"/>
        </w:rPr>
        <w:t>ЦИОНАЛЬНОЕ ИСПОЛЬЗОВАНИЕ СРЕДСТВ ИНДИВИДУАЛЬНОЙ ЗАЩИТЫ В МЕДИЦИНСКИХ ОРГАНИЗАЦИЯХ</w:t>
      </w:r>
    </w:p>
    <w:p>
      <w:pPr>
        <w:pStyle w:val="BodyText"/>
        <w:spacing w:line="312" w:lineRule="auto" w:before="117"/>
        <w:ind w:right="673" w:firstLine="708"/>
      </w:pPr>
      <w:r>
        <w:rPr/>
        <w:t>С целью ограничения необоснованного расхода СИЗ рекомендуется определить потребность в них в медицинских организациях, а также обеспечить их правильное использование. Для рационализации потребности в СИЗ при одновременном обеспечении безопасности медицинских работников рекомендуется:</w:t>
      </w:r>
    </w:p>
    <w:p>
      <w:pPr>
        <w:spacing w:after="0" w:line="312" w:lineRule="auto"/>
        <w:sectPr>
          <w:pgSz w:w="11920" w:h="16850"/>
          <w:pgMar w:header="0" w:footer="620" w:top="1060" w:bottom="880" w:left="1380" w:right="600"/>
        </w:sectPr>
      </w:pPr>
    </w:p>
    <w:p>
      <w:pPr>
        <w:pStyle w:val="ListParagraph"/>
        <w:numPr>
          <w:ilvl w:val="0"/>
          <w:numId w:val="35"/>
        </w:numPr>
        <w:tabs>
          <w:tab w:pos="1000" w:val="left" w:leader="none"/>
          <w:tab w:pos="1001" w:val="left" w:leader="none"/>
        </w:tabs>
        <w:spacing w:line="304" w:lineRule="auto" w:before="80" w:after="0"/>
        <w:ind w:left="1000" w:right="674" w:hanging="339"/>
        <w:jc w:val="left"/>
        <w:rPr>
          <w:sz w:val="24"/>
        </w:rPr>
      </w:pPr>
      <w:r>
        <w:rPr>
          <w:sz w:val="24"/>
        </w:rPr>
        <w:t>С помощью технических и административных мер ограничить число лиц, работающих в зонах высокого риска и нуждающихся в использовании</w:t>
      </w:r>
      <w:r>
        <w:rPr>
          <w:spacing w:val="-9"/>
          <w:sz w:val="24"/>
        </w:rPr>
        <w:t> </w:t>
      </w:r>
      <w:r>
        <w:rPr>
          <w:sz w:val="24"/>
        </w:rPr>
        <w:t>СИЗ;</w:t>
      </w:r>
    </w:p>
    <w:p>
      <w:pPr>
        <w:pStyle w:val="ListParagraph"/>
        <w:numPr>
          <w:ilvl w:val="0"/>
          <w:numId w:val="35"/>
        </w:numPr>
        <w:tabs>
          <w:tab w:pos="1000" w:val="left" w:leader="none"/>
          <w:tab w:pos="1001" w:val="left" w:leader="none"/>
        </w:tabs>
        <w:spacing w:line="304" w:lineRule="auto" w:before="11" w:after="0"/>
        <w:ind w:left="1000" w:right="677" w:hanging="339"/>
        <w:jc w:val="left"/>
        <w:rPr>
          <w:sz w:val="24"/>
        </w:rPr>
      </w:pPr>
      <w:r>
        <w:rPr>
          <w:sz w:val="24"/>
        </w:rPr>
        <w:t>Определить необходимое  число  медицинских  работников,  контактирующих  с</w:t>
      </w:r>
      <w:r>
        <w:rPr>
          <w:spacing w:val="-1"/>
          <w:sz w:val="24"/>
        </w:rPr>
        <w:t> </w:t>
      </w:r>
      <w:r>
        <w:rPr>
          <w:sz w:val="24"/>
        </w:rPr>
        <w:t>пациентами;</w:t>
      </w:r>
    </w:p>
    <w:p>
      <w:pPr>
        <w:pStyle w:val="ListParagraph"/>
        <w:numPr>
          <w:ilvl w:val="0"/>
          <w:numId w:val="35"/>
        </w:numPr>
        <w:tabs>
          <w:tab w:pos="1000" w:val="left" w:leader="none"/>
          <w:tab w:pos="1001" w:val="left" w:leader="none"/>
        </w:tabs>
        <w:spacing w:line="240" w:lineRule="auto" w:before="10" w:after="0"/>
        <w:ind w:left="1000" w:right="0" w:hanging="339"/>
        <w:jc w:val="left"/>
        <w:rPr>
          <w:sz w:val="24"/>
        </w:rPr>
      </w:pPr>
      <w:r>
        <w:rPr>
          <w:sz w:val="24"/>
        </w:rPr>
        <w:t>Регулировать необходимое количество входов в</w:t>
      </w:r>
      <w:r>
        <w:rPr>
          <w:spacing w:val="-4"/>
          <w:sz w:val="24"/>
        </w:rPr>
        <w:t> </w:t>
      </w:r>
      <w:r>
        <w:rPr>
          <w:sz w:val="24"/>
        </w:rPr>
        <w:t>палату;</w:t>
      </w:r>
    </w:p>
    <w:p>
      <w:pPr>
        <w:pStyle w:val="ListParagraph"/>
        <w:numPr>
          <w:ilvl w:val="0"/>
          <w:numId w:val="35"/>
        </w:numPr>
        <w:tabs>
          <w:tab w:pos="1001" w:val="left" w:leader="none"/>
        </w:tabs>
        <w:spacing w:line="304" w:lineRule="auto" w:before="83" w:after="0"/>
        <w:ind w:left="1000" w:right="674" w:hanging="339"/>
        <w:jc w:val="both"/>
        <w:rPr>
          <w:sz w:val="24"/>
        </w:rPr>
      </w:pPr>
      <w:r>
        <w:rPr>
          <w:sz w:val="24"/>
        </w:rPr>
        <w:t>Предусмотреть      дистанционное      консультирование       для       пациентов   и лиц с подозрением на</w:t>
      </w:r>
      <w:r>
        <w:rPr>
          <w:spacing w:val="-2"/>
          <w:sz w:val="24"/>
        </w:rPr>
        <w:t> </w:t>
      </w:r>
      <w:r>
        <w:rPr>
          <w:sz w:val="24"/>
        </w:rPr>
        <w:t>COVID-19.</w:t>
      </w:r>
    </w:p>
    <w:p>
      <w:pPr>
        <w:pStyle w:val="ListParagraph"/>
        <w:numPr>
          <w:ilvl w:val="0"/>
          <w:numId w:val="35"/>
        </w:numPr>
        <w:tabs>
          <w:tab w:pos="1001" w:val="left" w:leader="none"/>
        </w:tabs>
        <w:spacing w:line="309" w:lineRule="auto" w:before="10" w:after="0"/>
        <w:ind w:left="1000" w:right="675" w:hanging="339"/>
        <w:jc w:val="both"/>
        <w:rPr>
          <w:sz w:val="24"/>
        </w:rPr>
      </w:pPr>
      <w:r>
        <w:rPr>
          <w:sz w:val="24"/>
        </w:rPr>
        <w:t>Внедрить в практику расширенное использование респираторов (ношение одного и того же респиратора при работе с несколькими пациентами, не снимая респиратор).</w:t>
      </w:r>
    </w:p>
    <w:p>
      <w:pPr>
        <w:pStyle w:val="BodyText"/>
        <w:spacing w:before="5"/>
        <w:ind w:left="0"/>
        <w:jc w:val="left"/>
        <w:rPr>
          <w:sz w:val="32"/>
        </w:rPr>
      </w:pPr>
    </w:p>
    <w:p>
      <w:pPr>
        <w:pStyle w:val="BodyText"/>
        <w:spacing w:line="312" w:lineRule="auto"/>
        <w:ind w:right="673" w:firstLine="708"/>
      </w:pPr>
      <w:r>
        <w:rPr/>
        <w:t>Респираторы, или фильтрующие полумаски – это средство индивидуальной защиты органов дыхания (СИЗОД), предназначенное для снижения риска инфицирования медицинских работников, работающих в условиях высокого риска распространения инфекций, передающихся воздушно-капельным путем. Имеются основания полагать, что быстрому распространению коронавирусной инфекции способствует то,  что  вирус  передается  не  только  при  непосредственном  контакте с источником инфекции и воздушно-капельным путем (через крупные капли), как это характерно</w:t>
      </w:r>
      <w:r>
        <w:rPr>
          <w:spacing w:val="-8"/>
        </w:rPr>
        <w:t> </w:t>
      </w:r>
      <w:r>
        <w:rPr/>
        <w:t>для</w:t>
      </w:r>
      <w:r>
        <w:rPr>
          <w:spacing w:val="-7"/>
        </w:rPr>
        <w:t> </w:t>
      </w:r>
      <w:r>
        <w:rPr/>
        <w:t>большинства</w:t>
      </w:r>
      <w:r>
        <w:rPr>
          <w:spacing w:val="-9"/>
        </w:rPr>
        <w:t> </w:t>
      </w:r>
      <w:r>
        <w:rPr/>
        <w:t>ОРВИ,</w:t>
      </w:r>
      <w:r>
        <w:rPr>
          <w:spacing w:val="-7"/>
        </w:rPr>
        <w:t> </w:t>
      </w:r>
      <w:r>
        <w:rPr/>
        <w:t>но</w:t>
      </w:r>
      <w:r>
        <w:rPr>
          <w:spacing w:val="-8"/>
        </w:rPr>
        <w:t> </w:t>
      </w:r>
      <w:r>
        <w:rPr/>
        <w:t>и</w:t>
      </w:r>
      <w:r>
        <w:rPr>
          <w:spacing w:val="-6"/>
        </w:rPr>
        <w:t> </w:t>
      </w:r>
      <w:r>
        <w:rPr/>
        <w:t>в</w:t>
      </w:r>
      <w:r>
        <w:rPr>
          <w:spacing w:val="-9"/>
        </w:rPr>
        <w:t> </w:t>
      </w:r>
      <w:r>
        <w:rPr/>
        <w:t>существенной</w:t>
      </w:r>
      <w:r>
        <w:rPr>
          <w:spacing w:val="-6"/>
        </w:rPr>
        <w:t> </w:t>
      </w:r>
      <w:r>
        <w:rPr/>
        <w:t>степени</w:t>
      </w:r>
      <w:r>
        <w:rPr>
          <w:spacing w:val="-9"/>
        </w:rPr>
        <w:t> </w:t>
      </w:r>
      <w:r>
        <w:rPr/>
        <w:t>через</w:t>
      </w:r>
      <w:r>
        <w:rPr>
          <w:spacing w:val="-7"/>
        </w:rPr>
        <w:t> </w:t>
      </w:r>
      <w:r>
        <w:rPr/>
        <w:t>инфекционные аэрозоли (инфицированный воздух). Поэтому применение респираторов (со степенью не ниже защиты FFP2) в зонах высокого риска инфицирования обязательно для медицинского персонала, занятого оказанием медицинской помощи больным COVID-19.</w:t>
      </w:r>
    </w:p>
    <w:p>
      <w:pPr>
        <w:pStyle w:val="BodyText"/>
        <w:spacing w:line="312" w:lineRule="auto" w:before="1"/>
        <w:ind w:right="676" w:firstLine="708"/>
      </w:pPr>
      <w:r>
        <w:rPr/>
        <w:t>Принцип работы респиратора состоит в высокоэффективной фильтрации вдыхаемого  воздуха,   благодаря   которой   резко   снижается   риск   проникновения в дыхательные пути, в том числе в терминальные бронхиолы и альвеолы, инфекционного аэрозоля (стойкой взвеси в воздухе мельчайших частиц, содержащих жизнеспособные патогенные</w:t>
      </w:r>
      <w:r>
        <w:rPr>
          <w:spacing w:val="-3"/>
        </w:rPr>
        <w:t> </w:t>
      </w:r>
      <w:r>
        <w:rPr/>
        <w:t>микроорганизмы).</w:t>
      </w:r>
    </w:p>
    <w:p>
      <w:pPr>
        <w:pStyle w:val="BodyText"/>
        <w:spacing w:line="312" w:lineRule="auto"/>
        <w:ind w:right="676" w:firstLine="708"/>
      </w:pPr>
      <w:r>
        <w:rPr/>
        <w:t>Для обеспечения максимальной защиты при использовании респиратора должны быть выполнены ряд условий:</w:t>
      </w:r>
    </w:p>
    <w:p>
      <w:pPr>
        <w:pStyle w:val="BodyText"/>
        <w:spacing w:before="4"/>
        <w:ind w:left="0"/>
        <w:jc w:val="left"/>
        <w:rPr>
          <w:sz w:val="31"/>
        </w:rPr>
      </w:pPr>
    </w:p>
    <w:p>
      <w:pPr>
        <w:pStyle w:val="ListParagraph"/>
        <w:numPr>
          <w:ilvl w:val="0"/>
          <w:numId w:val="35"/>
        </w:numPr>
        <w:tabs>
          <w:tab w:pos="1001" w:val="left" w:leader="none"/>
        </w:tabs>
        <w:spacing w:line="309" w:lineRule="auto" w:before="0" w:after="0"/>
        <w:ind w:left="1000" w:right="677" w:hanging="339"/>
        <w:jc w:val="both"/>
        <w:rPr>
          <w:sz w:val="24"/>
        </w:rPr>
      </w:pPr>
      <w:r>
        <w:rPr>
          <w:sz w:val="24"/>
        </w:rPr>
        <w:t>используемые модели респиратора должны быть сертифицированы на соответствие требованиям по крайне мере одного из национальных или международных стандартов: ТР ТС 019/2011 </w:t>
      </w:r>
      <w:r>
        <w:rPr>
          <w:spacing w:val="-4"/>
          <w:sz w:val="24"/>
        </w:rPr>
        <w:t>«О </w:t>
      </w:r>
      <w:r>
        <w:rPr>
          <w:sz w:val="24"/>
        </w:rPr>
        <w:t>безопасности средств индивидуальной защиты», или ГОСТ 12.4.294-2015 или</w:t>
      </w:r>
      <w:r>
        <w:rPr>
          <w:spacing w:val="-5"/>
          <w:sz w:val="24"/>
        </w:rPr>
        <w:t> </w:t>
      </w:r>
      <w:r>
        <w:rPr>
          <w:sz w:val="24"/>
        </w:rPr>
        <w:t>EN 149:2001+А1:2009</w:t>
      </w:r>
    </w:p>
    <w:p>
      <w:pPr>
        <w:pStyle w:val="BodyText"/>
        <w:spacing w:before="3"/>
        <w:ind w:left="1000"/>
      </w:pPr>
      <w:r>
        <w:rPr/>
        <w:t>«Respiratory protective devices - Filtering half masks to protect against particles»;</w:t>
      </w:r>
    </w:p>
    <w:p>
      <w:pPr>
        <w:pStyle w:val="ListParagraph"/>
        <w:numPr>
          <w:ilvl w:val="0"/>
          <w:numId w:val="35"/>
        </w:numPr>
        <w:tabs>
          <w:tab w:pos="1001" w:val="left" w:leader="none"/>
        </w:tabs>
        <w:spacing w:line="240" w:lineRule="auto" w:before="84" w:after="0"/>
        <w:ind w:left="1000" w:right="0" w:hanging="339"/>
        <w:jc w:val="both"/>
        <w:rPr>
          <w:sz w:val="24"/>
        </w:rPr>
      </w:pPr>
      <w:r>
        <w:rPr>
          <w:sz w:val="24"/>
        </w:rPr>
        <w:t>используемые респираторы должны иметь класс защиты не ниже</w:t>
      </w:r>
      <w:r>
        <w:rPr>
          <w:spacing w:val="-9"/>
          <w:sz w:val="24"/>
        </w:rPr>
        <w:t> </w:t>
      </w:r>
      <w:r>
        <w:rPr>
          <w:sz w:val="24"/>
        </w:rPr>
        <w:t>FFP2;</w:t>
      </w:r>
    </w:p>
    <w:p>
      <w:pPr>
        <w:spacing w:after="0" w:line="240" w:lineRule="auto"/>
        <w:jc w:val="both"/>
        <w:rPr>
          <w:sz w:val="24"/>
        </w:rPr>
        <w:sectPr>
          <w:pgSz w:w="11920" w:h="16850"/>
          <w:pgMar w:header="0" w:footer="620" w:top="1060" w:bottom="880" w:left="1380" w:right="600"/>
        </w:sectPr>
      </w:pPr>
    </w:p>
    <w:p>
      <w:pPr>
        <w:pStyle w:val="ListParagraph"/>
        <w:numPr>
          <w:ilvl w:val="0"/>
          <w:numId w:val="35"/>
        </w:numPr>
        <w:tabs>
          <w:tab w:pos="1001" w:val="left" w:leader="none"/>
        </w:tabs>
        <w:spacing w:line="309" w:lineRule="auto" w:before="80" w:after="0"/>
        <w:ind w:left="1000" w:right="677" w:hanging="339"/>
        <w:jc w:val="both"/>
        <w:rPr>
          <w:sz w:val="24"/>
        </w:rPr>
      </w:pPr>
      <w:r>
        <w:rPr>
          <w:sz w:val="24"/>
        </w:rPr>
        <w:t>респиратор должен правильно использоваться (правильное надевание, безопасное снятие, уход, обезвреживание и уничтожение как медицинских отходов класса</w:t>
      </w:r>
      <w:r>
        <w:rPr>
          <w:spacing w:val="-3"/>
          <w:sz w:val="24"/>
        </w:rPr>
        <w:t> </w:t>
      </w:r>
      <w:r>
        <w:rPr>
          <w:sz w:val="24"/>
        </w:rPr>
        <w:t>В).</w:t>
      </w:r>
    </w:p>
    <w:p>
      <w:pPr>
        <w:pStyle w:val="BodyText"/>
        <w:spacing w:before="5"/>
        <w:ind w:left="0"/>
        <w:jc w:val="left"/>
        <w:rPr>
          <w:sz w:val="32"/>
        </w:rPr>
      </w:pPr>
    </w:p>
    <w:p>
      <w:pPr>
        <w:pStyle w:val="BodyText"/>
        <w:spacing w:line="312" w:lineRule="auto"/>
        <w:ind w:right="673" w:firstLine="708"/>
      </w:pPr>
      <w:r>
        <w:rPr/>
        <w:t>Правильное надевание – наиболее важное условие эффективности его применения для защиты от инфицирования. Правильное надевание абсолютно необходимо для обеспечения максимально герметичного прилегания краев полумаски респиратора к лицу для исключения возможности утечки неотфильтрованного инфицированного</w:t>
      </w:r>
      <w:r>
        <w:rPr>
          <w:spacing w:val="-17"/>
        </w:rPr>
        <w:t> </w:t>
      </w:r>
      <w:r>
        <w:rPr/>
        <w:t>воздуха</w:t>
      </w:r>
      <w:r>
        <w:rPr>
          <w:spacing w:val="-14"/>
        </w:rPr>
        <w:t> </w:t>
      </w:r>
      <w:r>
        <w:rPr/>
        <w:t>в</w:t>
      </w:r>
      <w:r>
        <w:rPr>
          <w:spacing w:val="-16"/>
        </w:rPr>
        <w:t> </w:t>
      </w:r>
      <w:r>
        <w:rPr/>
        <w:t>зону</w:t>
      </w:r>
      <w:r>
        <w:rPr>
          <w:spacing w:val="-21"/>
        </w:rPr>
        <w:t> </w:t>
      </w:r>
      <w:r>
        <w:rPr/>
        <w:t>дыхания</w:t>
      </w:r>
      <w:r>
        <w:rPr>
          <w:spacing w:val="-17"/>
        </w:rPr>
        <w:t> </w:t>
      </w:r>
      <w:r>
        <w:rPr/>
        <w:t>минуя</w:t>
      </w:r>
      <w:r>
        <w:rPr>
          <w:spacing w:val="-13"/>
        </w:rPr>
        <w:t> </w:t>
      </w:r>
      <w:r>
        <w:rPr/>
        <w:t>высокоэффективный</w:t>
      </w:r>
      <w:r>
        <w:rPr>
          <w:spacing w:val="-17"/>
        </w:rPr>
        <w:t> </w:t>
      </w:r>
      <w:r>
        <w:rPr/>
        <w:t>фильтр,</w:t>
      </w:r>
      <w:r>
        <w:rPr>
          <w:spacing w:val="-19"/>
        </w:rPr>
        <w:t> </w:t>
      </w:r>
      <w:r>
        <w:rPr/>
        <w:t>каковым и является полумаска респиратора. Крайне важно ознакомиться и тщательно каждый раз  выполнять  требования  инструкции  по  правильному  надеванию  респиратора    в</w:t>
      </w:r>
      <w:r>
        <w:rPr>
          <w:spacing w:val="-4"/>
        </w:rPr>
        <w:t> </w:t>
      </w:r>
      <w:r>
        <w:rPr/>
        <w:t>текстовом</w:t>
      </w:r>
      <w:r>
        <w:rPr>
          <w:spacing w:val="-18"/>
        </w:rPr>
        <w:t> </w:t>
      </w:r>
      <w:r>
        <w:rPr/>
        <w:t>или</w:t>
      </w:r>
      <w:r>
        <w:rPr>
          <w:spacing w:val="-16"/>
        </w:rPr>
        <w:t> </w:t>
      </w:r>
      <w:r>
        <w:rPr/>
        <w:t>графическом</w:t>
      </w:r>
      <w:r>
        <w:rPr>
          <w:spacing w:val="-18"/>
        </w:rPr>
        <w:t> </w:t>
      </w:r>
      <w:r>
        <w:rPr/>
        <w:t>виде</w:t>
      </w:r>
      <w:r>
        <w:rPr>
          <w:spacing w:val="-17"/>
        </w:rPr>
        <w:t> </w:t>
      </w:r>
      <w:r>
        <w:rPr/>
        <w:t>в</w:t>
      </w:r>
      <w:r>
        <w:rPr>
          <w:spacing w:val="-17"/>
        </w:rPr>
        <w:t> </w:t>
      </w:r>
      <w:r>
        <w:rPr/>
        <w:t>соответствии</w:t>
      </w:r>
      <w:r>
        <w:rPr>
          <w:spacing w:val="-16"/>
        </w:rPr>
        <w:t> </w:t>
      </w:r>
      <w:r>
        <w:rPr/>
        <w:t>с</w:t>
      </w:r>
      <w:r>
        <w:rPr>
          <w:spacing w:val="-18"/>
        </w:rPr>
        <w:t> </w:t>
      </w:r>
      <w:r>
        <w:rPr/>
        <w:t>вышеперечисленными</w:t>
      </w:r>
      <w:r>
        <w:rPr>
          <w:spacing w:val="-16"/>
        </w:rPr>
        <w:t> </w:t>
      </w:r>
      <w:r>
        <w:rPr/>
        <w:t>стандартами всегда находится на упаковке респиратора или во</w:t>
      </w:r>
      <w:r>
        <w:rPr>
          <w:spacing w:val="-6"/>
        </w:rPr>
        <w:t> </w:t>
      </w:r>
      <w:r>
        <w:rPr/>
        <w:t>вкладыше.</w:t>
      </w:r>
    </w:p>
    <w:p>
      <w:pPr>
        <w:pStyle w:val="BodyText"/>
        <w:spacing w:line="312" w:lineRule="auto"/>
        <w:ind w:right="673" w:firstLine="708"/>
      </w:pPr>
      <w:r>
        <w:rPr/>
        <w:t>После каждого надевания респиратора перед входом в зону высокого риска инфицирования   необходимо   проводить   его   проверку   на    утечку:    сделать    2–3</w:t>
      </w:r>
      <w:r>
        <w:rPr>
          <w:spacing w:val="-3"/>
        </w:rPr>
        <w:t> </w:t>
      </w:r>
      <w:r>
        <w:rPr/>
        <w:t>форсированных</w:t>
      </w:r>
      <w:r>
        <w:rPr>
          <w:spacing w:val="-12"/>
        </w:rPr>
        <w:t> </w:t>
      </w:r>
      <w:r>
        <w:rPr/>
        <w:t>вдоха-выдоха,</w:t>
      </w:r>
      <w:r>
        <w:rPr>
          <w:spacing w:val="-14"/>
        </w:rPr>
        <w:t> </w:t>
      </w:r>
      <w:r>
        <w:rPr/>
        <w:t>при</w:t>
      </w:r>
      <w:r>
        <w:rPr>
          <w:spacing w:val="-13"/>
        </w:rPr>
        <w:t> </w:t>
      </w:r>
      <w:r>
        <w:rPr/>
        <w:t>этом</w:t>
      </w:r>
      <w:r>
        <w:rPr>
          <w:spacing w:val="-10"/>
        </w:rPr>
        <w:t> </w:t>
      </w:r>
      <w:r>
        <w:rPr/>
        <w:t>убедиться,</w:t>
      </w:r>
      <w:r>
        <w:rPr>
          <w:spacing w:val="-13"/>
        </w:rPr>
        <w:t> </w:t>
      </w:r>
      <w:r>
        <w:rPr/>
        <w:t>что</w:t>
      </w:r>
      <w:r>
        <w:rPr>
          <w:spacing w:val="-12"/>
        </w:rPr>
        <w:t> </w:t>
      </w:r>
      <w:r>
        <w:rPr/>
        <w:t>отсутствует</w:t>
      </w:r>
      <w:r>
        <w:rPr>
          <w:spacing w:val="-11"/>
        </w:rPr>
        <w:t> </w:t>
      </w:r>
      <w:r>
        <w:rPr/>
        <w:t>подсос</w:t>
      </w:r>
      <w:r>
        <w:rPr>
          <w:spacing w:val="-15"/>
        </w:rPr>
        <w:t> </w:t>
      </w:r>
      <w:r>
        <w:rPr/>
        <w:t>и</w:t>
      </w:r>
      <w:r>
        <w:rPr>
          <w:spacing w:val="-11"/>
        </w:rPr>
        <w:t> </w:t>
      </w:r>
      <w:r>
        <w:rPr/>
        <w:t>выход воздуха по краям респиратора, а на вдохе респиратор плотно прижимается к лицу без утечки</w:t>
      </w:r>
      <w:r>
        <w:rPr>
          <w:spacing w:val="-16"/>
        </w:rPr>
        <w:t> </w:t>
      </w:r>
      <w:r>
        <w:rPr/>
        <w:t>воздуха</w:t>
      </w:r>
      <w:r>
        <w:rPr>
          <w:spacing w:val="-17"/>
        </w:rPr>
        <w:t> </w:t>
      </w:r>
      <w:r>
        <w:rPr/>
        <w:t>по</w:t>
      </w:r>
      <w:r>
        <w:rPr>
          <w:spacing w:val="-16"/>
        </w:rPr>
        <w:t> </w:t>
      </w:r>
      <w:r>
        <w:rPr/>
        <w:t>краям.</w:t>
      </w:r>
      <w:r>
        <w:rPr>
          <w:spacing w:val="-17"/>
        </w:rPr>
        <w:t> </w:t>
      </w:r>
      <w:r>
        <w:rPr/>
        <w:t>Если</w:t>
      </w:r>
      <w:r>
        <w:rPr>
          <w:spacing w:val="-15"/>
        </w:rPr>
        <w:t> </w:t>
      </w:r>
      <w:r>
        <w:rPr/>
        <w:t>при</w:t>
      </w:r>
      <w:r>
        <w:rPr>
          <w:spacing w:val="-15"/>
        </w:rPr>
        <w:t> </w:t>
      </w:r>
      <w:r>
        <w:rPr/>
        <w:t>этом</w:t>
      </w:r>
      <w:r>
        <w:rPr>
          <w:spacing w:val="-18"/>
        </w:rPr>
        <w:t> </w:t>
      </w:r>
      <w:r>
        <w:rPr/>
        <w:t>выявлена</w:t>
      </w:r>
      <w:r>
        <w:rPr>
          <w:spacing w:val="-14"/>
        </w:rPr>
        <w:t> </w:t>
      </w:r>
      <w:r>
        <w:rPr/>
        <w:t>утечка</w:t>
      </w:r>
      <w:r>
        <w:rPr>
          <w:spacing w:val="-17"/>
        </w:rPr>
        <w:t> </w:t>
      </w:r>
      <w:r>
        <w:rPr/>
        <w:t>воздуха</w:t>
      </w:r>
      <w:r>
        <w:rPr>
          <w:spacing w:val="-18"/>
        </w:rPr>
        <w:t> </w:t>
      </w:r>
      <w:r>
        <w:rPr/>
        <w:t>под</w:t>
      </w:r>
      <w:r>
        <w:rPr>
          <w:spacing w:val="-13"/>
        </w:rPr>
        <w:t> </w:t>
      </w:r>
      <w:r>
        <w:rPr/>
        <w:t>полумаску,</w:t>
      </w:r>
      <w:r>
        <w:rPr>
          <w:spacing w:val="-16"/>
        </w:rPr>
        <w:t> </w:t>
      </w:r>
      <w:r>
        <w:rPr/>
        <w:t>нужно проверить правильность одевания респиратора, повторно надеть</w:t>
      </w:r>
      <w:r>
        <w:rPr>
          <w:spacing w:val="-4"/>
        </w:rPr>
        <w:t> </w:t>
      </w:r>
      <w:r>
        <w:rPr/>
        <w:t>его.</w:t>
      </w:r>
    </w:p>
    <w:p>
      <w:pPr>
        <w:pStyle w:val="BodyText"/>
        <w:spacing w:line="312" w:lineRule="auto"/>
        <w:ind w:right="672" w:firstLine="708"/>
      </w:pPr>
      <w:r>
        <w:rPr/>
        <w:t>Длительность использования респиратора в течение рабочего дня ограничена только гигиеническими соображениями (необходимость приема пищи, появление избыточной влажности под полумаской в жаркую погоду и т.п.), поскольку эффективность фильтрации со временем только повышается при условии, что респиратор не поврежден и обеспечивает хорошее прилегание к лицу.</w:t>
      </w:r>
    </w:p>
    <w:p>
      <w:pPr>
        <w:pStyle w:val="BodyText"/>
        <w:spacing w:line="312" w:lineRule="auto" w:before="1"/>
        <w:ind w:right="674" w:firstLine="708"/>
      </w:pPr>
      <w:r>
        <w:rPr/>
        <w:t>Безопасное снятие респиратора необходимо для исключения риска инфицирования</w:t>
      </w:r>
      <w:r>
        <w:rPr>
          <w:spacing w:val="-13"/>
        </w:rPr>
        <w:t> </w:t>
      </w:r>
      <w:r>
        <w:rPr/>
        <w:t>с</w:t>
      </w:r>
      <w:r>
        <w:rPr>
          <w:spacing w:val="-14"/>
        </w:rPr>
        <w:t> </w:t>
      </w:r>
      <w:r>
        <w:rPr/>
        <w:t>наружной</w:t>
      </w:r>
      <w:r>
        <w:rPr>
          <w:spacing w:val="-11"/>
        </w:rPr>
        <w:t> </w:t>
      </w:r>
      <w:r>
        <w:rPr/>
        <w:t>поверхности</w:t>
      </w:r>
      <w:r>
        <w:rPr>
          <w:spacing w:val="-12"/>
        </w:rPr>
        <w:t> </w:t>
      </w:r>
      <w:r>
        <w:rPr/>
        <w:t>респиратора</w:t>
      </w:r>
      <w:r>
        <w:rPr>
          <w:spacing w:val="-14"/>
        </w:rPr>
        <w:t> </w:t>
      </w:r>
      <w:r>
        <w:rPr/>
        <w:t>в</w:t>
      </w:r>
      <w:r>
        <w:rPr>
          <w:spacing w:val="-13"/>
        </w:rPr>
        <w:t> </w:t>
      </w:r>
      <w:r>
        <w:rPr/>
        <w:t>результате</w:t>
      </w:r>
      <w:r>
        <w:rPr>
          <w:spacing w:val="-14"/>
        </w:rPr>
        <w:t> </w:t>
      </w:r>
      <w:r>
        <w:rPr/>
        <w:t>ее</w:t>
      </w:r>
      <w:r>
        <w:rPr>
          <w:spacing w:val="-12"/>
        </w:rPr>
        <w:t> </w:t>
      </w:r>
      <w:r>
        <w:rPr/>
        <w:t>контакта</w:t>
      </w:r>
      <w:r>
        <w:rPr>
          <w:spacing w:val="-13"/>
        </w:rPr>
        <w:t> </w:t>
      </w:r>
      <w:r>
        <w:rPr/>
        <w:t>с</w:t>
      </w:r>
      <w:r>
        <w:rPr>
          <w:spacing w:val="-14"/>
        </w:rPr>
        <w:t> </w:t>
      </w:r>
      <w:r>
        <w:rPr/>
        <w:t>кожей, в случае если она контаминирована инфицированными биологическими жидкостями. Респиратор снимают в перчатках за резинки (сначала снимая нижнюю резинку, затем верхнюю), не касаясь наружной и внутренней поверхности полумаски</w:t>
      </w:r>
      <w:r>
        <w:rPr>
          <w:spacing w:val="-9"/>
        </w:rPr>
        <w:t> </w:t>
      </w:r>
      <w:r>
        <w:rPr/>
        <w:t>респиратора.</w:t>
      </w:r>
    </w:p>
    <w:p>
      <w:pPr>
        <w:pStyle w:val="BodyText"/>
        <w:spacing w:line="312" w:lineRule="auto"/>
        <w:ind w:right="676" w:firstLine="708"/>
      </w:pPr>
      <w:r>
        <w:rPr/>
        <w:t>Обеззараживание и/или обезвреживание использованных респираторов проводится в соответствии с требованиями к медицинским отходам класса В.</w:t>
      </w:r>
    </w:p>
    <w:p>
      <w:pPr>
        <w:pStyle w:val="BodyText"/>
        <w:spacing w:line="312" w:lineRule="auto"/>
        <w:ind w:right="676" w:firstLine="708"/>
      </w:pPr>
      <w:r>
        <w:rPr/>
        <w:t>В условиях эпидемии инфекционных заболеваний важно применять организационные меры, позволяющие не только снизить риск внутрибольничного распространения инфекции, но и существенно сократить потребность в респираторах:</w:t>
      </w:r>
    </w:p>
    <w:p>
      <w:pPr>
        <w:pStyle w:val="BodyText"/>
        <w:spacing w:before="3"/>
        <w:ind w:left="0"/>
        <w:jc w:val="left"/>
        <w:rPr>
          <w:sz w:val="31"/>
        </w:rPr>
      </w:pPr>
    </w:p>
    <w:p>
      <w:pPr>
        <w:pStyle w:val="ListParagraph"/>
        <w:numPr>
          <w:ilvl w:val="0"/>
          <w:numId w:val="35"/>
        </w:numPr>
        <w:tabs>
          <w:tab w:pos="1001" w:val="left" w:leader="none"/>
        </w:tabs>
        <w:spacing w:line="309" w:lineRule="auto" w:before="0" w:after="0"/>
        <w:ind w:left="1000" w:right="675" w:hanging="339"/>
        <w:jc w:val="both"/>
        <w:rPr>
          <w:sz w:val="24"/>
        </w:rPr>
      </w:pPr>
      <w:r>
        <w:rPr>
          <w:sz w:val="24"/>
        </w:rPr>
        <w:t>Обучение  персонала  принципам  правильного  использования  респираторов,  в том числе  исключение  ношения  их  на  шее  или  лбу  во  время  перерывов  в работе, правильное бережное хранение повышает не только эффективность их использования, но и продлевает их срок</w:t>
      </w:r>
      <w:r>
        <w:rPr>
          <w:spacing w:val="-1"/>
          <w:sz w:val="24"/>
        </w:rPr>
        <w:t> </w:t>
      </w:r>
      <w:r>
        <w:rPr>
          <w:sz w:val="24"/>
        </w:rPr>
        <w:t>службы;</w:t>
      </w:r>
    </w:p>
    <w:p>
      <w:pPr>
        <w:spacing w:after="0" w:line="309" w:lineRule="auto"/>
        <w:jc w:val="both"/>
        <w:rPr>
          <w:sz w:val="24"/>
        </w:rPr>
        <w:sectPr>
          <w:pgSz w:w="11920" w:h="16850"/>
          <w:pgMar w:header="0" w:footer="620" w:top="1060" w:bottom="880" w:left="1380" w:right="600"/>
        </w:sectPr>
      </w:pPr>
    </w:p>
    <w:p>
      <w:pPr>
        <w:pStyle w:val="ListParagraph"/>
        <w:numPr>
          <w:ilvl w:val="0"/>
          <w:numId w:val="35"/>
        </w:numPr>
        <w:tabs>
          <w:tab w:pos="1001" w:val="left" w:leader="none"/>
        </w:tabs>
        <w:spacing w:line="304" w:lineRule="auto" w:before="80" w:after="0"/>
        <w:ind w:left="1000" w:right="674" w:hanging="339"/>
        <w:jc w:val="both"/>
        <w:rPr>
          <w:sz w:val="24"/>
        </w:rPr>
      </w:pPr>
      <w:r>
        <w:rPr>
          <w:sz w:val="24"/>
        </w:rPr>
        <w:t>Проведение оценки риска на основании анализа потоков пациентов, посетителей, лабораторных образцов и</w:t>
      </w:r>
      <w:r>
        <w:rPr>
          <w:spacing w:val="-2"/>
          <w:sz w:val="24"/>
        </w:rPr>
        <w:t> </w:t>
      </w:r>
      <w:r>
        <w:rPr>
          <w:sz w:val="24"/>
        </w:rPr>
        <w:t>персонала;</w:t>
      </w:r>
    </w:p>
    <w:p>
      <w:pPr>
        <w:pStyle w:val="ListParagraph"/>
        <w:numPr>
          <w:ilvl w:val="0"/>
          <w:numId w:val="35"/>
        </w:numPr>
        <w:tabs>
          <w:tab w:pos="1001" w:val="left" w:leader="none"/>
        </w:tabs>
        <w:spacing w:line="309" w:lineRule="auto" w:before="11" w:after="0"/>
        <w:ind w:left="1000" w:right="673" w:hanging="339"/>
        <w:jc w:val="both"/>
        <w:rPr>
          <w:sz w:val="24"/>
        </w:rPr>
      </w:pPr>
      <w:r>
        <w:rPr>
          <w:sz w:val="24"/>
        </w:rPr>
        <w:t>Максимальное разобщение потоков для выделения зон низкого риска (где использование СИЗОД не требуется) и высокого риска (где использование СИЗОД необходимо). Зоны высокого риска должны быть обозначены специальными предупреждающими знаками, запрещающими доступ туда посторонних лиц без средств</w:t>
      </w:r>
      <w:r>
        <w:rPr>
          <w:spacing w:val="2"/>
          <w:sz w:val="24"/>
        </w:rPr>
        <w:t> </w:t>
      </w:r>
      <w:r>
        <w:rPr>
          <w:sz w:val="24"/>
        </w:rPr>
        <w:t>защиты;</w:t>
      </w:r>
    </w:p>
    <w:p>
      <w:pPr>
        <w:pStyle w:val="ListParagraph"/>
        <w:numPr>
          <w:ilvl w:val="0"/>
          <w:numId w:val="35"/>
        </w:numPr>
        <w:tabs>
          <w:tab w:pos="1001" w:val="left" w:leader="none"/>
        </w:tabs>
        <w:spacing w:line="309" w:lineRule="auto" w:before="8" w:after="0"/>
        <w:ind w:left="1000" w:right="677" w:hanging="339"/>
        <w:jc w:val="both"/>
        <w:rPr>
          <w:sz w:val="24"/>
        </w:rPr>
      </w:pPr>
      <w:r>
        <w:rPr>
          <w:sz w:val="24"/>
        </w:rPr>
        <w:t>Выделение   зон   отдыха   персонала   и   помещений   для   офисной   работы   в максимально изолированных помещениях, куда исключен переток инфицированного воздуха из зон высокого риска. Использование СИЗОД в</w:t>
      </w:r>
      <w:r>
        <w:rPr>
          <w:spacing w:val="-33"/>
          <w:sz w:val="24"/>
        </w:rPr>
        <w:t> </w:t>
      </w:r>
      <w:r>
        <w:rPr>
          <w:sz w:val="24"/>
        </w:rPr>
        <w:t>этих помещениях не</w:t>
      </w:r>
      <w:r>
        <w:rPr>
          <w:spacing w:val="-2"/>
          <w:sz w:val="24"/>
        </w:rPr>
        <w:t> </w:t>
      </w:r>
      <w:r>
        <w:rPr>
          <w:sz w:val="24"/>
        </w:rPr>
        <w:t>требуется;</w:t>
      </w:r>
    </w:p>
    <w:p>
      <w:pPr>
        <w:pStyle w:val="ListParagraph"/>
        <w:numPr>
          <w:ilvl w:val="0"/>
          <w:numId w:val="35"/>
        </w:numPr>
        <w:tabs>
          <w:tab w:pos="1001" w:val="left" w:leader="none"/>
        </w:tabs>
        <w:spacing w:line="312" w:lineRule="auto" w:before="5" w:after="0"/>
        <w:ind w:left="1000" w:right="674" w:hanging="339"/>
        <w:jc w:val="both"/>
        <w:rPr>
          <w:sz w:val="24"/>
        </w:rPr>
      </w:pPr>
      <w:r>
        <w:rPr>
          <w:sz w:val="24"/>
        </w:rPr>
        <w:t>Выделение на основе оценки риска более узких групп персонала, который работает в условиях наиболее высокого риска, где требуется применение СИЗОД.</w:t>
      </w:r>
      <w:r>
        <w:rPr>
          <w:spacing w:val="-10"/>
          <w:sz w:val="24"/>
        </w:rPr>
        <w:t> </w:t>
      </w:r>
      <w:r>
        <w:rPr>
          <w:sz w:val="24"/>
        </w:rPr>
        <w:t>Прочий</w:t>
      </w:r>
      <w:r>
        <w:rPr>
          <w:spacing w:val="-9"/>
          <w:sz w:val="24"/>
        </w:rPr>
        <w:t> </w:t>
      </w:r>
      <w:r>
        <w:rPr>
          <w:sz w:val="24"/>
        </w:rPr>
        <w:t>персонал</w:t>
      </w:r>
      <w:r>
        <w:rPr>
          <w:spacing w:val="-8"/>
          <w:sz w:val="24"/>
        </w:rPr>
        <w:t> </w:t>
      </w:r>
      <w:r>
        <w:rPr>
          <w:sz w:val="24"/>
        </w:rPr>
        <w:t>при</w:t>
      </w:r>
      <w:r>
        <w:rPr>
          <w:spacing w:val="-8"/>
          <w:sz w:val="24"/>
        </w:rPr>
        <w:t> </w:t>
      </w:r>
      <w:r>
        <w:rPr>
          <w:sz w:val="24"/>
        </w:rPr>
        <w:t>этом</w:t>
      </w:r>
      <w:r>
        <w:rPr>
          <w:spacing w:val="-9"/>
          <w:sz w:val="24"/>
        </w:rPr>
        <w:t> </w:t>
      </w:r>
      <w:r>
        <w:rPr>
          <w:sz w:val="24"/>
        </w:rPr>
        <w:t>для</w:t>
      </w:r>
      <w:r>
        <w:rPr>
          <w:spacing w:val="-10"/>
          <w:sz w:val="24"/>
        </w:rPr>
        <w:t> </w:t>
      </w:r>
      <w:r>
        <w:rPr>
          <w:sz w:val="24"/>
        </w:rPr>
        <w:t>работы</w:t>
      </w:r>
      <w:r>
        <w:rPr>
          <w:spacing w:val="-9"/>
          <w:sz w:val="24"/>
        </w:rPr>
        <w:t> </w:t>
      </w:r>
      <w:r>
        <w:rPr>
          <w:sz w:val="24"/>
        </w:rPr>
        <w:t>в</w:t>
      </w:r>
      <w:r>
        <w:rPr>
          <w:spacing w:val="-5"/>
          <w:sz w:val="24"/>
        </w:rPr>
        <w:t> </w:t>
      </w:r>
      <w:r>
        <w:rPr>
          <w:sz w:val="24"/>
        </w:rPr>
        <w:t>условиях</w:t>
      </w:r>
      <w:r>
        <w:rPr>
          <w:spacing w:val="-6"/>
          <w:sz w:val="24"/>
        </w:rPr>
        <w:t> </w:t>
      </w:r>
      <w:r>
        <w:rPr>
          <w:sz w:val="24"/>
        </w:rPr>
        <w:t>низкого</w:t>
      </w:r>
      <w:r>
        <w:rPr>
          <w:spacing w:val="-10"/>
          <w:sz w:val="24"/>
        </w:rPr>
        <w:t> </w:t>
      </w:r>
      <w:r>
        <w:rPr>
          <w:sz w:val="24"/>
        </w:rPr>
        <w:t>или</w:t>
      </w:r>
      <w:r>
        <w:rPr>
          <w:spacing w:val="-9"/>
          <w:sz w:val="24"/>
        </w:rPr>
        <w:t> </w:t>
      </w:r>
      <w:r>
        <w:rPr>
          <w:sz w:val="24"/>
        </w:rPr>
        <w:t>среднего уровня риска может эффективно использовать перечисленные</w:t>
      </w:r>
      <w:r>
        <w:rPr>
          <w:spacing w:val="-34"/>
          <w:sz w:val="24"/>
        </w:rPr>
        <w:t> </w:t>
      </w:r>
      <w:r>
        <w:rPr>
          <w:sz w:val="24"/>
        </w:rPr>
        <w:t>организационные меры по его снижению и меры контроля среды обитания (проветривание, ультрафиолетовые</w:t>
      </w:r>
      <w:r>
        <w:rPr>
          <w:spacing w:val="-2"/>
          <w:sz w:val="24"/>
        </w:rPr>
        <w:t> </w:t>
      </w:r>
      <w:r>
        <w:rPr>
          <w:sz w:val="24"/>
        </w:rPr>
        <w:t>излучатели);</w:t>
      </w:r>
    </w:p>
    <w:p>
      <w:pPr>
        <w:pStyle w:val="ListParagraph"/>
        <w:numPr>
          <w:ilvl w:val="0"/>
          <w:numId w:val="35"/>
        </w:numPr>
        <w:tabs>
          <w:tab w:pos="1001" w:val="left" w:leader="none"/>
        </w:tabs>
        <w:spacing w:line="309" w:lineRule="auto" w:before="0" w:after="0"/>
        <w:ind w:left="1000" w:right="674" w:hanging="339"/>
        <w:jc w:val="both"/>
        <w:rPr>
          <w:sz w:val="24"/>
        </w:rPr>
      </w:pPr>
      <w:r>
        <w:rPr>
          <w:sz w:val="24"/>
        </w:rPr>
        <w:t>Обязательное круглосуточное применение медицинских масок пациентами, представляющими риск распространения инфекции, вдвое снижает риск для окружающих;</w:t>
      </w:r>
    </w:p>
    <w:p>
      <w:pPr>
        <w:pStyle w:val="ListParagraph"/>
        <w:numPr>
          <w:ilvl w:val="0"/>
          <w:numId w:val="35"/>
        </w:numPr>
        <w:tabs>
          <w:tab w:pos="1001" w:val="left" w:leader="none"/>
        </w:tabs>
        <w:spacing w:line="309" w:lineRule="auto" w:before="0" w:after="0"/>
        <w:ind w:left="1000" w:right="676" w:hanging="339"/>
        <w:jc w:val="both"/>
        <w:rPr>
          <w:sz w:val="24"/>
        </w:rPr>
      </w:pPr>
      <w:r>
        <w:rPr>
          <w:sz w:val="24"/>
        </w:rPr>
        <w:t>Применение максимально возможных режимов естественной вентиляции (постоянного максимально возможного проветривания) позволяет достичь резкого снижения концентрации инфекционного аэрозоля в воздухе помещений и соответственно резко снизить риск распространения инфекций через</w:t>
      </w:r>
      <w:r>
        <w:rPr>
          <w:spacing w:val="-14"/>
          <w:sz w:val="24"/>
        </w:rPr>
        <w:t> </w:t>
      </w:r>
      <w:r>
        <w:rPr>
          <w:sz w:val="24"/>
        </w:rPr>
        <w:t>воздух</w:t>
      </w:r>
    </w:p>
    <w:p>
      <w:pPr>
        <w:pStyle w:val="ListParagraph"/>
        <w:numPr>
          <w:ilvl w:val="0"/>
          <w:numId w:val="35"/>
        </w:numPr>
        <w:tabs>
          <w:tab w:pos="1001" w:val="left" w:leader="none"/>
        </w:tabs>
        <w:spacing w:line="312" w:lineRule="auto" w:before="1" w:after="0"/>
        <w:ind w:left="1000" w:right="673" w:hanging="339"/>
        <w:jc w:val="both"/>
        <w:rPr>
          <w:sz w:val="24"/>
        </w:rPr>
      </w:pPr>
      <w:r>
        <w:rPr>
          <w:sz w:val="24"/>
        </w:rPr>
        <w:t>В зонах высокого риска распространения COVID-19, использование кондиционеров комнатного типа (сплит-систем) должно быть исключено, поскольку они фактически повышают риск инфицирования, так как способствуют поддержанию высоких концентраций инфекционного аэрозоля при блокированной естественной вентиляции. Применение различного рода воздухоочистителей-рециркуляторов, в том числе с источником ультрафиолетового бактерицидного излучения (УФБИ) внутри, не является эффективной мерой снижения риска распространения воздушных инфекций, включая COVID-19, из-за недостаточной производительности (кратности воздухообмена в помещении), поэтому предпочтение нужно отдавать эффективной механической вентиляции или максимальному постоянному проветриванию.</w:t>
      </w:r>
    </w:p>
    <w:p>
      <w:pPr>
        <w:pStyle w:val="BodyText"/>
        <w:spacing w:line="312" w:lineRule="auto" w:before="6"/>
        <w:ind w:right="674" w:firstLine="708"/>
      </w:pPr>
      <w:r>
        <w:rPr/>
        <w:t>В период эпидемического подъема заболеваемости COVID-19 их доступность может быть временно ограничена из-за резкого увеличения потребностей в них.</w:t>
      </w:r>
    </w:p>
    <w:p>
      <w:pPr>
        <w:spacing w:after="0" w:line="312" w:lineRule="auto"/>
        <w:sectPr>
          <w:pgSz w:w="11920" w:h="16850"/>
          <w:pgMar w:header="0" w:footer="620" w:top="1060" w:bottom="880" w:left="1380" w:right="600"/>
        </w:sectPr>
      </w:pPr>
    </w:p>
    <w:p>
      <w:pPr>
        <w:pStyle w:val="BodyText"/>
        <w:spacing w:line="312" w:lineRule="auto" w:before="78"/>
        <w:ind w:right="674"/>
      </w:pPr>
      <w:r>
        <w:rPr/>
        <w:t>Предлагаемые</w:t>
      </w:r>
      <w:r>
        <w:rPr>
          <w:spacing w:val="-7"/>
        </w:rPr>
        <w:t> </w:t>
      </w:r>
      <w:r>
        <w:rPr/>
        <w:t>рекомендации</w:t>
      </w:r>
      <w:r>
        <w:rPr>
          <w:spacing w:val="-7"/>
        </w:rPr>
        <w:t> </w:t>
      </w:r>
      <w:r>
        <w:rPr/>
        <w:t>по</w:t>
      </w:r>
      <w:r>
        <w:rPr>
          <w:spacing w:val="-5"/>
        </w:rPr>
        <w:t> </w:t>
      </w:r>
      <w:r>
        <w:rPr/>
        <w:t>более</w:t>
      </w:r>
      <w:r>
        <w:rPr>
          <w:spacing w:val="-6"/>
        </w:rPr>
        <w:t> </w:t>
      </w:r>
      <w:r>
        <w:rPr/>
        <w:t>длительному</w:t>
      </w:r>
      <w:r>
        <w:rPr>
          <w:spacing w:val="-10"/>
        </w:rPr>
        <w:t> </w:t>
      </w:r>
      <w:r>
        <w:rPr/>
        <w:t>и</w:t>
      </w:r>
      <w:r>
        <w:rPr>
          <w:spacing w:val="-4"/>
        </w:rPr>
        <w:t> </w:t>
      </w:r>
      <w:r>
        <w:rPr/>
        <w:t>повторному</w:t>
      </w:r>
      <w:r>
        <w:rPr>
          <w:spacing w:val="-12"/>
        </w:rPr>
        <w:t> </w:t>
      </w:r>
      <w:r>
        <w:rPr/>
        <w:t>использованию</w:t>
      </w:r>
      <w:r>
        <w:rPr>
          <w:spacing w:val="-5"/>
        </w:rPr>
        <w:t> </w:t>
      </w:r>
      <w:r>
        <w:rPr/>
        <w:t>СИЗ носят временный характер на период возможного недостаточного обеспечения</w:t>
      </w:r>
      <w:r>
        <w:rPr>
          <w:spacing w:val="-10"/>
        </w:rPr>
        <w:t> </w:t>
      </w:r>
      <w:r>
        <w:rPr/>
        <w:t>СИЗ.</w:t>
      </w:r>
    </w:p>
    <w:p>
      <w:pPr>
        <w:pStyle w:val="BodyText"/>
        <w:spacing w:line="312" w:lineRule="auto"/>
        <w:ind w:right="676" w:firstLine="708"/>
      </w:pPr>
      <w:r>
        <w:rPr/>
        <w:t>При дефиците респираторов в медицинской организации возможно введение режима их ограниченного повторного использования (использование одного и того же респиратора</w:t>
      </w:r>
      <w:r>
        <w:rPr>
          <w:spacing w:val="-16"/>
        </w:rPr>
        <w:t> </w:t>
      </w:r>
      <w:r>
        <w:rPr/>
        <w:t>с</w:t>
      </w:r>
      <w:r>
        <w:rPr>
          <w:spacing w:val="-15"/>
        </w:rPr>
        <w:t> </w:t>
      </w:r>
      <w:r>
        <w:rPr/>
        <w:t>надетой</w:t>
      </w:r>
      <w:r>
        <w:rPr>
          <w:spacing w:val="-11"/>
        </w:rPr>
        <w:t> </w:t>
      </w:r>
      <w:r>
        <w:rPr/>
        <w:t>поверх</w:t>
      </w:r>
      <w:r>
        <w:rPr>
          <w:spacing w:val="-12"/>
        </w:rPr>
        <w:t> </w:t>
      </w:r>
      <w:r>
        <w:rPr/>
        <w:t>него</w:t>
      </w:r>
      <w:r>
        <w:rPr>
          <w:spacing w:val="-17"/>
        </w:rPr>
        <w:t> </w:t>
      </w:r>
      <w:r>
        <w:rPr/>
        <w:t>хирургической</w:t>
      </w:r>
      <w:r>
        <w:rPr>
          <w:spacing w:val="-13"/>
        </w:rPr>
        <w:t> </w:t>
      </w:r>
      <w:r>
        <w:rPr/>
        <w:t>маской</w:t>
      </w:r>
      <w:r>
        <w:rPr>
          <w:spacing w:val="-13"/>
        </w:rPr>
        <w:t> </w:t>
      </w:r>
      <w:r>
        <w:rPr/>
        <w:t>при</w:t>
      </w:r>
      <w:r>
        <w:rPr>
          <w:spacing w:val="-12"/>
        </w:rPr>
        <w:t> </w:t>
      </w:r>
      <w:r>
        <w:rPr/>
        <w:t>многократных</w:t>
      </w:r>
      <w:r>
        <w:rPr>
          <w:spacing w:val="-12"/>
        </w:rPr>
        <w:t> </w:t>
      </w:r>
      <w:r>
        <w:rPr/>
        <w:t>контактах с пациентами, при этом после каждого контакта необходима смена верхней хирургической маски).</w:t>
      </w:r>
    </w:p>
    <w:p>
      <w:pPr>
        <w:pStyle w:val="BodyText"/>
        <w:spacing w:line="312" w:lineRule="auto"/>
        <w:ind w:right="675" w:firstLine="708"/>
      </w:pPr>
      <w:r>
        <w:rPr/>
        <w:t>Повторное  использование  респиратора   тем   же   медицинским   работником в условиях оказания помощи больным с COVID-19 возможно при выполнении следующих</w:t>
      </w:r>
      <w:r>
        <w:rPr>
          <w:spacing w:val="3"/>
        </w:rPr>
        <w:t> </w:t>
      </w:r>
      <w:r>
        <w:rPr/>
        <w:t>условий:</w:t>
      </w:r>
    </w:p>
    <w:p>
      <w:pPr>
        <w:pStyle w:val="ListParagraph"/>
        <w:numPr>
          <w:ilvl w:val="0"/>
          <w:numId w:val="35"/>
        </w:numPr>
        <w:tabs>
          <w:tab w:pos="1000" w:val="left" w:leader="none"/>
          <w:tab w:pos="1001" w:val="left" w:leader="none"/>
        </w:tabs>
        <w:spacing w:line="240" w:lineRule="auto" w:before="2" w:after="0"/>
        <w:ind w:left="1000" w:right="0" w:hanging="339"/>
        <w:jc w:val="left"/>
        <w:rPr>
          <w:sz w:val="24"/>
        </w:rPr>
      </w:pPr>
      <w:r>
        <w:rPr>
          <w:sz w:val="24"/>
        </w:rPr>
        <w:t>респиратор не</w:t>
      </w:r>
      <w:r>
        <w:rPr>
          <w:spacing w:val="-2"/>
          <w:sz w:val="24"/>
        </w:rPr>
        <w:t> </w:t>
      </w:r>
      <w:r>
        <w:rPr>
          <w:sz w:val="24"/>
        </w:rPr>
        <w:t>поврежден;</w:t>
      </w:r>
    </w:p>
    <w:p>
      <w:pPr>
        <w:pStyle w:val="ListParagraph"/>
        <w:numPr>
          <w:ilvl w:val="0"/>
          <w:numId w:val="35"/>
        </w:numPr>
        <w:tabs>
          <w:tab w:pos="1000" w:val="left" w:leader="none"/>
          <w:tab w:pos="1001" w:val="left" w:leader="none"/>
        </w:tabs>
        <w:spacing w:line="304" w:lineRule="auto" w:before="83" w:after="0"/>
        <w:ind w:left="1000" w:right="674" w:hanging="339"/>
        <w:jc w:val="left"/>
        <w:rPr>
          <w:sz w:val="24"/>
        </w:rPr>
      </w:pPr>
      <w:r>
        <w:rPr>
          <w:sz w:val="24"/>
        </w:rPr>
        <w:t>респиратор обеспечивает плотное прилегание к лицу, исключающее утечку воздуха под</w:t>
      </w:r>
      <w:r>
        <w:rPr>
          <w:spacing w:val="-2"/>
          <w:sz w:val="24"/>
        </w:rPr>
        <w:t> </w:t>
      </w:r>
      <w:r>
        <w:rPr>
          <w:sz w:val="24"/>
        </w:rPr>
        <w:t>полумаску;</w:t>
      </w:r>
    </w:p>
    <w:p>
      <w:pPr>
        <w:pStyle w:val="ListParagraph"/>
        <w:numPr>
          <w:ilvl w:val="0"/>
          <w:numId w:val="35"/>
        </w:numPr>
        <w:tabs>
          <w:tab w:pos="1000" w:val="left" w:leader="none"/>
          <w:tab w:pos="1001" w:val="left" w:leader="none"/>
        </w:tabs>
        <w:spacing w:line="304" w:lineRule="auto" w:before="11" w:after="0"/>
        <w:ind w:left="1000" w:right="676" w:hanging="339"/>
        <w:jc w:val="left"/>
        <w:rPr>
          <w:sz w:val="24"/>
        </w:rPr>
      </w:pPr>
      <w:r>
        <w:rPr>
          <w:sz w:val="24"/>
        </w:rPr>
        <w:t>респиратор не создает избыточного сопротивления дыханию из-за</w:t>
      </w:r>
      <w:r>
        <w:rPr>
          <w:spacing w:val="31"/>
          <w:sz w:val="24"/>
        </w:rPr>
        <w:t> </w:t>
      </w:r>
      <w:r>
        <w:rPr>
          <w:sz w:val="24"/>
        </w:rPr>
        <w:t>повышенной влажности;</w:t>
      </w:r>
    </w:p>
    <w:p>
      <w:pPr>
        <w:pStyle w:val="ListParagraph"/>
        <w:numPr>
          <w:ilvl w:val="0"/>
          <w:numId w:val="35"/>
        </w:numPr>
        <w:tabs>
          <w:tab w:pos="1000" w:val="left" w:leader="none"/>
          <w:tab w:pos="1001" w:val="left" w:leader="none"/>
          <w:tab w:pos="2407" w:val="left" w:leader="none"/>
          <w:tab w:pos="2886" w:val="left" w:leader="none"/>
          <w:tab w:pos="3731" w:val="left" w:leader="none"/>
          <w:tab w:pos="4902" w:val="left" w:leader="none"/>
          <w:tab w:pos="5833" w:val="left" w:leader="none"/>
          <w:tab w:pos="7556" w:val="left" w:leader="none"/>
        </w:tabs>
        <w:spacing w:line="304" w:lineRule="auto" w:before="10" w:after="0"/>
        <w:ind w:left="1000" w:right="676" w:hanging="339"/>
        <w:jc w:val="left"/>
        <w:rPr>
          <w:sz w:val="24"/>
        </w:rPr>
      </w:pPr>
      <w:r>
        <w:rPr>
          <w:sz w:val="24"/>
        </w:rPr>
        <w:t>респиратор</w:t>
        <w:tab/>
        <w:t>не</w:t>
        <w:tab/>
        <w:t>имеет</w:t>
        <w:tab/>
        <w:t>видимых</w:t>
        <w:tab/>
        <w:t>следов</w:t>
        <w:tab/>
        <w:t>контаминации</w:t>
        <w:tab/>
        <w:t>биологическими жидкостями.</w:t>
      </w:r>
    </w:p>
    <w:p>
      <w:pPr>
        <w:pStyle w:val="BodyText"/>
        <w:spacing w:before="1"/>
        <w:ind w:left="0"/>
        <w:jc w:val="left"/>
        <w:rPr>
          <w:sz w:val="33"/>
        </w:rPr>
      </w:pPr>
    </w:p>
    <w:p>
      <w:pPr>
        <w:pStyle w:val="BodyText"/>
        <w:spacing w:line="312" w:lineRule="auto"/>
        <w:ind w:right="673" w:firstLine="708"/>
      </w:pPr>
      <w:r>
        <w:rPr/>
        <w:t>Длительность и кратность повторного использования респиратора определяются выполнением всех вышеперечисленных условий. Если по крайней мере одно из вышеперечисленных условий не выполняется, безопасное повторное использование</w:t>
      </w:r>
      <w:r>
        <w:rPr>
          <w:spacing w:val="-13"/>
        </w:rPr>
        <w:t> </w:t>
      </w:r>
      <w:r>
        <w:rPr/>
        <w:t>такого</w:t>
      </w:r>
      <w:r>
        <w:rPr>
          <w:spacing w:val="-11"/>
        </w:rPr>
        <w:t> </w:t>
      </w:r>
      <w:r>
        <w:rPr/>
        <w:t>респиратора</w:t>
      </w:r>
      <w:r>
        <w:rPr>
          <w:spacing w:val="-12"/>
        </w:rPr>
        <w:t> </w:t>
      </w:r>
      <w:r>
        <w:rPr/>
        <w:t>невозможно,</w:t>
      </w:r>
      <w:r>
        <w:rPr>
          <w:spacing w:val="-11"/>
        </w:rPr>
        <w:t> </w:t>
      </w:r>
      <w:r>
        <w:rPr/>
        <w:t>и</w:t>
      </w:r>
      <w:r>
        <w:rPr>
          <w:spacing w:val="-10"/>
        </w:rPr>
        <w:t> </w:t>
      </w:r>
      <w:r>
        <w:rPr/>
        <w:t>он</w:t>
      </w:r>
      <w:r>
        <w:rPr>
          <w:spacing w:val="-10"/>
        </w:rPr>
        <w:t> </w:t>
      </w:r>
      <w:r>
        <w:rPr/>
        <w:t>подлежит</w:t>
      </w:r>
      <w:r>
        <w:rPr>
          <w:spacing w:val="-10"/>
        </w:rPr>
        <w:t> </w:t>
      </w:r>
      <w:r>
        <w:rPr/>
        <w:t>обеззараживанию</w:t>
      </w:r>
      <w:r>
        <w:rPr>
          <w:spacing w:val="-10"/>
        </w:rPr>
        <w:t> </w:t>
      </w:r>
      <w:r>
        <w:rPr/>
        <w:t>и/или обезвреживанию с последующим  захоронением  или  уничтожением  в  соответствии с требованиями к медицинским отходам класса</w:t>
      </w:r>
      <w:r>
        <w:rPr>
          <w:spacing w:val="-3"/>
        </w:rPr>
        <w:t> </w:t>
      </w:r>
      <w:r>
        <w:rPr/>
        <w:t>В.</w:t>
      </w:r>
    </w:p>
    <w:p>
      <w:pPr>
        <w:pStyle w:val="BodyText"/>
        <w:spacing w:line="312" w:lineRule="auto"/>
        <w:ind w:right="674" w:firstLine="708"/>
      </w:pPr>
      <w:r>
        <w:rPr/>
        <w:t>Если предполагается повторное использование респиратора, его маркируют инициалами пользователя, дезинфицируют ультрафиолетовым бактерицидным облучением, дают полностью высохнуть, если респиратор влажный, и до использования хранят в бумажном пакете или салфетке.</w:t>
      </w:r>
    </w:p>
    <w:p>
      <w:pPr>
        <w:pStyle w:val="BodyText"/>
        <w:spacing w:line="312" w:lineRule="auto"/>
        <w:ind w:right="672" w:firstLine="708"/>
      </w:pPr>
      <w:r>
        <w:rPr/>
        <w:t>Допустимо применение УФБИ для обеззараживания наружной поверхности использованных респираторов и их повторного использования. УФБИ, не проникая глубоко</w:t>
      </w:r>
      <w:r>
        <w:rPr>
          <w:spacing w:val="-16"/>
        </w:rPr>
        <w:t> </w:t>
      </w:r>
      <w:r>
        <w:rPr/>
        <w:t>внутрь</w:t>
      </w:r>
      <w:r>
        <w:rPr>
          <w:spacing w:val="-15"/>
        </w:rPr>
        <w:t> </w:t>
      </w:r>
      <w:r>
        <w:rPr/>
        <w:t>фильтрующего</w:t>
      </w:r>
      <w:r>
        <w:rPr>
          <w:spacing w:val="-13"/>
        </w:rPr>
        <w:t> </w:t>
      </w:r>
      <w:r>
        <w:rPr/>
        <w:t>материала,</w:t>
      </w:r>
      <w:r>
        <w:rPr>
          <w:spacing w:val="-16"/>
        </w:rPr>
        <w:t> </w:t>
      </w:r>
      <w:r>
        <w:rPr/>
        <w:t>эффективно</w:t>
      </w:r>
      <w:r>
        <w:rPr>
          <w:spacing w:val="-15"/>
        </w:rPr>
        <w:t> </w:t>
      </w:r>
      <w:r>
        <w:rPr/>
        <w:t>обеззараживает</w:t>
      </w:r>
      <w:r>
        <w:rPr>
          <w:spacing w:val="-15"/>
        </w:rPr>
        <w:t> </w:t>
      </w:r>
      <w:r>
        <w:rPr/>
        <w:t>его</w:t>
      </w:r>
      <w:r>
        <w:rPr>
          <w:spacing w:val="-16"/>
        </w:rPr>
        <w:t> </w:t>
      </w:r>
      <w:r>
        <w:rPr/>
        <w:t>облучаемую поверхность, резко снижая риск контактного инфицирования. Для обеззараживания поверхности респиратора его оставляют в тщательно расправленном виде наружной поверхностью вверх по направлению к УФБИ облучателю открытого типа на расстоянии не более 2 м от него на не менее чем 30 минут. Суммарной дозы УФБИ достаточно для надежного обеззараживания незатененной поверхности фильтрующей полумаски для безопасного повторного ее использования при соблюдение вышеперечисленных стандартных мер предупреждения контактного</w:t>
      </w:r>
      <w:r>
        <w:rPr>
          <w:spacing w:val="-9"/>
        </w:rPr>
        <w:t> </w:t>
      </w:r>
      <w:r>
        <w:rPr/>
        <w:t>инфицирования.</w:t>
      </w:r>
    </w:p>
    <w:p>
      <w:pPr>
        <w:spacing w:after="0" w:line="312" w:lineRule="auto"/>
        <w:sectPr>
          <w:pgSz w:w="11920" w:h="16850"/>
          <w:pgMar w:header="0" w:footer="620" w:top="1060" w:bottom="880" w:left="1380" w:right="600"/>
        </w:sectPr>
      </w:pPr>
    </w:p>
    <w:p>
      <w:pPr>
        <w:pStyle w:val="BodyText"/>
        <w:spacing w:line="312" w:lineRule="auto" w:before="78"/>
        <w:ind w:right="672" w:firstLine="708"/>
      </w:pPr>
      <w:r>
        <w:rPr/>
        <w:t>Использованные респираторы нельзя мыть, механически чистить, обрабатывать дезинфектантами, обеззараживать высокими температурами, паром и т.д. Между периодами повторного использования респиратор должен храниться в расправленном виде в сухом чистом месте (в салфетке или бумажном пакете с инициалами пользователя). Передача респиратора для использования другим человеком не допускается.</w:t>
      </w:r>
    </w:p>
    <w:p>
      <w:pPr>
        <w:pStyle w:val="BodyText"/>
        <w:spacing w:line="312" w:lineRule="auto"/>
        <w:ind w:right="675" w:firstLine="708"/>
      </w:pPr>
      <w:r>
        <w:rPr/>
        <w:t>Использование поверх правильно надетого респиратора медицинской (хирургической) маски позволяет резко снизить вероятность контаминации наружной поверхности респиратора биологическими жидкостями. При этом после каждого снятия респиратора маска должна быть  сброшена в контейнер для отходов класса В,  а респиратор может использоваться</w:t>
      </w:r>
      <w:r>
        <w:rPr>
          <w:spacing w:val="-2"/>
        </w:rPr>
        <w:t> </w:t>
      </w:r>
      <w:r>
        <w:rPr/>
        <w:t>повторно.</w:t>
      </w:r>
    </w:p>
    <w:p>
      <w:pPr>
        <w:pStyle w:val="BodyText"/>
        <w:spacing w:line="312" w:lineRule="auto"/>
        <w:ind w:right="671" w:firstLine="708"/>
      </w:pPr>
      <w:r>
        <w:rPr/>
        <w:t>При ограниченном ресурсе респираторов в исключительных случаях допускается использование одноразовых хирургических масок при оказании медицинской помощи пациентам, не нуждающимся в проведении аэрозоль- генерирующих процедур (оксигенация, интубация, санация бронхиального дерева, ИВЛ</w:t>
      </w:r>
      <w:r>
        <w:rPr>
          <w:spacing w:val="-9"/>
        </w:rPr>
        <w:t> </w:t>
      </w:r>
      <w:r>
        <w:rPr/>
        <w:t>и</w:t>
      </w:r>
      <w:r>
        <w:rPr>
          <w:spacing w:val="-8"/>
        </w:rPr>
        <w:t> </w:t>
      </w:r>
      <w:r>
        <w:rPr/>
        <w:t>др.).</w:t>
      </w:r>
      <w:r>
        <w:rPr>
          <w:spacing w:val="-9"/>
        </w:rPr>
        <w:t> </w:t>
      </w:r>
      <w:r>
        <w:rPr/>
        <w:t>В</w:t>
      </w:r>
      <w:r>
        <w:rPr>
          <w:spacing w:val="-10"/>
        </w:rPr>
        <w:t> </w:t>
      </w:r>
      <w:r>
        <w:rPr/>
        <w:t>этом</w:t>
      </w:r>
      <w:r>
        <w:rPr>
          <w:spacing w:val="-9"/>
        </w:rPr>
        <w:t> </w:t>
      </w:r>
      <w:r>
        <w:rPr/>
        <w:t>случае</w:t>
      </w:r>
      <w:r>
        <w:rPr>
          <w:spacing w:val="-10"/>
        </w:rPr>
        <w:t> </w:t>
      </w:r>
      <w:r>
        <w:rPr/>
        <w:t>хирургическая</w:t>
      </w:r>
      <w:r>
        <w:rPr>
          <w:spacing w:val="-9"/>
        </w:rPr>
        <w:t> </w:t>
      </w:r>
      <w:r>
        <w:rPr/>
        <w:t>маска</w:t>
      </w:r>
      <w:r>
        <w:rPr>
          <w:spacing w:val="-7"/>
        </w:rPr>
        <w:t> </w:t>
      </w:r>
      <w:r>
        <w:rPr/>
        <w:t>должна</w:t>
      </w:r>
      <w:r>
        <w:rPr>
          <w:spacing w:val="-10"/>
        </w:rPr>
        <w:t> </w:t>
      </w:r>
      <w:r>
        <w:rPr/>
        <w:t>быть</w:t>
      </w:r>
      <w:r>
        <w:rPr>
          <w:spacing w:val="-8"/>
        </w:rPr>
        <w:t> </w:t>
      </w:r>
      <w:r>
        <w:rPr/>
        <w:t>также</w:t>
      </w:r>
      <w:r>
        <w:rPr>
          <w:spacing w:val="-10"/>
        </w:rPr>
        <w:t> </w:t>
      </w:r>
      <w:r>
        <w:rPr/>
        <w:t>надета</w:t>
      </w:r>
      <w:r>
        <w:rPr>
          <w:spacing w:val="-10"/>
        </w:rPr>
        <w:t> </w:t>
      </w:r>
      <w:r>
        <w:rPr/>
        <w:t>на</w:t>
      </w:r>
      <w:r>
        <w:rPr>
          <w:spacing w:val="-10"/>
        </w:rPr>
        <w:t> </w:t>
      </w:r>
      <w:r>
        <w:rPr/>
        <w:t>пациента.</w:t>
      </w:r>
    </w:p>
    <w:p>
      <w:pPr>
        <w:pStyle w:val="BodyText"/>
        <w:spacing w:before="5"/>
        <w:ind w:left="0"/>
        <w:jc w:val="left"/>
        <w:rPr>
          <w:sz w:val="31"/>
        </w:rPr>
      </w:pPr>
    </w:p>
    <w:p>
      <w:pPr>
        <w:pStyle w:val="Heading2"/>
        <w:numPr>
          <w:ilvl w:val="0"/>
          <w:numId w:val="37"/>
        </w:numPr>
        <w:tabs>
          <w:tab w:pos="1311" w:val="left" w:leader="none"/>
        </w:tabs>
        <w:spacing w:line="297" w:lineRule="auto" w:before="0" w:after="0"/>
        <w:ind w:left="1029" w:right="683" w:firstLine="0"/>
        <w:jc w:val="left"/>
      </w:pPr>
      <w:bookmarkStart w:name="8. ПОРЯДОК ПРОВЕДЕНИЯ ПАТОЛОГОАНАТОМИЧЕС" w:id="151"/>
      <w:bookmarkEnd w:id="151"/>
      <w:r>
        <w:rPr>
          <w:b w:val="0"/>
        </w:rPr>
      </w:r>
      <w:bookmarkStart w:name="_bookmark33" w:id="152"/>
      <w:bookmarkEnd w:id="152"/>
      <w:r>
        <w:rPr>
          <w:b w:val="0"/>
        </w:rPr>
      </w:r>
      <w:bookmarkStart w:name="_bookmark33" w:id="153"/>
      <w:bookmarkEnd w:id="153"/>
      <w:r>
        <w:rPr>
          <w:color w:val="1F487C"/>
        </w:rPr>
        <w:t>ПО</w:t>
      </w:r>
      <w:r>
        <w:rPr>
          <w:color w:val="1F487C"/>
        </w:rPr>
        <w:t>РЯДОК ПРОВЕДЕНИЯ ПАТОЛОГОАНАТОМИЧЕСКИХ ВСКРЫТИЙ</w:t>
      </w:r>
    </w:p>
    <w:p>
      <w:pPr>
        <w:pStyle w:val="BodyText"/>
        <w:spacing w:line="312" w:lineRule="auto" w:before="125"/>
        <w:ind w:right="673" w:firstLine="708"/>
      </w:pPr>
      <w:r>
        <w:rPr/>
        <w:t>В случае смерти в стационаре больного с установленным при жизни диагнозом COVID-19 или отнесенного к категории «подозрительный и вероятный случай COVID-19» патологоанатомическое вскрытие в соответствии с Федеральным</w:t>
      </w:r>
      <w:r>
        <w:rPr>
          <w:spacing w:val="55"/>
        </w:rPr>
        <w:t> </w:t>
      </w:r>
      <w:r>
        <w:rPr/>
        <w:t>законом</w:t>
      </w:r>
    </w:p>
    <w:p>
      <w:pPr>
        <w:pStyle w:val="BodyText"/>
        <w:spacing w:line="312" w:lineRule="auto" w:before="1"/>
        <w:ind w:right="675"/>
      </w:pPr>
      <w:r>
        <w:rPr/>
        <w:t>№323-ФЗ от 21.11.2011 </w:t>
      </w:r>
      <w:r>
        <w:rPr>
          <w:spacing w:val="-3"/>
        </w:rPr>
        <w:t>«Об </w:t>
      </w:r>
      <w:r>
        <w:rPr/>
        <w:t>основах охраны здоровья граждан в Российской Федерации» и приказом Минздрава России № 354н от 06.06.2013 </w:t>
      </w:r>
      <w:r>
        <w:rPr>
          <w:spacing w:val="-4"/>
        </w:rPr>
        <w:t>«О</w:t>
      </w:r>
      <w:r>
        <w:rPr>
          <w:spacing w:val="52"/>
        </w:rPr>
        <w:t> </w:t>
      </w:r>
      <w:r>
        <w:rPr/>
        <w:t>порядке проведения патологоанатомических вскрытий» проводится в специально перепрофилированных для подобных вскрытий, в том числе, межстационарных патологоанатомических отделениях, с соблюдением правил биобезопасности. Отмена вскрытия не допускается. Категория сложности 5 (приложение 1 Приказа №354н).</w:t>
      </w:r>
    </w:p>
    <w:p>
      <w:pPr>
        <w:pStyle w:val="BodyText"/>
        <w:spacing w:line="312" w:lineRule="auto" w:before="12"/>
        <w:ind w:right="674" w:firstLine="708"/>
      </w:pPr>
      <w:r>
        <w:rPr/>
        <w:t>Администрация патологоанатомических бюро, больниц, имеющих в своем составе патологоанатомические отделения, и бюро судебно-медицинской экспертизы обеспечивает   соблюдение   требований   СП   1.3.3118-13    «Безопасность    работы   с микроорганизмами I-II групп патогенности (опасности)» и другими нормативными  и методическими документами в отдельной</w:t>
      </w:r>
      <w:r>
        <w:rPr>
          <w:spacing w:val="2"/>
        </w:rPr>
        <w:t> </w:t>
      </w:r>
      <w:r>
        <w:rPr/>
        <w:t>секционной.</w:t>
      </w:r>
    </w:p>
    <w:p>
      <w:pPr>
        <w:pStyle w:val="BodyText"/>
        <w:spacing w:line="312" w:lineRule="auto" w:before="16"/>
        <w:ind w:right="675" w:firstLine="708"/>
      </w:pPr>
      <w:r>
        <w:rPr/>
        <w:t>В патологоанатомическом отделении должен быть полный набор инструкций   и необходимых средств для их</w:t>
      </w:r>
      <w:r>
        <w:rPr>
          <w:spacing w:val="3"/>
        </w:rPr>
        <w:t> </w:t>
      </w:r>
      <w:r>
        <w:rPr/>
        <w:t>реализации:</w:t>
      </w:r>
    </w:p>
    <w:p>
      <w:pPr>
        <w:pStyle w:val="BodyText"/>
        <w:spacing w:before="9"/>
        <w:ind w:left="0"/>
        <w:jc w:val="left"/>
        <w:rPr>
          <w:sz w:val="33"/>
        </w:rPr>
      </w:pPr>
    </w:p>
    <w:p>
      <w:pPr>
        <w:pStyle w:val="ListParagraph"/>
        <w:numPr>
          <w:ilvl w:val="0"/>
          <w:numId w:val="35"/>
        </w:numPr>
        <w:tabs>
          <w:tab w:pos="1000" w:val="left" w:leader="none"/>
          <w:tab w:pos="1001" w:val="left" w:leader="none"/>
        </w:tabs>
        <w:spacing w:line="240" w:lineRule="auto" w:before="0" w:after="0"/>
        <w:ind w:left="1000" w:right="0" w:hanging="339"/>
        <w:jc w:val="left"/>
        <w:rPr>
          <w:sz w:val="24"/>
        </w:rPr>
      </w:pPr>
      <w:r>
        <w:rPr>
          <w:sz w:val="24"/>
        </w:rPr>
        <w:t>Методическая папка с оперативным планом</w:t>
      </w:r>
      <w:r>
        <w:rPr>
          <w:spacing w:val="-5"/>
          <w:sz w:val="24"/>
        </w:rPr>
        <w:t> </w:t>
      </w:r>
      <w:r>
        <w:rPr>
          <w:sz w:val="24"/>
        </w:rPr>
        <w:t>противоэпидемических</w:t>
      </w:r>
    </w:p>
    <w:p>
      <w:pPr>
        <w:pStyle w:val="ListParagraph"/>
        <w:numPr>
          <w:ilvl w:val="0"/>
          <w:numId w:val="35"/>
        </w:numPr>
        <w:tabs>
          <w:tab w:pos="1000" w:val="left" w:leader="none"/>
          <w:tab w:pos="1001" w:val="left" w:leader="none"/>
        </w:tabs>
        <w:spacing w:line="240" w:lineRule="auto" w:before="80" w:after="0"/>
        <w:ind w:left="1000" w:right="0" w:hanging="339"/>
        <w:jc w:val="left"/>
        <w:rPr>
          <w:sz w:val="24"/>
        </w:rPr>
      </w:pPr>
      <w:r>
        <w:rPr>
          <w:sz w:val="24"/>
        </w:rPr>
        <w:t>мероприятий в случае выявления больного</w:t>
      </w:r>
      <w:r>
        <w:rPr>
          <w:spacing w:val="-5"/>
          <w:sz w:val="24"/>
        </w:rPr>
        <w:t> </w:t>
      </w:r>
      <w:r>
        <w:rPr>
          <w:sz w:val="24"/>
        </w:rPr>
        <w:t>COVID-19;</w:t>
      </w:r>
    </w:p>
    <w:p>
      <w:pPr>
        <w:pStyle w:val="ListParagraph"/>
        <w:numPr>
          <w:ilvl w:val="0"/>
          <w:numId w:val="35"/>
        </w:numPr>
        <w:tabs>
          <w:tab w:pos="1000" w:val="left" w:leader="none"/>
          <w:tab w:pos="1001" w:val="left" w:leader="none"/>
        </w:tabs>
        <w:spacing w:line="240" w:lineRule="auto" w:before="83" w:after="0"/>
        <w:ind w:left="1000" w:right="0" w:hanging="339"/>
        <w:jc w:val="left"/>
        <w:rPr>
          <w:sz w:val="24"/>
        </w:rPr>
      </w:pPr>
      <w:r>
        <w:rPr>
          <w:sz w:val="24"/>
        </w:rPr>
        <w:t>Схема</w:t>
      </w:r>
      <w:r>
        <w:rPr>
          <w:spacing w:val="-1"/>
          <w:sz w:val="24"/>
        </w:rPr>
        <w:t> </w:t>
      </w:r>
      <w:r>
        <w:rPr>
          <w:sz w:val="24"/>
        </w:rPr>
        <w:t>оповещения;</w:t>
      </w:r>
    </w:p>
    <w:p>
      <w:pPr>
        <w:spacing w:after="0" w:line="240" w:lineRule="auto"/>
        <w:jc w:val="left"/>
        <w:rPr>
          <w:sz w:val="24"/>
        </w:rPr>
        <w:sectPr>
          <w:pgSz w:w="11920" w:h="16850"/>
          <w:pgMar w:header="0" w:footer="620" w:top="1060" w:bottom="880" w:left="1380" w:right="600"/>
        </w:sectPr>
      </w:pPr>
    </w:p>
    <w:p>
      <w:pPr>
        <w:pStyle w:val="ListParagraph"/>
        <w:numPr>
          <w:ilvl w:val="0"/>
          <w:numId w:val="35"/>
        </w:numPr>
        <w:tabs>
          <w:tab w:pos="1001" w:val="left" w:leader="none"/>
        </w:tabs>
        <w:spacing w:line="304" w:lineRule="auto" w:before="80" w:after="0"/>
        <w:ind w:left="1000" w:right="676" w:hanging="339"/>
        <w:jc w:val="both"/>
        <w:rPr>
          <w:sz w:val="24"/>
        </w:rPr>
      </w:pPr>
      <w:r>
        <w:rPr>
          <w:sz w:val="24"/>
        </w:rPr>
        <w:t>Памятка по технике вскрытия и забора материала для бактериологического исследования;</w:t>
      </w:r>
    </w:p>
    <w:p>
      <w:pPr>
        <w:pStyle w:val="ListParagraph"/>
        <w:numPr>
          <w:ilvl w:val="0"/>
          <w:numId w:val="35"/>
        </w:numPr>
        <w:tabs>
          <w:tab w:pos="1001" w:val="left" w:leader="none"/>
        </w:tabs>
        <w:spacing w:line="240" w:lineRule="auto" w:before="11" w:after="0"/>
        <w:ind w:left="1000" w:right="0" w:hanging="339"/>
        <w:jc w:val="both"/>
        <w:rPr>
          <w:sz w:val="24"/>
        </w:rPr>
      </w:pPr>
      <w:r>
        <w:rPr>
          <w:sz w:val="24"/>
        </w:rPr>
        <w:t>Функциональные обязанности на всех сотрудников</w:t>
      </w:r>
      <w:r>
        <w:rPr>
          <w:spacing w:val="-5"/>
          <w:sz w:val="24"/>
        </w:rPr>
        <w:t> </w:t>
      </w:r>
      <w:r>
        <w:rPr>
          <w:sz w:val="24"/>
        </w:rPr>
        <w:t>отделения;</w:t>
      </w:r>
    </w:p>
    <w:p>
      <w:pPr>
        <w:pStyle w:val="ListParagraph"/>
        <w:numPr>
          <w:ilvl w:val="0"/>
          <w:numId w:val="35"/>
        </w:numPr>
        <w:tabs>
          <w:tab w:pos="1001" w:val="left" w:leader="none"/>
        </w:tabs>
        <w:spacing w:line="309" w:lineRule="auto" w:before="82" w:after="0"/>
        <w:ind w:left="1000" w:right="672" w:hanging="339"/>
        <w:jc w:val="both"/>
        <w:rPr>
          <w:sz w:val="24"/>
        </w:rPr>
      </w:pPr>
      <w:r>
        <w:rPr>
          <w:sz w:val="24"/>
        </w:rPr>
        <w:t>Защитная  одежда  (противочумный   костюм   1   типа,   СИЗ   типа   «Кварц»   и подобные, допускается противочумный костюм II типа с дополнительным надеванием двойных хирургических перчаток и непрорезаемых синтетических перчаток между ними, защитных очков, клеенчатого или полиэтиленового (ламинированного)</w:t>
      </w:r>
      <w:r>
        <w:rPr>
          <w:spacing w:val="-13"/>
          <w:sz w:val="24"/>
        </w:rPr>
        <w:t> </w:t>
      </w:r>
      <w:r>
        <w:rPr>
          <w:sz w:val="24"/>
        </w:rPr>
        <w:t>фартука,</w:t>
      </w:r>
      <w:r>
        <w:rPr>
          <w:spacing w:val="-11"/>
          <w:sz w:val="24"/>
        </w:rPr>
        <w:t> </w:t>
      </w:r>
      <w:r>
        <w:rPr>
          <w:sz w:val="24"/>
        </w:rPr>
        <w:t>нарукавников</w:t>
      </w:r>
      <w:r>
        <w:rPr>
          <w:spacing w:val="-13"/>
          <w:sz w:val="24"/>
        </w:rPr>
        <w:t> </w:t>
      </w:r>
      <w:r>
        <w:rPr>
          <w:sz w:val="24"/>
        </w:rPr>
        <w:t>из</w:t>
      </w:r>
      <w:r>
        <w:rPr>
          <w:spacing w:val="-10"/>
          <w:sz w:val="24"/>
        </w:rPr>
        <w:t> </w:t>
      </w:r>
      <w:r>
        <w:rPr>
          <w:sz w:val="24"/>
        </w:rPr>
        <w:t>подобного</w:t>
      </w:r>
      <w:r>
        <w:rPr>
          <w:spacing w:val="-11"/>
          <w:sz w:val="24"/>
        </w:rPr>
        <w:t> </w:t>
      </w:r>
      <w:r>
        <w:rPr>
          <w:sz w:val="24"/>
        </w:rPr>
        <w:t>материала;</w:t>
      </w:r>
      <w:r>
        <w:rPr>
          <w:spacing w:val="-12"/>
          <w:sz w:val="24"/>
        </w:rPr>
        <w:t> </w:t>
      </w:r>
      <w:r>
        <w:rPr>
          <w:sz w:val="24"/>
        </w:rPr>
        <w:t>необходимо использовать респираторы класса</w:t>
      </w:r>
      <w:r>
        <w:rPr>
          <w:spacing w:val="-1"/>
          <w:sz w:val="24"/>
        </w:rPr>
        <w:t> </w:t>
      </w:r>
      <w:r>
        <w:rPr>
          <w:sz w:val="24"/>
        </w:rPr>
        <w:t>FFP3);</w:t>
      </w:r>
    </w:p>
    <w:p>
      <w:pPr>
        <w:pStyle w:val="ListParagraph"/>
        <w:numPr>
          <w:ilvl w:val="0"/>
          <w:numId w:val="35"/>
        </w:numPr>
        <w:tabs>
          <w:tab w:pos="1000" w:val="left" w:leader="none"/>
          <w:tab w:pos="1001" w:val="left" w:leader="none"/>
        </w:tabs>
        <w:spacing w:line="240" w:lineRule="auto" w:before="11" w:after="0"/>
        <w:ind w:left="1000" w:right="0" w:hanging="339"/>
        <w:jc w:val="left"/>
        <w:rPr>
          <w:sz w:val="24"/>
        </w:rPr>
      </w:pPr>
      <w:r>
        <w:rPr>
          <w:sz w:val="24"/>
        </w:rPr>
        <w:t>Укладка для забора</w:t>
      </w:r>
      <w:r>
        <w:rPr>
          <w:spacing w:val="-3"/>
          <w:sz w:val="24"/>
        </w:rPr>
        <w:t> </w:t>
      </w:r>
      <w:r>
        <w:rPr>
          <w:sz w:val="24"/>
        </w:rPr>
        <w:t>материала;</w:t>
      </w:r>
    </w:p>
    <w:p>
      <w:pPr>
        <w:pStyle w:val="ListParagraph"/>
        <w:numPr>
          <w:ilvl w:val="0"/>
          <w:numId w:val="35"/>
        </w:numPr>
        <w:tabs>
          <w:tab w:pos="1000" w:val="left" w:leader="none"/>
          <w:tab w:pos="1001" w:val="left" w:leader="none"/>
        </w:tabs>
        <w:spacing w:line="240" w:lineRule="auto" w:before="82" w:after="0"/>
        <w:ind w:left="1000" w:right="0" w:hanging="339"/>
        <w:jc w:val="left"/>
        <w:rPr>
          <w:sz w:val="24"/>
        </w:rPr>
      </w:pPr>
      <w:r>
        <w:rPr>
          <w:sz w:val="24"/>
        </w:rPr>
        <w:t>Стерильный секционный</w:t>
      </w:r>
      <w:r>
        <w:rPr>
          <w:spacing w:val="1"/>
          <w:sz w:val="24"/>
        </w:rPr>
        <w:t> </w:t>
      </w:r>
      <w:r>
        <w:rPr>
          <w:sz w:val="24"/>
        </w:rPr>
        <w:t>набор;</w:t>
      </w:r>
    </w:p>
    <w:p>
      <w:pPr>
        <w:pStyle w:val="ListParagraph"/>
        <w:numPr>
          <w:ilvl w:val="0"/>
          <w:numId w:val="35"/>
        </w:numPr>
        <w:tabs>
          <w:tab w:pos="1000" w:val="left" w:leader="none"/>
          <w:tab w:pos="1001" w:val="left" w:leader="none"/>
        </w:tabs>
        <w:spacing w:line="240" w:lineRule="auto" w:before="81" w:after="0"/>
        <w:ind w:left="1000" w:right="0" w:hanging="339"/>
        <w:jc w:val="left"/>
        <w:rPr>
          <w:sz w:val="24"/>
        </w:rPr>
      </w:pPr>
      <w:r>
        <w:rPr>
          <w:sz w:val="24"/>
        </w:rPr>
        <w:t>Запас дезинфицирующих средств и емкости для их</w:t>
      </w:r>
      <w:r>
        <w:rPr>
          <w:spacing w:val="1"/>
          <w:sz w:val="24"/>
        </w:rPr>
        <w:t> </w:t>
      </w:r>
      <w:r>
        <w:rPr>
          <w:sz w:val="24"/>
        </w:rPr>
        <w:t>приготовления.</w:t>
      </w:r>
    </w:p>
    <w:p>
      <w:pPr>
        <w:pStyle w:val="BodyText"/>
        <w:spacing w:before="4"/>
        <w:ind w:left="0"/>
        <w:jc w:val="left"/>
        <w:rPr>
          <w:sz w:val="39"/>
        </w:rPr>
      </w:pPr>
    </w:p>
    <w:p>
      <w:pPr>
        <w:pStyle w:val="BodyText"/>
        <w:spacing w:line="312" w:lineRule="auto"/>
        <w:ind w:right="674" w:firstLine="708"/>
      </w:pPr>
      <w:r>
        <w:rPr/>
        <w:t>Медицинские отходы, образующиеся в результате патологоанатомического вскрытия   таких   трупов,    подлежат    обеззараживанию    и/или    обезвреживанию  в соответствии с требованиями к медицинским отходам класса В (СанПиН</w:t>
      </w:r>
      <w:r>
        <w:rPr>
          <w:spacing w:val="1"/>
        </w:rPr>
        <w:t> </w:t>
      </w:r>
      <w:r>
        <w:rPr/>
        <w:t>2.1.7.2790-</w:t>
      </w:r>
    </w:p>
    <w:p>
      <w:pPr>
        <w:pStyle w:val="BodyText"/>
        <w:spacing w:line="312" w:lineRule="auto" w:before="1"/>
        <w:ind w:right="676"/>
      </w:pPr>
      <w:r>
        <w:rPr/>
        <w:t>10 «Санитарно-эпидемиологические требования к обращению с медицинскими отходами»).</w:t>
      </w:r>
    </w:p>
    <w:p>
      <w:pPr>
        <w:pStyle w:val="BodyText"/>
        <w:spacing w:line="312" w:lineRule="auto" w:before="15"/>
        <w:ind w:right="674" w:firstLine="708"/>
      </w:pPr>
      <w:r>
        <w:rPr/>
        <w:t>Вскрытие проводит или контролирует его заведующий или наиболее опытный патологоанатом.</w:t>
      </w:r>
      <w:r>
        <w:rPr>
          <w:spacing w:val="-11"/>
        </w:rPr>
        <w:t> </w:t>
      </w:r>
      <w:r>
        <w:rPr/>
        <w:t>К</w:t>
      </w:r>
      <w:r>
        <w:rPr>
          <w:spacing w:val="-9"/>
        </w:rPr>
        <w:t> </w:t>
      </w:r>
      <w:r>
        <w:rPr/>
        <w:t>проведению</w:t>
      </w:r>
      <w:r>
        <w:rPr>
          <w:spacing w:val="-9"/>
        </w:rPr>
        <w:t> </w:t>
      </w:r>
      <w:r>
        <w:rPr/>
        <w:t>патологоанатомического</w:t>
      </w:r>
      <w:r>
        <w:rPr>
          <w:spacing w:val="-11"/>
        </w:rPr>
        <w:t> </w:t>
      </w:r>
      <w:r>
        <w:rPr/>
        <w:t>вскрытия</w:t>
      </w:r>
      <w:r>
        <w:rPr>
          <w:spacing w:val="-10"/>
        </w:rPr>
        <w:t> </w:t>
      </w:r>
      <w:r>
        <w:rPr/>
        <w:t>допускаются</w:t>
      </w:r>
      <w:r>
        <w:rPr>
          <w:spacing w:val="-10"/>
        </w:rPr>
        <w:t> </w:t>
      </w:r>
      <w:r>
        <w:rPr/>
        <w:t>врачи- патологоанатомы, медицинские техники (лаборанты) и санитары патологоанатомического отделения, прошедшие инструктаж, специальное обучение (очное или дистанционное). Вскрытие должно быть проведено в максимально возможные ранние сроки. Время вскрытия необходимо сократить до минимума. Вскрытие</w:t>
      </w:r>
      <w:r>
        <w:rPr>
          <w:spacing w:val="21"/>
        </w:rPr>
        <w:t> </w:t>
      </w:r>
      <w:r>
        <w:rPr/>
        <w:t>проводится</w:t>
      </w:r>
      <w:r>
        <w:rPr>
          <w:spacing w:val="22"/>
        </w:rPr>
        <w:t> </w:t>
      </w:r>
      <w:r>
        <w:rPr/>
        <w:t>без</w:t>
      </w:r>
      <w:r>
        <w:rPr>
          <w:spacing w:val="23"/>
        </w:rPr>
        <w:t> </w:t>
      </w:r>
      <w:r>
        <w:rPr/>
        <w:t>применения</w:t>
      </w:r>
      <w:r>
        <w:rPr>
          <w:spacing w:val="22"/>
        </w:rPr>
        <w:t> </w:t>
      </w:r>
      <w:r>
        <w:rPr/>
        <w:t>воды</w:t>
      </w:r>
      <w:r>
        <w:rPr>
          <w:spacing w:val="21"/>
        </w:rPr>
        <w:t> </w:t>
      </w:r>
      <w:r>
        <w:rPr/>
        <w:t>при</w:t>
      </w:r>
      <w:r>
        <w:rPr>
          <w:spacing w:val="23"/>
        </w:rPr>
        <w:t> </w:t>
      </w:r>
      <w:r>
        <w:rPr/>
        <w:t>отключенном</w:t>
      </w:r>
      <w:r>
        <w:rPr>
          <w:spacing w:val="22"/>
        </w:rPr>
        <w:t> </w:t>
      </w:r>
      <w:r>
        <w:rPr/>
        <w:t>стоке,</w:t>
      </w:r>
      <w:r>
        <w:rPr>
          <w:spacing w:val="22"/>
        </w:rPr>
        <w:t> </w:t>
      </w:r>
      <w:r>
        <w:rPr/>
        <w:t>так</w:t>
      </w:r>
      <w:r>
        <w:rPr>
          <w:spacing w:val="23"/>
        </w:rPr>
        <w:t> </w:t>
      </w:r>
      <w:r>
        <w:rPr/>
        <w:t>называемое</w:t>
      </w:r>
    </w:p>
    <w:p>
      <w:pPr>
        <w:pStyle w:val="BodyText"/>
        <w:spacing w:line="312" w:lineRule="auto"/>
        <w:ind w:right="674"/>
      </w:pPr>
      <w:r>
        <w:rPr/>
        <w:t>«сухое вскрытие». При вскрытии, особенно черепа, необходимо исключить образование аэрозолей. Аутопсийный  материал  (кусочки  легкого,  трахеи,  бронхов и селезенки)   в   кратчайшие    сроки    направляется    в    ФБУЗ    «Центр    гигиены  и эпидемиологии» в субъекте Российской Федерации на предмет наличия COVID-19, а также других вирусных и бактериальных возбудителей ОРИ. Объем и вид биологического материала согласовывается с территориальным органом Роспотребнадзора.</w:t>
      </w:r>
    </w:p>
    <w:p>
      <w:pPr>
        <w:pStyle w:val="BodyText"/>
        <w:spacing w:line="312" w:lineRule="auto" w:before="12"/>
        <w:ind w:right="674" w:firstLine="708"/>
      </w:pPr>
      <w:r>
        <w:rPr/>
        <w:t>Для гистологического исследования забирают образцы каждого органа. Фиксацию производят в 10% нейтральном забуференном растворе формалина, после фиксации в растворе формалина не менее одних суток материал биологически безопасен. Фиксация кусочков по продолжительности должна соответствовать размерам кусочка и может быть при необходимости увеличена до 48-72 ч. После фиксации и гистологической проводки кусочки ткани эпидемиологической опасности не представляют, и дальнейшая пробоподготовка проводится обычным образом.</w:t>
      </w:r>
    </w:p>
    <w:p>
      <w:pPr>
        <w:spacing w:after="0" w:line="312" w:lineRule="auto"/>
        <w:sectPr>
          <w:pgSz w:w="11920" w:h="16850"/>
          <w:pgMar w:header="0" w:footer="620" w:top="1060" w:bottom="880" w:left="1380" w:right="600"/>
        </w:sectPr>
      </w:pPr>
    </w:p>
    <w:p>
      <w:pPr>
        <w:pStyle w:val="BodyText"/>
        <w:spacing w:line="312" w:lineRule="auto" w:before="78"/>
        <w:ind w:right="674"/>
      </w:pPr>
      <w:r>
        <w:rPr/>
        <w:t>Микроскопическое исследование включает в обязательном порядке: трахею (проксимальный и дистальный отделы); центральную часть легкого с сегментарными бронхами, правые и левые бронхи первого порядка; репрезентативные участки легочной паренхимы из правого и левого легкого. Обязательно гистологическое исследование всех других жизненно важных внутренних органов в заивисмоти от макроскопически выявленных изменений: миокард, печень, почки, селезенка, поджелудочная железа, головной мозг и другие. Все диагностически значимые морфологические изменения необходимо по возможности фиксировать с помощью макро и микрофото‑ (или видео-) съемки.</w:t>
      </w:r>
    </w:p>
    <w:p>
      <w:pPr>
        <w:pStyle w:val="BodyText"/>
        <w:ind w:left="0"/>
        <w:jc w:val="left"/>
        <w:rPr>
          <w:sz w:val="26"/>
        </w:rPr>
      </w:pPr>
    </w:p>
    <w:p>
      <w:pPr>
        <w:pStyle w:val="BodyText"/>
        <w:spacing w:before="10"/>
        <w:ind w:left="0"/>
        <w:jc w:val="left"/>
        <w:rPr>
          <w:sz w:val="37"/>
        </w:rPr>
      </w:pPr>
    </w:p>
    <w:p>
      <w:pPr>
        <w:pStyle w:val="Heading2"/>
        <w:numPr>
          <w:ilvl w:val="0"/>
          <w:numId w:val="37"/>
        </w:numPr>
        <w:tabs>
          <w:tab w:pos="1311" w:val="left" w:leader="none"/>
        </w:tabs>
        <w:spacing w:line="297" w:lineRule="auto" w:before="0" w:after="0"/>
        <w:ind w:left="1029" w:right="1352" w:firstLine="0"/>
        <w:jc w:val="left"/>
      </w:pPr>
      <w:bookmarkStart w:name="9. МАРШРУТИЗАЦИЯ ПАЦИЕНТОВ И ОСОБЕННОСТИ" w:id="154"/>
      <w:bookmarkEnd w:id="154"/>
      <w:r>
        <w:rPr>
          <w:b w:val="0"/>
        </w:rPr>
      </w:r>
      <w:bookmarkStart w:name="_bookmark34" w:id="155"/>
      <w:bookmarkEnd w:id="155"/>
      <w:r>
        <w:rPr>
          <w:b w:val="0"/>
        </w:rPr>
      </w:r>
      <w:bookmarkStart w:name="_bookmark34" w:id="156"/>
      <w:bookmarkEnd w:id="156"/>
      <w:r>
        <w:rPr>
          <w:color w:val="1F487C"/>
        </w:rPr>
        <w:t>МАРШР</w:t>
      </w:r>
      <w:r>
        <w:rPr>
          <w:color w:val="1F487C"/>
        </w:rPr>
        <w:t>УТИЗАЦИЯ ПАЦИЕНТОВ И ОСОБЕННОСТИ ЭВАКУАЦИОННЫХ МЕРОПРИЯТИЙ</w:t>
      </w:r>
      <w:r>
        <w:rPr>
          <w:color w:val="1F487C"/>
          <w:spacing w:val="-4"/>
        </w:rPr>
        <w:t> </w:t>
      </w:r>
      <w:r>
        <w:rPr>
          <w:color w:val="1F487C"/>
        </w:rPr>
        <w:t>БОЛЬНЫХ</w:t>
      </w:r>
    </w:p>
    <w:p>
      <w:pPr>
        <w:spacing w:before="6"/>
        <w:ind w:left="1029" w:right="0" w:firstLine="0"/>
        <w:jc w:val="left"/>
        <w:rPr>
          <w:b/>
          <w:sz w:val="28"/>
        </w:rPr>
      </w:pPr>
      <w:r>
        <w:rPr>
          <w:b/>
          <w:color w:val="1F487C"/>
          <w:sz w:val="28"/>
        </w:rPr>
        <w:t>ИЛИ ЛИЦ С ПОДОЗРЕНИЕМ НА COVID-19</w:t>
      </w:r>
    </w:p>
    <w:p>
      <w:pPr>
        <w:pStyle w:val="BodyText"/>
        <w:spacing w:before="10"/>
        <w:ind w:left="0"/>
        <w:jc w:val="left"/>
        <w:rPr>
          <w:b/>
          <w:sz w:val="27"/>
        </w:rPr>
      </w:pPr>
    </w:p>
    <w:p>
      <w:pPr>
        <w:pStyle w:val="ListParagraph"/>
        <w:numPr>
          <w:ilvl w:val="1"/>
          <w:numId w:val="37"/>
        </w:numPr>
        <w:tabs>
          <w:tab w:pos="1522" w:val="left" w:leader="none"/>
        </w:tabs>
        <w:spacing w:line="259" w:lineRule="auto" w:before="0" w:after="0"/>
        <w:ind w:left="1029" w:right="2768" w:firstLine="0"/>
        <w:jc w:val="left"/>
        <w:rPr>
          <w:b/>
          <w:sz w:val="28"/>
        </w:rPr>
      </w:pPr>
      <w:bookmarkStart w:name="9.1. МАРШРУТИЗАЦИЯ ПАЦИЕНТОВ И ЛИЦ С ПОД" w:id="157"/>
      <w:bookmarkEnd w:id="157"/>
      <w:r>
        <w:rPr/>
      </w:r>
      <w:bookmarkStart w:name="_bookmark35" w:id="158"/>
      <w:bookmarkEnd w:id="158"/>
      <w:r>
        <w:rPr/>
      </w:r>
      <w:bookmarkStart w:name="_bookmark35" w:id="159"/>
      <w:bookmarkEnd w:id="159"/>
      <w:r>
        <w:rPr>
          <w:b/>
          <w:color w:val="1F487C"/>
          <w:sz w:val="28"/>
        </w:rPr>
        <w:t>М</w:t>
      </w:r>
      <w:r>
        <w:rPr>
          <w:b/>
          <w:color w:val="1F487C"/>
          <w:sz w:val="28"/>
        </w:rPr>
        <w:t>АРШРУТИЗАЦИЯ ПАЦИЕНТОВ И ЛИЦ С ПОДОЗРЕНИЕМ НА</w:t>
      </w:r>
      <w:r>
        <w:rPr>
          <w:b/>
          <w:color w:val="1F487C"/>
          <w:spacing w:val="-6"/>
          <w:sz w:val="28"/>
        </w:rPr>
        <w:t> </w:t>
      </w:r>
      <w:r>
        <w:rPr>
          <w:b/>
          <w:color w:val="1F487C"/>
          <w:sz w:val="28"/>
        </w:rPr>
        <w:t>COVID-19</w:t>
      </w:r>
    </w:p>
    <w:p>
      <w:pPr>
        <w:pStyle w:val="BodyText"/>
        <w:spacing w:line="312" w:lineRule="auto" w:before="117"/>
        <w:ind w:right="676" w:firstLine="708"/>
      </w:pPr>
      <w:r>
        <w:rPr/>
        <w:t>Порядок маршрутизации регулирует вопросы оказания медицинской помощи пациентам с COVID-19 в медицинских организациях.</w:t>
      </w:r>
    </w:p>
    <w:p>
      <w:pPr>
        <w:pStyle w:val="BodyText"/>
        <w:spacing w:line="312" w:lineRule="auto" w:before="15"/>
        <w:ind w:right="674" w:firstLine="708"/>
      </w:pPr>
      <w:r>
        <w:rPr/>
        <w:t>Медицинская помощь пациентам с COVID-19 осуществляется в соответствии   с приказом Минздрава России от 19.03.2020 № 198н </w:t>
      </w:r>
      <w:r>
        <w:rPr>
          <w:spacing w:val="-4"/>
        </w:rPr>
        <w:t>«О</w:t>
      </w:r>
      <w:r>
        <w:rPr>
          <w:spacing w:val="52"/>
        </w:rPr>
        <w:t> </w:t>
      </w:r>
      <w:r>
        <w:rPr/>
        <w:t>временном порядке организации работы медицинских организаций в целях реализации мер по профилактике и снижению рисков распространения новой коронавирусной инфекции COVID-19» в виде скорой, в том числе скорорй специализированной, первичной медико-санитарной и специализированной медицинской помощи в медицинских организациях и их структурных подразделениях, а также в амбулаторных  условиях (на</w:t>
      </w:r>
      <w:r>
        <w:rPr>
          <w:spacing w:val="-2"/>
        </w:rPr>
        <w:t> </w:t>
      </w:r>
      <w:r>
        <w:rPr/>
        <w:t>дому).</w:t>
      </w:r>
    </w:p>
    <w:p>
      <w:pPr>
        <w:pStyle w:val="BodyText"/>
        <w:spacing w:line="312" w:lineRule="auto"/>
        <w:ind w:right="672" w:firstLine="708"/>
      </w:pPr>
      <w:r>
        <w:rPr/>
        <w:t>В зависимости от степени тяжести состояния при подтверждении диагноза коронавирусной инфекции лечение осуществляют:</w:t>
      </w:r>
    </w:p>
    <w:p>
      <w:pPr>
        <w:pStyle w:val="BodyText"/>
        <w:spacing w:before="9"/>
        <w:ind w:left="0"/>
        <w:jc w:val="left"/>
        <w:rPr>
          <w:sz w:val="33"/>
        </w:rPr>
      </w:pPr>
    </w:p>
    <w:p>
      <w:pPr>
        <w:pStyle w:val="ListParagraph"/>
        <w:numPr>
          <w:ilvl w:val="0"/>
          <w:numId w:val="38"/>
        </w:numPr>
        <w:tabs>
          <w:tab w:pos="1001" w:val="left" w:leader="none"/>
        </w:tabs>
        <w:spacing w:line="309" w:lineRule="auto" w:before="0" w:after="0"/>
        <w:ind w:left="1000" w:right="675" w:hanging="339"/>
        <w:jc w:val="both"/>
        <w:rPr>
          <w:sz w:val="24"/>
        </w:rPr>
      </w:pPr>
      <w:r>
        <w:rPr>
          <w:sz w:val="24"/>
        </w:rPr>
        <w:t>Медицинские работники амбулаторных  медицинских  организаций  на  дому  (в случае отсутствия у пациента клинических проявлений заболеваний или при легком течении</w:t>
      </w:r>
      <w:r>
        <w:rPr>
          <w:spacing w:val="-1"/>
          <w:sz w:val="24"/>
        </w:rPr>
        <w:t> </w:t>
      </w:r>
      <w:r>
        <w:rPr>
          <w:sz w:val="24"/>
        </w:rPr>
        <w:t>заболевания);</w:t>
      </w:r>
    </w:p>
    <w:p>
      <w:pPr>
        <w:pStyle w:val="ListParagraph"/>
        <w:numPr>
          <w:ilvl w:val="0"/>
          <w:numId w:val="38"/>
        </w:numPr>
        <w:tabs>
          <w:tab w:pos="1001" w:val="left" w:leader="none"/>
        </w:tabs>
        <w:spacing w:line="240" w:lineRule="auto" w:before="3" w:after="0"/>
        <w:ind w:left="1000" w:right="0" w:hanging="339"/>
        <w:jc w:val="both"/>
        <w:rPr>
          <w:sz w:val="24"/>
        </w:rPr>
      </w:pPr>
      <w:r>
        <w:rPr>
          <w:sz w:val="24"/>
        </w:rPr>
        <w:t>В отделении для лечения инфекционных больных медицинской</w:t>
      </w:r>
      <w:r>
        <w:rPr>
          <w:spacing w:val="-3"/>
          <w:sz w:val="24"/>
        </w:rPr>
        <w:t> </w:t>
      </w:r>
      <w:r>
        <w:rPr>
          <w:sz w:val="24"/>
        </w:rPr>
        <w:t>организации;</w:t>
      </w:r>
    </w:p>
    <w:p>
      <w:pPr>
        <w:pStyle w:val="ListParagraph"/>
        <w:numPr>
          <w:ilvl w:val="0"/>
          <w:numId w:val="38"/>
        </w:numPr>
        <w:tabs>
          <w:tab w:pos="1001" w:val="left" w:leader="none"/>
        </w:tabs>
        <w:spacing w:line="240" w:lineRule="auto" w:before="81" w:after="0"/>
        <w:ind w:left="1000" w:right="0" w:hanging="339"/>
        <w:jc w:val="both"/>
        <w:rPr>
          <w:sz w:val="24"/>
        </w:rPr>
      </w:pPr>
      <w:r>
        <w:rPr>
          <w:sz w:val="24"/>
        </w:rPr>
        <w:t>В ОРИТ медицинской организации (при наличии</w:t>
      </w:r>
      <w:r>
        <w:rPr>
          <w:spacing w:val="-1"/>
          <w:sz w:val="24"/>
        </w:rPr>
        <w:t> </w:t>
      </w:r>
      <w:r>
        <w:rPr>
          <w:sz w:val="24"/>
        </w:rPr>
        <w:t>показаний).</w:t>
      </w:r>
    </w:p>
    <w:p>
      <w:pPr>
        <w:pStyle w:val="BodyText"/>
        <w:spacing w:before="7"/>
        <w:ind w:left="0"/>
        <w:jc w:val="left"/>
        <w:rPr>
          <w:sz w:val="40"/>
        </w:rPr>
      </w:pPr>
    </w:p>
    <w:p>
      <w:pPr>
        <w:pStyle w:val="BodyText"/>
        <w:spacing w:line="312" w:lineRule="auto"/>
        <w:ind w:right="674" w:firstLine="708"/>
      </w:pPr>
      <w:r>
        <w:rPr/>
        <w:t>Скорая,</w:t>
      </w:r>
      <w:r>
        <w:rPr>
          <w:spacing w:val="-5"/>
        </w:rPr>
        <w:t> </w:t>
      </w:r>
      <w:r>
        <w:rPr/>
        <w:t>в</w:t>
      </w:r>
      <w:r>
        <w:rPr>
          <w:spacing w:val="-6"/>
        </w:rPr>
        <w:t> </w:t>
      </w:r>
      <w:r>
        <w:rPr/>
        <w:t>том</w:t>
      </w:r>
      <w:r>
        <w:rPr>
          <w:spacing w:val="-6"/>
        </w:rPr>
        <w:t> </w:t>
      </w:r>
      <w:r>
        <w:rPr/>
        <w:t>числе</w:t>
      </w:r>
      <w:r>
        <w:rPr>
          <w:spacing w:val="-6"/>
        </w:rPr>
        <w:t> </w:t>
      </w:r>
      <w:r>
        <w:rPr/>
        <w:t>скорая</w:t>
      </w:r>
      <w:r>
        <w:rPr>
          <w:spacing w:val="-5"/>
        </w:rPr>
        <w:t> </w:t>
      </w:r>
      <w:r>
        <w:rPr/>
        <w:t>специализированная,</w:t>
      </w:r>
      <w:r>
        <w:rPr>
          <w:spacing w:val="-5"/>
        </w:rPr>
        <w:t> </w:t>
      </w:r>
      <w:r>
        <w:rPr/>
        <w:t>медицинская</w:t>
      </w:r>
      <w:r>
        <w:rPr>
          <w:spacing w:val="-5"/>
        </w:rPr>
        <w:t> </w:t>
      </w:r>
      <w:r>
        <w:rPr/>
        <w:t>помощь</w:t>
      </w:r>
      <w:r>
        <w:rPr>
          <w:spacing w:val="-7"/>
        </w:rPr>
        <w:t> </w:t>
      </w:r>
      <w:r>
        <w:rPr/>
        <w:t>больным инфекционным заболеванием оказывается фельдшерскими выездными бригадами скорой</w:t>
      </w:r>
      <w:r>
        <w:rPr>
          <w:spacing w:val="-10"/>
        </w:rPr>
        <w:t> </w:t>
      </w:r>
      <w:r>
        <w:rPr/>
        <w:t>медицинской</w:t>
      </w:r>
      <w:r>
        <w:rPr>
          <w:spacing w:val="-11"/>
        </w:rPr>
        <w:t> </w:t>
      </w:r>
      <w:r>
        <w:rPr/>
        <w:t>помощи,</w:t>
      </w:r>
      <w:r>
        <w:rPr>
          <w:spacing w:val="-10"/>
        </w:rPr>
        <w:t> </w:t>
      </w:r>
      <w:r>
        <w:rPr/>
        <w:t>врачебными</w:t>
      </w:r>
      <w:r>
        <w:rPr>
          <w:spacing w:val="-9"/>
        </w:rPr>
        <w:t> </w:t>
      </w:r>
      <w:r>
        <w:rPr/>
        <w:t>выездными</w:t>
      </w:r>
      <w:r>
        <w:rPr>
          <w:spacing w:val="-9"/>
        </w:rPr>
        <w:t> </w:t>
      </w:r>
      <w:r>
        <w:rPr/>
        <w:t>бригадами</w:t>
      </w:r>
      <w:r>
        <w:rPr>
          <w:spacing w:val="-9"/>
        </w:rPr>
        <w:t> </w:t>
      </w:r>
      <w:r>
        <w:rPr/>
        <w:t>скорой</w:t>
      </w:r>
      <w:r>
        <w:rPr>
          <w:spacing w:val="-9"/>
        </w:rPr>
        <w:t> </w:t>
      </w:r>
      <w:r>
        <w:rPr/>
        <w:t>медицинской</w:t>
      </w:r>
    </w:p>
    <w:p>
      <w:pPr>
        <w:spacing w:after="0" w:line="312" w:lineRule="auto"/>
        <w:sectPr>
          <w:pgSz w:w="11920" w:h="16850"/>
          <w:pgMar w:header="0" w:footer="620" w:top="1060" w:bottom="880" w:left="1380" w:right="600"/>
        </w:sectPr>
      </w:pPr>
    </w:p>
    <w:p>
      <w:pPr>
        <w:pStyle w:val="BodyText"/>
        <w:spacing w:line="312" w:lineRule="auto" w:before="78"/>
        <w:ind w:right="673"/>
      </w:pPr>
      <w:r>
        <w:rPr/>
        <w:t>помощи, специализированными выездными бригадами скорой медицинской помощи, бригадами экстренной медицинской помощи территориальных центров медицины катастроф.</w:t>
      </w:r>
    </w:p>
    <w:p>
      <w:pPr>
        <w:pStyle w:val="BodyText"/>
        <w:spacing w:line="312" w:lineRule="auto" w:before="13"/>
        <w:ind w:right="674" w:firstLine="708"/>
      </w:pPr>
      <w:r>
        <w:rPr/>
        <w:t>Деятельность этих бригад направлена на проведение мероприятий по устранению угрожающих жизни состояний с последующей медицинской эвакуацией  в медицинскую организацию, оказывающую стационарную медицинскую помощь больным инфекционными заболеваниями. Медицинская помощь больным инфекционными заболеваниями с жизнеугрожающими острыми состояниями, в том числе с инфекционно-токсическим, гиповолемическим шоком, острыми почечной и печеночной недостаточностью, острой сердечно-сосудистой и дыхательной недостаточностью, вне медицинской организации оказывается бригадами (в том числе реанимационными) скорой медицинской</w:t>
      </w:r>
      <w:r>
        <w:rPr>
          <w:spacing w:val="-3"/>
        </w:rPr>
        <w:t> </w:t>
      </w:r>
      <w:r>
        <w:rPr/>
        <w:t>помощи.</w:t>
      </w:r>
    </w:p>
    <w:p>
      <w:pPr>
        <w:pStyle w:val="BodyText"/>
        <w:spacing w:before="1"/>
        <w:ind w:left="0"/>
        <w:jc w:val="left"/>
        <w:rPr>
          <w:sz w:val="21"/>
        </w:rPr>
      </w:pPr>
    </w:p>
    <w:p>
      <w:pPr>
        <w:pStyle w:val="Heading2"/>
        <w:numPr>
          <w:ilvl w:val="1"/>
          <w:numId w:val="39"/>
        </w:numPr>
        <w:tabs>
          <w:tab w:pos="1452" w:val="left" w:leader="none"/>
        </w:tabs>
        <w:spacing w:line="240" w:lineRule="auto" w:before="0" w:after="0"/>
        <w:ind w:left="1452" w:right="0" w:hanging="423"/>
        <w:jc w:val="left"/>
      </w:pPr>
      <w:bookmarkStart w:name="9.2 ПОРЯДОК ОРГАНИЗАЦИИ МЕДИЦИНСКОЙ ПОМО" w:id="160"/>
      <w:bookmarkEnd w:id="160"/>
      <w:r>
        <w:rPr>
          <w:b w:val="0"/>
        </w:rPr>
      </w:r>
      <w:bookmarkStart w:name="_bookmark36" w:id="161"/>
      <w:bookmarkEnd w:id="161"/>
      <w:r>
        <w:rPr>
          <w:b w:val="0"/>
        </w:rPr>
      </w:r>
      <w:bookmarkStart w:name="_bookmark36" w:id="162"/>
      <w:bookmarkEnd w:id="162"/>
      <w:r>
        <w:rPr>
          <w:color w:val="1F487C"/>
        </w:rPr>
        <w:t>ПО</w:t>
      </w:r>
      <w:r>
        <w:rPr>
          <w:color w:val="1F487C"/>
        </w:rPr>
        <w:t>РЯДОК ОРГАНИЗАЦИИ МЕДИЦИНСКОЙ</w:t>
      </w:r>
      <w:r>
        <w:rPr>
          <w:color w:val="1F487C"/>
          <w:spacing w:val="-5"/>
        </w:rPr>
        <w:t> </w:t>
      </w:r>
      <w:r>
        <w:rPr>
          <w:color w:val="1F487C"/>
        </w:rPr>
        <w:t>ПОМОЩИ</w:t>
      </w:r>
    </w:p>
    <w:p>
      <w:pPr>
        <w:pStyle w:val="BodyText"/>
        <w:spacing w:line="312" w:lineRule="auto" w:before="143"/>
        <w:ind w:left="331" w:right="674" w:firstLine="698"/>
      </w:pPr>
      <w:r>
        <w:rPr/>
        <w:t>В целях обеспечения готовности к проведению противоэпидемических мероприятий</w:t>
      </w:r>
      <w:r>
        <w:rPr>
          <w:spacing w:val="-15"/>
        </w:rPr>
        <w:t> </w:t>
      </w:r>
      <w:r>
        <w:rPr/>
        <w:t>в</w:t>
      </w:r>
      <w:r>
        <w:rPr>
          <w:spacing w:val="-16"/>
        </w:rPr>
        <w:t> </w:t>
      </w:r>
      <w:r>
        <w:rPr/>
        <w:t>случае</w:t>
      </w:r>
      <w:r>
        <w:rPr>
          <w:spacing w:val="-14"/>
        </w:rPr>
        <w:t> </w:t>
      </w:r>
      <w:r>
        <w:rPr/>
        <w:t>завоза</w:t>
      </w:r>
      <w:r>
        <w:rPr>
          <w:spacing w:val="-17"/>
        </w:rPr>
        <w:t> </w:t>
      </w:r>
      <w:r>
        <w:rPr/>
        <w:t>и</w:t>
      </w:r>
      <w:r>
        <w:rPr>
          <w:spacing w:val="-15"/>
        </w:rPr>
        <w:t> </w:t>
      </w:r>
      <w:r>
        <w:rPr/>
        <w:t>распространения</w:t>
      </w:r>
      <w:r>
        <w:rPr>
          <w:spacing w:val="-15"/>
        </w:rPr>
        <w:t> </w:t>
      </w:r>
      <w:r>
        <w:rPr/>
        <w:t>COVID-19</w:t>
      </w:r>
      <w:r>
        <w:rPr>
          <w:spacing w:val="-13"/>
        </w:rPr>
        <w:t> </w:t>
      </w:r>
      <w:r>
        <w:rPr/>
        <w:t>медицинским</w:t>
      </w:r>
      <w:r>
        <w:rPr>
          <w:spacing w:val="-17"/>
        </w:rPr>
        <w:t> </w:t>
      </w:r>
      <w:r>
        <w:rPr/>
        <w:t>организациям необходимо руководствоваться Планом санитарно-противоэпидемических мероприятий по предупреждению завоза и распространения новой коронавирусной инфекции, вызванной SARS-CoV-2, утвержденным уполномоченным органом исполнительной власти субъекта Российской Федерации, а также действующими требованиями санитарного законодательства.</w:t>
      </w:r>
    </w:p>
    <w:p>
      <w:pPr>
        <w:pStyle w:val="Heading3"/>
        <w:spacing w:line="312" w:lineRule="auto" w:before="121"/>
        <w:ind w:left="333" w:right="674" w:firstLine="696"/>
      </w:pPr>
      <w:bookmarkStart w:name="а) Порядок организации скорой, в том чис" w:id="163"/>
      <w:bookmarkEnd w:id="163"/>
      <w:r>
        <w:rPr>
          <w:b w:val="0"/>
        </w:rPr>
      </w:r>
      <w:r>
        <w:rPr>
          <w:color w:val="1F487C"/>
        </w:rPr>
        <w:t>а) Порядок организации скорой, в том числе скорой специализированной, медицинской помощи.</w:t>
      </w:r>
    </w:p>
    <w:p>
      <w:pPr>
        <w:pStyle w:val="BodyText"/>
        <w:spacing w:line="312" w:lineRule="auto" w:before="120"/>
        <w:ind w:left="331" w:right="678" w:firstLine="698"/>
      </w:pPr>
      <w:r>
        <w:rPr/>
        <w:t>Руководителям медицинских организаций, оказывающих скорую медицинскую помощь, необходимо обеспечить:</w:t>
      </w:r>
    </w:p>
    <w:p>
      <w:pPr>
        <w:pStyle w:val="BodyText"/>
        <w:spacing w:before="6"/>
        <w:ind w:left="0"/>
        <w:jc w:val="left"/>
        <w:rPr>
          <w:sz w:val="32"/>
        </w:rPr>
      </w:pPr>
    </w:p>
    <w:p>
      <w:pPr>
        <w:pStyle w:val="ListParagraph"/>
        <w:numPr>
          <w:ilvl w:val="0"/>
          <w:numId w:val="38"/>
        </w:numPr>
        <w:tabs>
          <w:tab w:pos="1001" w:val="left" w:leader="none"/>
        </w:tabs>
        <w:spacing w:line="309" w:lineRule="auto" w:before="0" w:after="0"/>
        <w:ind w:left="1000" w:right="676" w:hanging="339"/>
        <w:jc w:val="both"/>
        <w:rPr>
          <w:sz w:val="24"/>
        </w:rPr>
      </w:pPr>
      <w:r>
        <w:rPr>
          <w:sz w:val="24"/>
        </w:rPr>
        <w:t>Наличие запаса необходимых расходных материалов для отбора проб для проведения лабораторных исследований на наличие COVID-19, дезинфекционных средств и</w:t>
      </w:r>
      <w:r>
        <w:rPr>
          <w:spacing w:val="1"/>
          <w:sz w:val="24"/>
        </w:rPr>
        <w:t> </w:t>
      </w:r>
      <w:r>
        <w:rPr>
          <w:sz w:val="24"/>
        </w:rPr>
        <w:t>СИЗ;</w:t>
      </w:r>
    </w:p>
    <w:p>
      <w:pPr>
        <w:pStyle w:val="ListParagraph"/>
        <w:numPr>
          <w:ilvl w:val="0"/>
          <w:numId w:val="38"/>
        </w:numPr>
        <w:tabs>
          <w:tab w:pos="1001" w:val="left" w:leader="none"/>
        </w:tabs>
        <w:spacing w:line="304" w:lineRule="auto" w:before="4" w:after="0"/>
        <w:ind w:left="1000" w:right="674" w:hanging="339"/>
        <w:jc w:val="both"/>
        <w:rPr>
          <w:sz w:val="24"/>
        </w:rPr>
      </w:pPr>
      <w:r>
        <w:rPr>
          <w:sz w:val="24"/>
        </w:rPr>
        <w:t>Информирование медицинских работников по вопросам профилактики, диагностики и лечения</w:t>
      </w:r>
      <w:r>
        <w:rPr>
          <w:spacing w:val="-3"/>
          <w:sz w:val="24"/>
        </w:rPr>
        <w:t> </w:t>
      </w:r>
      <w:r>
        <w:rPr>
          <w:sz w:val="24"/>
        </w:rPr>
        <w:t>COVID-19;</w:t>
      </w:r>
    </w:p>
    <w:p>
      <w:pPr>
        <w:pStyle w:val="ListParagraph"/>
        <w:numPr>
          <w:ilvl w:val="0"/>
          <w:numId w:val="38"/>
        </w:numPr>
        <w:tabs>
          <w:tab w:pos="1001" w:val="left" w:leader="none"/>
        </w:tabs>
        <w:spacing w:line="309" w:lineRule="auto" w:before="10" w:after="0"/>
        <w:ind w:left="1000" w:right="675" w:hanging="339"/>
        <w:jc w:val="both"/>
        <w:rPr>
          <w:sz w:val="24"/>
        </w:rPr>
      </w:pPr>
      <w:r>
        <w:rPr>
          <w:sz w:val="24"/>
        </w:rPr>
        <w:t>Выполнение Инструкции по соблюдению мер инфекционной безопасности для специализированных выездных бригад скорой медицинской помощи согласно Приложению №13 к настоящим методическим</w:t>
      </w:r>
      <w:r>
        <w:rPr>
          <w:spacing w:val="-5"/>
          <w:sz w:val="24"/>
        </w:rPr>
        <w:t> </w:t>
      </w:r>
      <w:r>
        <w:rPr>
          <w:sz w:val="24"/>
        </w:rPr>
        <w:t>рекомендациям;</w:t>
      </w:r>
    </w:p>
    <w:p>
      <w:pPr>
        <w:pStyle w:val="ListParagraph"/>
        <w:numPr>
          <w:ilvl w:val="0"/>
          <w:numId w:val="38"/>
        </w:numPr>
        <w:tabs>
          <w:tab w:pos="1001" w:val="left" w:leader="none"/>
        </w:tabs>
        <w:spacing w:line="240" w:lineRule="auto" w:before="3" w:after="0"/>
        <w:ind w:left="1000" w:right="0" w:hanging="339"/>
        <w:jc w:val="both"/>
        <w:rPr>
          <w:sz w:val="24"/>
        </w:rPr>
      </w:pPr>
      <w:r>
        <w:rPr>
          <w:sz w:val="24"/>
        </w:rPr>
        <w:t>Передачу биологического материала (мазки из носо- и ротоглотки)</w:t>
      </w:r>
      <w:r>
        <w:rPr>
          <w:spacing w:val="40"/>
          <w:sz w:val="24"/>
        </w:rPr>
        <w:t> </w:t>
      </w:r>
      <w:r>
        <w:rPr>
          <w:sz w:val="24"/>
        </w:rPr>
        <w:t>пациентов</w:t>
      </w:r>
    </w:p>
    <w:p>
      <w:pPr>
        <w:pStyle w:val="BodyText"/>
        <w:spacing w:before="8"/>
        <w:ind w:left="0"/>
        <w:jc w:val="left"/>
        <w:rPr>
          <w:sz w:val="7"/>
        </w:rPr>
      </w:pPr>
    </w:p>
    <w:tbl>
      <w:tblPr>
        <w:tblW w:w="0" w:type="auto"/>
        <w:jc w:val="left"/>
        <w:tblInd w:w="9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5110"/>
        <w:gridCol w:w="1740"/>
        <w:gridCol w:w="1502"/>
      </w:tblGrid>
      <w:tr>
        <w:trPr>
          <w:trHeight w:val="312" w:hRule="atLeast"/>
        </w:trPr>
        <w:tc>
          <w:tcPr>
            <w:tcW w:w="5110" w:type="dxa"/>
          </w:tcPr>
          <w:p>
            <w:pPr>
              <w:pStyle w:val="TableParagraph"/>
              <w:tabs>
                <w:tab w:pos="719" w:val="left" w:leader="none"/>
                <w:tab w:pos="2507" w:val="left" w:leader="none"/>
                <w:tab w:pos="3388" w:val="left" w:leader="none"/>
              </w:tabs>
              <w:spacing w:line="266" w:lineRule="exact"/>
              <w:ind w:left="50"/>
              <w:rPr>
                <w:sz w:val="24"/>
              </w:rPr>
            </w:pPr>
            <w:r>
              <w:rPr>
                <w:sz w:val="24"/>
              </w:rPr>
              <w:t>(при</w:t>
              <w:tab/>
              <w:t>необходимости</w:t>
              <w:tab/>
              <w:t>забора</w:t>
              <w:tab/>
              <w:t>биологического</w:t>
            </w:r>
          </w:p>
        </w:tc>
        <w:tc>
          <w:tcPr>
            <w:tcW w:w="1740" w:type="dxa"/>
          </w:tcPr>
          <w:p>
            <w:pPr>
              <w:pStyle w:val="TableParagraph"/>
              <w:tabs>
                <w:tab w:pos="1376" w:val="left" w:leader="none"/>
              </w:tabs>
              <w:spacing w:line="266" w:lineRule="exact"/>
              <w:ind w:left="116"/>
              <w:rPr>
                <w:sz w:val="24"/>
              </w:rPr>
            </w:pPr>
            <w:r>
              <w:rPr>
                <w:sz w:val="24"/>
              </w:rPr>
              <w:t>материала</w:t>
              <w:tab/>
              <w:t>на</w:t>
            </w:r>
          </w:p>
        </w:tc>
        <w:tc>
          <w:tcPr>
            <w:tcW w:w="1502" w:type="dxa"/>
          </w:tcPr>
          <w:p>
            <w:pPr>
              <w:pStyle w:val="TableParagraph"/>
              <w:tabs>
                <w:tab w:pos="798" w:val="left" w:leader="none"/>
              </w:tabs>
              <w:spacing w:line="266" w:lineRule="exact"/>
              <w:ind w:left="35"/>
              <w:jc w:val="center"/>
              <w:rPr>
                <w:sz w:val="24"/>
              </w:rPr>
            </w:pPr>
            <w:r>
              <w:rPr>
                <w:sz w:val="24"/>
              </w:rPr>
              <w:t>этапе</w:t>
              <w:tab/>
              <w:t>СМП,</w:t>
            </w:r>
          </w:p>
        </w:tc>
      </w:tr>
      <w:tr>
        <w:trPr>
          <w:trHeight w:val="358" w:hRule="atLeast"/>
        </w:trPr>
        <w:tc>
          <w:tcPr>
            <w:tcW w:w="5110" w:type="dxa"/>
          </w:tcPr>
          <w:p>
            <w:pPr>
              <w:pStyle w:val="TableParagraph"/>
              <w:tabs>
                <w:tab w:pos="1648" w:val="left" w:leader="none"/>
                <w:tab w:pos="3628" w:val="left" w:leader="none"/>
              </w:tabs>
              <w:spacing w:before="37"/>
              <w:ind w:left="50"/>
              <w:rPr>
                <w:sz w:val="24"/>
              </w:rPr>
            </w:pPr>
            <w:r>
              <w:rPr>
                <w:sz w:val="24"/>
              </w:rPr>
              <w:t>в</w:t>
            </w:r>
            <w:r>
              <w:rPr>
                <w:spacing w:val="-3"/>
                <w:sz w:val="24"/>
              </w:rPr>
              <w:t> </w:t>
            </w:r>
            <w:r>
              <w:rPr>
                <w:sz w:val="24"/>
              </w:rPr>
              <w:t>частности</w:t>
              <w:tab/>
              <w:t>необходимости</w:t>
              <w:tab/>
              <w:t>проведения</w:t>
            </w:r>
          </w:p>
        </w:tc>
        <w:tc>
          <w:tcPr>
            <w:tcW w:w="1740" w:type="dxa"/>
          </w:tcPr>
          <w:p>
            <w:pPr>
              <w:pStyle w:val="TableParagraph"/>
              <w:spacing w:before="37"/>
              <w:ind w:left="99"/>
              <w:rPr>
                <w:sz w:val="24"/>
              </w:rPr>
            </w:pPr>
            <w:r>
              <w:rPr>
                <w:sz w:val="24"/>
              </w:rPr>
              <w:t>специальных</w:t>
            </w:r>
          </w:p>
        </w:tc>
        <w:tc>
          <w:tcPr>
            <w:tcW w:w="1502" w:type="dxa"/>
          </w:tcPr>
          <w:p>
            <w:pPr>
              <w:pStyle w:val="TableParagraph"/>
              <w:spacing w:before="37"/>
              <w:ind w:left="52"/>
              <w:jc w:val="center"/>
              <w:rPr>
                <w:sz w:val="24"/>
              </w:rPr>
            </w:pPr>
            <w:r>
              <w:rPr>
                <w:sz w:val="24"/>
              </w:rPr>
              <w:t>карантинных</w:t>
            </w:r>
          </w:p>
        </w:tc>
      </w:tr>
      <w:tr>
        <w:trPr>
          <w:trHeight w:val="311" w:hRule="atLeast"/>
        </w:trPr>
        <w:tc>
          <w:tcPr>
            <w:tcW w:w="5110" w:type="dxa"/>
          </w:tcPr>
          <w:p>
            <w:pPr>
              <w:pStyle w:val="TableParagraph"/>
              <w:spacing w:line="256" w:lineRule="exact" w:before="35"/>
              <w:ind w:left="50"/>
              <w:rPr>
                <w:sz w:val="24"/>
              </w:rPr>
            </w:pPr>
            <w:r>
              <w:rPr>
                <w:sz w:val="24"/>
              </w:rPr>
              <w:t>мероприятий) при подозрении на COVID-19</w:t>
            </w:r>
          </w:p>
        </w:tc>
        <w:tc>
          <w:tcPr>
            <w:tcW w:w="1740" w:type="dxa"/>
          </w:tcPr>
          <w:p>
            <w:pPr>
              <w:pStyle w:val="TableParagraph"/>
              <w:spacing w:line="256" w:lineRule="exact" w:before="35"/>
              <w:ind w:left="83"/>
              <w:rPr>
                <w:sz w:val="24"/>
              </w:rPr>
            </w:pPr>
            <w:r>
              <w:rPr>
                <w:sz w:val="24"/>
              </w:rPr>
              <w:t>в лаборатории</w:t>
            </w:r>
          </w:p>
        </w:tc>
        <w:tc>
          <w:tcPr>
            <w:tcW w:w="1502" w:type="dxa"/>
          </w:tcPr>
          <w:p>
            <w:pPr>
              <w:pStyle w:val="TableParagraph"/>
              <w:spacing w:line="256" w:lineRule="exact" w:before="35"/>
              <w:ind w:left="32"/>
              <w:jc w:val="center"/>
              <w:rPr>
                <w:sz w:val="24"/>
              </w:rPr>
            </w:pPr>
            <w:r>
              <w:rPr>
                <w:sz w:val="24"/>
              </w:rPr>
              <w:t>медицинских</w:t>
            </w:r>
          </w:p>
        </w:tc>
      </w:tr>
    </w:tbl>
    <w:p>
      <w:pPr>
        <w:spacing w:after="0" w:line="256" w:lineRule="exact"/>
        <w:jc w:val="center"/>
        <w:rPr>
          <w:sz w:val="24"/>
        </w:rPr>
        <w:sectPr>
          <w:pgSz w:w="11920" w:h="16850"/>
          <w:pgMar w:header="0" w:footer="620" w:top="1060" w:bottom="880" w:left="1380" w:right="600"/>
        </w:sectPr>
      </w:pPr>
    </w:p>
    <w:p>
      <w:pPr>
        <w:pStyle w:val="BodyText"/>
        <w:spacing w:line="312" w:lineRule="auto" w:before="78"/>
        <w:ind w:left="1000" w:right="677"/>
      </w:pPr>
      <w:r>
        <w:rPr/>
        <w:t>организаций,  имеющих  эпидемиологическое   заключение   на   работу   с   III и </w:t>
      </w:r>
      <w:r>
        <w:rPr>
          <w:spacing w:val="-3"/>
        </w:rPr>
        <w:t>IV </w:t>
      </w:r>
      <w:r>
        <w:rPr/>
        <w:t>группами</w:t>
      </w:r>
      <w:r>
        <w:rPr>
          <w:spacing w:val="5"/>
        </w:rPr>
        <w:t> </w:t>
      </w:r>
      <w:r>
        <w:rPr/>
        <w:t>патогенности;</w:t>
      </w:r>
    </w:p>
    <w:p>
      <w:pPr>
        <w:pStyle w:val="ListParagraph"/>
        <w:numPr>
          <w:ilvl w:val="0"/>
          <w:numId w:val="38"/>
        </w:numPr>
        <w:tabs>
          <w:tab w:pos="1001" w:val="left" w:leader="none"/>
        </w:tabs>
        <w:spacing w:line="309" w:lineRule="auto" w:before="2" w:after="0"/>
        <w:ind w:left="1000" w:right="677" w:hanging="339"/>
        <w:jc w:val="both"/>
        <w:rPr>
          <w:sz w:val="24"/>
        </w:rPr>
      </w:pPr>
      <w:r>
        <w:rPr>
          <w:sz w:val="24"/>
        </w:rPr>
        <w:t>Указание медицинскими работниками в бланке направления на лабораторное исследование диагноза «пневмония» при направлении биологического материала пациентов с внебольничной пневмонией для диагностики</w:t>
      </w:r>
      <w:r>
        <w:rPr>
          <w:spacing w:val="-22"/>
          <w:sz w:val="24"/>
        </w:rPr>
        <w:t> </w:t>
      </w:r>
      <w:r>
        <w:rPr>
          <w:sz w:val="24"/>
        </w:rPr>
        <w:t>COVID-19;</w:t>
      </w:r>
    </w:p>
    <w:p>
      <w:pPr>
        <w:pStyle w:val="ListParagraph"/>
        <w:numPr>
          <w:ilvl w:val="0"/>
          <w:numId w:val="38"/>
        </w:numPr>
        <w:tabs>
          <w:tab w:pos="1001" w:val="left" w:leader="none"/>
        </w:tabs>
        <w:spacing w:line="309" w:lineRule="auto" w:before="3" w:after="0"/>
        <w:ind w:left="1000" w:right="674" w:hanging="339"/>
        <w:jc w:val="both"/>
        <w:rPr>
          <w:sz w:val="24"/>
        </w:rPr>
      </w:pPr>
      <w:r>
        <w:rPr>
          <w:sz w:val="24"/>
        </w:rPr>
        <w:t>Системную работу по информированию населения о рисках COVID-19, мерах индивидуальной профилактики, необходимости своевременного обращения за медицинской помощью при появлении первых симптомов</w:t>
      </w:r>
      <w:r>
        <w:rPr>
          <w:spacing w:val="-6"/>
          <w:sz w:val="24"/>
        </w:rPr>
        <w:t> </w:t>
      </w:r>
      <w:r>
        <w:rPr>
          <w:sz w:val="24"/>
        </w:rPr>
        <w:t>ОРВИ.</w:t>
      </w:r>
    </w:p>
    <w:p>
      <w:pPr>
        <w:pStyle w:val="Heading3"/>
        <w:spacing w:before="121"/>
      </w:pPr>
      <w:bookmarkStart w:name="б) Порядок организации медицинской помощ" w:id="164"/>
      <w:bookmarkEnd w:id="164"/>
      <w:r>
        <w:rPr>
          <w:b w:val="0"/>
        </w:rPr>
      </w:r>
      <w:r>
        <w:rPr>
          <w:color w:val="1F487C"/>
        </w:rPr>
        <w:t>б) Порядок организации медицинской помощи в стационарных условиях.</w:t>
      </w:r>
    </w:p>
    <w:p>
      <w:pPr>
        <w:pStyle w:val="BodyText"/>
        <w:spacing w:line="312" w:lineRule="auto" w:before="202"/>
        <w:ind w:left="331" w:right="615" w:firstLine="698"/>
        <w:jc w:val="left"/>
      </w:pPr>
      <w:r>
        <w:rPr/>
        <w:t>Руководителям медицинских организаций, оказывающих медицинскую помощь в стационарных условиях, необходимо обеспечить:</w:t>
      </w:r>
    </w:p>
    <w:p>
      <w:pPr>
        <w:pStyle w:val="BodyText"/>
        <w:spacing w:before="6"/>
        <w:ind w:left="0"/>
        <w:jc w:val="left"/>
        <w:rPr>
          <w:sz w:val="32"/>
        </w:rPr>
      </w:pPr>
    </w:p>
    <w:p>
      <w:pPr>
        <w:pStyle w:val="ListParagraph"/>
        <w:numPr>
          <w:ilvl w:val="0"/>
          <w:numId w:val="38"/>
        </w:numPr>
        <w:tabs>
          <w:tab w:pos="1001" w:val="left" w:leader="none"/>
        </w:tabs>
        <w:spacing w:line="312" w:lineRule="auto" w:before="0" w:after="0"/>
        <w:ind w:left="1000" w:right="675" w:hanging="339"/>
        <w:jc w:val="both"/>
        <w:rPr>
          <w:sz w:val="24"/>
        </w:rPr>
      </w:pPr>
      <w:r>
        <w:rPr>
          <w:sz w:val="24"/>
        </w:rPr>
        <w:t>Наличие</w:t>
      </w:r>
      <w:r>
        <w:rPr>
          <w:spacing w:val="-11"/>
          <w:sz w:val="24"/>
        </w:rPr>
        <w:t> </w:t>
      </w:r>
      <w:r>
        <w:rPr>
          <w:sz w:val="24"/>
        </w:rPr>
        <w:t>запаса</w:t>
      </w:r>
      <w:r>
        <w:rPr>
          <w:spacing w:val="-11"/>
          <w:sz w:val="24"/>
        </w:rPr>
        <w:t> </w:t>
      </w:r>
      <w:r>
        <w:rPr>
          <w:sz w:val="24"/>
        </w:rPr>
        <w:t>необходимых</w:t>
      </w:r>
      <w:r>
        <w:rPr>
          <w:spacing w:val="-10"/>
          <w:sz w:val="24"/>
        </w:rPr>
        <w:t> </w:t>
      </w:r>
      <w:r>
        <w:rPr>
          <w:sz w:val="24"/>
        </w:rPr>
        <w:t>расходных</w:t>
      </w:r>
      <w:r>
        <w:rPr>
          <w:spacing w:val="-9"/>
          <w:sz w:val="24"/>
        </w:rPr>
        <w:t> </w:t>
      </w:r>
      <w:r>
        <w:rPr>
          <w:sz w:val="24"/>
        </w:rPr>
        <w:t>материалов</w:t>
      </w:r>
      <w:r>
        <w:rPr>
          <w:spacing w:val="-10"/>
          <w:sz w:val="24"/>
        </w:rPr>
        <w:t> </w:t>
      </w:r>
      <w:r>
        <w:rPr>
          <w:sz w:val="24"/>
        </w:rPr>
        <w:t>для</w:t>
      </w:r>
      <w:r>
        <w:rPr>
          <w:spacing w:val="-10"/>
          <w:sz w:val="24"/>
        </w:rPr>
        <w:t> </w:t>
      </w:r>
      <w:r>
        <w:rPr>
          <w:sz w:val="24"/>
        </w:rPr>
        <w:t>отбора</w:t>
      </w:r>
      <w:r>
        <w:rPr>
          <w:spacing w:val="-12"/>
          <w:sz w:val="24"/>
        </w:rPr>
        <w:t> </w:t>
      </w:r>
      <w:r>
        <w:rPr>
          <w:sz w:val="24"/>
        </w:rPr>
        <w:t>биологического материала для проведения лабораторных исследований, дезинфекционных средств и СИЗ (очки, одноразовые перчатки, респиратор соответствующего класса</w:t>
      </w:r>
      <w:r>
        <w:rPr>
          <w:spacing w:val="-6"/>
          <w:sz w:val="24"/>
        </w:rPr>
        <w:t> </w:t>
      </w:r>
      <w:r>
        <w:rPr>
          <w:sz w:val="24"/>
        </w:rPr>
        <w:t>защиты,</w:t>
      </w:r>
      <w:r>
        <w:rPr>
          <w:spacing w:val="-6"/>
          <w:sz w:val="24"/>
        </w:rPr>
        <w:t> </w:t>
      </w:r>
      <w:r>
        <w:rPr>
          <w:sz w:val="24"/>
        </w:rPr>
        <w:t>противочумный</w:t>
      </w:r>
      <w:r>
        <w:rPr>
          <w:spacing w:val="-5"/>
          <w:sz w:val="24"/>
        </w:rPr>
        <w:t> </w:t>
      </w:r>
      <w:r>
        <w:rPr>
          <w:sz w:val="24"/>
        </w:rPr>
        <w:t>костюм</w:t>
      </w:r>
      <w:r>
        <w:rPr>
          <w:spacing w:val="-7"/>
          <w:sz w:val="24"/>
        </w:rPr>
        <w:t> </w:t>
      </w:r>
      <w:r>
        <w:rPr>
          <w:sz w:val="24"/>
        </w:rPr>
        <w:t>1</w:t>
      </w:r>
      <w:r>
        <w:rPr>
          <w:spacing w:val="-4"/>
          <w:sz w:val="24"/>
        </w:rPr>
        <w:t> </w:t>
      </w:r>
      <w:r>
        <w:rPr>
          <w:sz w:val="24"/>
        </w:rPr>
        <w:t>типа</w:t>
      </w:r>
      <w:r>
        <w:rPr>
          <w:spacing w:val="-5"/>
          <w:sz w:val="24"/>
        </w:rPr>
        <w:t> </w:t>
      </w:r>
      <w:r>
        <w:rPr>
          <w:sz w:val="24"/>
        </w:rPr>
        <w:t>или</w:t>
      </w:r>
      <w:r>
        <w:rPr>
          <w:spacing w:val="-5"/>
          <w:sz w:val="24"/>
        </w:rPr>
        <w:t> </w:t>
      </w:r>
      <w:r>
        <w:rPr>
          <w:sz w:val="24"/>
        </w:rPr>
        <w:t>одноразовый</w:t>
      </w:r>
      <w:r>
        <w:rPr>
          <w:spacing w:val="-8"/>
          <w:sz w:val="24"/>
        </w:rPr>
        <w:t> </w:t>
      </w:r>
      <w:r>
        <w:rPr>
          <w:sz w:val="24"/>
        </w:rPr>
        <w:t>халат,</w:t>
      </w:r>
      <w:r>
        <w:rPr>
          <w:spacing w:val="-6"/>
          <w:sz w:val="24"/>
        </w:rPr>
        <w:t> </w:t>
      </w:r>
      <w:r>
        <w:rPr>
          <w:sz w:val="24"/>
        </w:rPr>
        <w:t>бахилы), обеспечение медицинскими изделиями, в том числе пульсоксиметрами, аппаратами искусственной вентиляции</w:t>
      </w:r>
      <w:r>
        <w:rPr>
          <w:spacing w:val="2"/>
          <w:sz w:val="24"/>
        </w:rPr>
        <w:t> </w:t>
      </w:r>
      <w:r>
        <w:rPr>
          <w:sz w:val="24"/>
        </w:rPr>
        <w:t>легких;</w:t>
      </w:r>
    </w:p>
    <w:p>
      <w:pPr>
        <w:pStyle w:val="ListParagraph"/>
        <w:numPr>
          <w:ilvl w:val="0"/>
          <w:numId w:val="38"/>
        </w:numPr>
        <w:tabs>
          <w:tab w:pos="1001" w:val="left" w:leader="none"/>
        </w:tabs>
        <w:spacing w:line="309" w:lineRule="auto" w:before="0" w:after="0"/>
        <w:ind w:left="1000" w:right="674" w:hanging="339"/>
        <w:jc w:val="both"/>
        <w:rPr>
          <w:sz w:val="24"/>
        </w:rPr>
      </w:pPr>
      <w:r>
        <w:rPr>
          <w:sz w:val="24"/>
        </w:rPr>
        <w:t>Информирование медицинских работников по вопросам профилактики, диагностики и лечения COVID-19, а также сбора эпидемиологического анамнеза;</w:t>
      </w:r>
    </w:p>
    <w:p>
      <w:pPr>
        <w:pStyle w:val="ListParagraph"/>
        <w:numPr>
          <w:ilvl w:val="0"/>
          <w:numId w:val="38"/>
        </w:numPr>
        <w:tabs>
          <w:tab w:pos="1001" w:val="left" w:leader="none"/>
        </w:tabs>
        <w:spacing w:line="304" w:lineRule="auto" w:before="0" w:after="0"/>
        <w:ind w:left="1000" w:right="676" w:hanging="339"/>
        <w:jc w:val="both"/>
        <w:rPr>
          <w:sz w:val="24"/>
        </w:rPr>
      </w:pPr>
      <w:r>
        <w:rPr>
          <w:sz w:val="24"/>
        </w:rPr>
        <w:t>Госпитализацию пациентов с нетипичным течением ОРВИ, внебольничной пневмонией;</w:t>
      </w:r>
    </w:p>
    <w:p>
      <w:pPr>
        <w:pStyle w:val="ListParagraph"/>
        <w:numPr>
          <w:ilvl w:val="0"/>
          <w:numId w:val="38"/>
        </w:numPr>
        <w:tabs>
          <w:tab w:pos="1001" w:val="left" w:leader="none"/>
        </w:tabs>
        <w:spacing w:line="309" w:lineRule="auto" w:before="7" w:after="0"/>
        <w:ind w:left="1000" w:right="673" w:hanging="339"/>
        <w:jc w:val="both"/>
        <w:rPr>
          <w:sz w:val="24"/>
        </w:rPr>
      </w:pPr>
      <w:r>
        <w:rPr>
          <w:sz w:val="24"/>
        </w:rPr>
        <w:t>Проведение противоэпидемических мероприятий при выявлении подозрения на инфекционное заболевание, вызванное штамма SARS-CoV-2, в соответствии     с требованиями</w:t>
      </w:r>
      <w:r>
        <w:rPr>
          <w:spacing w:val="-1"/>
          <w:sz w:val="24"/>
        </w:rPr>
        <w:t> </w:t>
      </w:r>
      <w:r>
        <w:rPr>
          <w:sz w:val="24"/>
        </w:rPr>
        <w:t>Роспотребнадзора;</w:t>
      </w:r>
    </w:p>
    <w:p>
      <w:pPr>
        <w:pStyle w:val="ListParagraph"/>
        <w:numPr>
          <w:ilvl w:val="0"/>
          <w:numId w:val="38"/>
        </w:numPr>
        <w:tabs>
          <w:tab w:pos="1001" w:val="left" w:leader="none"/>
        </w:tabs>
        <w:spacing w:line="309" w:lineRule="auto" w:before="3" w:after="0"/>
        <w:ind w:left="1000" w:right="674" w:hanging="339"/>
        <w:jc w:val="both"/>
        <w:rPr>
          <w:sz w:val="24"/>
        </w:rPr>
      </w:pPr>
      <w:r>
        <w:rPr>
          <w:sz w:val="24"/>
        </w:rPr>
        <w:t>Прием  через  приемно-смотровые  боксы  и  (или)  фильтр-боксы  пациентов    с</w:t>
      </w:r>
      <w:r>
        <w:rPr>
          <w:spacing w:val="-5"/>
          <w:sz w:val="24"/>
        </w:rPr>
        <w:t> </w:t>
      </w:r>
      <w:r>
        <w:rPr>
          <w:sz w:val="24"/>
        </w:rPr>
        <w:t>признаками</w:t>
      </w:r>
      <w:r>
        <w:rPr>
          <w:spacing w:val="-7"/>
          <w:sz w:val="24"/>
        </w:rPr>
        <w:t> </w:t>
      </w:r>
      <w:r>
        <w:rPr>
          <w:sz w:val="24"/>
        </w:rPr>
        <w:t>ОРВИ,</w:t>
      </w:r>
      <w:r>
        <w:rPr>
          <w:spacing w:val="-8"/>
          <w:sz w:val="24"/>
        </w:rPr>
        <w:t> </w:t>
      </w:r>
      <w:r>
        <w:rPr>
          <w:sz w:val="24"/>
        </w:rPr>
        <w:t>внебольничных</w:t>
      </w:r>
      <w:r>
        <w:rPr>
          <w:spacing w:val="-8"/>
          <w:sz w:val="24"/>
        </w:rPr>
        <w:t> </w:t>
      </w:r>
      <w:r>
        <w:rPr>
          <w:sz w:val="24"/>
        </w:rPr>
        <w:t>пневмоний</w:t>
      </w:r>
      <w:r>
        <w:rPr>
          <w:spacing w:val="-7"/>
          <w:sz w:val="24"/>
        </w:rPr>
        <w:t> </w:t>
      </w:r>
      <w:r>
        <w:rPr>
          <w:sz w:val="24"/>
        </w:rPr>
        <w:t>и</w:t>
      </w:r>
      <w:r>
        <w:rPr>
          <w:spacing w:val="-10"/>
          <w:sz w:val="24"/>
        </w:rPr>
        <w:t> </w:t>
      </w:r>
      <w:r>
        <w:rPr>
          <w:sz w:val="24"/>
        </w:rPr>
        <w:t>дальнейшую</w:t>
      </w:r>
      <w:r>
        <w:rPr>
          <w:spacing w:val="-8"/>
          <w:sz w:val="24"/>
        </w:rPr>
        <w:t> </w:t>
      </w:r>
      <w:r>
        <w:rPr>
          <w:sz w:val="24"/>
        </w:rPr>
        <w:t>маршрутизацию пациентов в медицинской</w:t>
      </w:r>
      <w:r>
        <w:rPr>
          <w:spacing w:val="-2"/>
          <w:sz w:val="24"/>
        </w:rPr>
        <w:t> </w:t>
      </w:r>
      <w:r>
        <w:rPr>
          <w:sz w:val="24"/>
        </w:rPr>
        <w:t>организации;</w:t>
      </w:r>
    </w:p>
    <w:p>
      <w:pPr>
        <w:pStyle w:val="ListParagraph"/>
        <w:numPr>
          <w:ilvl w:val="0"/>
          <w:numId w:val="38"/>
        </w:numPr>
        <w:tabs>
          <w:tab w:pos="1001" w:val="left" w:leader="none"/>
        </w:tabs>
        <w:spacing w:line="309" w:lineRule="auto" w:before="1" w:after="0"/>
        <w:ind w:left="1000" w:right="675" w:hanging="339"/>
        <w:jc w:val="both"/>
        <w:rPr>
          <w:sz w:val="24"/>
        </w:rPr>
      </w:pPr>
      <w:r>
        <w:rPr>
          <w:sz w:val="24"/>
        </w:rPr>
        <w:t>Разделение работников медицинской организации  на  лиц,  контактировавших с пациентами с симптомами ОРВИ, внебольничной пневмонией, и лиц не контактировавших, исключив возможность их</w:t>
      </w:r>
      <w:r>
        <w:rPr>
          <w:spacing w:val="-3"/>
          <w:sz w:val="24"/>
        </w:rPr>
        <w:t> </w:t>
      </w:r>
      <w:r>
        <w:rPr>
          <w:sz w:val="24"/>
        </w:rPr>
        <w:t>пересечения;</w:t>
      </w:r>
    </w:p>
    <w:p>
      <w:pPr>
        <w:pStyle w:val="ListParagraph"/>
        <w:numPr>
          <w:ilvl w:val="0"/>
          <w:numId w:val="38"/>
        </w:numPr>
        <w:tabs>
          <w:tab w:pos="1001" w:val="left" w:leader="none"/>
        </w:tabs>
        <w:spacing w:line="309" w:lineRule="auto" w:before="3" w:after="0"/>
        <w:ind w:left="1000" w:right="676" w:hanging="339"/>
        <w:jc w:val="both"/>
        <w:rPr>
          <w:sz w:val="24"/>
        </w:rPr>
      </w:pPr>
      <w:r>
        <w:rPr>
          <w:sz w:val="24"/>
        </w:rPr>
        <w:t>Соблюдение температурного режима, режима проветривания, текущей дезинфекции в медицинской организации, использование работниками медицинской организации</w:t>
      </w:r>
      <w:r>
        <w:rPr>
          <w:spacing w:val="-2"/>
          <w:sz w:val="24"/>
        </w:rPr>
        <w:t> </w:t>
      </w:r>
      <w:r>
        <w:rPr>
          <w:sz w:val="24"/>
        </w:rPr>
        <w:t>СИЗ;</w:t>
      </w:r>
    </w:p>
    <w:p>
      <w:pPr>
        <w:pStyle w:val="ListParagraph"/>
        <w:numPr>
          <w:ilvl w:val="0"/>
          <w:numId w:val="38"/>
        </w:numPr>
        <w:tabs>
          <w:tab w:pos="1001" w:val="left" w:leader="none"/>
        </w:tabs>
        <w:spacing w:line="309" w:lineRule="auto" w:before="1" w:after="0"/>
        <w:ind w:left="1000" w:right="677" w:hanging="339"/>
        <w:jc w:val="both"/>
        <w:rPr>
          <w:sz w:val="24"/>
        </w:rPr>
      </w:pPr>
      <w:r>
        <w:rPr>
          <w:sz w:val="24"/>
        </w:rPr>
        <w:t>Проведение   обеззараживания    воздуха    и    поверхностей    в    помещениях  с использованием бактерицидных облучателей и (или) других устройств для обеззараживания воздуха и (или)</w:t>
      </w:r>
      <w:r>
        <w:rPr>
          <w:spacing w:val="-2"/>
          <w:sz w:val="24"/>
        </w:rPr>
        <w:t> </w:t>
      </w:r>
      <w:r>
        <w:rPr>
          <w:sz w:val="24"/>
        </w:rPr>
        <w:t>поверхностей;</w:t>
      </w:r>
    </w:p>
    <w:p>
      <w:pPr>
        <w:spacing w:after="0" w:line="309" w:lineRule="auto"/>
        <w:jc w:val="both"/>
        <w:rPr>
          <w:sz w:val="24"/>
        </w:rPr>
        <w:sectPr>
          <w:pgSz w:w="11920" w:h="16850"/>
          <w:pgMar w:header="0" w:footer="620" w:top="1060" w:bottom="880" w:left="1380" w:right="600"/>
        </w:sectPr>
      </w:pPr>
    </w:p>
    <w:p>
      <w:pPr>
        <w:pStyle w:val="ListParagraph"/>
        <w:numPr>
          <w:ilvl w:val="0"/>
          <w:numId w:val="38"/>
        </w:numPr>
        <w:tabs>
          <w:tab w:pos="1001" w:val="left" w:leader="none"/>
        </w:tabs>
        <w:spacing w:line="240" w:lineRule="auto" w:before="80" w:after="0"/>
        <w:ind w:left="1000" w:right="0" w:hanging="339"/>
        <w:jc w:val="both"/>
        <w:rPr>
          <w:sz w:val="24"/>
        </w:rPr>
      </w:pPr>
      <w:r>
        <w:rPr>
          <w:sz w:val="24"/>
        </w:rPr>
        <w:t>Контроль концентрации дезинфицирующих средств в рабочих</w:t>
      </w:r>
      <w:r>
        <w:rPr>
          <w:spacing w:val="-2"/>
          <w:sz w:val="24"/>
        </w:rPr>
        <w:t> </w:t>
      </w:r>
      <w:r>
        <w:rPr>
          <w:sz w:val="24"/>
        </w:rPr>
        <w:t>растворах;</w:t>
      </w:r>
    </w:p>
    <w:p>
      <w:pPr>
        <w:pStyle w:val="ListParagraph"/>
        <w:numPr>
          <w:ilvl w:val="0"/>
          <w:numId w:val="38"/>
        </w:numPr>
        <w:tabs>
          <w:tab w:pos="1001" w:val="left" w:leader="none"/>
        </w:tabs>
        <w:spacing w:line="304" w:lineRule="auto" w:before="83" w:after="0"/>
        <w:ind w:left="1000" w:right="677" w:hanging="339"/>
        <w:jc w:val="both"/>
        <w:rPr>
          <w:sz w:val="24"/>
        </w:rPr>
      </w:pPr>
      <w:r>
        <w:rPr>
          <w:sz w:val="24"/>
        </w:rPr>
        <w:t>Увеличение кратности дезинфекционных обработок помещений медицинских организаций;</w:t>
      </w:r>
    </w:p>
    <w:p>
      <w:pPr>
        <w:pStyle w:val="ListParagraph"/>
        <w:numPr>
          <w:ilvl w:val="0"/>
          <w:numId w:val="38"/>
        </w:numPr>
        <w:tabs>
          <w:tab w:pos="1001" w:val="left" w:leader="none"/>
        </w:tabs>
        <w:spacing w:line="309" w:lineRule="auto" w:before="10" w:after="0"/>
        <w:ind w:left="1000" w:right="674" w:hanging="339"/>
        <w:jc w:val="both"/>
        <w:rPr>
          <w:sz w:val="24"/>
        </w:rPr>
      </w:pPr>
      <w:r>
        <w:rPr>
          <w:sz w:val="24"/>
        </w:rPr>
        <w:t>Передачу</w:t>
      </w:r>
      <w:r>
        <w:rPr>
          <w:spacing w:val="-13"/>
          <w:sz w:val="24"/>
        </w:rPr>
        <w:t> </w:t>
      </w:r>
      <w:r>
        <w:rPr>
          <w:sz w:val="24"/>
        </w:rPr>
        <w:t>биологического</w:t>
      </w:r>
      <w:r>
        <w:rPr>
          <w:spacing w:val="-6"/>
          <w:sz w:val="24"/>
        </w:rPr>
        <w:t> </w:t>
      </w:r>
      <w:r>
        <w:rPr>
          <w:sz w:val="24"/>
        </w:rPr>
        <w:t>материала</w:t>
      </w:r>
      <w:r>
        <w:rPr>
          <w:spacing w:val="-7"/>
          <w:sz w:val="24"/>
        </w:rPr>
        <w:t> </w:t>
      </w:r>
      <w:r>
        <w:rPr>
          <w:sz w:val="24"/>
        </w:rPr>
        <w:t>от</w:t>
      </w:r>
      <w:r>
        <w:rPr>
          <w:spacing w:val="-5"/>
          <w:sz w:val="24"/>
        </w:rPr>
        <w:t> </w:t>
      </w:r>
      <w:r>
        <w:rPr>
          <w:sz w:val="24"/>
        </w:rPr>
        <w:t>пациентов</w:t>
      </w:r>
      <w:r>
        <w:rPr>
          <w:spacing w:val="-7"/>
          <w:sz w:val="24"/>
        </w:rPr>
        <w:t> </w:t>
      </w:r>
      <w:r>
        <w:rPr>
          <w:sz w:val="24"/>
        </w:rPr>
        <w:t>(мазки</w:t>
      </w:r>
      <w:r>
        <w:rPr>
          <w:spacing w:val="-8"/>
          <w:sz w:val="24"/>
        </w:rPr>
        <w:t> </w:t>
      </w:r>
      <w:r>
        <w:rPr>
          <w:sz w:val="24"/>
        </w:rPr>
        <w:t>из</w:t>
      </w:r>
      <w:r>
        <w:rPr>
          <w:spacing w:val="-7"/>
          <w:sz w:val="24"/>
        </w:rPr>
        <w:t> </w:t>
      </w:r>
      <w:r>
        <w:rPr>
          <w:sz w:val="24"/>
        </w:rPr>
        <w:t>носо-</w:t>
      </w:r>
      <w:r>
        <w:rPr>
          <w:spacing w:val="-6"/>
          <w:sz w:val="24"/>
        </w:rPr>
        <w:t> </w:t>
      </w:r>
      <w:r>
        <w:rPr>
          <w:sz w:val="24"/>
        </w:rPr>
        <w:t>и</w:t>
      </w:r>
      <w:r>
        <w:rPr>
          <w:spacing w:val="-5"/>
          <w:sz w:val="24"/>
        </w:rPr>
        <w:t> </w:t>
      </w:r>
      <w:r>
        <w:rPr>
          <w:sz w:val="24"/>
        </w:rPr>
        <w:t>ротоглотки) при подозрении на COVID-19 в лаборатории медицинских организаций, имеющих эпидемиологическое заключение на работу с III и IV группами патогенности, с оформлением Акта</w:t>
      </w:r>
      <w:r>
        <w:rPr>
          <w:spacing w:val="-4"/>
          <w:sz w:val="24"/>
        </w:rPr>
        <w:t> </w:t>
      </w:r>
      <w:r>
        <w:rPr>
          <w:sz w:val="24"/>
        </w:rPr>
        <w:t>приема-передачи;</w:t>
      </w:r>
    </w:p>
    <w:p>
      <w:pPr>
        <w:pStyle w:val="ListParagraph"/>
        <w:numPr>
          <w:ilvl w:val="0"/>
          <w:numId w:val="38"/>
        </w:numPr>
        <w:tabs>
          <w:tab w:pos="1001" w:val="left" w:leader="none"/>
        </w:tabs>
        <w:spacing w:line="309" w:lineRule="auto" w:before="5" w:after="0"/>
        <w:ind w:left="1000" w:right="677" w:hanging="339"/>
        <w:jc w:val="both"/>
        <w:rPr>
          <w:sz w:val="24"/>
        </w:rPr>
      </w:pPr>
      <w:r>
        <w:rPr>
          <w:sz w:val="24"/>
        </w:rPr>
        <w:t>Указание медицинскими работниками в бланке направления на лабораторное исследование диагноза «пневмония» при направлении биологического материала пациентов с внебольничной пневмонией для диагностики</w:t>
      </w:r>
      <w:r>
        <w:rPr>
          <w:spacing w:val="-21"/>
          <w:sz w:val="24"/>
        </w:rPr>
        <w:t> </w:t>
      </w:r>
      <w:r>
        <w:rPr>
          <w:sz w:val="24"/>
        </w:rPr>
        <w:t>COVID-19;</w:t>
      </w:r>
    </w:p>
    <w:p>
      <w:pPr>
        <w:pStyle w:val="ListParagraph"/>
        <w:numPr>
          <w:ilvl w:val="0"/>
          <w:numId w:val="38"/>
        </w:numPr>
        <w:tabs>
          <w:tab w:pos="1001" w:val="left" w:leader="none"/>
        </w:tabs>
        <w:spacing w:line="309" w:lineRule="auto" w:before="3" w:after="0"/>
        <w:ind w:left="1000" w:right="676" w:hanging="339"/>
        <w:jc w:val="both"/>
        <w:rPr>
          <w:sz w:val="24"/>
        </w:rPr>
      </w:pPr>
      <w:r>
        <w:rPr>
          <w:sz w:val="24"/>
        </w:rPr>
        <w:t>Информирование населения о рисках распространения COVID-19, мерах индивидуальной профилактики, обращая особое внимание на необходимость своевременного обращения за медицинской помощью при появлении первых симптомов</w:t>
      </w:r>
      <w:r>
        <w:rPr>
          <w:spacing w:val="-2"/>
          <w:sz w:val="24"/>
        </w:rPr>
        <w:t> </w:t>
      </w:r>
      <w:r>
        <w:rPr>
          <w:sz w:val="24"/>
        </w:rPr>
        <w:t>ОРВИ;</w:t>
      </w:r>
    </w:p>
    <w:p>
      <w:pPr>
        <w:pStyle w:val="ListParagraph"/>
        <w:numPr>
          <w:ilvl w:val="0"/>
          <w:numId w:val="38"/>
        </w:numPr>
        <w:tabs>
          <w:tab w:pos="1001" w:val="left" w:leader="none"/>
        </w:tabs>
        <w:spacing w:line="304" w:lineRule="auto" w:before="5" w:after="0"/>
        <w:ind w:left="1000" w:right="676" w:hanging="339"/>
        <w:jc w:val="both"/>
        <w:rPr>
          <w:sz w:val="24"/>
        </w:rPr>
      </w:pPr>
      <w:r>
        <w:rPr>
          <w:sz w:val="24"/>
        </w:rPr>
        <w:t>Рассмотрение возможности переноса  сроков  оказания  медицинской  помощи в плановой</w:t>
      </w:r>
      <w:r>
        <w:rPr>
          <w:spacing w:val="-1"/>
          <w:sz w:val="24"/>
        </w:rPr>
        <w:t> </w:t>
      </w:r>
      <w:r>
        <w:rPr>
          <w:sz w:val="24"/>
        </w:rPr>
        <w:t>форме.</w:t>
      </w:r>
    </w:p>
    <w:p>
      <w:pPr>
        <w:pStyle w:val="BodyText"/>
        <w:ind w:left="0"/>
        <w:jc w:val="left"/>
        <w:rPr>
          <w:sz w:val="26"/>
        </w:rPr>
      </w:pPr>
    </w:p>
    <w:p>
      <w:pPr>
        <w:pStyle w:val="Heading3"/>
        <w:spacing w:line="312" w:lineRule="auto" w:before="189"/>
        <w:ind w:left="333" w:right="749" w:firstLine="696"/>
        <w:jc w:val="left"/>
      </w:pPr>
      <w:bookmarkStart w:name="в) Порядок организации медицинской помощ" w:id="165"/>
      <w:bookmarkEnd w:id="165"/>
      <w:r>
        <w:rPr>
          <w:b w:val="0"/>
        </w:rPr>
      </w:r>
      <w:r>
        <w:rPr>
          <w:color w:val="1F487C"/>
        </w:rPr>
        <w:t>в) Порядок организации медицинской помощи в амбулаторных условиях  и условиях дневного</w:t>
      </w:r>
      <w:r>
        <w:rPr>
          <w:color w:val="1F487C"/>
          <w:spacing w:val="-1"/>
        </w:rPr>
        <w:t> </w:t>
      </w:r>
      <w:r>
        <w:rPr>
          <w:color w:val="1F487C"/>
        </w:rPr>
        <w:t>стационара.</w:t>
      </w:r>
    </w:p>
    <w:p>
      <w:pPr>
        <w:pStyle w:val="BodyText"/>
        <w:spacing w:line="312" w:lineRule="auto" w:before="118"/>
        <w:ind w:left="331" w:right="615" w:firstLine="698"/>
        <w:jc w:val="left"/>
      </w:pPr>
      <w:r>
        <w:rPr/>
        <w:t>Руководителям медицинских организаций, оказывающих медицинскую помощь в амбулаторных условиях и условиях дневного стационара необходимо обеспечить:</w:t>
      </w:r>
    </w:p>
    <w:p>
      <w:pPr>
        <w:pStyle w:val="BodyText"/>
        <w:spacing w:before="8"/>
        <w:ind w:left="0"/>
        <w:jc w:val="left"/>
        <w:rPr>
          <w:sz w:val="32"/>
        </w:rPr>
      </w:pPr>
    </w:p>
    <w:p>
      <w:pPr>
        <w:pStyle w:val="ListParagraph"/>
        <w:numPr>
          <w:ilvl w:val="0"/>
          <w:numId w:val="38"/>
        </w:numPr>
        <w:tabs>
          <w:tab w:pos="1001" w:val="left" w:leader="none"/>
        </w:tabs>
        <w:spacing w:line="309" w:lineRule="auto" w:before="0" w:after="0"/>
        <w:ind w:left="1000" w:right="674" w:hanging="339"/>
        <w:jc w:val="both"/>
        <w:rPr>
          <w:sz w:val="24"/>
        </w:rPr>
      </w:pPr>
      <w:r>
        <w:rPr>
          <w:sz w:val="24"/>
        </w:rPr>
        <w:t>Наличие запаса расходных материалов для отбора проб для проведения лабораторных</w:t>
      </w:r>
      <w:r>
        <w:rPr>
          <w:spacing w:val="-13"/>
          <w:sz w:val="24"/>
        </w:rPr>
        <w:t> </w:t>
      </w:r>
      <w:r>
        <w:rPr>
          <w:sz w:val="24"/>
        </w:rPr>
        <w:t>исследований,</w:t>
      </w:r>
      <w:r>
        <w:rPr>
          <w:spacing w:val="-16"/>
          <w:sz w:val="24"/>
        </w:rPr>
        <w:t> </w:t>
      </w:r>
      <w:r>
        <w:rPr>
          <w:sz w:val="24"/>
        </w:rPr>
        <w:t>дезинфекционных</w:t>
      </w:r>
      <w:r>
        <w:rPr>
          <w:spacing w:val="-12"/>
          <w:sz w:val="24"/>
        </w:rPr>
        <w:t> </w:t>
      </w:r>
      <w:r>
        <w:rPr>
          <w:sz w:val="24"/>
        </w:rPr>
        <w:t>средств</w:t>
      </w:r>
      <w:r>
        <w:rPr>
          <w:spacing w:val="-16"/>
          <w:sz w:val="24"/>
        </w:rPr>
        <w:t> </w:t>
      </w:r>
      <w:r>
        <w:rPr>
          <w:sz w:val="24"/>
        </w:rPr>
        <w:t>и</w:t>
      </w:r>
      <w:r>
        <w:rPr>
          <w:spacing w:val="-13"/>
          <w:sz w:val="24"/>
        </w:rPr>
        <w:t> </w:t>
      </w:r>
      <w:r>
        <w:rPr>
          <w:sz w:val="24"/>
        </w:rPr>
        <w:t>медицинских</w:t>
      </w:r>
      <w:r>
        <w:rPr>
          <w:spacing w:val="-13"/>
          <w:sz w:val="24"/>
        </w:rPr>
        <w:t> </w:t>
      </w:r>
      <w:r>
        <w:rPr>
          <w:sz w:val="24"/>
        </w:rPr>
        <w:t>изделий, включая СИЗ (очки, одноразовые перчатки, респиратор соответствующего класса</w:t>
      </w:r>
      <w:r>
        <w:rPr>
          <w:spacing w:val="-6"/>
          <w:sz w:val="24"/>
        </w:rPr>
        <w:t> </w:t>
      </w:r>
      <w:r>
        <w:rPr>
          <w:sz w:val="24"/>
        </w:rPr>
        <w:t>защиты,</w:t>
      </w:r>
      <w:r>
        <w:rPr>
          <w:spacing w:val="-6"/>
          <w:sz w:val="24"/>
        </w:rPr>
        <w:t> </w:t>
      </w:r>
      <w:r>
        <w:rPr>
          <w:sz w:val="24"/>
        </w:rPr>
        <w:t>противочумный</w:t>
      </w:r>
      <w:r>
        <w:rPr>
          <w:spacing w:val="-5"/>
          <w:sz w:val="24"/>
        </w:rPr>
        <w:t> </w:t>
      </w:r>
      <w:r>
        <w:rPr>
          <w:sz w:val="24"/>
        </w:rPr>
        <w:t>костюм</w:t>
      </w:r>
      <w:r>
        <w:rPr>
          <w:spacing w:val="-7"/>
          <w:sz w:val="24"/>
        </w:rPr>
        <w:t> </w:t>
      </w:r>
      <w:r>
        <w:rPr>
          <w:sz w:val="24"/>
        </w:rPr>
        <w:t>1</w:t>
      </w:r>
      <w:r>
        <w:rPr>
          <w:spacing w:val="-4"/>
          <w:sz w:val="24"/>
        </w:rPr>
        <w:t> </w:t>
      </w:r>
      <w:r>
        <w:rPr>
          <w:sz w:val="24"/>
        </w:rPr>
        <w:t>типа</w:t>
      </w:r>
      <w:r>
        <w:rPr>
          <w:spacing w:val="-5"/>
          <w:sz w:val="24"/>
        </w:rPr>
        <w:t> </w:t>
      </w:r>
      <w:r>
        <w:rPr>
          <w:sz w:val="24"/>
        </w:rPr>
        <w:t>или</w:t>
      </w:r>
      <w:r>
        <w:rPr>
          <w:spacing w:val="-5"/>
          <w:sz w:val="24"/>
        </w:rPr>
        <w:t> </w:t>
      </w:r>
      <w:r>
        <w:rPr>
          <w:sz w:val="24"/>
        </w:rPr>
        <w:t>одноразовый</w:t>
      </w:r>
      <w:r>
        <w:rPr>
          <w:spacing w:val="-8"/>
          <w:sz w:val="24"/>
        </w:rPr>
        <w:t> </w:t>
      </w:r>
      <w:r>
        <w:rPr>
          <w:sz w:val="24"/>
        </w:rPr>
        <w:t>халат,</w:t>
      </w:r>
      <w:r>
        <w:rPr>
          <w:spacing w:val="-6"/>
          <w:sz w:val="24"/>
        </w:rPr>
        <w:t> </w:t>
      </w:r>
      <w:r>
        <w:rPr>
          <w:sz w:val="24"/>
        </w:rPr>
        <w:t>бахилы), медицинские изделия, включая</w:t>
      </w:r>
      <w:r>
        <w:rPr>
          <w:spacing w:val="-3"/>
          <w:sz w:val="24"/>
        </w:rPr>
        <w:t> </w:t>
      </w:r>
      <w:r>
        <w:rPr>
          <w:sz w:val="24"/>
        </w:rPr>
        <w:t>пульсоксиметры;</w:t>
      </w:r>
    </w:p>
    <w:p>
      <w:pPr>
        <w:pStyle w:val="ListParagraph"/>
        <w:numPr>
          <w:ilvl w:val="0"/>
          <w:numId w:val="38"/>
        </w:numPr>
        <w:tabs>
          <w:tab w:pos="1001" w:val="left" w:leader="none"/>
        </w:tabs>
        <w:spacing w:line="309" w:lineRule="auto" w:before="7" w:after="0"/>
        <w:ind w:left="1000" w:right="674" w:hanging="339"/>
        <w:jc w:val="both"/>
        <w:rPr>
          <w:sz w:val="24"/>
        </w:rPr>
      </w:pPr>
      <w:r>
        <w:rPr>
          <w:sz w:val="24"/>
        </w:rPr>
        <w:t>Информирование медицинских работников по вопросам профилактики, диагностики и лечения COVID-19, а также сбора эпидемиологического анамнеза;</w:t>
      </w:r>
    </w:p>
    <w:p>
      <w:pPr>
        <w:pStyle w:val="ListParagraph"/>
        <w:numPr>
          <w:ilvl w:val="0"/>
          <w:numId w:val="38"/>
        </w:numPr>
        <w:tabs>
          <w:tab w:pos="1001" w:val="left" w:leader="none"/>
        </w:tabs>
        <w:spacing w:line="304" w:lineRule="auto" w:before="3" w:after="0"/>
        <w:ind w:left="1000" w:right="676" w:hanging="339"/>
        <w:jc w:val="both"/>
        <w:rPr>
          <w:sz w:val="24"/>
        </w:rPr>
      </w:pPr>
      <w:r>
        <w:rPr>
          <w:sz w:val="24"/>
        </w:rPr>
        <w:t>Госпитализацию пациентов с нетипичным течением ОРВИ и внебольничной пневмонией;</w:t>
      </w:r>
    </w:p>
    <w:p>
      <w:pPr>
        <w:pStyle w:val="ListParagraph"/>
        <w:numPr>
          <w:ilvl w:val="0"/>
          <w:numId w:val="38"/>
        </w:numPr>
        <w:tabs>
          <w:tab w:pos="1001" w:val="left" w:leader="none"/>
        </w:tabs>
        <w:spacing w:line="240" w:lineRule="auto" w:before="10" w:after="0"/>
        <w:ind w:left="1000" w:right="0" w:hanging="339"/>
        <w:jc w:val="both"/>
        <w:rPr>
          <w:sz w:val="24"/>
        </w:rPr>
      </w:pPr>
      <w:r>
        <w:rPr>
          <w:sz w:val="24"/>
        </w:rPr>
        <w:t>Проведение противоэпидемических мероприятий при выявлении подозрения</w:t>
      </w:r>
      <w:r>
        <w:rPr>
          <w:spacing w:val="6"/>
          <w:sz w:val="24"/>
        </w:rPr>
        <w:t> </w:t>
      </w:r>
      <w:r>
        <w:rPr>
          <w:sz w:val="24"/>
        </w:rPr>
        <w:t>на</w:t>
      </w:r>
    </w:p>
    <w:p>
      <w:pPr>
        <w:pStyle w:val="BodyText"/>
        <w:spacing w:before="81"/>
        <w:ind w:left="1000"/>
        <w:jc w:val="left"/>
      </w:pPr>
      <w:r>
        <w:rPr/>
        <w:t>COVID-19;</w:t>
      </w:r>
    </w:p>
    <w:p>
      <w:pPr>
        <w:pStyle w:val="ListParagraph"/>
        <w:numPr>
          <w:ilvl w:val="0"/>
          <w:numId w:val="38"/>
        </w:numPr>
        <w:tabs>
          <w:tab w:pos="1001" w:val="left" w:leader="none"/>
        </w:tabs>
        <w:spacing w:line="309" w:lineRule="auto" w:before="84" w:after="0"/>
        <w:ind w:left="1000" w:right="674" w:hanging="339"/>
        <w:jc w:val="both"/>
        <w:rPr>
          <w:sz w:val="24"/>
        </w:rPr>
      </w:pPr>
      <w:r>
        <w:rPr>
          <w:sz w:val="24"/>
        </w:rPr>
        <w:t>Прием  через  приемно-смотровые  боксы  и  (или)  фильтр-боксы  пациентов    с признаками ОРВИ,  а  также  схемы  дальнейшей  маршрутизации  пациентов в медицинские      организации,       оказывающие       медицинскую       помощь в стационарных</w:t>
      </w:r>
      <w:r>
        <w:rPr>
          <w:spacing w:val="2"/>
          <w:sz w:val="24"/>
        </w:rPr>
        <w:t> </w:t>
      </w:r>
      <w:r>
        <w:rPr>
          <w:sz w:val="24"/>
        </w:rPr>
        <w:t>условиях;</w:t>
      </w:r>
    </w:p>
    <w:p>
      <w:pPr>
        <w:spacing w:after="0" w:line="309" w:lineRule="auto"/>
        <w:jc w:val="both"/>
        <w:rPr>
          <w:sz w:val="24"/>
        </w:rPr>
        <w:sectPr>
          <w:pgSz w:w="11920" w:h="16850"/>
          <w:pgMar w:header="0" w:footer="620" w:top="1060" w:bottom="880" w:left="1380" w:right="600"/>
        </w:sectPr>
      </w:pPr>
    </w:p>
    <w:p>
      <w:pPr>
        <w:pStyle w:val="ListParagraph"/>
        <w:numPr>
          <w:ilvl w:val="0"/>
          <w:numId w:val="38"/>
        </w:numPr>
        <w:tabs>
          <w:tab w:pos="1001" w:val="left" w:leader="none"/>
        </w:tabs>
        <w:spacing w:line="309" w:lineRule="auto" w:before="80" w:after="0"/>
        <w:ind w:left="1000" w:right="676" w:hanging="339"/>
        <w:jc w:val="both"/>
        <w:rPr>
          <w:sz w:val="24"/>
        </w:rPr>
      </w:pPr>
      <w:r>
        <w:rPr>
          <w:sz w:val="24"/>
        </w:rPr>
        <w:t>Соблюдение температурного режима, режима проветривания, текущей дезинфекции в медицинской организации, использование работниками медицинской организации</w:t>
      </w:r>
      <w:r>
        <w:rPr>
          <w:spacing w:val="-2"/>
          <w:sz w:val="24"/>
        </w:rPr>
        <w:t> </w:t>
      </w:r>
      <w:r>
        <w:rPr>
          <w:sz w:val="24"/>
        </w:rPr>
        <w:t>СИЗ;</w:t>
      </w:r>
    </w:p>
    <w:p>
      <w:pPr>
        <w:pStyle w:val="ListParagraph"/>
        <w:numPr>
          <w:ilvl w:val="0"/>
          <w:numId w:val="38"/>
        </w:numPr>
        <w:tabs>
          <w:tab w:pos="1001" w:val="left" w:leader="none"/>
        </w:tabs>
        <w:spacing w:line="309" w:lineRule="auto" w:before="3" w:after="0"/>
        <w:ind w:left="1000" w:right="677" w:hanging="339"/>
        <w:jc w:val="both"/>
        <w:rPr>
          <w:sz w:val="24"/>
        </w:rPr>
      </w:pPr>
      <w:r>
        <w:rPr>
          <w:sz w:val="24"/>
        </w:rPr>
        <w:t>Проведение   обеззараживания    воздуха    и    поверхностей    в    помещениях  с использованием бактерицидных облучателей и (или) других устройств для обеззараживания воздуха и (или)</w:t>
      </w:r>
      <w:r>
        <w:rPr>
          <w:spacing w:val="-2"/>
          <w:sz w:val="24"/>
        </w:rPr>
        <w:t> </w:t>
      </w:r>
      <w:r>
        <w:rPr>
          <w:sz w:val="24"/>
        </w:rPr>
        <w:t>поверхностей;</w:t>
      </w:r>
    </w:p>
    <w:p>
      <w:pPr>
        <w:pStyle w:val="ListParagraph"/>
        <w:numPr>
          <w:ilvl w:val="0"/>
          <w:numId w:val="38"/>
        </w:numPr>
        <w:tabs>
          <w:tab w:pos="1001" w:val="left" w:leader="none"/>
        </w:tabs>
        <w:spacing w:line="240" w:lineRule="auto" w:before="1" w:after="0"/>
        <w:ind w:left="1000" w:right="0" w:hanging="339"/>
        <w:jc w:val="both"/>
        <w:rPr>
          <w:sz w:val="24"/>
        </w:rPr>
      </w:pPr>
      <w:r>
        <w:rPr>
          <w:sz w:val="24"/>
        </w:rPr>
        <w:t>Контроль концентрации дезинфицирующих средств в рабочих</w:t>
      </w:r>
      <w:r>
        <w:rPr>
          <w:spacing w:val="-2"/>
          <w:sz w:val="24"/>
        </w:rPr>
        <w:t> </w:t>
      </w:r>
      <w:r>
        <w:rPr>
          <w:sz w:val="24"/>
        </w:rPr>
        <w:t>растворах;</w:t>
      </w:r>
    </w:p>
    <w:p>
      <w:pPr>
        <w:pStyle w:val="ListParagraph"/>
        <w:numPr>
          <w:ilvl w:val="0"/>
          <w:numId w:val="38"/>
        </w:numPr>
        <w:tabs>
          <w:tab w:pos="1001" w:val="left" w:leader="none"/>
        </w:tabs>
        <w:spacing w:line="304" w:lineRule="auto" w:before="83" w:after="0"/>
        <w:ind w:left="1000" w:right="677" w:hanging="339"/>
        <w:jc w:val="both"/>
        <w:rPr>
          <w:sz w:val="24"/>
        </w:rPr>
      </w:pPr>
      <w:r>
        <w:rPr>
          <w:sz w:val="24"/>
        </w:rPr>
        <w:t>Увеличение кратности дезинфекционных обработок помещений медицинских организаций;</w:t>
      </w:r>
    </w:p>
    <w:p>
      <w:pPr>
        <w:pStyle w:val="ListParagraph"/>
        <w:numPr>
          <w:ilvl w:val="0"/>
          <w:numId w:val="38"/>
        </w:numPr>
        <w:tabs>
          <w:tab w:pos="1001" w:val="left" w:leader="none"/>
        </w:tabs>
        <w:spacing w:line="309" w:lineRule="auto" w:before="10" w:after="0"/>
        <w:ind w:left="1000" w:right="674" w:hanging="339"/>
        <w:jc w:val="both"/>
        <w:rPr>
          <w:sz w:val="24"/>
        </w:rPr>
      </w:pPr>
      <w:r>
        <w:rPr>
          <w:sz w:val="24"/>
        </w:rPr>
        <w:t>Передачу</w:t>
      </w:r>
      <w:r>
        <w:rPr>
          <w:spacing w:val="-13"/>
          <w:sz w:val="24"/>
        </w:rPr>
        <w:t> </w:t>
      </w:r>
      <w:r>
        <w:rPr>
          <w:sz w:val="24"/>
        </w:rPr>
        <w:t>биологического</w:t>
      </w:r>
      <w:r>
        <w:rPr>
          <w:spacing w:val="-6"/>
          <w:sz w:val="24"/>
        </w:rPr>
        <w:t> </w:t>
      </w:r>
      <w:r>
        <w:rPr>
          <w:sz w:val="24"/>
        </w:rPr>
        <w:t>материала</w:t>
      </w:r>
      <w:r>
        <w:rPr>
          <w:spacing w:val="-7"/>
          <w:sz w:val="24"/>
        </w:rPr>
        <w:t> </w:t>
      </w:r>
      <w:r>
        <w:rPr>
          <w:sz w:val="24"/>
        </w:rPr>
        <w:t>от</w:t>
      </w:r>
      <w:r>
        <w:rPr>
          <w:spacing w:val="-5"/>
          <w:sz w:val="24"/>
        </w:rPr>
        <w:t> </w:t>
      </w:r>
      <w:r>
        <w:rPr>
          <w:sz w:val="24"/>
        </w:rPr>
        <w:t>пациентов</w:t>
      </w:r>
      <w:r>
        <w:rPr>
          <w:spacing w:val="-7"/>
          <w:sz w:val="24"/>
        </w:rPr>
        <w:t> </w:t>
      </w:r>
      <w:r>
        <w:rPr>
          <w:sz w:val="24"/>
        </w:rPr>
        <w:t>(мазки</w:t>
      </w:r>
      <w:r>
        <w:rPr>
          <w:spacing w:val="-8"/>
          <w:sz w:val="24"/>
        </w:rPr>
        <w:t> </w:t>
      </w:r>
      <w:r>
        <w:rPr>
          <w:sz w:val="24"/>
        </w:rPr>
        <w:t>из</w:t>
      </w:r>
      <w:r>
        <w:rPr>
          <w:spacing w:val="-7"/>
          <w:sz w:val="24"/>
        </w:rPr>
        <w:t> </w:t>
      </w:r>
      <w:r>
        <w:rPr>
          <w:sz w:val="24"/>
        </w:rPr>
        <w:t>носо-</w:t>
      </w:r>
      <w:r>
        <w:rPr>
          <w:spacing w:val="-6"/>
          <w:sz w:val="24"/>
        </w:rPr>
        <w:t> </w:t>
      </w:r>
      <w:r>
        <w:rPr>
          <w:sz w:val="24"/>
        </w:rPr>
        <w:t>и</w:t>
      </w:r>
      <w:r>
        <w:rPr>
          <w:spacing w:val="-5"/>
          <w:sz w:val="24"/>
        </w:rPr>
        <w:t> </w:t>
      </w:r>
      <w:r>
        <w:rPr>
          <w:sz w:val="24"/>
        </w:rPr>
        <w:t>ротоглотки) при подозрении на COVID-19 в лаборатории медицинских организаций, имеющих эпидемиологическое заключение на работу с III и IV группами патогенности, с оформлением Акта</w:t>
      </w:r>
      <w:r>
        <w:rPr>
          <w:spacing w:val="-4"/>
          <w:sz w:val="24"/>
        </w:rPr>
        <w:t> </w:t>
      </w:r>
      <w:r>
        <w:rPr>
          <w:sz w:val="24"/>
        </w:rPr>
        <w:t>приема-передачи;</w:t>
      </w:r>
    </w:p>
    <w:p>
      <w:pPr>
        <w:pStyle w:val="ListParagraph"/>
        <w:numPr>
          <w:ilvl w:val="0"/>
          <w:numId w:val="38"/>
        </w:numPr>
        <w:tabs>
          <w:tab w:pos="1001" w:val="left" w:leader="none"/>
        </w:tabs>
        <w:spacing w:line="309" w:lineRule="auto" w:before="5" w:after="0"/>
        <w:ind w:left="1000" w:right="677" w:hanging="339"/>
        <w:jc w:val="both"/>
        <w:rPr>
          <w:sz w:val="24"/>
        </w:rPr>
      </w:pPr>
      <w:r>
        <w:rPr>
          <w:sz w:val="24"/>
        </w:rPr>
        <w:t>Указание медицинскими работниками в бланке направления на лабораторное исследование диагноза «пневмония» при направлении биологического материала пациентов с внебольничной пневмонией для диагностики</w:t>
      </w:r>
      <w:r>
        <w:rPr>
          <w:spacing w:val="-16"/>
          <w:sz w:val="24"/>
        </w:rPr>
        <w:t> </w:t>
      </w:r>
      <w:r>
        <w:rPr>
          <w:sz w:val="24"/>
        </w:rPr>
        <w:t>COVID-19;</w:t>
      </w:r>
    </w:p>
    <w:p>
      <w:pPr>
        <w:pStyle w:val="ListParagraph"/>
        <w:numPr>
          <w:ilvl w:val="0"/>
          <w:numId w:val="38"/>
        </w:numPr>
        <w:tabs>
          <w:tab w:pos="1001" w:val="left" w:leader="none"/>
        </w:tabs>
        <w:spacing w:line="309" w:lineRule="auto" w:before="3" w:after="0"/>
        <w:ind w:left="1000" w:right="676" w:hanging="339"/>
        <w:jc w:val="both"/>
        <w:rPr>
          <w:sz w:val="24"/>
        </w:rPr>
      </w:pPr>
      <w:r>
        <w:rPr>
          <w:sz w:val="24"/>
        </w:rPr>
        <w:t>Системную работу по информированию населения о рисках COVID-19, мерах индивидуальной профилактики, обращая особое внимание на необходимость своевременного обращения за медицинской помощью при появлении первых симптомов</w:t>
      </w:r>
      <w:r>
        <w:rPr>
          <w:spacing w:val="-2"/>
          <w:sz w:val="24"/>
        </w:rPr>
        <w:t> </w:t>
      </w:r>
      <w:r>
        <w:rPr>
          <w:sz w:val="24"/>
        </w:rPr>
        <w:t>ОРИ;</w:t>
      </w:r>
    </w:p>
    <w:p>
      <w:pPr>
        <w:pStyle w:val="ListParagraph"/>
        <w:numPr>
          <w:ilvl w:val="0"/>
          <w:numId w:val="38"/>
        </w:numPr>
        <w:tabs>
          <w:tab w:pos="1001" w:val="left" w:leader="none"/>
        </w:tabs>
        <w:spacing w:line="304" w:lineRule="auto" w:before="5" w:after="0"/>
        <w:ind w:left="1000" w:right="676" w:hanging="339"/>
        <w:jc w:val="both"/>
        <w:rPr>
          <w:sz w:val="24"/>
        </w:rPr>
      </w:pPr>
      <w:r>
        <w:rPr>
          <w:sz w:val="24"/>
        </w:rPr>
        <w:t>Указание медицинской помощи пациентам с ОРВИ в амбулаторных условиях, преимущественно на</w:t>
      </w:r>
      <w:r>
        <w:rPr>
          <w:spacing w:val="-2"/>
          <w:sz w:val="24"/>
        </w:rPr>
        <w:t> </w:t>
      </w:r>
      <w:r>
        <w:rPr>
          <w:sz w:val="24"/>
        </w:rPr>
        <w:t>дому;</w:t>
      </w:r>
    </w:p>
    <w:p>
      <w:pPr>
        <w:pStyle w:val="ListParagraph"/>
        <w:numPr>
          <w:ilvl w:val="0"/>
          <w:numId w:val="38"/>
        </w:numPr>
        <w:tabs>
          <w:tab w:pos="1001" w:val="left" w:leader="none"/>
        </w:tabs>
        <w:spacing w:line="309" w:lineRule="auto" w:before="10" w:after="0"/>
        <w:ind w:left="1000" w:right="675" w:hanging="339"/>
        <w:jc w:val="both"/>
        <w:rPr>
          <w:sz w:val="24"/>
        </w:rPr>
      </w:pPr>
      <w:r>
        <w:rPr>
          <w:sz w:val="24"/>
        </w:rPr>
        <w:t>Актуализацию сведений о лицах в возрасте старше 60 лет, а также лицах, страдающих хроническими заболеваниями бронхолегочной, сердечно- сосудистой и эндокринной систем, лицах с болезнью двигательного нейрона, беременных женщинах, проживающих на территории обслуживания медицинской организации;</w:t>
      </w:r>
    </w:p>
    <w:p>
      <w:pPr>
        <w:pStyle w:val="ListParagraph"/>
        <w:numPr>
          <w:ilvl w:val="0"/>
          <w:numId w:val="38"/>
        </w:numPr>
        <w:tabs>
          <w:tab w:pos="1001" w:val="left" w:leader="none"/>
        </w:tabs>
        <w:spacing w:line="304" w:lineRule="auto" w:before="9" w:after="0"/>
        <w:ind w:left="1000" w:right="679" w:hanging="339"/>
        <w:jc w:val="both"/>
        <w:rPr>
          <w:sz w:val="24"/>
        </w:rPr>
      </w:pPr>
      <w:r>
        <w:rPr>
          <w:sz w:val="24"/>
        </w:rPr>
        <w:t>Возможность дистанционной выписки лекарственных препаратов, доставки их на</w:t>
      </w:r>
      <w:r>
        <w:rPr>
          <w:spacing w:val="-1"/>
          <w:sz w:val="24"/>
        </w:rPr>
        <w:t> </w:t>
      </w:r>
      <w:r>
        <w:rPr>
          <w:sz w:val="24"/>
        </w:rPr>
        <w:t>дом;</w:t>
      </w:r>
    </w:p>
    <w:p>
      <w:pPr>
        <w:pStyle w:val="ListParagraph"/>
        <w:numPr>
          <w:ilvl w:val="0"/>
          <w:numId w:val="38"/>
        </w:numPr>
        <w:tabs>
          <w:tab w:pos="1001" w:val="left" w:leader="none"/>
        </w:tabs>
        <w:spacing w:line="312" w:lineRule="auto" w:before="10" w:after="0"/>
        <w:ind w:left="1000" w:right="673" w:hanging="339"/>
        <w:jc w:val="both"/>
        <w:rPr>
          <w:sz w:val="24"/>
        </w:rPr>
      </w:pPr>
      <w:r>
        <w:rPr>
          <w:sz w:val="24"/>
        </w:rPr>
        <w:t>Медицинское наблюдение (ежедневная термометрия, опрос гражданина медицинским работником, в том числе по телефону, на предмет наличия симптомов ОРВИ) граждан, вернувшихся из стран, в которых</w:t>
      </w:r>
      <w:r>
        <w:rPr>
          <w:spacing w:val="-40"/>
          <w:sz w:val="24"/>
        </w:rPr>
        <w:t> </w:t>
      </w:r>
      <w:r>
        <w:rPr>
          <w:sz w:val="24"/>
        </w:rPr>
        <w:t>зарегистрированы случаи COVID-19, на период не менее 14 календарных дней с момента их возвращения, а также проживающих совместно с ними лиц. Передача сводной статистической   информации    о    результатах    медицинского    наблюдения  в территориальное управление</w:t>
      </w:r>
      <w:r>
        <w:rPr>
          <w:spacing w:val="-2"/>
          <w:sz w:val="24"/>
        </w:rPr>
        <w:t> </w:t>
      </w:r>
      <w:r>
        <w:rPr>
          <w:sz w:val="24"/>
        </w:rPr>
        <w:t>Роспотребнадзора;</w:t>
      </w:r>
    </w:p>
    <w:p>
      <w:pPr>
        <w:pStyle w:val="ListParagraph"/>
        <w:numPr>
          <w:ilvl w:val="0"/>
          <w:numId w:val="38"/>
        </w:numPr>
        <w:tabs>
          <w:tab w:pos="1001" w:val="left" w:leader="none"/>
        </w:tabs>
        <w:spacing w:line="304" w:lineRule="auto" w:before="0" w:after="0"/>
        <w:ind w:left="1000" w:right="674" w:hanging="339"/>
        <w:jc w:val="both"/>
        <w:rPr>
          <w:sz w:val="24"/>
        </w:rPr>
      </w:pPr>
      <w:r>
        <w:rPr>
          <w:sz w:val="24"/>
        </w:rPr>
        <w:t>Немедленную изоляцию и, при наличии показаний, госпитализацию пациентов в специально созданные для данного контингента медицинские</w:t>
      </w:r>
      <w:r>
        <w:rPr>
          <w:spacing w:val="54"/>
          <w:sz w:val="24"/>
        </w:rPr>
        <w:t> </w:t>
      </w:r>
      <w:r>
        <w:rPr>
          <w:sz w:val="24"/>
        </w:rPr>
        <w:t>организации,</w:t>
      </w:r>
    </w:p>
    <w:p>
      <w:pPr>
        <w:spacing w:after="0" w:line="304" w:lineRule="auto"/>
        <w:jc w:val="both"/>
        <w:rPr>
          <w:sz w:val="24"/>
        </w:rPr>
        <w:sectPr>
          <w:pgSz w:w="11920" w:h="16850"/>
          <w:pgMar w:header="0" w:footer="620" w:top="1060" w:bottom="880" w:left="1380" w:right="600"/>
        </w:sectPr>
      </w:pPr>
    </w:p>
    <w:p>
      <w:pPr>
        <w:pStyle w:val="BodyText"/>
        <w:spacing w:line="312" w:lineRule="auto" w:before="78"/>
        <w:ind w:left="1000" w:right="678"/>
      </w:pPr>
      <w:r>
        <w:rPr/>
        <w:t>оказывающие</w:t>
      </w:r>
      <w:r>
        <w:rPr>
          <w:spacing w:val="-13"/>
        </w:rPr>
        <w:t> </w:t>
      </w:r>
      <w:r>
        <w:rPr/>
        <w:t>медицинскую</w:t>
      </w:r>
      <w:r>
        <w:rPr>
          <w:spacing w:val="-11"/>
        </w:rPr>
        <w:t> </w:t>
      </w:r>
      <w:r>
        <w:rPr/>
        <w:t>помощь</w:t>
      </w:r>
      <w:r>
        <w:rPr>
          <w:spacing w:val="-10"/>
        </w:rPr>
        <w:t> </w:t>
      </w:r>
      <w:r>
        <w:rPr/>
        <w:t>в</w:t>
      </w:r>
      <w:r>
        <w:rPr>
          <w:spacing w:val="-12"/>
        </w:rPr>
        <w:t> </w:t>
      </w:r>
      <w:r>
        <w:rPr/>
        <w:t>стационарных</w:t>
      </w:r>
      <w:r>
        <w:rPr>
          <w:spacing w:val="-7"/>
        </w:rPr>
        <w:t> </w:t>
      </w:r>
      <w:r>
        <w:rPr/>
        <w:t>условиях,</w:t>
      </w:r>
      <w:r>
        <w:rPr>
          <w:spacing w:val="-12"/>
        </w:rPr>
        <w:t> </w:t>
      </w:r>
      <w:r>
        <w:rPr/>
        <w:t>производить</w:t>
      </w:r>
      <w:r>
        <w:rPr>
          <w:spacing w:val="-12"/>
        </w:rPr>
        <w:t> </w:t>
      </w:r>
      <w:r>
        <w:rPr/>
        <w:t>при появлении подозрения или установления факта заболевания</w:t>
      </w:r>
      <w:r>
        <w:rPr>
          <w:spacing w:val="-9"/>
        </w:rPr>
        <w:t> </w:t>
      </w:r>
      <w:r>
        <w:rPr/>
        <w:t>COVID-19;</w:t>
      </w:r>
    </w:p>
    <w:p>
      <w:pPr>
        <w:pStyle w:val="ListParagraph"/>
        <w:numPr>
          <w:ilvl w:val="0"/>
          <w:numId w:val="38"/>
        </w:numPr>
        <w:tabs>
          <w:tab w:pos="1001" w:val="left" w:leader="none"/>
        </w:tabs>
        <w:spacing w:line="309" w:lineRule="auto" w:before="2" w:after="0"/>
        <w:ind w:left="1000" w:right="676" w:hanging="339"/>
        <w:jc w:val="both"/>
        <w:rPr>
          <w:sz w:val="24"/>
        </w:rPr>
      </w:pPr>
      <w:r>
        <w:rPr>
          <w:sz w:val="24"/>
        </w:rPr>
        <w:t>Возможность оформления листков нетрудоспособности без посещения медицинской организации лицам, прибывшим в Российскую Федерацию из стран, в которых зарегистрированы случаи заболевания COVID-19, а также проживающим совместно с ними</w:t>
      </w:r>
      <w:r>
        <w:rPr>
          <w:spacing w:val="-2"/>
          <w:sz w:val="24"/>
        </w:rPr>
        <w:t> </w:t>
      </w:r>
      <w:r>
        <w:rPr>
          <w:sz w:val="24"/>
        </w:rPr>
        <w:t>лицам.</w:t>
      </w:r>
    </w:p>
    <w:p>
      <w:pPr>
        <w:pStyle w:val="Heading3"/>
        <w:spacing w:line="312" w:lineRule="auto" w:before="125"/>
        <w:ind w:left="333" w:right="675" w:firstLine="696"/>
      </w:pPr>
      <w:bookmarkStart w:name="г) Порядок организации лабораторного обс" w:id="166"/>
      <w:bookmarkEnd w:id="166"/>
      <w:r>
        <w:rPr>
          <w:b w:val="0"/>
        </w:rPr>
      </w:r>
      <w:r>
        <w:rPr>
          <w:color w:val="1F487C"/>
        </w:rPr>
        <w:t>г) Порядок организации лабораторного обследования для диагностики COVID-19.</w:t>
      </w:r>
    </w:p>
    <w:p>
      <w:pPr>
        <w:pStyle w:val="BodyText"/>
        <w:spacing w:line="312" w:lineRule="auto" w:before="118"/>
        <w:ind w:left="331" w:right="675" w:firstLine="698"/>
      </w:pPr>
      <w:r>
        <w:rPr/>
        <w:t>Руководителям медицинских организаций, в подчинении которых находятся диагностические лаборатории, выполняющие исследования с целью диагностики COVID-19 необходимо обеспечить:</w:t>
      </w:r>
    </w:p>
    <w:p>
      <w:pPr>
        <w:pStyle w:val="BodyText"/>
        <w:spacing w:before="7"/>
        <w:ind w:left="0"/>
        <w:jc w:val="left"/>
        <w:rPr>
          <w:sz w:val="32"/>
        </w:rPr>
      </w:pPr>
    </w:p>
    <w:p>
      <w:pPr>
        <w:pStyle w:val="ListParagraph"/>
        <w:numPr>
          <w:ilvl w:val="0"/>
          <w:numId w:val="38"/>
        </w:numPr>
        <w:tabs>
          <w:tab w:pos="1001" w:val="left" w:leader="none"/>
        </w:tabs>
        <w:spacing w:line="309" w:lineRule="auto" w:before="0" w:after="0"/>
        <w:ind w:left="1000" w:right="674" w:hanging="339"/>
        <w:jc w:val="both"/>
        <w:rPr>
          <w:sz w:val="24"/>
        </w:rPr>
      </w:pPr>
      <w:r>
        <w:rPr>
          <w:sz w:val="24"/>
        </w:rPr>
        <w:t>Наличие запаса реагентов, тест-систем, расходных материалов для проведения лабораторных</w:t>
      </w:r>
      <w:r>
        <w:rPr>
          <w:spacing w:val="-13"/>
          <w:sz w:val="24"/>
        </w:rPr>
        <w:t> </w:t>
      </w:r>
      <w:r>
        <w:rPr>
          <w:sz w:val="24"/>
        </w:rPr>
        <w:t>исследований,</w:t>
      </w:r>
      <w:r>
        <w:rPr>
          <w:spacing w:val="-16"/>
          <w:sz w:val="24"/>
        </w:rPr>
        <w:t> </w:t>
      </w:r>
      <w:r>
        <w:rPr>
          <w:sz w:val="24"/>
        </w:rPr>
        <w:t>дезинфекционных</w:t>
      </w:r>
      <w:r>
        <w:rPr>
          <w:spacing w:val="-12"/>
          <w:sz w:val="24"/>
        </w:rPr>
        <w:t> </w:t>
      </w:r>
      <w:r>
        <w:rPr>
          <w:sz w:val="24"/>
        </w:rPr>
        <w:t>средств</w:t>
      </w:r>
      <w:r>
        <w:rPr>
          <w:spacing w:val="-16"/>
          <w:sz w:val="24"/>
        </w:rPr>
        <w:t> </w:t>
      </w:r>
      <w:r>
        <w:rPr>
          <w:sz w:val="24"/>
        </w:rPr>
        <w:t>и</w:t>
      </w:r>
      <w:r>
        <w:rPr>
          <w:spacing w:val="-13"/>
          <w:sz w:val="24"/>
        </w:rPr>
        <w:t> </w:t>
      </w:r>
      <w:r>
        <w:rPr>
          <w:sz w:val="24"/>
        </w:rPr>
        <w:t>медицинских</w:t>
      </w:r>
      <w:r>
        <w:rPr>
          <w:spacing w:val="-13"/>
          <w:sz w:val="24"/>
        </w:rPr>
        <w:t> </w:t>
      </w:r>
      <w:r>
        <w:rPr>
          <w:sz w:val="24"/>
        </w:rPr>
        <w:t>изделий, включая СИЗ (очки, одноразовые перчатки, респиратор соответствующего класса защиты, противочумный костюм 1 типа или одноразовый халат, бахилы) для обеспечения эффективной и безопасной работы лаборатории;</w:t>
      </w:r>
    </w:p>
    <w:p>
      <w:pPr>
        <w:pStyle w:val="ListParagraph"/>
        <w:numPr>
          <w:ilvl w:val="0"/>
          <w:numId w:val="38"/>
        </w:numPr>
        <w:tabs>
          <w:tab w:pos="1001" w:val="left" w:leader="none"/>
        </w:tabs>
        <w:spacing w:line="304" w:lineRule="auto" w:before="6" w:after="0"/>
        <w:ind w:left="1000" w:right="674" w:hanging="339"/>
        <w:jc w:val="both"/>
        <w:rPr>
          <w:sz w:val="24"/>
        </w:rPr>
      </w:pPr>
      <w:r>
        <w:rPr>
          <w:sz w:val="24"/>
        </w:rPr>
        <w:t>Проведение противоэпидемических мероприятий и соблюдение правил работы с патологическими биологическими агнетами II группы</w:t>
      </w:r>
      <w:r>
        <w:rPr>
          <w:spacing w:val="-4"/>
          <w:sz w:val="24"/>
        </w:rPr>
        <w:t> </w:t>
      </w:r>
      <w:r>
        <w:rPr>
          <w:sz w:val="24"/>
        </w:rPr>
        <w:t>опасности;</w:t>
      </w:r>
    </w:p>
    <w:p>
      <w:pPr>
        <w:pStyle w:val="ListParagraph"/>
        <w:numPr>
          <w:ilvl w:val="0"/>
          <w:numId w:val="38"/>
        </w:numPr>
        <w:tabs>
          <w:tab w:pos="1001" w:val="left" w:leader="none"/>
        </w:tabs>
        <w:spacing w:line="304" w:lineRule="auto" w:before="13" w:after="0"/>
        <w:ind w:left="1000" w:right="674" w:hanging="339"/>
        <w:jc w:val="both"/>
        <w:rPr>
          <w:sz w:val="24"/>
        </w:rPr>
      </w:pPr>
      <w:r>
        <w:rPr>
          <w:sz w:val="24"/>
        </w:rPr>
        <w:t>Соблюдение температурного режима, текущей дезинфекции в лаборатории, использование работниками лаборатории СИЗ;</w:t>
      </w:r>
    </w:p>
    <w:p>
      <w:pPr>
        <w:pStyle w:val="ListParagraph"/>
        <w:numPr>
          <w:ilvl w:val="0"/>
          <w:numId w:val="38"/>
        </w:numPr>
        <w:tabs>
          <w:tab w:pos="1001" w:val="left" w:leader="none"/>
        </w:tabs>
        <w:spacing w:line="309" w:lineRule="auto" w:before="11" w:after="0"/>
        <w:ind w:left="1000" w:right="677" w:hanging="339"/>
        <w:jc w:val="both"/>
        <w:rPr>
          <w:sz w:val="24"/>
        </w:rPr>
      </w:pPr>
      <w:r>
        <w:rPr>
          <w:sz w:val="24"/>
        </w:rPr>
        <w:t>Проведение   обеззараживания    воздуха    и    поверхностей    в    помещениях  с использованием бактерицидных облучателей и (или) других устройств для обеззараживания воздуха и (или)</w:t>
      </w:r>
      <w:r>
        <w:rPr>
          <w:spacing w:val="-2"/>
          <w:sz w:val="24"/>
        </w:rPr>
        <w:t> </w:t>
      </w:r>
      <w:r>
        <w:rPr>
          <w:sz w:val="24"/>
        </w:rPr>
        <w:t>поверхностей;</w:t>
      </w:r>
    </w:p>
    <w:p>
      <w:pPr>
        <w:pStyle w:val="ListParagraph"/>
        <w:numPr>
          <w:ilvl w:val="0"/>
          <w:numId w:val="38"/>
        </w:numPr>
        <w:tabs>
          <w:tab w:pos="1001" w:val="left" w:leader="none"/>
        </w:tabs>
        <w:spacing w:line="240" w:lineRule="auto" w:before="0" w:after="0"/>
        <w:ind w:left="1000" w:right="0" w:hanging="339"/>
        <w:jc w:val="both"/>
        <w:rPr>
          <w:sz w:val="24"/>
        </w:rPr>
      </w:pPr>
      <w:r>
        <w:rPr>
          <w:sz w:val="24"/>
        </w:rPr>
        <w:t>Контроль концентрации дезинфицирующих средств в рабочих</w:t>
      </w:r>
      <w:r>
        <w:rPr>
          <w:spacing w:val="-2"/>
          <w:sz w:val="24"/>
        </w:rPr>
        <w:t> </w:t>
      </w:r>
      <w:r>
        <w:rPr>
          <w:sz w:val="24"/>
        </w:rPr>
        <w:t>растворах;</w:t>
      </w:r>
    </w:p>
    <w:p>
      <w:pPr>
        <w:pStyle w:val="ListParagraph"/>
        <w:numPr>
          <w:ilvl w:val="0"/>
          <w:numId w:val="38"/>
        </w:numPr>
        <w:tabs>
          <w:tab w:pos="1001" w:val="left" w:leader="none"/>
        </w:tabs>
        <w:spacing w:line="240" w:lineRule="auto" w:before="83" w:after="0"/>
        <w:ind w:left="1000" w:right="0" w:hanging="339"/>
        <w:jc w:val="both"/>
        <w:rPr>
          <w:sz w:val="24"/>
        </w:rPr>
      </w:pPr>
      <w:r>
        <w:rPr>
          <w:sz w:val="24"/>
        </w:rPr>
        <w:t>Увеличение кратности дезинфекционных обработок помещений</w:t>
      </w:r>
      <w:r>
        <w:rPr>
          <w:spacing w:val="-4"/>
          <w:sz w:val="24"/>
        </w:rPr>
        <w:t> </w:t>
      </w:r>
      <w:r>
        <w:rPr>
          <w:sz w:val="24"/>
        </w:rPr>
        <w:t>лаборатории;</w:t>
      </w:r>
    </w:p>
    <w:p>
      <w:pPr>
        <w:pStyle w:val="ListParagraph"/>
        <w:numPr>
          <w:ilvl w:val="0"/>
          <w:numId w:val="38"/>
        </w:numPr>
        <w:tabs>
          <w:tab w:pos="1001" w:val="left" w:leader="none"/>
        </w:tabs>
        <w:spacing w:line="309" w:lineRule="auto" w:before="83" w:after="0"/>
        <w:ind w:left="1000" w:right="676" w:hanging="339"/>
        <w:jc w:val="both"/>
        <w:rPr>
          <w:sz w:val="24"/>
        </w:rPr>
      </w:pPr>
      <w:r>
        <w:rPr>
          <w:sz w:val="24"/>
        </w:rPr>
        <w:t>Получение   биологического   материала    от    пациентов    (мазки    из    носо- и ротоглотки) при подозрении на COVID-19 с оформлением Акта приема- передачи;</w:t>
      </w:r>
    </w:p>
    <w:p>
      <w:pPr>
        <w:pStyle w:val="ListParagraph"/>
        <w:numPr>
          <w:ilvl w:val="0"/>
          <w:numId w:val="38"/>
        </w:numPr>
        <w:tabs>
          <w:tab w:pos="1001" w:val="left" w:leader="none"/>
        </w:tabs>
        <w:spacing w:line="309" w:lineRule="auto" w:before="1" w:after="0"/>
        <w:ind w:left="1000" w:right="677" w:hanging="339"/>
        <w:jc w:val="both"/>
        <w:rPr>
          <w:sz w:val="24"/>
        </w:rPr>
      </w:pPr>
      <w:r>
        <w:rPr>
          <w:sz w:val="24"/>
        </w:rPr>
        <w:t>Указание медицинскими работниками в бланке направления на лабораторное исследование диагноза «пневмония» при направлении биологического материала пациентов с внебольничной пневмонией для диагностики</w:t>
      </w:r>
      <w:r>
        <w:rPr>
          <w:spacing w:val="-16"/>
          <w:sz w:val="24"/>
        </w:rPr>
        <w:t> </w:t>
      </w:r>
      <w:r>
        <w:rPr>
          <w:sz w:val="24"/>
        </w:rPr>
        <w:t>COVID-19;</w:t>
      </w:r>
    </w:p>
    <w:p>
      <w:pPr>
        <w:pStyle w:val="ListParagraph"/>
        <w:numPr>
          <w:ilvl w:val="0"/>
          <w:numId w:val="38"/>
        </w:numPr>
        <w:tabs>
          <w:tab w:pos="1001" w:val="left" w:leader="none"/>
        </w:tabs>
        <w:spacing w:line="304" w:lineRule="auto" w:before="3" w:after="0"/>
        <w:ind w:left="1000" w:right="675" w:hanging="339"/>
        <w:jc w:val="both"/>
        <w:rPr>
          <w:sz w:val="24"/>
        </w:rPr>
      </w:pPr>
      <w:r>
        <w:rPr>
          <w:sz w:val="24"/>
        </w:rPr>
        <w:t>Медицинское наблюдение (ежедневная термометрия) и лабораторное тестирование сотрудников лаборатории в соответствии с</w:t>
      </w:r>
      <w:r>
        <w:rPr>
          <w:spacing w:val="-5"/>
          <w:sz w:val="24"/>
        </w:rPr>
        <w:t> </w:t>
      </w:r>
      <w:r>
        <w:rPr>
          <w:sz w:val="24"/>
        </w:rPr>
        <w:t>требованиями.</w:t>
      </w:r>
    </w:p>
    <w:p>
      <w:pPr>
        <w:spacing w:after="0" w:line="304" w:lineRule="auto"/>
        <w:jc w:val="both"/>
        <w:rPr>
          <w:sz w:val="24"/>
        </w:rPr>
        <w:sectPr>
          <w:pgSz w:w="11920" w:h="16850"/>
          <w:pgMar w:header="0" w:footer="620" w:top="1060" w:bottom="880" w:left="1380" w:right="600"/>
        </w:sectPr>
      </w:pPr>
    </w:p>
    <w:p>
      <w:pPr>
        <w:pStyle w:val="Heading2"/>
        <w:numPr>
          <w:ilvl w:val="1"/>
          <w:numId w:val="39"/>
        </w:numPr>
        <w:tabs>
          <w:tab w:pos="1452" w:val="left" w:leader="none"/>
        </w:tabs>
        <w:spacing w:line="259" w:lineRule="auto" w:before="59" w:after="0"/>
        <w:ind w:left="1029" w:right="1041" w:firstLine="0"/>
        <w:jc w:val="left"/>
      </w:pPr>
      <w:bookmarkStart w:name="9.3 ОСОБЕННОСТИ ЭВАКУАЦИОННЫХ МЕРОПРИЯТИ" w:id="167"/>
      <w:bookmarkEnd w:id="167"/>
      <w:r>
        <w:rPr>
          <w:b w:val="0"/>
        </w:rPr>
      </w:r>
      <w:bookmarkStart w:name="_bookmark37" w:id="168"/>
      <w:bookmarkEnd w:id="168"/>
      <w:r>
        <w:rPr>
          <w:b w:val="0"/>
        </w:rPr>
      </w:r>
      <w:bookmarkStart w:name="_bookmark37" w:id="169"/>
      <w:bookmarkEnd w:id="169"/>
      <w:r>
        <w:rPr>
          <w:color w:val="1F487C"/>
        </w:rPr>
        <w:t>О</w:t>
      </w:r>
      <w:r>
        <w:rPr>
          <w:color w:val="1F487C"/>
        </w:rPr>
        <w:t>СОБЕННОСТИ ЭВАКУАЦИОННЫХ МЕРОПРИЯТИЙ И ОБЩИЕ ПРИНЦИПЫ ГОСПИТАЛИЗАЦИИ БОЛЬНЫХ ИЛИ ЛИЦ С ПОДОЗРЕНИЕМ НА</w:t>
      </w:r>
      <w:r>
        <w:rPr>
          <w:color w:val="1F487C"/>
          <w:spacing w:val="-10"/>
        </w:rPr>
        <w:t> </w:t>
      </w:r>
      <w:r>
        <w:rPr>
          <w:color w:val="1F487C"/>
        </w:rPr>
        <w:t>COVID-19</w:t>
      </w:r>
    </w:p>
    <w:p>
      <w:pPr>
        <w:pStyle w:val="BodyText"/>
        <w:spacing w:line="312" w:lineRule="auto" w:before="117"/>
        <w:ind w:left="331" w:right="673" w:firstLine="698"/>
      </w:pPr>
      <w:r>
        <w:rPr/>
        <w:t>Госпитализация пациента осуществляется в медицинские организации, имеющие в своем составе мельцеровские боксы, либо в медицинские организации, перепрофилируемые под специализированные учреждения той административной территории, где был выявлен больной.</w:t>
      </w:r>
    </w:p>
    <w:p>
      <w:pPr>
        <w:pStyle w:val="BodyText"/>
        <w:spacing w:line="312" w:lineRule="auto" w:before="1"/>
        <w:ind w:left="331" w:right="675" w:firstLine="698"/>
      </w:pPr>
      <w:r>
        <w:rPr/>
        <w:t>Требования к работе в инфекционных стационарах, изоляторах и обсерваторах в очагах заболеваний, вызванных микроорганизмами I-II групп патогенности, указаны в СП 1.3.3118-13 «Безопасность работы с микроорганизмами I-II групп патогенности (опасности)».</w:t>
      </w:r>
    </w:p>
    <w:p>
      <w:pPr>
        <w:pStyle w:val="BodyText"/>
        <w:spacing w:line="312" w:lineRule="auto"/>
        <w:ind w:left="331" w:right="675" w:firstLine="698"/>
      </w:pPr>
      <w:r>
        <w:rPr/>
        <w:t>Оказание  медицинской  помощи  больным  с  инфекционным  заболеванием    в процессе   подготовки    и    проведения    медицинской    эвакуации    выполняется   в соответствии    с    действующим    порядками,     клиническими    рекомендациями  и стандартами.</w:t>
      </w:r>
    </w:p>
    <w:p>
      <w:pPr>
        <w:pStyle w:val="BodyText"/>
        <w:spacing w:line="312" w:lineRule="auto"/>
        <w:ind w:left="331" w:right="676" w:firstLine="698"/>
      </w:pPr>
      <w:r>
        <w:rPr/>
        <w:t>При наличии жизнеугрожающих синдромокомплексов проводятся реанимационные  мероприятия  и  интенсивная  терапия  по  схемам,  утвержденным  в установленном</w:t>
      </w:r>
      <w:r>
        <w:rPr>
          <w:spacing w:val="-1"/>
        </w:rPr>
        <w:t> </w:t>
      </w:r>
      <w:r>
        <w:rPr/>
        <w:t>порядке.</w:t>
      </w:r>
    </w:p>
    <w:p>
      <w:pPr>
        <w:pStyle w:val="BodyText"/>
        <w:spacing w:line="312" w:lineRule="auto" w:before="1"/>
        <w:ind w:left="331" w:right="678" w:firstLine="698"/>
      </w:pPr>
      <w:r>
        <w:rPr/>
        <w:t>Транспортировка</w:t>
      </w:r>
      <w:r>
        <w:rPr>
          <w:spacing w:val="-8"/>
        </w:rPr>
        <w:t> </w:t>
      </w:r>
      <w:r>
        <w:rPr/>
        <w:t>пациентов</w:t>
      </w:r>
      <w:r>
        <w:rPr>
          <w:spacing w:val="-8"/>
        </w:rPr>
        <w:t> </w:t>
      </w:r>
      <w:r>
        <w:rPr/>
        <w:t>с</w:t>
      </w:r>
      <w:r>
        <w:rPr>
          <w:spacing w:val="-8"/>
        </w:rPr>
        <w:t> </w:t>
      </w:r>
      <w:r>
        <w:rPr/>
        <w:t>инфекционным</w:t>
      </w:r>
      <w:r>
        <w:rPr>
          <w:spacing w:val="-8"/>
        </w:rPr>
        <w:t> </w:t>
      </w:r>
      <w:r>
        <w:rPr/>
        <w:t>заболеванием</w:t>
      </w:r>
      <w:r>
        <w:rPr>
          <w:spacing w:val="-8"/>
        </w:rPr>
        <w:t> </w:t>
      </w:r>
      <w:r>
        <w:rPr/>
        <w:t>осуществляется</w:t>
      </w:r>
      <w:r>
        <w:rPr>
          <w:spacing w:val="-6"/>
        </w:rPr>
        <w:t> </w:t>
      </w:r>
      <w:r>
        <w:rPr/>
        <w:t>без транспортировочного изолирующего бокса (ТИБ) или в</w:t>
      </w:r>
      <w:r>
        <w:rPr>
          <w:spacing w:val="-6"/>
        </w:rPr>
        <w:t> </w:t>
      </w:r>
      <w:r>
        <w:rPr/>
        <w:t>нем.</w:t>
      </w:r>
    </w:p>
    <w:p>
      <w:pPr>
        <w:pStyle w:val="Heading3"/>
        <w:spacing w:line="312" w:lineRule="auto" w:before="120"/>
        <w:ind w:left="333" w:right="674" w:firstLine="696"/>
      </w:pPr>
      <w:bookmarkStart w:name="а) Транспортировка пациента с инфекционн" w:id="170"/>
      <w:bookmarkEnd w:id="170"/>
      <w:r>
        <w:rPr>
          <w:b w:val="0"/>
        </w:rPr>
      </w:r>
      <w:r>
        <w:rPr>
          <w:color w:val="1F487C"/>
        </w:rPr>
        <w:t>а) Транспортировка пациента с инфекционным заболеванием без транспортировочного изолирующего бокса</w:t>
      </w:r>
    </w:p>
    <w:p>
      <w:pPr>
        <w:pStyle w:val="BodyText"/>
        <w:spacing w:line="312" w:lineRule="auto" w:before="120"/>
        <w:ind w:left="331" w:right="679" w:firstLine="698"/>
      </w:pPr>
      <w:r>
        <w:rPr/>
        <w:t>Мероприятия эпидбригад и/или бригад скорой медицинской помощи до начала транспортировки</w:t>
      </w:r>
      <w:hyperlink w:history="true" w:anchor="_bookmark38">
        <w:r>
          <w:rPr>
            <w:vertAlign w:val="superscript"/>
          </w:rPr>
          <w:t>1</w:t>
        </w:r>
      </w:hyperlink>
      <w:r>
        <w:rPr>
          <w:vertAlign w:val="baseline"/>
        </w:rPr>
        <w:t>.</w:t>
      </w:r>
    </w:p>
    <w:p>
      <w:pPr>
        <w:pStyle w:val="BodyText"/>
        <w:spacing w:line="312" w:lineRule="auto"/>
        <w:ind w:left="331" w:right="673" w:firstLine="698"/>
      </w:pPr>
      <w:r>
        <w:rPr/>
        <w:t>Члены  эпидбригады  и/или  бригады  медицинской   эвакуации   по  прибытии к месту выявления больного перед входом в помещение, где находится больной, под наблюдением старшего медицинского работника бригады надевают защитные костюмы в установленном</w:t>
      </w:r>
      <w:r>
        <w:rPr>
          <w:spacing w:val="-10"/>
        </w:rPr>
        <w:t> </w:t>
      </w:r>
      <w:r>
        <w:rPr/>
        <w:t>порядке</w:t>
      </w:r>
      <w:r>
        <w:rPr>
          <w:vertAlign w:val="superscript"/>
        </w:rPr>
        <w:t>1</w:t>
      </w:r>
      <w:r>
        <w:rPr>
          <w:vertAlign w:val="baseline"/>
        </w:rPr>
        <w:t>.</w:t>
      </w:r>
    </w:p>
    <w:p>
      <w:pPr>
        <w:pStyle w:val="BodyText"/>
        <w:ind w:left="1029"/>
      </w:pPr>
      <w:r>
        <w:rPr/>
        <w:t>Врач бригады:</w:t>
      </w:r>
    </w:p>
    <w:p>
      <w:pPr>
        <w:pStyle w:val="BodyText"/>
        <w:spacing w:before="4"/>
        <w:ind w:left="0"/>
        <w:jc w:val="left"/>
        <w:rPr>
          <w:sz w:val="38"/>
        </w:rPr>
      </w:pPr>
    </w:p>
    <w:p>
      <w:pPr>
        <w:pStyle w:val="ListParagraph"/>
        <w:numPr>
          <w:ilvl w:val="0"/>
          <w:numId w:val="38"/>
        </w:numPr>
        <w:tabs>
          <w:tab w:pos="1000" w:val="left" w:leader="none"/>
          <w:tab w:pos="1001" w:val="left" w:leader="none"/>
        </w:tabs>
        <w:spacing w:line="304" w:lineRule="auto" w:before="1" w:after="0"/>
        <w:ind w:left="1000" w:right="673" w:hanging="339"/>
        <w:jc w:val="left"/>
        <w:rPr>
          <w:sz w:val="24"/>
        </w:rPr>
      </w:pPr>
      <w:r>
        <w:rPr>
          <w:sz w:val="24"/>
        </w:rPr>
        <w:t>Уточняет у больного данные эпидемиологического анамнеза, круг лиц, которые общались с ним (с указанием даты, степени и длительности</w:t>
      </w:r>
      <w:r>
        <w:rPr>
          <w:spacing w:val="-6"/>
          <w:sz w:val="24"/>
        </w:rPr>
        <w:t> </w:t>
      </w:r>
      <w:r>
        <w:rPr>
          <w:sz w:val="24"/>
        </w:rPr>
        <w:t>контакта);</w:t>
      </w:r>
    </w:p>
    <w:p>
      <w:pPr>
        <w:pStyle w:val="ListParagraph"/>
        <w:numPr>
          <w:ilvl w:val="0"/>
          <w:numId w:val="38"/>
        </w:numPr>
        <w:tabs>
          <w:tab w:pos="1000" w:val="left" w:leader="none"/>
          <w:tab w:pos="1001" w:val="left" w:leader="none"/>
          <w:tab w:pos="2491" w:val="left" w:leader="none"/>
          <w:tab w:pos="4110" w:val="left" w:leader="none"/>
          <w:tab w:pos="4838" w:val="left" w:leader="none"/>
          <w:tab w:pos="6434" w:val="left" w:leader="none"/>
          <w:tab w:pos="7744" w:val="left" w:leader="none"/>
        </w:tabs>
        <w:spacing w:line="304" w:lineRule="auto" w:before="13" w:after="0"/>
        <w:ind w:left="1000" w:right="672" w:hanging="339"/>
        <w:jc w:val="left"/>
        <w:rPr>
          <w:sz w:val="24"/>
        </w:rPr>
      </w:pPr>
      <w:r>
        <w:rPr>
          <w:sz w:val="24"/>
        </w:rPr>
        <w:t>Определяет</w:t>
        <w:tab/>
        <w:t>контингенты</w:t>
        <w:tab/>
        <w:t>лиц,</w:t>
        <w:tab/>
        <w:t>подлежащих</w:t>
        <w:tab/>
        <w:t>изоляции,</w:t>
        <w:tab/>
      </w:r>
      <w:r>
        <w:rPr>
          <w:spacing w:val="-2"/>
          <w:sz w:val="24"/>
        </w:rPr>
        <w:t>медицинскому </w:t>
      </w:r>
      <w:r>
        <w:rPr>
          <w:sz w:val="24"/>
        </w:rPr>
        <w:t>наблюдению, экстренной</w:t>
      </w:r>
      <w:r>
        <w:rPr>
          <w:spacing w:val="-5"/>
          <w:sz w:val="24"/>
        </w:rPr>
        <w:t> </w:t>
      </w:r>
      <w:r>
        <w:rPr>
          <w:sz w:val="24"/>
        </w:rPr>
        <w:t>профилактике;</w:t>
      </w:r>
    </w:p>
    <w:p>
      <w:pPr>
        <w:pStyle w:val="ListParagraph"/>
        <w:numPr>
          <w:ilvl w:val="0"/>
          <w:numId w:val="38"/>
        </w:numPr>
        <w:tabs>
          <w:tab w:pos="1000" w:val="left" w:leader="none"/>
          <w:tab w:pos="1001" w:val="left" w:leader="none"/>
        </w:tabs>
        <w:spacing w:line="240" w:lineRule="auto" w:before="10" w:after="0"/>
        <w:ind w:left="1000" w:right="0" w:hanging="339"/>
        <w:jc w:val="left"/>
        <w:rPr>
          <w:sz w:val="24"/>
        </w:rPr>
      </w:pPr>
      <w:r>
        <w:rPr>
          <w:sz w:val="24"/>
        </w:rPr>
        <w:t>Обеспечивает контроль эвакуации больного и контактировавших с ним</w:t>
      </w:r>
      <w:r>
        <w:rPr>
          <w:spacing w:val="-18"/>
          <w:sz w:val="24"/>
        </w:rPr>
        <w:t> </w:t>
      </w:r>
      <w:r>
        <w:rPr>
          <w:sz w:val="24"/>
        </w:rPr>
        <w:t>лиц;</w:t>
      </w:r>
    </w:p>
    <w:p>
      <w:pPr>
        <w:pStyle w:val="BodyText"/>
        <w:ind w:left="0"/>
        <w:jc w:val="left"/>
        <w:rPr>
          <w:sz w:val="20"/>
        </w:rPr>
      </w:pPr>
    </w:p>
    <w:p>
      <w:pPr>
        <w:pStyle w:val="BodyText"/>
        <w:ind w:left="0"/>
        <w:jc w:val="left"/>
        <w:rPr>
          <w:sz w:val="20"/>
        </w:rPr>
      </w:pPr>
    </w:p>
    <w:p>
      <w:pPr>
        <w:pStyle w:val="BodyText"/>
        <w:spacing w:before="3"/>
        <w:ind w:left="0"/>
        <w:jc w:val="left"/>
        <w:rPr>
          <w:sz w:val="20"/>
        </w:rPr>
      </w:pPr>
      <w:r>
        <w:rPr/>
        <w:pict>
          <v:rect style="position:absolute;margin-left:85.080002pt;margin-top:13.622324pt;width:144pt;height:.72pt;mso-position-horizontal-relative:page;mso-position-vertical-relative:paragraph;z-index:-15724032;mso-wrap-distance-left:0;mso-wrap-distance-right:0" filled="true" fillcolor="#000000" stroked="false">
            <v:fill type="solid"/>
            <w10:wrap type="topAndBottom"/>
          </v:rect>
        </w:pict>
      </w:r>
    </w:p>
    <w:p>
      <w:pPr>
        <w:pStyle w:val="BodyText"/>
        <w:spacing w:before="5"/>
        <w:ind w:left="0"/>
        <w:jc w:val="left"/>
        <w:rPr>
          <w:sz w:val="6"/>
        </w:rPr>
      </w:pPr>
    </w:p>
    <w:p>
      <w:pPr>
        <w:spacing w:before="99"/>
        <w:ind w:left="321" w:right="749" w:hanging="1"/>
        <w:jc w:val="left"/>
        <w:rPr>
          <w:sz w:val="20"/>
        </w:rPr>
      </w:pPr>
      <w:bookmarkStart w:name="_bookmark38" w:id="171"/>
      <w:bookmarkEnd w:id="171"/>
      <w:r>
        <w:rPr/>
      </w:r>
      <w:r>
        <w:rPr>
          <w:sz w:val="20"/>
          <w:vertAlign w:val="superscript"/>
        </w:rPr>
        <w:t>1</w:t>
      </w:r>
      <w:r>
        <w:rPr>
          <w:sz w:val="20"/>
          <w:vertAlign w:val="baseline"/>
        </w:rPr>
        <w:t>   мероприятия   проводятся   и   при   транспортировке    больных   с    инфекционным    заболеванием с применением транспортировочного изолирующего</w:t>
      </w:r>
      <w:r>
        <w:rPr>
          <w:spacing w:val="2"/>
          <w:sz w:val="20"/>
          <w:vertAlign w:val="baseline"/>
        </w:rPr>
        <w:t> </w:t>
      </w:r>
      <w:r>
        <w:rPr>
          <w:sz w:val="20"/>
          <w:vertAlign w:val="baseline"/>
        </w:rPr>
        <w:t>бокса</w:t>
      </w:r>
    </w:p>
    <w:p>
      <w:pPr>
        <w:spacing w:after="0"/>
        <w:jc w:val="left"/>
        <w:rPr>
          <w:sz w:val="20"/>
        </w:rPr>
        <w:sectPr>
          <w:pgSz w:w="11920" w:h="16850"/>
          <w:pgMar w:header="0" w:footer="620" w:top="1080" w:bottom="880" w:left="1380" w:right="600"/>
        </w:sectPr>
      </w:pPr>
    </w:p>
    <w:p>
      <w:pPr>
        <w:pStyle w:val="ListParagraph"/>
        <w:numPr>
          <w:ilvl w:val="0"/>
          <w:numId w:val="38"/>
        </w:numPr>
        <w:tabs>
          <w:tab w:pos="1001" w:val="left" w:leader="none"/>
        </w:tabs>
        <w:spacing w:line="309" w:lineRule="auto" w:before="80" w:after="0"/>
        <w:ind w:left="1000" w:right="676" w:hanging="339"/>
        <w:jc w:val="both"/>
        <w:rPr>
          <w:sz w:val="24"/>
        </w:rPr>
      </w:pPr>
      <w:r>
        <w:rPr>
          <w:sz w:val="24"/>
        </w:rPr>
        <w:t>Сообщает</w:t>
      </w:r>
      <w:r>
        <w:rPr>
          <w:spacing w:val="-12"/>
          <w:sz w:val="24"/>
        </w:rPr>
        <w:t> </w:t>
      </w:r>
      <w:r>
        <w:rPr>
          <w:sz w:val="24"/>
        </w:rPr>
        <w:t>незамедлительно</w:t>
      </w:r>
      <w:r>
        <w:rPr>
          <w:spacing w:val="-12"/>
          <w:sz w:val="24"/>
        </w:rPr>
        <w:t> </w:t>
      </w:r>
      <w:r>
        <w:rPr>
          <w:sz w:val="24"/>
        </w:rPr>
        <w:t>согласно</w:t>
      </w:r>
      <w:r>
        <w:rPr>
          <w:spacing w:val="-10"/>
          <w:sz w:val="24"/>
        </w:rPr>
        <w:t> </w:t>
      </w:r>
      <w:r>
        <w:rPr>
          <w:sz w:val="24"/>
        </w:rPr>
        <w:t>утвержденной</w:t>
      </w:r>
      <w:r>
        <w:rPr>
          <w:spacing w:val="-11"/>
          <w:sz w:val="24"/>
        </w:rPr>
        <w:t> </w:t>
      </w:r>
      <w:r>
        <w:rPr>
          <w:sz w:val="24"/>
        </w:rPr>
        <w:t>схеме</w:t>
      </w:r>
      <w:r>
        <w:rPr>
          <w:spacing w:val="-14"/>
          <w:sz w:val="24"/>
        </w:rPr>
        <w:t> </w:t>
      </w:r>
      <w:r>
        <w:rPr>
          <w:sz w:val="24"/>
        </w:rPr>
        <w:t>(старший</w:t>
      </w:r>
      <w:r>
        <w:rPr>
          <w:spacing w:val="-11"/>
          <w:sz w:val="24"/>
        </w:rPr>
        <w:t> </w:t>
      </w:r>
      <w:r>
        <w:rPr>
          <w:sz w:val="24"/>
        </w:rPr>
        <w:t>врач</w:t>
      </w:r>
      <w:r>
        <w:rPr>
          <w:spacing w:val="-13"/>
          <w:sz w:val="24"/>
        </w:rPr>
        <w:t> </w:t>
      </w:r>
      <w:r>
        <w:rPr>
          <w:sz w:val="24"/>
        </w:rPr>
        <w:t>смены) уточненные</w:t>
      </w:r>
      <w:r>
        <w:rPr>
          <w:spacing w:val="-8"/>
          <w:sz w:val="24"/>
        </w:rPr>
        <w:t> </w:t>
      </w:r>
      <w:r>
        <w:rPr>
          <w:sz w:val="24"/>
        </w:rPr>
        <w:t>сведения</w:t>
      </w:r>
      <w:r>
        <w:rPr>
          <w:spacing w:val="-7"/>
          <w:sz w:val="24"/>
        </w:rPr>
        <w:t> </w:t>
      </w:r>
      <w:r>
        <w:rPr>
          <w:sz w:val="24"/>
        </w:rPr>
        <w:t>о</w:t>
      </w:r>
      <w:r>
        <w:rPr>
          <w:spacing w:val="-7"/>
          <w:sz w:val="24"/>
        </w:rPr>
        <w:t> </w:t>
      </w:r>
      <w:r>
        <w:rPr>
          <w:sz w:val="24"/>
        </w:rPr>
        <w:t>больном,</w:t>
      </w:r>
      <w:r>
        <w:rPr>
          <w:spacing w:val="-7"/>
          <w:sz w:val="24"/>
        </w:rPr>
        <w:t> </w:t>
      </w:r>
      <w:r>
        <w:rPr>
          <w:sz w:val="24"/>
        </w:rPr>
        <w:t>о</w:t>
      </w:r>
      <w:r>
        <w:rPr>
          <w:spacing w:val="-6"/>
          <w:sz w:val="24"/>
        </w:rPr>
        <w:t> </w:t>
      </w:r>
      <w:r>
        <w:rPr>
          <w:sz w:val="24"/>
        </w:rPr>
        <w:t>контактировавших</w:t>
      </w:r>
      <w:r>
        <w:rPr>
          <w:spacing w:val="-5"/>
          <w:sz w:val="24"/>
        </w:rPr>
        <w:t> </w:t>
      </w:r>
      <w:r>
        <w:rPr>
          <w:sz w:val="24"/>
        </w:rPr>
        <w:t>с</w:t>
      </w:r>
      <w:r>
        <w:rPr>
          <w:spacing w:val="-8"/>
          <w:sz w:val="24"/>
        </w:rPr>
        <w:t> </w:t>
      </w:r>
      <w:r>
        <w:rPr>
          <w:sz w:val="24"/>
        </w:rPr>
        <w:t>больным</w:t>
      </w:r>
      <w:r>
        <w:rPr>
          <w:spacing w:val="-8"/>
          <w:sz w:val="24"/>
        </w:rPr>
        <w:t> </w:t>
      </w:r>
      <w:r>
        <w:rPr>
          <w:sz w:val="24"/>
        </w:rPr>
        <w:t>и</w:t>
      </w:r>
      <w:r>
        <w:rPr>
          <w:spacing w:val="-5"/>
          <w:sz w:val="24"/>
        </w:rPr>
        <w:t> </w:t>
      </w:r>
      <w:r>
        <w:rPr>
          <w:sz w:val="24"/>
        </w:rPr>
        <w:t>проведенных первичных мероприятиях по локализации</w:t>
      </w:r>
      <w:r>
        <w:rPr>
          <w:spacing w:val="-19"/>
          <w:sz w:val="24"/>
        </w:rPr>
        <w:t> </w:t>
      </w:r>
      <w:r>
        <w:rPr>
          <w:sz w:val="24"/>
        </w:rPr>
        <w:t>очага.</w:t>
      </w:r>
    </w:p>
    <w:p>
      <w:pPr>
        <w:pStyle w:val="BodyText"/>
        <w:spacing w:before="5"/>
        <w:ind w:left="0"/>
        <w:jc w:val="left"/>
        <w:rPr>
          <w:sz w:val="32"/>
        </w:rPr>
      </w:pPr>
    </w:p>
    <w:p>
      <w:pPr>
        <w:pStyle w:val="BodyText"/>
        <w:spacing w:line="312" w:lineRule="auto"/>
        <w:ind w:left="331" w:right="674" w:firstLine="698"/>
      </w:pPr>
      <w:r>
        <w:rPr/>
        <w:t>Бригада, выполняющая медицинскую эвакуацию инфекционного больного, должна состоять из медицинских работников, обученных требованиям соблюдения противоэпидемического режима и прошедших дополнительный инструктаж по вопросам дезинфекции.</w:t>
      </w:r>
    </w:p>
    <w:p>
      <w:pPr>
        <w:pStyle w:val="BodyText"/>
        <w:spacing w:line="312" w:lineRule="auto"/>
        <w:ind w:left="331" w:right="674" w:firstLine="698"/>
      </w:pPr>
      <w:r>
        <w:rPr/>
        <w:t>Больной транспортируется в маске со всеми мерами предосторожности. Водитель транспортного средства, в котором осуществляется медицинская эвакуация, при наличии изолированной кабины должен быть одет в комбинезон и маску, при ее отсутствии – в защитную одежду в соответствии с установленными требованиями.</w:t>
      </w:r>
    </w:p>
    <w:p>
      <w:pPr>
        <w:pStyle w:val="BodyText"/>
        <w:spacing w:line="312" w:lineRule="auto"/>
        <w:ind w:left="331" w:right="673" w:firstLine="698"/>
      </w:pPr>
      <w:r>
        <w:rPr/>
        <w:t>При наличии нескольких пациентов с признаками инфекционного заболевания страший медицинский работник бригады определяет количество и очередность медицинской    эвакуации    больных,    уточняет    маршрут    эвакуации    больного    и медицинскую организацию. При наличии нескольких медицинских организаций, соответствующих минимальным требованиям к структурным подразделениям медицинской  организации  для  лечения  COVID-19  для  пациентов,  находящихся     в тяжелом состоянии, больных с тяжелыми и крайне тяжелыми формами заболевания целесообразно направлять в медицинские организации обладающими всеми технологиями респираторной поддержки, эфферентной и упреждающей противовоспалительной терапии.</w:t>
      </w:r>
    </w:p>
    <w:p>
      <w:pPr>
        <w:pStyle w:val="BodyText"/>
        <w:spacing w:line="312" w:lineRule="auto" w:before="1"/>
        <w:ind w:left="331" w:right="673" w:firstLine="698"/>
      </w:pPr>
      <w:r>
        <w:rPr/>
        <w:t>Транспортировка двух и более инфекционных больных из разных очагов на одной машине не допускается. Совместная транспортировка нескольких пациентов     с подтвержденным диагнозом COVID-19 из одного очага допускается при отсутствии противопоказаний</w:t>
      </w:r>
      <w:r>
        <w:rPr>
          <w:spacing w:val="-14"/>
        </w:rPr>
        <w:t> </w:t>
      </w:r>
      <w:r>
        <w:rPr/>
        <w:t>по</w:t>
      </w:r>
      <w:r>
        <w:rPr>
          <w:spacing w:val="-15"/>
        </w:rPr>
        <w:t> </w:t>
      </w:r>
      <w:r>
        <w:rPr/>
        <w:t>клиническому</w:t>
      </w:r>
      <w:r>
        <w:rPr>
          <w:spacing w:val="-14"/>
        </w:rPr>
        <w:t> </w:t>
      </w:r>
      <w:r>
        <w:rPr/>
        <w:t>статусу.</w:t>
      </w:r>
      <w:r>
        <w:rPr>
          <w:spacing w:val="-10"/>
        </w:rPr>
        <w:t> </w:t>
      </w:r>
      <w:r>
        <w:rPr/>
        <w:t>Перевозка</w:t>
      </w:r>
      <w:r>
        <w:rPr>
          <w:spacing w:val="-13"/>
        </w:rPr>
        <w:t> </w:t>
      </w:r>
      <w:r>
        <w:rPr/>
        <w:t>контактировавших</w:t>
      </w:r>
      <w:r>
        <w:rPr>
          <w:spacing w:val="-13"/>
        </w:rPr>
        <w:t> </w:t>
      </w:r>
      <w:r>
        <w:rPr/>
        <w:t>с</w:t>
      </w:r>
      <w:r>
        <w:rPr>
          <w:spacing w:val="-13"/>
        </w:rPr>
        <w:t> </w:t>
      </w:r>
      <w:r>
        <w:rPr/>
        <w:t>больными лиц вместе с больным на одной автомашине не</w:t>
      </w:r>
      <w:r>
        <w:rPr>
          <w:spacing w:val="-6"/>
        </w:rPr>
        <w:t> </w:t>
      </w:r>
      <w:r>
        <w:rPr/>
        <w:t>допускается.</w:t>
      </w:r>
    </w:p>
    <w:p>
      <w:pPr>
        <w:pStyle w:val="BodyText"/>
        <w:spacing w:line="312" w:lineRule="auto"/>
        <w:ind w:left="331" w:right="678" w:firstLine="698"/>
      </w:pPr>
      <w:r>
        <w:rPr/>
        <w:t>Машину скорой медицинской помощи дополнительно оснащают набором дезинфицирующих средств из расчета на 1 сутки:</w:t>
      </w:r>
    </w:p>
    <w:p>
      <w:pPr>
        <w:pStyle w:val="BodyText"/>
        <w:spacing w:before="4"/>
        <w:ind w:left="0"/>
        <w:jc w:val="left"/>
        <w:rPr>
          <w:sz w:val="31"/>
        </w:rPr>
      </w:pPr>
    </w:p>
    <w:p>
      <w:pPr>
        <w:pStyle w:val="ListParagraph"/>
        <w:numPr>
          <w:ilvl w:val="0"/>
          <w:numId w:val="38"/>
        </w:numPr>
        <w:tabs>
          <w:tab w:pos="1000" w:val="left" w:leader="none"/>
          <w:tab w:pos="1001" w:val="left" w:leader="none"/>
        </w:tabs>
        <w:spacing w:line="240" w:lineRule="auto" w:before="0" w:after="0"/>
        <w:ind w:left="1000" w:right="0" w:hanging="339"/>
        <w:jc w:val="left"/>
        <w:rPr>
          <w:sz w:val="24"/>
        </w:rPr>
      </w:pPr>
      <w:r>
        <w:rPr>
          <w:sz w:val="24"/>
        </w:rPr>
        <w:t>Средство для дезинфекции</w:t>
      </w:r>
      <w:r>
        <w:rPr>
          <w:spacing w:val="-8"/>
          <w:sz w:val="24"/>
        </w:rPr>
        <w:t> </w:t>
      </w:r>
      <w:r>
        <w:rPr>
          <w:sz w:val="24"/>
        </w:rPr>
        <w:t>выделений;</w:t>
      </w:r>
    </w:p>
    <w:p>
      <w:pPr>
        <w:pStyle w:val="ListParagraph"/>
        <w:numPr>
          <w:ilvl w:val="0"/>
          <w:numId w:val="38"/>
        </w:numPr>
        <w:tabs>
          <w:tab w:pos="1000" w:val="left" w:leader="none"/>
          <w:tab w:pos="1001" w:val="left" w:leader="none"/>
        </w:tabs>
        <w:spacing w:line="240" w:lineRule="auto" w:before="81" w:after="0"/>
        <w:ind w:left="1000" w:right="0" w:hanging="339"/>
        <w:jc w:val="left"/>
        <w:rPr>
          <w:sz w:val="24"/>
        </w:rPr>
      </w:pPr>
      <w:r>
        <w:rPr>
          <w:sz w:val="24"/>
        </w:rPr>
        <w:t>Средство для дезинфекции поверхностей</w:t>
      </w:r>
      <w:r>
        <w:rPr>
          <w:spacing w:val="-10"/>
          <w:sz w:val="24"/>
        </w:rPr>
        <w:t> </w:t>
      </w:r>
      <w:r>
        <w:rPr>
          <w:sz w:val="24"/>
        </w:rPr>
        <w:t>салона;</w:t>
      </w:r>
    </w:p>
    <w:p>
      <w:pPr>
        <w:pStyle w:val="ListParagraph"/>
        <w:numPr>
          <w:ilvl w:val="0"/>
          <w:numId w:val="38"/>
        </w:numPr>
        <w:tabs>
          <w:tab w:pos="1000" w:val="left" w:leader="none"/>
          <w:tab w:pos="1001" w:val="left" w:leader="none"/>
        </w:tabs>
        <w:spacing w:line="240" w:lineRule="auto" w:before="82" w:after="0"/>
        <w:ind w:left="1000" w:right="0" w:hanging="339"/>
        <w:jc w:val="left"/>
        <w:rPr>
          <w:sz w:val="24"/>
        </w:rPr>
      </w:pPr>
      <w:r>
        <w:rPr>
          <w:sz w:val="24"/>
        </w:rPr>
        <w:t>Средство для обработки </w:t>
      </w:r>
      <w:r>
        <w:rPr>
          <w:spacing w:val="-2"/>
          <w:sz w:val="24"/>
        </w:rPr>
        <w:t>рук </w:t>
      </w:r>
      <w:r>
        <w:rPr>
          <w:sz w:val="24"/>
        </w:rPr>
        <w:t>персонала (1-2</w:t>
      </w:r>
      <w:r>
        <w:rPr>
          <w:spacing w:val="-3"/>
          <w:sz w:val="24"/>
        </w:rPr>
        <w:t> </w:t>
      </w:r>
      <w:r>
        <w:rPr>
          <w:sz w:val="24"/>
        </w:rPr>
        <w:t>упаковки);</w:t>
      </w:r>
    </w:p>
    <w:p>
      <w:pPr>
        <w:pStyle w:val="ListParagraph"/>
        <w:numPr>
          <w:ilvl w:val="0"/>
          <w:numId w:val="38"/>
        </w:numPr>
        <w:tabs>
          <w:tab w:pos="1000" w:val="left" w:leader="none"/>
          <w:tab w:pos="1001" w:val="left" w:leader="none"/>
        </w:tabs>
        <w:spacing w:line="240" w:lineRule="auto" w:before="83" w:after="0"/>
        <w:ind w:left="1000" w:right="0" w:hanging="339"/>
        <w:jc w:val="left"/>
        <w:rPr>
          <w:sz w:val="24"/>
        </w:rPr>
      </w:pPr>
      <w:r>
        <w:rPr>
          <w:sz w:val="24"/>
        </w:rPr>
        <w:t>Бактерицидный</w:t>
      </w:r>
      <w:r>
        <w:rPr>
          <w:spacing w:val="-5"/>
          <w:sz w:val="24"/>
        </w:rPr>
        <w:t> </w:t>
      </w:r>
      <w:r>
        <w:rPr>
          <w:sz w:val="24"/>
        </w:rPr>
        <w:t>облучатель.</w:t>
      </w:r>
    </w:p>
    <w:p>
      <w:pPr>
        <w:pStyle w:val="BodyText"/>
        <w:spacing w:before="4"/>
        <w:ind w:left="0"/>
        <w:jc w:val="left"/>
        <w:rPr>
          <w:sz w:val="39"/>
        </w:rPr>
      </w:pPr>
    </w:p>
    <w:p>
      <w:pPr>
        <w:pStyle w:val="BodyText"/>
        <w:spacing w:line="312" w:lineRule="auto"/>
        <w:ind w:left="333" w:right="675" w:firstLine="696"/>
      </w:pPr>
      <w:r>
        <w:rPr/>
        <w:t>Расход дезинфицирующих  средств, необходимых  на 1 смену, рассчитывают   в зависимости от того какое средство имеется в наличии и возможного числа</w:t>
      </w:r>
      <w:r>
        <w:rPr>
          <w:spacing w:val="-17"/>
        </w:rPr>
        <w:t> </w:t>
      </w:r>
      <w:r>
        <w:rPr/>
        <w:t>выездов.</w:t>
      </w:r>
    </w:p>
    <w:p>
      <w:pPr>
        <w:spacing w:after="0" w:line="312" w:lineRule="auto"/>
        <w:sectPr>
          <w:pgSz w:w="11920" w:h="16850"/>
          <w:pgMar w:header="0" w:footer="620" w:top="1060" w:bottom="880" w:left="1380" w:right="600"/>
        </w:sectPr>
      </w:pPr>
    </w:p>
    <w:p>
      <w:pPr>
        <w:pStyle w:val="BodyText"/>
        <w:spacing w:line="312" w:lineRule="auto" w:before="78"/>
        <w:ind w:left="333" w:right="674" w:firstLine="696"/>
      </w:pPr>
      <w:r>
        <w:rPr/>
        <w:t>После доставки больного в инфекционный стационар бригада проходит на территории больницы полную санитарную обработку с дезинфекцией защитной одежды.</w:t>
      </w:r>
    </w:p>
    <w:p>
      <w:pPr>
        <w:pStyle w:val="BodyText"/>
        <w:spacing w:line="312" w:lineRule="auto"/>
        <w:ind w:left="331" w:right="675" w:firstLine="698"/>
      </w:pPr>
      <w:r>
        <w:rPr/>
        <w:t>Машина и предметы ухода за больным подвергаются заключительной дезинфекции</w:t>
      </w:r>
      <w:r>
        <w:rPr>
          <w:spacing w:val="-12"/>
        </w:rPr>
        <w:t> </w:t>
      </w:r>
      <w:r>
        <w:rPr/>
        <w:t>на</w:t>
      </w:r>
      <w:r>
        <w:rPr>
          <w:spacing w:val="-11"/>
        </w:rPr>
        <w:t> </w:t>
      </w:r>
      <w:r>
        <w:rPr/>
        <w:t>территории</w:t>
      </w:r>
      <w:r>
        <w:rPr>
          <w:spacing w:val="-9"/>
        </w:rPr>
        <w:t> </w:t>
      </w:r>
      <w:r>
        <w:rPr/>
        <w:t>больницы</w:t>
      </w:r>
      <w:r>
        <w:rPr>
          <w:spacing w:val="-13"/>
        </w:rPr>
        <w:t> </w:t>
      </w:r>
      <w:r>
        <w:rPr/>
        <w:t>силами</w:t>
      </w:r>
      <w:r>
        <w:rPr>
          <w:spacing w:val="-11"/>
        </w:rPr>
        <w:t> </w:t>
      </w:r>
      <w:r>
        <w:rPr/>
        <w:t>самой</w:t>
      </w:r>
      <w:r>
        <w:rPr>
          <w:spacing w:val="-9"/>
        </w:rPr>
        <w:t> </w:t>
      </w:r>
      <w:r>
        <w:rPr/>
        <w:t>больницы</w:t>
      </w:r>
      <w:r>
        <w:rPr>
          <w:spacing w:val="-13"/>
        </w:rPr>
        <w:t> </w:t>
      </w:r>
      <w:r>
        <w:rPr/>
        <w:t>или</w:t>
      </w:r>
      <w:r>
        <w:rPr>
          <w:spacing w:val="-11"/>
        </w:rPr>
        <w:t> </w:t>
      </w:r>
      <w:r>
        <w:rPr/>
        <w:t>бригад</w:t>
      </w:r>
      <w:r>
        <w:rPr>
          <w:spacing w:val="-7"/>
        </w:rPr>
        <w:t> </w:t>
      </w:r>
      <w:r>
        <w:rPr/>
        <w:t>учреждения дезинфекционного профиля (в соответствии с комплексным</w:t>
      </w:r>
      <w:r>
        <w:rPr>
          <w:spacing w:val="-7"/>
        </w:rPr>
        <w:t> </w:t>
      </w:r>
      <w:r>
        <w:rPr/>
        <w:t>планом).</w:t>
      </w:r>
    </w:p>
    <w:p>
      <w:pPr>
        <w:pStyle w:val="BodyText"/>
        <w:spacing w:line="312" w:lineRule="auto"/>
        <w:ind w:left="331" w:right="680" w:firstLine="698"/>
      </w:pPr>
      <w:bookmarkStart w:name="За членами бригады, проводившей медицинс" w:id="172"/>
      <w:bookmarkEnd w:id="172"/>
      <w:r>
        <w:rPr/>
      </w:r>
      <w:r>
        <w:rPr/>
        <w:t>За членами бригады, проводившей медицинскую эвакуацию, устанавливается наблюдение на срок 14 дней.</w:t>
      </w:r>
    </w:p>
    <w:p>
      <w:pPr>
        <w:pStyle w:val="Heading3"/>
        <w:spacing w:line="309" w:lineRule="auto" w:before="123"/>
        <w:ind w:left="333" w:right="677" w:firstLine="696"/>
      </w:pPr>
      <w:bookmarkStart w:name="б) Транспортировка пациента с инфекционн" w:id="173"/>
      <w:bookmarkEnd w:id="173"/>
      <w:r>
        <w:rPr>
          <w:b w:val="0"/>
        </w:rPr>
      </w:r>
      <w:r>
        <w:rPr>
          <w:color w:val="1F487C"/>
        </w:rPr>
        <w:t>б)    Транспортировка     пациента     с     инфекционным     заболеванием    с применением транспортировочного изолирующего</w:t>
      </w:r>
      <w:r>
        <w:rPr>
          <w:color w:val="1F487C"/>
          <w:spacing w:val="-4"/>
        </w:rPr>
        <w:t> </w:t>
      </w:r>
      <w:r>
        <w:rPr>
          <w:color w:val="1F487C"/>
        </w:rPr>
        <w:t>бокса</w:t>
      </w:r>
    </w:p>
    <w:p>
      <w:pPr>
        <w:pStyle w:val="BodyText"/>
        <w:spacing w:line="312" w:lineRule="auto" w:before="123"/>
        <w:ind w:left="331" w:right="674" w:firstLine="698"/>
      </w:pPr>
      <w:r>
        <w:rPr/>
        <w:t>Больные  или  лица  с  подозрением  на  COVID-19  перевозятся  транспортом   с использованием транспортировочного изолирующего бокса (ТИБ), оборудованного фильтровентиляционными установками, окнами для визуального мониторинга состояния пациента, двумя парами встроенных перчаток для проведения основных процедур во время</w:t>
      </w:r>
      <w:r>
        <w:rPr>
          <w:spacing w:val="1"/>
        </w:rPr>
        <w:t> </w:t>
      </w:r>
      <w:r>
        <w:rPr/>
        <w:t>транспортирования.</w:t>
      </w:r>
    </w:p>
    <w:p>
      <w:pPr>
        <w:pStyle w:val="BodyText"/>
        <w:spacing w:line="312" w:lineRule="auto"/>
        <w:ind w:left="331" w:right="674" w:firstLine="698"/>
      </w:pPr>
      <w:r>
        <w:rPr/>
        <w:t>Для медицинской эвакуации пациента формируется медицинская бригада, прошедших инструктаж по вопросам санитарно-противоэпидемического режима. Медицинские  работники  осуществляют  прием  пациента,  его  размещение  в  ТИБ  и последующее</w:t>
      </w:r>
      <w:r>
        <w:rPr>
          <w:spacing w:val="-9"/>
        </w:rPr>
        <w:t> </w:t>
      </w:r>
      <w:r>
        <w:rPr/>
        <w:t>сопровождение.</w:t>
      </w:r>
    </w:p>
    <w:p>
      <w:pPr>
        <w:pStyle w:val="BodyText"/>
        <w:spacing w:line="312" w:lineRule="auto"/>
        <w:ind w:left="331" w:right="675" w:firstLine="698"/>
      </w:pPr>
      <w:r>
        <w:rPr/>
        <w:t>Все перемещения новорожденных (вне- и внутригоспитальные) производятся   в транспортном кувезе вне зависимости от гестационного возраста и массы тела при рождении. Кувез должен быть оснащен герметизирующими портами для</w:t>
      </w:r>
      <w:r>
        <w:rPr>
          <w:spacing w:val="-40"/>
        </w:rPr>
        <w:t> </w:t>
      </w:r>
      <w:r>
        <w:rPr/>
        <w:t>манипуляций и проведения через стенки кувеза необходимых для жизнеобеспечения ребенка устройств.</w:t>
      </w:r>
    </w:p>
    <w:p>
      <w:pPr>
        <w:pStyle w:val="BodyText"/>
        <w:ind w:left="1029"/>
      </w:pPr>
      <w:r>
        <w:rPr/>
        <w:t>Медицинские работники и водитель должны быть одеты в защитную одежду.</w:t>
      </w:r>
    </w:p>
    <w:p>
      <w:pPr>
        <w:pStyle w:val="BodyText"/>
        <w:spacing w:line="312" w:lineRule="auto" w:before="82"/>
        <w:ind w:left="331" w:right="673" w:firstLine="698"/>
      </w:pPr>
      <w:r>
        <w:rPr/>
        <w:t>Пациента готовят к транспортированию до помещения в ТИБ: на месте эвакуации страший медицинский работник бригады оценивает состояние пациента на момент транспортирования и решает вопрос о проведении дополнительных медицинских манипуляций.</w:t>
      </w:r>
    </w:p>
    <w:p>
      <w:pPr>
        <w:pStyle w:val="BodyText"/>
        <w:spacing w:line="312" w:lineRule="auto"/>
        <w:ind w:left="331" w:right="676" w:firstLine="698"/>
      </w:pPr>
      <w:r>
        <w:rPr/>
        <w:t>Пациента     размещают     внутри     камеры     транспортировочного     модуля в горизонтальном положении на спине и фиксируют ремнями; в ТИБ помещают необходимое для транспортирования и оказания медицинской помощи оборудование и медикаменты; после этого закрывают застежку-молнию. Проверяют надежность крепления фильтров, включают фильтровентиляционную установку на режим отрицательного</w:t>
      </w:r>
      <w:r>
        <w:rPr>
          <w:spacing w:val="-16"/>
        </w:rPr>
        <w:t> </w:t>
      </w:r>
      <w:r>
        <w:rPr/>
        <w:t>давления.</w:t>
      </w:r>
    </w:p>
    <w:p>
      <w:pPr>
        <w:pStyle w:val="BodyText"/>
        <w:ind w:left="1029"/>
      </w:pPr>
      <w:r>
        <w:rPr/>
        <w:t>После помещения пациента в ТИБ медицинский персонал бригады:</w:t>
      </w:r>
    </w:p>
    <w:p>
      <w:pPr>
        <w:pStyle w:val="BodyText"/>
        <w:spacing w:before="7"/>
        <w:ind w:left="0"/>
        <w:jc w:val="left"/>
        <w:rPr>
          <w:sz w:val="38"/>
        </w:rPr>
      </w:pPr>
    </w:p>
    <w:p>
      <w:pPr>
        <w:pStyle w:val="ListParagraph"/>
        <w:numPr>
          <w:ilvl w:val="0"/>
          <w:numId w:val="38"/>
        </w:numPr>
        <w:tabs>
          <w:tab w:pos="1000" w:val="left" w:leader="none"/>
          <w:tab w:pos="1001" w:val="left" w:leader="none"/>
          <w:tab w:pos="2380" w:val="left" w:leader="none"/>
          <w:tab w:pos="3967" w:val="left" w:leader="none"/>
          <w:tab w:pos="5762" w:val="left" w:leader="none"/>
          <w:tab w:pos="8507" w:val="left" w:leader="none"/>
        </w:tabs>
        <w:spacing w:line="304" w:lineRule="auto" w:before="0" w:after="0"/>
        <w:ind w:left="1000" w:right="677" w:hanging="339"/>
        <w:jc w:val="left"/>
        <w:rPr>
          <w:sz w:val="24"/>
        </w:rPr>
      </w:pPr>
      <w:r>
        <w:rPr>
          <w:sz w:val="24"/>
        </w:rPr>
        <w:t>Протирает руки в резиновых перчатках и поверхность клеенчатого фартука, орошает</w:t>
        <w:tab/>
        <w:t>наружную</w:t>
        <w:tab/>
        <w:t>поверхность</w:t>
        <w:tab/>
        <w:t>транспортировочного</w:t>
        <w:tab/>
      </w:r>
      <w:r>
        <w:rPr>
          <w:spacing w:val="-4"/>
          <w:sz w:val="24"/>
        </w:rPr>
        <w:t>модуля</w:t>
      </w:r>
    </w:p>
    <w:p>
      <w:pPr>
        <w:spacing w:after="0" w:line="304" w:lineRule="auto"/>
        <w:jc w:val="left"/>
        <w:rPr>
          <w:sz w:val="24"/>
        </w:rPr>
        <w:sectPr>
          <w:pgSz w:w="11920" w:h="16850"/>
          <w:pgMar w:header="0" w:footer="620" w:top="1060" w:bottom="880" w:left="1380" w:right="600"/>
        </w:sectPr>
      </w:pPr>
    </w:p>
    <w:p>
      <w:pPr>
        <w:pStyle w:val="BodyText"/>
        <w:spacing w:line="312" w:lineRule="auto" w:before="78"/>
        <w:ind w:left="1000" w:right="674"/>
      </w:pPr>
      <w:r>
        <w:rPr/>
        <w:t>дезинфицирующим раствором с экспозицией в соответствии с инструкцией по применению;</w:t>
      </w:r>
    </w:p>
    <w:p>
      <w:pPr>
        <w:pStyle w:val="ListParagraph"/>
        <w:numPr>
          <w:ilvl w:val="0"/>
          <w:numId w:val="38"/>
        </w:numPr>
        <w:tabs>
          <w:tab w:pos="1001" w:val="left" w:leader="none"/>
        </w:tabs>
        <w:spacing w:line="309" w:lineRule="auto" w:before="2" w:after="0"/>
        <w:ind w:left="1000" w:right="674" w:hanging="339"/>
        <w:jc w:val="both"/>
        <w:rPr>
          <w:sz w:val="24"/>
        </w:rPr>
      </w:pPr>
      <w:r>
        <w:rPr>
          <w:sz w:val="24"/>
        </w:rPr>
        <w:t>Проводит обработку защитных костюмов методом орошения дезинфицирующим раствором в соответствии с инструкцией по применению, затем</w:t>
      </w:r>
      <w:r>
        <w:rPr>
          <w:spacing w:val="-8"/>
          <w:sz w:val="24"/>
        </w:rPr>
        <w:t> </w:t>
      </w:r>
      <w:r>
        <w:rPr>
          <w:sz w:val="24"/>
        </w:rPr>
        <w:t>снимает</w:t>
      </w:r>
      <w:r>
        <w:rPr>
          <w:spacing w:val="-6"/>
          <w:sz w:val="24"/>
        </w:rPr>
        <w:t> </w:t>
      </w:r>
      <w:r>
        <w:rPr>
          <w:sz w:val="24"/>
        </w:rPr>
        <w:t>защитные</w:t>
      </w:r>
      <w:r>
        <w:rPr>
          <w:spacing w:val="-8"/>
          <w:sz w:val="24"/>
        </w:rPr>
        <w:t> </w:t>
      </w:r>
      <w:r>
        <w:rPr>
          <w:sz w:val="24"/>
        </w:rPr>
        <w:t>костюмы</w:t>
      </w:r>
      <w:r>
        <w:rPr>
          <w:spacing w:val="-7"/>
          <w:sz w:val="24"/>
        </w:rPr>
        <w:t> </w:t>
      </w:r>
      <w:r>
        <w:rPr>
          <w:sz w:val="24"/>
        </w:rPr>
        <w:t>и</w:t>
      </w:r>
      <w:r>
        <w:rPr>
          <w:spacing w:val="-9"/>
          <w:sz w:val="24"/>
        </w:rPr>
        <w:t> </w:t>
      </w:r>
      <w:r>
        <w:rPr>
          <w:sz w:val="24"/>
        </w:rPr>
        <w:t>помещает</w:t>
      </w:r>
      <w:r>
        <w:rPr>
          <w:spacing w:val="-6"/>
          <w:sz w:val="24"/>
        </w:rPr>
        <w:t> </w:t>
      </w:r>
      <w:r>
        <w:rPr>
          <w:sz w:val="24"/>
        </w:rPr>
        <w:t>их</w:t>
      </w:r>
      <w:r>
        <w:rPr>
          <w:spacing w:val="-7"/>
          <w:sz w:val="24"/>
        </w:rPr>
        <w:t> </w:t>
      </w:r>
      <w:r>
        <w:rPr>
          <w:sz w:val="24"/>
        </w:rPr>
        <w:t>в</w:t>
      </w:r>
      <w:r>
        <w:rPr>
          <w:spacing w:val="-7"/>
          <w:sz w:val="24"/>
        </w:rPr>
        <w:t> </w:t>
      </w:r>
      <w:r>
        <w:rPr>
          <w:sz w:val="24"/>
        </w:rPr>
        <w:t>мешки</w:t>
      </w:r>
      <w:r>
        <w:rPr>
          <w:spacing w:val="-9"/>
          <w:sz w:val="24"/>
        </w:rPr>
        <w:t> </w:t>
      </w:r>
      <w:r>
        <w:rPr>
          <w:sz w:val="24"/>
        </w:rPr>
        <w:t>для</w:t>
      </w:r>
      <w:r>
        <w:rPr>
          <w:spacing w:val="-6"/>
          <w:sz w:val="24"/>
        </w:rPr>
        <w:t> </w:t>
      </w:r>
      <w:r>
        <w:rPr>
          <w:sz w:val="24"/>
        </w:rPr>
        <w:t>опасных</w:t>
      </w:r>
      <w:r>
        <w:rPr>
          <w:spacing w:val="-5"/>
          <w:sz w:val="24"/>
        </w:rPr>
        <w:t> </w:t>
      </w:r>
      <w:r>
        <w:rPr>
          <w:sz w:val="24"/>
        </w:rPr>
        <w:t>отходов;</w:t>
      </w:r>
    </w:p>
    <w:p>
      <w:pPr>
        <w:pStyle w:val="ListParagraph"/>
        <w:numPr>
          <w:ilvl w:val="0"/>
          <w:numId w:val="38"/>
        </w:numPr>
        <w:tabs>
          <w:tab w:pos="1001" w:val="left" w:leader="none"/>
        </w:tabs>
        <w:spacing w:line="304" w:lineRule="auto" w:before="3" w:after="0"/>
        <w:ind w:left="1000" w:right="676" w:hanging="339"/>
        <w:jc w:val="both"/>
        <w:rPr>
          <w:sz w:val="24"/>
        </w:rPr>
      </w:pPr>
      <w:r>
        <w:rPr>
          <w:sz w:val="24"/>
        </w:rPr>
        <w:t>Орошает   дезинфицирующим   средством   наружную   поверхность   мешков   с</w:t>
      </w:r>
      <w:r>
        <w:rPr>
          <w:spacing w:val="-4"/>
          <w:sz w:val="24"/>
        </w:rPr>
        <w:t> </w:t>
      </w:r>
      <w:r>
        <w:rPr>
          <w:sz w:val="24"/>
        </w:rPr>
        <w:t>использованными</w:t>
      </w:r>
      <w:r>
        <w:rPr>
          <w:spacing w:val="-11"/>
          <w:sz w:val="24"/>
        </w:rPr>
        <w:t> </w:t>
      </w:r>
      <w:r>
        <w:rPr>
          <w:sz w:val="24"/>
        </w:rPr>
        <w:t>защитными</w:t>
      </w:r>
      <w:r>
        <w:rPr>
          <w:spacing w:val="-14"/>
          <w:sz w:val="24"/>
        </w:rPr>
        <w:t> </w:t>
      </w:r>
      <w:r>
        <w:rPr>
          <w:sz w:val="24"/>
        </w:rPr>
        <w:t>костюмами</w:t>
      </w:r>
      <w:r>
        <w:rPr>
          <w:spacing w:val="-11"/>
          <w:sz w:val="24"/>
        </w:rPr>
        <w:t> </w:t>
      </w:r>
      <w:r>
        <w:rPr>
          <w:sz w:val="24"/>
        </w:rPr>
        <w:t>и</w:t>
      </w:r>
      <w:r>
        <w:rPr>
          <w:spacing w:val="-11"/>
          <w:sz w:val="24"/>
        </w:rPr>
        <w:t> </w:t>
      </w:r>
      <w:r>
        <w:rPr>
          <w:sz w:val="24"/>
        </w:rPr>
        <w:t>относит</w:t>
      </w:r>
      <w:r>
        <w:rPr>
          <w:spacing w:val="-14"/>
          <w:sz w:val="24"/>
        </w:rPr>
        <w:t> </w:t>
      </w:r>
      <w:r>
        <w:rPr>
          <w:sz w:val="24"/>
        </w:rPr>
        <w:t>на</w:t>
      </w:r>
      <w:r>
        <w:rPr>
          <w:spacing w:val="-14"/>
          <w:sz w:val="24"/>
        </w:rPr>
        <w:t> </w:t>
      </w:r>
      <w:r>
        <w:rPr>
          <w:sz w:val="24"/>
        </w:rPr>
        <w:t>транспортное</w:t>
      </w:r>
      <w:r>
        <w:rPr>
          <w:spacing w:val="-13"/>
          <w:sz w:val="24"/>
        </w:rPr>
        <w:t> </w:t>
      </w:r>
      <w:r>
        <w:rPr>
          <w:sz w:val="24"/>
        </w:rPr>
        <w:t>средство.</w:t>
      </w:r>
    </w:p>
    <w:p>
      <w:pPr>
        <w:pStyle w:val="BodyText"/>
        <w:spacing w:line="312" w:lineRule="auto" w:before="23"/>
        <w:ind w:left="331" w:right="676" w:firstLine="698"/>
      </w:pPr>
      <w:r>
        <w:rPr/>
        <w:t>В боксе инфекционного стационара пациента из ТИБ передают медицинским работникам стационара.</w:t>
      </w:r>
    </w:p>
    <w:p>
      <w:pPr>
        <w:pStyle w:val="BodyText"/>
        <w:spacing w:line="312" w:lineRule="auto"/>
        <w:ind w:left="331" w:right="674" w:firstLine="698"/>
      </w:pPr>
      <w:r>
        <w:rPr/>
        <w:t>После доставки больного в стационар медицинский транспорт и ТИБ, а также находящиеся в нем предметы, использованные при транспортировании, обеззараживаются силами бригады дезинфекторов на территории инфекционного стационара</w:t>
      </w:r>
      <w:r>
        <w:rPr>
          <w:spacing w:val="-12"/>
        </w:rPr>
        <w:t> </w:t>
      </w:r>
      <w:r>
        <w:rPr/>
        <w:t>на</w:t>
      </w:r>
      <w:r>
        <w:rPr>
          <w:spacing w:val="-11"/>
        </w:rPr>
        <w:t> </w:t>
      </w:r>
      <w:r>
        <w:rPr/>
        <w:t>специальной,</w:t>
      </w:r>
      <w:r>
        <w:rPr>
          <w:spacing w:val="-10"/>
        </w:rPr>
        <w:t> </w:t>
      </w:r>
      <w:r>
        <w:rPr/>
        <w:t>оборудованной</w:t>
      </w:r>
      <w:r>
        <w:rPr>
          <w:spacing w:val="-9"/>
        </w:rPr>
        <w:t> </w:t>
      </w:r>
      <w:r>
        <w:rPr/>
        <w:t>стоком</w:t>
      </w:r>
      <w:r>
        <w:rPr>
          <w:spacing w:val="-10"/>
        </w:rPr>
        <w:t> </w:t>
      </w:r>
      <w:r>
        <w:rPr/>
        <w:t>и</w:t>
      </w:r>
      <w:r>
        <w:rPr>
          <w:spacing w:val="-9"/>
        </w:rPr>
        <w:t> </w:t>
      </w:r>
      <w:r>
        <w:rPr/>
        <w:t>ямой,</w:t>
      </w:r>
      <w:r>
        <w:rPr>
          <w:spacing w:val="-12"/>
        </w:rPr>
        <w:t> </w:t>
      </w:r>
      <w:r>
        <w:rPr/>
        <w:t>площадке</w:t>
      </w:r>
      <w:r>
        <w:rPr>
          <w:spacing w:val="-11"/>
        </w:rPr>
        <w:t> </w:t>
      </w:r>
      <w:r>
        <w:rPr/>
        <w:t>для</w:t>
      </w:r>
      <w:r>
        <w:rPr>
          <w:spacing w:val="-10"/>
        </w:rPr>
        <w:t> </w:t>
      </w:r>
      <w:r>
        <w:rPr/>
        <w:t>дезинфекции транспорта, используемого для перевозки больных в соответствии с действующими методическими документами. Внутренние и внешние поверхности транспортировочного модуля и автотранспорта обрабатываются путем орошения из гидропульта разрешенными для работы с опасными вирусами дезинфицирующими средствами в концентрации в соответствии с</w:t>
      </w:r>
      <w:r>
        <w:rPr>
          <w:spacing w:val="-2"/>
        </w:rPr>
        <w:t> </w:t>
      </w:r>
      <w:r>
        <w:rPr/>
        <w:t>инструкцией.</w:t>
      </w:r>
    </w:p>
    <w:p>
      <w:pPr>
        <w:pStyle w:val="BodyText"/>
        <w:spacing w:line="312" w:lineRule="auto"/>
        <w:ind w:left="331" w:right="680" w:firstLine="698"/>
      </w:pPr>
      <w:r>
        <w:rPr/>
        <w:t>Фильтрующие  элементы  ТИБ  и  другие  медицинские  отходы  утилизируют  в установленном</w:t>
      </w:r>
      <w:r>
        <w:rPr>
          <w:spacing w:val="-1"/>
        </w:rPr>
        <w:t> </w:t>
      </w:r>
      <w:r>
        <w:rPr/>
        <w:t>порядке.</w:t>
      </w:r>
    </w:p>
    <w:p>
      <w:pPr>
        <w:pStyle w:val="BodyText"/>
        <w:spacing w:line="312" w:lineRule="auto"/>
        <w:ind w:left="331" w:right="676" w:firstLine="698"/>
      </w:pPr>
      <w:r>
        <w:rPr/>
        <w:t>Защитную и рабочую одежду по окончании транспортирования больного подвергают специальной обработке методом замачивания в дезинфицирующем растворе по вирусному режиму согласно инструкции по применению.</w:t>
      </w:r>
    </w:p>
    <w:p>
      <w:pPr>
        <w:pStyle w:val="BodyText"/>
        <w:spacing w:line="312" w:lineRule="auto"/>
        <w:ind w:left="331" w:right="674" w:firstLine="698"/>
      </w:pPr>
      <w:r>
        <w:rPr/>
        <w:t>Все члены бригады обязаны пройти санитарную обработку в специально выделенном помещении инфекционного стационара.</w:t>
      </w:r>
    </w:p>
    <w:p>
      <w:pPr>
        <w:pStyle w:val="BodyText"/>
        <w:spacing w:line="312" w:lineRule="auto"/>
        <w:ind w:left="331" w:right="677" w:firstLine="698"/>
      </w:pPr>
      <w:r>
        <w:rPr/>
        <w:t>За членами бригад, проводивших медицинскую эвакуацию, устанавливается медицинское наблюдение на срок 14 дней.</w:t>
      </w:r>
    </w:p>
    <w:p>
      <w:pPr>
        <w:pStyle w:val="Heading3"/>
        <w:spacing w:before="118"/>
      </w:pPr>
      <w:bookmarkStart w:name="в) Мероприятия бригады дезинфекции" w:id="174"/>
      <w:bookmarkEnd w:id="174"/>
      <w:r>
        <w:rPr>
          <w:b w:val="0"/>
        </w:rPr>
      </w:r>
      <w:r>
        <w:rPr>
          <w:color w:val="1F487C"/>
        </w:rPr>
        <w:t>в) Мероприятия бригады дезинфекции</w:t>
      </w:r>
    </w:p>
    <w:p>
      <w:pPr>
        <w:pStyle w:val="BodyText"/>
        <w:spacing w:line="312" w:lineRule="auto" w:before="204"/>
        <w:ind w:left="331" w:right="675" w:firstLine="698"/>
      </w:pPr>
      <w:r>
        <w:rPr/>
        <w:t>Мероприятия</w:t>
      </w:r>
      <w:r>
        <w:rPr>
          <w:spacing w:val="-10"/>
        </w:rPr>
        <w:t> </w:t>
      </w:r>
      <w:r>
        <w:rPr/>
        <w:t>по</w:t>
      </w:r>
      <w:r>
        <w:rPr>
          <w:spacing w:val="-10"/>
        </w:rPr>
        <w:t> </w:t>
      </w:r>
      <w:r>
        <w:rPr/>
        <w:t>дезинфекции</w:t>
      </w:r>
      <w:r>
        <w:rPr>
          <w:spacing w:val="-5"/>
        </w:rPr>
        <w:t> </w:t>
      </w:r>
      <w:r>
        <w:rPr/>
        <w:t>проводятся</w:t>
      </w:r>
      <w:r>
        <w:rPr>
          <w:spacing w:val="-7"/>
        </w:rPr>
        <w:t> </w:t>
      </w:r>
      <w:r>
        <w:rPr/>
        <w:t>с</w:t>
      </w:r>
      <w:r>
        <w:rPr>
          <w:spacing w:val="-6"/>
        </w:rPr>
        <w:t> </w:t>
      </w:r>
      <w:r>
        <w:rPr/>
        <w:t>учетом</w:t>
      </w:r>
      <w:r>
        <w:rPr>
          <w:spacing w:val="-7"/>
        </w:rPr>
        <w:t> </w:t>
      </w:r>
      <w:r>
        <w:rPr/>
        <w:t>письма</w:t>
      </w:r>
      <w:r>
        <w:rPr>
          <w:spacing w:val="-8"/>
        </w:rPr>
        <w:t> </w:t>
      </w:r>
      <w:r>
        <w:rPr/>
        <w:t>Роспотребнадзора</w:t>
      </w:r>
      <w:r>
        <w:rPr>
          <w:spacing w:val="-8"/>
        </w:rPr>
        <w:t> </w:t>
      </w:r>
      <w:r>
        <w:rPr/>
        <w:t>от 23.01.2020 № 02/770-2020-32 </w:t>
      </w:r>
      <w:r>
        <w:rPr>
          <w:spacing w:val="-3"/>
        </w:rPr>
        <w:t>«Об </w:t>
      </w:r>
      <w:r>
        <w:rPr/>
        <w:t>инструкции по проведению дезинфекционных мероприятий для профилактики заболеваний, вызываемых</w:t>
      </w:r>
      <w:r>
        <w:rPr>
          <w:spacing w:val="-6"/>
        </w:rPr>
        <w:t> </w:t>
      </w:r>
      <w:r>
        <w:rPr/>
        <w:t>коронавирусами».</w:t>
      </w:r>
    </w:p>
    <w:p>
      <w:pPr>
        <w:pStyle w:val="BodyText"/>
        <w:spacing w:line="312" w:lineRule="auto"/>
        <w:ind w:left="331" w:right="677" w:firstLine="698"/>
      </w:pPr>
      <w:r>
        <w:rPr/>
        <w:t>По прибытии на место проведения дезинфекции члены бригады надевают защитную одежду. Заключительную дезинфекцию в транспортном средстве проводят немедленно после эвакуации больного.</w:t>
      </w:r>
    </w:p>
    <w:p>
      <w:pPr>
        <w:pStyle w:val="BodyText"/>
        <w:spacing w:line="312" w:lineRule="auto" w:before="1"/>
        <w:ind w:left="331" w:right="675" w:firstLine="698"/>
      </w:pPr>
      <w:r>
        <w:rPr/>
        <w:t>Для проведения обеззараживания в очаг входят два члена бригады, один дезинфектор остается вне очага. В обязанность последнего входит прием вещей из очага</w:t>
      </w:r>
      <w:r>
        <w:rPr>
          <w:spacing w:val="-15"/>
        </w:rPr>
        <w:t> </w:t>
      </w:r>
      <w:r>
        <w:rPr/>
        <w:t>для</w:t>
      </w:r>
      <w:r>
        <w:rPr>
          <w:spacing w:val="-17"/>
        </w:rPr>
        <w:t> </w:t>
      </w:r>
      <w:r>
        <w:rPr/>
        <w:t>камерной</w:t>
      </w:r>
      <w:r>
        <w:rPr>
          <w:spacing w:val="-16"/>
        </w:rPr>
        <w:t> </w:t>
      </w:r>
      <w:r>
        <w:rPr/>
        <w:t>дезинфекции,</w:t>
      </w:r>
      <w:r>
        <w:rPr>
          <w:spacing w:val="-17"/>
        </w:rPr>
        <w:t> </w:t>
      </w:r>
      <w:r>
        <w:rPr/>
        <w:t>приготовление</w:t>
      </w:r>
      <w:r>
        <w:rPr>
          <w:spacing w:val="-17"/>
        </w:rPr>
        <w:t> </w:t>
      </w:r>
      <w:r>
        <w:rPr/>
        <w:t>дезинфицирующих</w:t>
      </w:r>
      <w:r>
        <w:rPr>
          <w:spacing w:val="-14"/>
        </w:rPr>
        <w:t> </w:t>
      </w:r>
      <w:r>
        <w:rPr/>
        <w:t>растворов,</w:t>
      </w:r>
      <w:r>
        <w:rPr>
          <w:spacing w:val="-17"/>
        </w:rPr>
        <w:t> </w:t>
      </w:r>
      <w:r>
        <w:rPr/>
        <w:t>поднос необходимой</w:t>
      </w:r>
      <w:r>
        <w:rPr>
          <w:spacing w:val="-5"/>
        </w:rPr>
        <w:t> </w:t>
      </w:r>
      <w:r>
        <w:rPr/>
        <w:t>аппаратуры.</w:t>
      </w:r>
    </w:p>
    <w:p>
      <w:pPr>
        <w:spacing w:after="0" w:line="312" w:lineRule="auto"/>
        <w:sectPr>
          <w:pgSz w:w="11920" w:h="16850"/>
          <w:pgMar w:header="0" w:footer="620" w:top="1060" w:bottom="880" w:left="1380" w:right="600"/>
        </w:sectPr>
      </w:pPr>
    </w:p>
    <w:p>
      <w:pPr>
        <w:pStyle w:val="BodyText"/>
        <w:spacing w:line="312" w:lineRule="auto" w:before="78"/>
        <w:ind w:left="333" w:right="674" w:firstLine="696"/>
      </w:pPr>
      <w:r>
        <w:rPr/>
        <w:t>Перед   проведением   дезинфекции    необходимо    закрыть    окна    и    двери в помещениях, подлежащих обработке. Проведение заключительной дезинфекции начинают от входной двери здания, последовательно обрабатывая все помещения, включая комнату, где находился больной. В  каждом помещении  с  порога, не входя  в комнату, обильно орошают дезинфицирующим раствором пол и</w:t>
      </w:r>
      <w:r>
        <w:rPr>
          <w:spacing w:val="-7"/>
        </w:rPr>
        <w:t> </w:t>
      </w:r>
      <w:r>
        <w:rPr/>
        <w:t>воздух.</w:t>
      </w:r>
    </w:p>
    <w:p>
      <w:pPr>
        <w:pStyle w:val="BodyText"/>
        <w:spacing w:line="312" w:lineRule="auto"/>
        <w:ind w:left="331" w:right="673" w:firstLine="698"/>
      </w:pPr>
      <w:r>
        <w:rPr/>
        <w:t>Руководитель медицинской организации, в которой выявлен больной, подозрительный на COVID-19, осуществляет первичные противоэпидемические мероприятия согласно оперативному плану медицинской организации, как на случай выявления больного особо опасной инфекцией, с целью обеспечения своевременного информирования, временной изоляции, консультирования, эвакуации, проведения дезинфекции, оказания больному необходимой медицинской помощи в соответствии  с действующими нормативными документами и санитарным законодательством, в</w:t>
      </w:r>
      <w:r>
        <w:rPr>
          <w:spacing w:val="-37"/>
        </w:rPr>
        <w:t> </w:t>
      </w:r>
      <w:r>
        <w:rPr/>
        <w:t>том числе с санитарно-эпидемиологическими правилами СП 3.4.2318-08 «Санитарная охрана территории Российской</w:t>
      </w:r>
      <w:r>
        <w:rPr>
          <w:spacing w:val="-3"/>
        </w:rPr>
        <w:t> </w:t>
      </w:r>
      <w:r>
        <w:rPr/>
        <w:t>Федерации».</w:t>
      </w:r>
    </w:p>
    <w:p>
      <w:pPr>
        <w:pStyle w:val="BodyText"/>
        <w:spacing w:line="312" w:lineRule="auto"/>
        <w:ind w:left="331" w:right="674" w:firstLine="698"/>
      </w:pPr>
      <w:r>
        <w:rPr/>
        <w:t>Организация  и  проведение  первичных  противоэпидемических  мероприятий в случаях выявления больного (трупа), подозрительного на заболевания инфекционными болезнями, вызывающими чрезвычайные ситуации в области санитарно-эпидемиологического благополучия населения, проводится в соответствии с Методическими указаниями МУ 3.4.2552-09 (утв. Главным государственным санитарным врачом Российской Федерации</w:t>
      </w:r>
      <w:r>
        <w:rPr>
          <w:spacing w:val="-16"/>
        </w:rPr>
        <w:t> </w:t>
      </w:r>
      <w:r>
        <w:rPr/>
        <w:t>17.09.2009).</w:t>
      </w:r>
    </w:p>
    <w:p>
      <w:pPr>
        <w:pStyle w:val="BodyText"/>
        <w:spacing w:line="312" w:lineRule="auto" w:before="1"/>
        <w:ind w:left="331" w:right="674" w:firstLine="698"/>
      </w:pPr>
      <w:r>
        <w:rPr/>
        <w:t>В медицинской  организации,  оказывающей  медицинскую  помощь  больным и лицам с подозрением на COVID-19, согласно санитарным правилам необходимо наличие:</w:t>
      </w:r>
    </w:p>
    <w:p>
      <w:pPr>
        <w:pStyle w:val="BodyText"/>
        <w:spacing w:before="4"/>
        <w:ind w:left="0"/>
        <w:jc w:val="left"/>
        <w:rPr>
          <w:sz w:val="31"/>
        </w:rPr>
      </w:pPr>
    </w:p>
    <w:p>
      <w:pPr>
        <w:pStyle w:val="ListParagraph"/>
        <w:numPr>
          <w:ilvl w:val="0"/>
          <w:numId w:val="38"/>
        </w:numPr>
        <w:tabs>
          <w:tab w:pos="1000" w:val="left" w:leader="none"/>
          <w:tab w:pos="1001" w:val="left" w:leader="none"/>
        </w:tabs>
        <w:spacing w:line="304" w:lineRule="auto" w:before="0" w:after="0"/>
        <w:ind w:left="1000" w:right="676" w:hanging="339"/>
        <w:jc w:val="left"/>
        <w:rPr>
          <w:sz w:val="24"/>
        </w:rPr>
      </w:pPr>
      <w:r>
        <w:rPr>
          <w:sz w:val="24"/>
        </w:rPr>
        <w:t>Неснижаемого запаса СИЗ персонала (защитная одежда, маски, респираторы, очки/экраны, перчатки и</w:t>
      </w:r>
      <w:r>
        <w:rPr>
          <w:spacing w:val="-5"/>
          <w:sz w:val="24"/>
        </w:rPr>
        <w:t> </w:t>
      </w:r>
      <w:r>
        <w:rPr>
          <w:sz w:val="24"/>
        </w:rPr>
        <w:t>другие);</w:t>
      </w:r>
    </w:p>
    <w:p>
      <w:pPr>
        <w:pStyle w:val="ListParagraph"/>
        <w:numPr>
          <w:ilvl w:val="0"/>
          <w:numId w:val="38"/>
        </w:numPr>
        <w:tabs>
          <w:tab w:pos="1000" w:val="left" w:leader="none"/>
          <w:tab w:pos="1001" w:val="left" w:leader="none"/>
        </w:tabs>
        <w:spacing w:line="240" w:lineRule="auto" w:before="11" w:after="0"/>
        <w:ind w:left="1000" w:right="0" w:hanging="339"/>
        <w:jc w:val="left"/>
        <w:rPr>
          <w:sz w:val="24"/>
        </w:rPr>
      </w:pPr>
      <w:r>
        <w:rPr>
          <w:sz w:val="24"/>
        </w:rPr>
        <w:t>Укладки для забора биологического материала у больного</w:t>
      </w:r>
      <w:r>
        <w:rPr>
          <w:spacing w:val="-5"/>
          <w:sz w:val="24"/>
        </w:rPr>
        <w:t> </w:t>
      </w:r>
      <w:r>
        <w:rPr>
          <w:sz w:val="24"/>
        </w:rPr>
        <w:t>(подозрительного);</w:t>
      </w:r>
    </w:p>
    <w:p>
      <w:pPr>
        <w:pStyle w:val="ListParagraph"/>
        <w:numPr>
          <w:ilvl w:val="0"/>
          <w:numId w:val="38"/>
        </w:numPr>
        <w:tabs>
          <w:tab w:pos="1000" w:val="left" w:leader="none"/>
          <w:tab w:pos="1001" w:val="left" w:leader="none"/>
        </w:tabs>
        <w:spacing w:line="240" w:lineRule="auto" w:before="82" w:after="0"/>
        <w:ind w:left="1000" w:right="0" w:hanging="339"/>
        <w:jc w:val="left"/>
        <w:rPr>
          <w:sz w:val="24"/>
        </w:rPr>
      </w:pPr>
      <w:r>
        <w:rPr>
          <w:sz w:val="24"/>
        </w:rPr>
        <w:t>Укладки со средствами экстренной профилактики медицинских</w:t>
      </w:r>
      <w:r>
        <w:rPr>
          <w:spacing w:val="-1"/>
          <w:sz w:val="24"/>
        </w:rPr>
        <w:t> </w:t>
      </w:r>
      <w:r>
        <w:rPr>
          <w:sz w:val="24"/>
        </w:rPr>
        <w:t>работников;</w:t>
      </w:r>
    </w:p>
    <w:p>
      <w:pPr>
        <w:pStyle w:val="ListParagraph"/>
        <w:numPr>
          <w:ilvl w:val="0"/>
          <w:numId w:val="38"/>
        </w:numPr>
        <w:tabs>
          <w:tab w:pos="1000" w:val="left" w:leader="none"/>
          <w:tab w:pos="1001" w:val="left" w:leader="none"/>
        </w:tabs>
        <w:spacing w:line="240" w:lineRule="auto" w:before="81" w:after="0"/>
        <w:ind w:left="1000" w:right="0" w:hanging="339"/>
        <w:jc w:val="left"/>
        <w:rPr>
          <w:sz w:val="24"/>
        </w:rPr>
      </w:pPr>
      <w:r>
        <w:rPr>
          <w:sz w:val="24"/>
        </w:rPr>
        <w:t>Месячного запаса дезинфицирующих средств и</w:t>
      </w:r>
      <w:r>
        <w:rPr>
          <w:spacing w:val="58"/>
          <w:sz w:val="24"/>
        </w:rPr>
        <w:t> </w:t>
      </w:r>
      <w:r>
        <w:rPr>
          <w:sz w:val="24"/>
        </w:rPr>
        <w:t>аппаратуры;</w:t>
      </w:r>
    </w:p>
    <w:p>
      <w:pPr>
        <w:pStyle w:val="ListParagraph"/>
        <w:numPr>
          <w:ilvl w:val="0"/>
          <w:numId w:val="38"/>
        </w:numPr>
        <w:tabs>
          <w:tab w:pos="1000" w:val="left" w:leader="none"/>
          <w:tab w:pos="1001" w:val="left" w:leader="none"/>
          <w:tab w:pos="2488" w:val="left" w:leader="none"/>
          <w:tab w:pos="3081" w:val="left" w:leader="none"/>
          <w:tab w:pos="4742" w:val="left" w:leader="none"/>
          <w:tab w:pos="6271" w:val="left" w:leader="none"/>
          <w:tab w:pos="6623" w:val="left" w:leader="none"/>
          <w:tab w:pos="7540" w:val="left" w:leader="none"/>
          <w:tab w:pos="8877" w:val="left" w:leader="none"/>
        </w:tabs>
        <w:spacing w:line="304" w:lineRule="auto" w:before="82" w:after="0"/>
        <w:ind w:left="1000" w:right="675" w:hanging="339"/>
        <w:jc w:val="left"/>
        <w:rPr>
          <w:sz w:val="24"/>
        </w:rPr>
      </w:pPr>
      <w:r>
        <w:rPr>
          <w:sz w:val="24"/>
        </w:rPr>
        <w:t>Тест-систем</w:t>
        <w:tab/>
        <w:t>для</w:t>
        <w:tab/>
        <w:t>лабораторной</w:t>
        <w:tab/>
        <w:t>диагностики</w:t>
        <w:tab/>
        <w:t>в</w:t>
        <w:tab/>
        <w:t>случае</w:t>
        <w:tab/>
        <w:t>выявления</w:t>
        <w:tab/>
      </w:r>
      <w:r>
        <w:rPr>
          <w:spacing w:val="-7"/>
          <w:sz w:val="24"/>
        </w:rPr>
        <w:t>лиц </w:t>
      </w:r>
      <w:r>
        <w:rPr>
          <w:sz w:val="24"/>
        </w:rPr>
        <w:t>с подозрением на коронавирусную</w:t>
      </w:r>
      <w:r>
        <w:rPr>
          <w:spacing w:val="-4"/>
          <w:sz w:val="24"/>
        </w:rPr>
        <w:t> </w:t>
      </w:r>
      <w:r>
        <w:rPr>
          <w:sz w:val="24"/>
        </w:rPr>
        <w:t>инфекцию;</w:t>
      </w:r>
    </w:p>
    <w:p>
      <w:pPr>
        <w:pStyle w:val="ListParagraph"/>
        <w:numPr>
          <w:ilvl w:val="0"/>
          <w:numId w:val="38"/>
        </w:numPr>
        <w:tabs>
          <w:tab w:pos="1000" w:val="left" w:leader="none"/>
          <w:tab w:pos="1001" w:val="left" w:leader="none"/>
        </w:tabs>
        <w:spacing w:line="304" w:lineRule="auto" w:before="11" w:after="0"/>
        <w:ind w:left="1000" w:right="674" w:hanging="339"/>
        <w:jc w:val="left"/>
        <w:rPr>
          <w:sz w:val="24"/>
        </w:rPr>
      </w:pPr>
      <w:r>
        <w:rPr>
          <w:sz w:val="24"/>
        </w:rPr>
        <w:t>Медицинского персонала, обученного действиям при выявлении больного (подозрительного на)</w:t>
      </w:r>
      <w:r>
        <w:rPr>
          <w:spacing w:val="-5"/>
          <w:sz w:val="24"/>
        </w:rPr>
        <w:t> </w:t>
      </w:r>
      <w:r>
        <w:rPr>
          <w:sz w:val="24"/>
        </w:rPr>
        <w:t>COVID-19.</w:t>
      </w:r>
    </w:p>
    <w:p>
      <w:pPr>
        <w:pStyle w:val="BodyText"/>
        <w:spacing w:before="1"/>
        <w:ind w:left="0"/>
        <w:jc w:val="left"/>
        <w:rPr>
          <w:sz w:val="33"/>
        </w:rPr>
      </w:pPr>
    </w:p>
    <w:p>
      <w:pPr>
        <w:pStyle w:val="BodyText"/>
        <w:spacing w:line="312" w:lineRule="auto"/>
        <w:ind w:left="333" w:right="675" w:firstLine="696"/>
      </w:pPr>
      <w:r>
        <w:rPr/>
        <w:t>При использовании СИЗ обязательно следовать требованиям санитарных правил.  Использованные   материалы   обеззараживаются   и/или   обезвреживаются  и в последующем захораниваются или уничтожаются в соответствии с требованиями к медицинским отходам класса В. Дезинфекция рабочих</w:t>
      </w:r>
      <w:r>
        <w:rPr>
          <w:spacing w:val="14"/>
        </w:rPr>
        <w:t> </w:t>
      </w:r>
      <w:r>
        <w:rPr/>
        <w:t>поверхностей</w:t>
      </w:r>
    </w:p>
    <w:p>
      <w:pPr>
        <w:spacing w:after="0" w:line="312" w:lineRule="auto"/>
        <w:sectPr>
          <w:pgSz w:w="11920" w:h="16850"/>
          <w:pgMar w:header="0" w:footer="620" w:top="1060" w:bottom="880" w:left="1380" w:right="600"/>
        </w:sectPr>
      </w:pPr>
    </w:p>
    <w:p>
      <w:pPr>
        <w:pStyle w:val="BodyText"/>
        <w:tabs>
          <w:tab w:pos="2505" w:val="left" w:leader="none"/>
          <w:tab w:pos="4051" w:val="left" w:leader="none"/>
          <w:tab w:pos="5433" w:val="left" w:leader="none"/>
          <w:tab w:pos="7055" w:val="left" w:leader="none"/>
          <w:tab w:pos="7605" w:val="left" w:leader="none"/>
        </w:tabs>
        <w:spacing w:line="312" w:lineRule="auto" w:before="78"/>
        <w:ind w:left="333" w:right="674"/>
        <w:jc w:val="left"/>
      </w:pPr>
      <w:r>
        <w:rPr/>
        <w:t>и биологических</w:t>
        <w:tab/>
        <w:t>жидкостей</w:t>
        <w:tab/>
        <w:t>больного</w:t>
        <w:tab/>
        <w:t>проводится</w:t>
        <w:tab/>
        <w:t>с</w:t>
        <w:tab/>
      </w:r>
      <w:r>
        <w:rPr>
          <w:spacing w:val="-3"/>
        </w:rPr>
        <w:t>использованием </w:t>
      </w:r>
      <w:r>
        <w:rPr/>
        <w:t>дезинфицирующих средств, содержащих</w:t>
      </w:r>
      <w:r>
        <w:rPr>
          <w:spacing w:val="1"/>
        </w:rPr>
        <w:t> </w:t>
      </w:r>
      <w:r>
        <w:rPr/>
        <w:t>хлор.</w:t>
      </w:r>
    </w:p>
    <w:p>
      <w:pPr>
        <w:pStyle w:val="BodyText"/>
        <w:spacing w:before="11"/>
        <w:ind w:left="0"/>
        <w:jc w:val="left"/>
        <w:rPr>
          <w:sz w:val="20"/>
        </w:rPr>
      </w:pPr>
    </w:p>
    <w:p>
      <w:pPr>
        <w:pStyle w:val="Heading2"/>
        <w:numPr>
          <w:ilvl w:val="1"/>
          <w:numId w:val="40"/>
        </w:numPr>
        <w:tabs>
          <w:tab w:pos="1522" w:val="left" w:leader="none"/>
        </w:tabs>
        <w:spacing w:line="259" w:lineRule="auto" w:before="0" w:after="0"/>
        <w:ind w:left="1029" w:right="1409" w:firstLine="0"/>
        <w:jc w:val="left"/>
      </w:pPr>
      <w:bookmarkStart w:name="9.4. ПОРЯДОК ГОСПИТАЛИЗАЦИИ В МЕДИЦИНСКИ" w:id="175"/>
      <w:bookmarkEnd w:id="175"/>
      <w:r>
        <w:rPr>
          <w:b w:val="0"/>
        </w:rPr>
      </w:r>
      <w:bookmarkStart w:name="_bookmark39" w:id="176"/>
      <w:bookmarkEnd w:id="176"/>
      <w:r>
        <w:rPr>
          <w:b w:val="0"/>
        </w:rPr>
      </w:r>
      <w:bookmarkStart w:name="_bookmark39" w:id="177"/>
      <w:bookmarkEnd w:id="177"/>
      <w:r>
        <w:rPr>
          <w:color w:val="1F487C"/>
        </w:rPr>
        <w:t>ПО</w:t>
      </w:r>
      <w:r>
        <w:rPr>
          <w:color w:val="1F487C"/>
        </w:rPr>
        <w:t>РЯДОК ГОСПИТАЛИЗАЦИИ В МЕДИЦИНСКИЕ ОРГАНИЗАЦИИ ПАЦИЕНТОВ В</w:t>
      </w:r>
      <w:r>
        <w:rPr>
          <w:color w:val="1F487C"/>
          <w:spacing w:val="-8"/>
        </w:rPr>
        <w:t> </w:t>
      </w:r>
      <w:r>
        <w:rPr>
          <w:color w:val="1F487C"/>
        </w:rPr>
        <w:t>ЗАВИСИМОСТИ</w:t>
      </w:r>
    </w:p>
    <w:p>
      <w:pPr>
        <w:spacing w:before="1"/>
        <w:ind w:left="1029" w:right="0" w:firstLine="0"/>
        <w:jc w:val="left"/>
        <w:rPr>
          <w:b/>
          <w:sz w:val="28"/>
        </w:rPr>
      </w:pPr>
      <w:r>
        <w:rPr>
          <w:b/>
          <w:color w:val="1F487C"/>
          <w:sz w:val="28"/>
        </w:rPr>
        <w:t>ОТ СТЕПЕНИ ТЯЖЕСТИ ЗАБОЛЕВАНИЯ</w:t>
      </w:r>
    </w:p>
    <w:p>
      <w:pPr>
        <w:pStyle w:val="ListParagraph"/>
        <w:numPr>
          <w:ilvl w:val="0"/>
          <w:numId w:val="41"/>
        </w:numPr>
        <w:tabs>
          <w:tab w:pos="1486" w:val="left" w:leader="none"/>
        </w:tabs>
        <w:spacing w:line="312" w:lineRule="auto" w:before="142" w:after="0"/>
        <w:ind w:left="331" w:right="674" w:firstLine="698"/>
        <w:jc w:val="both"/>
        <w:rPr>
          <w:sz w:val="24"/>
        </w:rPr>
      </w:pPr>
      <w:r>
        <w:rPr>
          <w:sz w:val="24"/>
        </w:rPr>
        <w:t>Госпитализации в медицинские организации и их структурные подразделения, оказывающие медицинскую помощь пациентам с установленным диагнозом COVID-19 или с подозрением на COVID-19 в стационарных условиях (далее соответственно – структурное подразделение медицинской организации для лечения COVID-19, пациенты), подлежат пациенты с установленным диагнозом COVID-19 или с подозрением на COVID-19, находящиеся в состоянии средней тяжести, в тяжелом и крайне тяжелом состоянии. Допускается оказание медициской помощи на дому взрослым пациентам со среднетяжелым течением заболевания при наличии</w:t>
      </w:r>
      <w:r>
        <w:rPr>
          <w:spacing w:val="2"/>
          <w:sz w:val="24"/>
        </w:rPr>
        <w:t> </w:t>
      </w:r>
      <w:r>
        <w:rPr>
          <w:sz w:val="24"/>
        </w:rPr>
        <w:t>условий.</w:t>
      </w:r>
    </w:p>
    <w:p>
      <w:pPr>
        <w:pStyle w:val="ListParagraph"/>
        <w:numPr>
          <w:ilvl w:val="0"/>
          <w:numId w:val="41"/>
        </w:numPr>
        <w:tabs>
          <w:tab w:pos="1347" w:val="left" w:leader="none"/>
        </w:tabs>
        <w:spacing w:line="312" w:lineRule="auto" w:before="2" w:after="0"/>
        <w:ind w:left="331" w:right="673" w:firstLine="698"/>
        <w:jc w:val="both"/>
        <w:rPr>
          <w:sz w:val="24"/>
        </w:rPr>
      </w:pPr>
      <w:r>
        <w:rPr>
          <w:sz w:val="24"/>
        </w:rPr>
        <w:t>Госпитализация пациентов осуществляется в структурное подразделение медицинской организации для лечения COVID-19, имеющее койки для пациентов, находящихся в тяжелом состоянии, не требующих искусственной вентиляции легких, койки для пациентов, находящихся в тяжелом состоянии, требующих проведения НИВЛ, и койки для пациентов, находящихся в крайне тяжелом состоянии, требующих проведения</w:t>
      </w:r>
      <w:r>
        <w:rPr>
          <w:spacing w:val="-1"/>
          <w:sz w:val="24"/>
        </w:rPr>
        <w:t> </w:t>
      </w:r>
      <w:r>
        <w:rPr>
          <w:sz w:val="24"/>
        </w:rPr>
        <w:t>ИВЛ.</w:t>
      </w:r>
    </w:p>
    <w:p>
      <w:pPr>
        <w:pStyle w:val="ListParagraph"/>
        <w:numPr>
          <w:ilvl w:val="0"/>
          <w:numId w:val="41"/>
        </w:numPr>
        <w:tabs>
          <w:tab w:pos="1433" w:val="left" w:leader="none"/>
        </w:tabs>
        <w:spacing w:line="312" w:lineRule="auto" w:before="0" w:after="0"/>
        <w:ind w:left="331" w:right="675" w:firstLine="698"/>
        <w:jc w:val="both"/>
        <w:rPr>
          <w:sz w:val="24"/>
        </w:rPr>
      </w:pPr>
      <w:r>
        <w:rPr>
          <w:sz w:val="24"/>
        </w:rPr>
        <w:t>Пациенты  на  амбулаторном  лечении  при  сохранении   температуры   тела ≥ 38,5 °C в течение 3 дней и более госпитализируются в структурное подразделение медицинской организации для лечения COVID-19 на койки для пациентов в состоянии средней</w:t>
      </w:r>
      <w:r>
        <w:rPr>
          <w:spacing w:val="-4"/>
          <w:sz w:val="24"/>
        </w:rPr>
        <w:t> </w:t>
      </w:r>
      <w:r>
        <w:rPr>
          <w:sz w:val="24"/>
        </w:rPr>
        <w:t>тяжести.</w:t>
      </w:r>
    </w:p>
    <w:p>
      <w:pPr>
        <w:pStyle w:val="ListParagraph"/>
        <w:numPr>
          <w:ilvl w:val="0"/>
          <w:numId w:val="41"/>
        </w:numPr>
        <w:tabs>
          <w:tab w:pos="1311" w:val="left" w:leader="none"/>
        </w:tabs>
        <w:spacing w:line="312" w:lineRule="auto" w:before="0" w:after="0"/>
        <w:ind w:left="331" w:right="674" w:firstLine="698"/>
        <w:jc w:val="both"/>
        <w:rPr>
          <w:sz w:val="24"/>
        </w:rPr>
      </w:pPr>
      <w:r>
        <w:rPr>
          <w:sz w:val="24"/>
        </w:rPr>
        <w:t>Пациенты в состоянии средней тяжести госпитализируются в структурное подразделение медицинской организации для лечения COVID-19 на койки для пациентов в тяжелом состоянии, не требующих ИВЛ, исходя из наличия двух из следующих</w:t>
      </w:r>
      <w:r>
        <w:rPr>
          <w:spacing w:val="1"/>
          <w:sz w:val="24"/>
        </w:rPr>
        <w:t> </w:t>
      </w:r>
      <w:r>
        <w:rPr>
          <w:sz w:val="24"/>
        </w:rPr>
        <w:t>критериев:</w:t>
      </w:r>
    </w:p>
    <w:p>
      <w:pPr>
        <w:pStyle w:val="BodyText"/>
        <w:spacing w:before="2"/>
        <w:ind w:left="0"/>
        <w:jc w:val="left"/>
        <w:rPr>
          <w:sz w:val="31"/>
        </w:rPr>
      </w:pPr>
    </w:p>
    <w:p>
      <w:pPr>
        <w:pStyle w:val="ListParagraph"/>
        <w:numPr>
          <w:ilvl w:val="0"/>
          <w:numId w:val="38"/>
        </w:numPr>
        <w:tabs>
          <w:tab w:pos="1000" w:val="left" w:leader="none"/>
          <w:tab w:pos="1001" w:val="left" w:leader="none"/>
        </w:tabs>
        <w:spacing w:line="240" w:lineRule="auto" w:before="0" w:after="0"/>
        <w:ind w:left="1000" w:right="0" w:hanging="339"/>
        <w:jc w:val="left"/>
        <w:rPr>
          <w:sz w:val="24"/>
        </w:rPr>
      </w:pPr>
      <w:r>
        <w:rPr>
          <w:position w:val="2"/>
          <w:sz w:val="24"/>
        </w:rPr>
        <w:t>SpO</w:t>
      </w:r>
      <w:r>
        <w:rPr>
          <w:sz w:val="16"/>
        </w:rPr>
        <w:t>2 </w:t>
      </w:r>
      <w:r>
        <w:rPr>
          <w:position w:val="2"/>
          <w:sz w:val="24"/>
        </w:rPr>
        <w:t>&lt;</w:t>
      </w:r>
      <w:r>
        <w:rPr>
          <w:spacing w:val="-1"/>
          <w:position w:val="2"/>
          <w:sz w:val="24"/>
        </w:rPr>
        <w:t> </w:t>
      </w:r>
      <w:r>
        <w:rPr>
          <w:position w:val="2"/>
          <w:sz w:val="24"/>
        </w:rPr>
        <w:t>95%;</w:t>
      </w:r>
    </w:p>
    <w:p>
      <w:pPr>
        <w:pStyle w:val="ListParagraph"/>
        <w:numPr>
          <w:ilvl w:val="0"/>
          <w:numId w:val="38"/>
        </w:numPr>
        <w:tabs>
          <w:tab w:pos="1000" w:val="left" w:leader="none"/>
          <w:tab w:pos="1001" w:val="left" w:leader="none"/>
        </w:tabs>
        <w:spacing w:line="240" w:lineRule="auto" w:before="82" w:after="0"/>
        <w:ind w:left="1000" w:right="0" w:hanging="339"/>
        <w:jc w:val="left"/>
        <w:rPr>
          <w:sz w:val="24"/>
        </w:rPr>
      </w:pPr>
      <w:r>
        <w:rPr>
          <w:sz w:val="24"/>
        </w:rPr>
        <w:t>t ≥ 38 °C;</w:t>
      </w:r>
    </w:p>
    <w:p>
      <w:pPr>
        <w:pStyle w:val="ListParagraph"/>
        <w:numPr>
          <w:ilvl w:val="0"/>
          <w:numId w:val="38"/>
        </w:numPr>
        <w:tabs>
          <w:tab w:pos="1000" w:val="left" w:leader="none"/>
          <w:tab w:pos="1001" w:val="left" w:leader="none"/>
        </w:tabs>
        <w:spacing w:line="240" w:lineRule="auto" w:before="81" w:after="0"/>
        <w:ind w:left="1000" w:right="0" w:hanging="339"/>
        <w:jc w:val="left"/>
        <w:rPr>
          <w:sz w:val="24"/>
        </w:rPr>
      </w:pPr>
      <w:r>
        <w:rPr>
          <w:sz w:val="24"/>
        </w:rPr>
        <w:t>ЧДД &gt;</w:t>
      </w:r>
      <w:r>
        <w:rPr>
          <w:spacing w:val="-3"/>
          <w:sz w:val="24"/>
        </w:rPr>
        <w:t> </w:t>
      </w:r>
      <w:r>
        <w:rPr>
          <w:sz w:val="24"/>
        </w:rPr>
        <w:t>22;</w:t>
      </w:r>
    </w:p>
    <w:p>
      <w:pPr>
        <w:pStyle w:val="ListParagraph"/>
        <w:numPr>
          <w:ilvl w:val="0"/>
          <w:numId w:val="38"/>
        </w:numPr>
        <w:tabs>
          <w:tab w:pos="1000" w:val="left" w:leader="none"/>
          <w:tab w:pos="1001" w:val="left" w:leader="none"/>
        </w:tabs>
        <w:spacing w:line="304" w:lineRule="auto" w:before="82" w:after="0"/>
        <w:ind w:left="1000" w:right="678" w:hanging="339"/>
        <w:jc w:val="left"/>
        <w:rPr>
          <w:sz w:val="24"/>
        </w:rPr>
      </w:pPr>
      <w:r>
        <w:rPr>
          <w:sz w:val="24"/>
        </w:rPr>
        <w:t>Наличие признаков пневмонии с распространенностью изменений в обоих легких более 25% (при наличии результатов КТ</w:t>
      </w:r>
      <w:r>
        <w:rPr>
          <w:spacing w:val="-2"/>
          <w:sz w:val="24"/>
        </w:rPr>
        <w:t> </w:t>
      </w:r>
      <w:r>
        <w:rPr>
          <w:sz w:val="24"/>
        </w:rPr>
        <w:t>легких).</w:t>
      </w:r>
    </w:p>
    <w:p>
      <w:pPr>
        <w:pStyle w:val="BodyText"/>
        <w:spacing w:before="1"/>
        <w:ind w:left="0"/>
        <w:jc w:val="left"/>
        <w:rPr>
          <w:sz w:val="33"/>
        </w:rPr>
      </w:pPr>
    </w:p>
    <w:p>
      <w:pPr>
        <w:pStyle w:val="ListParagraph"/>
        <w:numPr>
          <w:ilvl w:val="0"/>
          <w:numId w:val="41"/>
        </w:numPr>
        <w:tabs>
          <w:tab w:pos="1042" w:val="left" w:leader="none"/>
          <w:tab w:pos="2371" w:val="left" w:leader="none"/>
          <w:tab w:pos="2774" w:val="left" w:leader="none"/>
          <w:tab w:pos="3940" w:val="left" w:leader="none"/>
          <w:tab w:pos="5287" w:val="left" w:leader="none"/>
          <w:tab w:pos="7578" w:val="left" w:leader="none"/>
          <w:tab w:pos="7982" w:val="left" w:leader="none"/>
        </w:tabs>
        <w:spacing w:line="312" w:lineRule="auto" w:before="0" w:after="0"/>
        <w:ind w:left="1041" w:right="674" w:hanging="360"/>
        <w:jc w:val="left"/>
        <w:rPr>
          <w:sz w:val="24"/>
        </w:rPr>
      </w:pPr>
      <w:r>
        <w:rPr>
          <w:sz w:val="24"/>
        </w:rPr>
        <w:t>Пациенты</w:t>
        <w:tab/>
        <w:t>в</w:t>
        <w:tab/>
        <w:t>тяжелом</w:t>
        <w:tab/>
        <w:t>состоянии</w:t>
        <w:tab/>
        <w:t>госпитализируются</w:t>
        <w:tab/>
        <w:t>в</w:t>
        <w:tab/>
        <w:t>структурное подразделение</w:t>
      </w:r>
      <w:r>
        <w:rPr>
          <w:spacing w:val="11"/>
          <w:sz w:val="24"/>
        </w:rPr>
        <w:t> </w:t>
      </w:r>
      <w:r>
        <w:rPr>
          <w:sz w:val="24"/>
        </w:rPr>
        <w:t>медицинской</w:t>
      </w:r>
      <w:r>
        <w:rPr>
          <w:spacing w:val="13"/>
          <w:sz w:val="24"/>
        </w:rPr>
        <w:t> </w:t>
      </w:r>
      <w:r>
        <w:rPr>
          <w:sz w:val="24"/>
        </w:rPr>
        <w:t>организации</w:t>
      </w:r>
      <w:r>
        <w:rPr>
          <w:spacing w:val="14"/>
          <w:sz w:val="24"/>
        </w:rPr>
        <w:t> </w:t>
      </w:r>
      <w:r>
        <w:rPr>
          <w:sz w:val="24"/>
        </w:rPr>
        <w:t>для</w:t>
      </w:r>
      <w:r>
        <w:rPr>
          <w:spacing w:val="10"/>
          <w:sz w:val="24"/>
        </w:rPr>
        <w:t> </w:t>
      </w:r>
      <w:r>
        <w:rPr>
          <w:sz w:val="24"/>
        </w:rPr>
        <w:t>лечения</w:t>
      </w:r>
      <w:r>
        <w:rPr>
          <w:spacing w:val="12"/>
          <w:sz w:val="24"/>
        </w:rPr>
        <w:t> </w:t>
      </w:r>
      <w:r>
        <w:rPr>
          <w:sz w:val="24"/>
        </w:rPr>
        <w:t>COVID-19</w:t>
      </w:r>
      <w:r>
        <w:rPr>
          <w:spacing w:val="13"/>
          <w:sz w:val="24"/>
        </w:rPr>
        <w:t> </w:t>
      </w:r>
      <w:r>
        <w:rPr>
          <w:sz w:val="24"/>
        </w:rPr>
        <w:t>на</w:t>
      </w:r>
      <w:r>
        <w:rPr>
          <w:spacing w:val="13"/>
          <w:sz w:val="24"/>
        </w:rPr>
        <w:t> </w:t>
      </w:r>
      <w:r>
        <w:rPr>
          <w:sz w:val="24"/>
        </w:rPr>
        <w:t>койки</w:t>
      </w:r>
      <w:r>
        <w:rPr>
          <w:spacing w:val="13"/>
          <w:sz w:val="24"/>
        </w:rPr>
        <w:t> </w:t>
      </w:r>
      <w:r>
        <w:rPr>
          <w:sz w:val="24"/>
        </w:rPr>
        <w:t>для</w:t>
      </w:r>
    </w:p>
    <w:p>
      <w:pPr>
        <w:spacing w:after="0" w:line="312" w:lineRule="auto"/>
        <w:jc w:val="left"/>
        <w:rPr>
          <w:sz w:val="24"/>
        </w:rPr>
        <w:sectPr>
          <w:pgSz w:w="11920" w:h="16850"/>
          <w:pgMar w:header="0" w:footer="620" w:top="1060" w:bottom="880" w:left="1380" w:right="600"/>
        </w:sectPr>
      </w:pPr>
    </w:p>
    <w:p>
      <w:pPr>
        <w:pStyle w:val="BodyText"/>
        <w:spacing w:line="312" w:lineRule="auto" w:before="78"/>
        <w:ind w:left="1041" w:right="1115"/>
        <w:jc w:val="left"/>
      </w:pPr>
      <w:r>
        <w:rPr/>
        <w:t>пациентов в тяжелом состоянии, требующих проведения НИВЛ, исходя из наличия двух из следующих критериев:</w:t>
      </w:r>
    </w:p>
    <w:p>
      <w:pPr>
        <w:pStyle w:val="BodyText"/>
        <w:spacing w:before="2"/>
        <w:ind w:left="0"/>
        <w:jc w:val="left"/>
        <w:rPr>
          <w:sz w:val="31"/>
        </w:rPr>
      </w:pPr>
    </w:p>
    <w:p>
      <w:pPr>
        <w:pStyle w:val="ListParagraph"/>
        <w:numPr>
          <w:ilvl w:val="0"/>
          <w:numId w:val="38"/>
        </w:numPr>
        <w:tabs>
          <w:tab w:pos="1000" w:val="left" w:leader="none"/>
          <w:tab w:pos="1001" w:val="left" w:leader="none"/>
        </w:tabs>
        <w:spacing w:line="240" w:lineRule="auto" w:before="0" w:after="0"/>
        <w:ind w:left="1000" w:right="0" w:hanging="339"/>
        <w:jc w:val="left"/>
        <w:rPr>
          <w:sz w:val="24"/>
        </w:rPr>
      </w:pPr>
      <w:r>
        <w:rPr>
          <w:position w:val="2"/>
          <w:sz w:val="24"/>
        </w:rPr>
        <w:t>SpO</w:t>
      </w:r>
      <w:r>
        <w:rPr>
          <w:sz w:val="16"/>
        </w:rPr>
        <w:t>2 </w:t>
      </w:r>
      <w:r>
        <w:rPr>
          <w:position w:val="2"/>
          <w:sz w:val="24"/>
        </w:rPr>
        <w:t>≤</w:t>
      </w:r>
      <w:r>
        <w:rPr>
          <w:spacing w:val="-20"/>
          <w:position w:val="2"/>
          <w:sz w:val="24"/>
        </w:rPr>
        <w:t> </w:t>
      </w:r>
      <w:r>
        <w:rPr>
          <w:position w:val="2"/>
          <w:sz w:val="24"/>
        </w:rPr>
        <w:t>93%;</w:t>
      </w:r>
    </w:p>
    <w:p>
      <w:pPr>
        <w:pStyle w:val="ListParagraph"/>
        <w:numPr>
          <w:ilvl w:val="0"/>
          <w:numId w:val="38"/>
        </w:numPr>
        <w:tabs>
          <w:tab w:pos="1000" w:val="left" w:leader="none"/>
          <w:tab w:pos="1001" w:val="left" w:leader="none"/>
        </w:tabs>
        <w:spacing w:line="240" w:lineRule="auto" w:before="82" w:after="0"/>
        <w:ind w:left="1000" w:right="0" w:hanging="339"/>
        <w:jc w:val="left"/>
        <w:rPr>
          <w:sz w:val="24"/>
        </w:rPr>
      </w:pPr>
      <w:r>
        <w:rPr>
          <w:sz w:val="24"/>
        </w:rPr>
        <w:t>t ≥ 39 °C;</w:t>
      </w:r>
    </w:p>
    <w:p>
      <w:pPr>
        <w:pStyle w:val="ListParagraph"/>
        <w:numPr>
          <w:ilvl w:val="0"/>
          <w:numId w:val="38"/>
        </w:numPr>
        <w:tabs>
          <w:tab w:pos="1000" w:val="left" w:leader="none"/>
          <w:tab w:pos="1001" w:val="left" w:leader="none"/>
        </w:tabs>
        <w:spacing w:line="240" w:lineRule="auto" w:before="83" w:after="0"/>
        <w:ind w:left="1000" w:right="0" w:hanging="339"/>
        <w:jc w:val="left"/>
        <w:rPr>
          <w:sz w:val="24"/>
        </w:rPr>
      </w:pPr>
      <w:r>
        <w:rPr>
          <w:sz w:val="24"/>
        </w:rPr>
        <w:t>ЧДД ≥</w:t>
      </w:r>
      <w:r>
        <w:rPr>
          <w:spacing w:val="-2"/>
          <w:sz w:val="24"/>
        </w:rPr>
        <w:t> </w:t>
      </w:r>
      <w:r>
        <w:rPr>
          <w:sz w:val="24"/>
        </w:rPr>
        <w:t>30;</w:t>
      </w:r>
    </w:p>
    <w:p>
      <w:pPr>
        <w:pStyle w:val="BodyText"/>
        <w:spacing w:before="4"/>
        <w:ind w:left="0"/>
        <w:jc w:val="left"/>
        <w:rPr>
          <w:sz w:val="39"/>
        </w:rPr>
      </w:pPr>
    </w:p>
    <w:p>
      <w:pPr>
        <w:pStyle w:val="BodyText"/>
        <w:spacing w:line="312" w:lineRule="auto"/>
        <w:ind w:left="331" w:right="672" w:firstLine="698"/>
      </w:pPr>
      <w:r>
        <w:rPr/>
        <w:t>Дополнительными</w:t>
      </w:r>
      <w:r>
        <w:rPr>
          <w:spacing w:val="-9"/>
        </w:rPr>
        <w:t> </w:t>
      </w:r>
      <w:r>
        <w:rPr/>
        <w:t>признаками</w:t>
      </w:r>
      <w:r>
        <w:rPr>
          <w:spacing w:val="-6"/>
        </w:rPr>
        <w:t> </w:t>
      </w:r>
      <w:r>
        <w:rPr/>
        <w:t>тжелого</w:t>
      </w:r>
      <w:r>
        <w:rPr>
          <w:spacing w:val="-7"/>
        </w:rPr>
        <w:t> </w:t>
      </w:r>
      <w:r>
        <w:rPr/>
        <w:t>состояния</w:t>
      </w:r>
      <w:r>
        <w:rPr>
          <w:spacing w:val="-10"/>
        </w:rPr>
        <w:t> </w:t>
      </w:r>
      <w:r>
        <w:rPr/>
        <w:t>пациента</w:t>
      </w:r>
      <w:r>
        <w:rPr>
          <w:spacing w:val="-8"/>
        </w:rPr>
        <w:t> </w:t>
      </w:r>
      <w:r>
        <w:rPr/>
        <w:t>являются</w:t>
      </w:r>
      <w:r>
        <w:rPr>
          <w:spacing w:val="-6"/>
        </w:rPr>
        <w:t> </w:t>
      </w:r>
      <w:r>
        <w:rPr/>
        <w:t>снижение уровня сознания, ажитация, нестабильные гемодинамические показатели (систолическое артериальное давление &lt; 90 мм рт. ст., диастолическое артериальное давление &lt; 60 мм рт.</w:t>
      </w:r>
      <w:r>
        <w:rPr>
          <w:spacing w:val="-5"/>
        </w:rPr>
        <w:t> </w:t>
      </w:r>
      <w:r>
        <w:rPr/>
        <w:t>ст.).</w:t>
      </w:r>
    </w:p>
    <w:p>
      <w:pPr>
        <w:pStyle w:val="BodyText"/>
        <w:spacing w:before="1"/>
        <w:ind w:left="0"/>
        <w:jc w:val="left"/>
        <w:rPr>
          <w:sz w:val="31"/>
        </w:rPr>
      </w:pPr>
    </w:p>
    <w:p>
      <w:pPr>
        <w:pStyle w:val="ListParagraph"/>
        <w:numPr>
          <w:ilvl w:val="0"/>
          <w:numId w:val="41"/>
        </w:numPr>
        <w:tabs>
          <w:tab w:pos="1042" w:val="left" w:leader="none"/>
        </w:tabs>
        <w:spacing w:line="312" w:lineRule="auto" w:before="0" w:after="0"/>
        <w:ind w:left="1041" w:right="674" w:hanging="360"/>
        <w:jc w:val="both"/>
        <w:rPr>
          <w:sz w:val="24"/>
        </w:rPr>
      </w:pPr>
      <w:r>
        <w:rPr>
          <w:sz w:val="24"/>
        </w:rPr>
        <w:t>Пациенты в крайне тяжелом состоянии госпитализируются в структурное подразделение медицинской организации для лечения COVID-19 на койки для пациентов</w:t>
      </w:r>
      <w:r>
        <w:rPr>
          <w:spacing w:val="-9"/>
          <w:sz w:val="24"/>
        </w:rPr>
        <w:t> </w:t>
      </w:r>
      <w:r>
        <w:rPr>
          <w:sz w:val="24"/>
        </w:rPr>
        <w:t>в</w:t>
      </w:r>
      <w:r>
        <w:rPr>
          <w:spacing w:val="-9"/>
          <w:sz w:val="24"/>
        </w:rPr>
        <w:t> </w:t>
      </w:r>
      <w:r>
        <w:rPr>
          <w:sz w:val="24"/>
        </w:rPr>
        <w:t>крайне</w:t>
      </w:r>
      <w:r>
        <w:rPr>
          <w:spacing w:val="-10"/>
          <w:sz w:val="24"/>
        </w:rPr>
        <w:t> </w:t>
      </w:r>
      <w:r>
        <w:rPr>
          <w:sz w:val="24"/>
        </w:rPr>
        <w:t>тяжелом</w:t>
      </w:r>
      <w:r>
        <w:rPr>
          <w:spacing w:val="-9"/>
          <w:sz w:val="24"/>
        </w:rPr>
        <w:t> </w:t>
      </w:r>
      <w:r>
        <w:rPr>
          <w:sz w:val="24"/>
        </w:rPr>
        <w:t>состоянии,</w:t>
      </w:r>
      <w:r>
        <w:rPr>
          <w:spacing w:val="-9"/>
          <w:sz w:val="24"/>
        </w:rPr>
        <w:t> </w:t>
      </w:r>
      <w:r>
        <w:rPr>
          <w:sz w:val="24"/>
        </w:rPr>
        <w:t>требующих</w:t>
      </w:r>
      <w:r>
        <w:rPr>
          <w:spacing w:val="-6"/>
          <w:sz w:val="24"/>
        </w:rPr>
        <w:t> </w:t>
      </w:r>
      <w:r>
        <w:rPr>
          <w:sz w:val="24"/>
        </w:rPr>
        <w:t>проведения</w:t>
      </w:r>
      <w:r>
        <w:rPr>
          <w:spacing w:val="-9"/>
          <w:sz w:val="24"/>
        </w:rPr>
        <w:t> </w:t>
      </w:r>
      <w:r>
        <w:rPr>
          <w:sz w:val="24"/>
        </w:rPr>
        <w:t>ИВЛ,</w:t>
      </w:r>
      <w:r>
        <w:rPr>
          <w:spacing w:val="-9"/>
          <w:sz w:val="24"/>
        </w:rPr>
        <w:t> </w:t>
      </w:r>
      <w:r>
        <w:rPr>
          <w:sz w:val="24"/>
        </w:rPr>
        <w:t>исходя</w:t>
      </w:r>
      <w:r>
        <w:rPr>
          <w:spacing w:val="-11"/>
          <w:sz w:val="24"/>
        </w:rPr>
        <w:t> </w:t>
      </w:r>
      <w:r>
        <w:rPr>
          <w:sz w:val="24"/>
        </w:rPr>
        <w:t>из наличия двух из следующих</w:t>
      </w:r>
      <w:r>
        <w:rPr>
          <w:spacing w:val="3"/>
          <w:sz w:val="24"/>
        </w:rPr>
        <w:t> </w:t>
      </w:r>
      <w:r>
        <w:rPr>
          <w:sz w:val="24"/>
        </w:rPr>
        <w:t>критериев:</w:t>
      </w:r>
    </w:p>
    <w:p>
      <w:pPr>
        <w:pStyle w:val="BodyText"/>
        <w:spacing w:before="6"/>
        <w:ind w:left="0"/>
        <w:jc w:val="left"/>
        <w:rPr>
          <w:sz w:val="31"/>
        </w:rPr>
      </w:pPr>
    </w:p>
    <w:p>
      <w:pPr>
        <w:pStyle w:val="ListParagraph"/>
        <w:numPr>
          <w:ilvl w:val="0"/>
          <w:numId w:val="38"/>
        </w:numPr>
        <w:tabs>
          <w:tab w:pos="1000" w:val="left" w:leader="none"/>
          <w:tab w:pos="1001" w:val="left" w:leader="none"/>
        </w:tabs>
        <w:spacing w:line="240" w:lineRule="auto" w:before="0" w:after="0"/>
        <w:ind w:left="1000" w:right="0" w:hanging="339"/>
        <w:jc w:val="left"/>
        <w:rPr>
          <w:sz w:val="24"/>
        </w:rPr>
      </w:pPr>
      <w:r>
        <w:rPr>
          <w:sz w:val="24"/>
        </w:rPr>
        <w:t>Нарушение</w:t>
      </w:r>
      <w:r>
        <w:rPr>
          <w:spacing w:val="-1"/>
          <w:sz w:val="24"/>
        </w:rPr>
        <w:t> </w:t>
      </w:r>
      <w:r>
        <w:rPr>
          <w:sz w:val="24"/>
        </w:rPr>
        <w:t>сознания;</w:t>
      </w:r>
    </w:p>
    <w:p>
      <w:pPr>
        <w:pStyle w:val="ListParagraph"/>
        <w:numPr>
          <w:ilvl w:val="0"/>
          <w:numId w:val="38"/>
        </w:numPr>
        <w:tabs>
          <w:tab w:pos="1000" w:val="left" w:leader="none"/>
          <w:tab w:pos="1001" w:val="left" w:leader="none"/>
        </w:tabs>
        <w:spacing w:line="240" w:lineRule="auto" w:before="80" w:after="0"/>
        <w:ind w:left="1000" w:right="0" w:hanging="339"/>
        <w:jc w:val="left"/>
        <w:rPr>
          <w:sz w:val="24"/>
        </w:rPr>
      </w:pPr>
      <w:r>
        <w:rPr>
          <w:position w:val="2"/>
          <w:sz w:val="24"/>
        </w:rPr>
        <w:t>SpO</w:t>
      </w:r>
      <w:r>
        <w:rPr>
          <w:sz w:val="16"/>
        </w:rPr>
        <w:t>2 </w:t>
      </w:r>
      <w:r>
        <w:rPr>
          <w:position w:val="2"/>
          <w:sz w:val="24"/>
        </w:rPr>
        <w:t>&lt; 92% (на фоне</w:t>
      </w:r>
      <w:r>
        <w:rPr>
          <w:spacing w:val="-24"/>
          <w:position w:val="2"/>
          <w:sz w:val="24"/>
        </w:rPr>
        <w:t> </w:t>
      </w:r>
      <w:r>
        <w:rPr>
          <w:position w:val="2"/>
          <w:sz w:val="24"/>
        </w:rPr>
        <w:t>кислородотерапии);</w:t>
      </w:r>
    </w:p>
    <w:p>
      <w:pPr>
        <w:pStyle w:val="ListParagraph"/>
        <w:numPr>
          <w:ilvl w:val="0"/>
          <w:numId w:val="38"/>
        </w:numPr>
        <w:tabs>
          <w:tab w:pos="1000" w:val="left" w:leader="none"/>
          <w:tab w:pos="1001" w:val="left" w:leader="none"/>
        </w:tabs>
        <w:spacing w:line="240" w:lineRule="auto" w:before="81" w:after="0"/>
        <w:ind w:left="1000" w:right="0" w:hanging="339"/>
        <w:jc w:val="left"/>
        <w:rPr>
          <w:sz w:val="24"/>
        </w:rPr>
      </w:pPr>
      <w:r>
        <w:rPr>
          <w:sz w:val="24"/>
        </w:rPr>
        <w:t>ЧДД &gt;</w:t>
      </w:r>
      <w:r>
        <w:rPr>
          <w:spacing w:val="-3"/>
          <w:sz w:val="24"/>
        </w:rPr>
        <w:t> </w:t>
      </w:r>
      <w:r>
        <w:rPr>
          <w:sz w:val="24"/>
        </w:rPr>
        <w:t>35.</w:t>
      </w:r>
    </w:p>
    <w:p>
      <w:pPr>
        <w:pStyle w:val="BodyText"/>
        <w:spacing w:before="5"/>
        <w:ind w:left="0"/>
        <w:jc w:val="left"/>
        <w:rPr>
          <w:sz w:val="39"/>
        </w:rPr>
      </w:pPr>
    </w:p>
    <w:p>
      <w:pPr>
        <w:pStyle w:val="ListParagraph"/>
        <w:numPr>
          <w:ilvl w:val="0"/>
          <w:numId w:val="41"/>
        </w:numPr>
        <w:tabs>
          <w:tab w:pos="1371" w:val="left" w:leader="none"/>
        </w:tabs>
        <w:spacing w:line="312" w:lineRule="auto" w:before="0" w:after="0"/>
        <w:ind w:left="331" w:right="674" w:firstLine="698"/>
        <w:jc w:val="both"/>
        <w:rPr>
          <w:sz w:val="24"/>
        </w:rPr>
      </w:pPr>
      <w:r>
        <w:rPr>
          <w:sz w:val="24"/>
        </w:rPr>
        <w:t>Пациентам в состоянии средней тяжести, тяжелом и крайне тяжелом состоянии, а также пациентамв группе риска (см. ниже п. 8) в день госпитализации рекомендовано выполнение КТ ОГК или, при отсутствии такой возможности, РГ ОГК. УЗИ плевральных полостей и легких может применяться только как дополнение к КТ или РГ для оценки динамики изменений в грудной полости. Кратность повторения указанных методов исследования определяется клиническими показаниями. При отсутствии</w:t>
      </w:r>
      <w:r>
        <w:rPr>
          <w:spacing w:val="-7"/>
          <w:sz w:val="24"/>
        </w:rPr>
        <w:t> </w:t>
      </w:r>
      <w:r>
        <w:rPr>
          <w:sz w:val="24"/>
        </w:rPr>
        <w:t>отрицательной</w:t>
      </w:r>
      <w:r>
        <w:rPr>
          <w:spacing w:val="-6"/>
          <w:sz w:val="24"/>
        </w:rPr>
        <w:t> </w:t>
      </w:r>
      <w:r>
        <w:rPr>
          <w:sz w:val="24"/>
        </w:rPr>
        <w:t>клинической</w:t>
      </w:r>
      <w:r>
        <w:rPr>
          <w:spacing w:val="-7"/>
          <w:sz w:val="24"/>
        </w:rPr>
        <w:t> </w:t>
      </w:r>
      <w:r>
        <w:rPr>
          <w:sz w:val="24"/>
        </w:rPr>
        <w:t>динамики</w:t>
      </w:r>
      <w:r>
        <w:rPr>
          <w:spacing w:val="-9"/>
          <w:sz w:val="24"/>
        </w:rPr>
        <w:t> </w:t>
      </w:r>
      <w:r>
        <w:rPr>
          <w:sz w:val="24"/>
        </w:rPr>
        <w:t>контрольная</w:t>
      </w:r>
      <w:r>
        <w:rPr>
          <w:spacing w:val="-8"/>
          <w:sz w:val="24"/>
        </w:rPr>
        <w:t> </w:t>
      </w:r>
      <w:r>
        <w:rPr>
          <w:sz w:val="24"/>
        </w:rPr>
        <w:t>РГ</w:t>
      </w:r>
      <w:r>
        <w:rPr>
          <w:spacing w:val="-7"/>
          <w:sz w:val="24"/>
        </w:rPr>
        <w:t> </w:t>
      </w:r>
      <w:r>
        <w:rPr>
          <w:sz w:val="24"/>
        </w:rPr>
        <w:t>проводится</w:t>
      </w:r>
      <w:r>
        <w:rPr>
          <w:spacing w:val="-7"/>
          <w:sz w:val="24"/>
        </w:rPr>
        <w:t> </w:t>
      </w:r>
      <w:r>
        <w:rPr>
          <w:sz w:val="24"/>
        </w:rPr>
        <w:t>не</w:t>
      </w:r>
      <w:r>
        <w:rPr>
          <w:spacing w:val="-9"/>
          <w:sz w:val="24"/>
        </w:rPr>
        <w:t> </w:t>
      </w:r>
      <w:r>
        <w:rPr>
          <w:sz w:val="24"/>
        </w:rPr>
        <w:t>чаще одного раза в</w:t>
      </w:r>
      <w:r>
        <w:rPr>
          <w:spacing w:val="-2"/>
          <w:sz w:val="24"/>
        </w:rPr>
        <w:t> </w:t>
      </w:r>
      <w:r>
        <w:rPr>
          <w:sz w:val="24"/>
        </w:rPr>
        <w:t>неделю.</w:t>
      </w:r>
    </w:p>
    <w:p>
      <w:pPr>
        <w:pStyle w:val="ListParagraph"/>
        <w:numPr>
          <w:ilvl w:val="0"/>
          <w:numId w:val="41"/>
        </w:numPr>
        <w:tabs>
          <w:tab w:pos="1400" w:val="left" w:leader="none"/>
        </w:tabs>
        <w:spacing w:line="312" w:lineRule="auto" w:before="0" w:after="0"/>
        <w:ind w:left="331" w:right="678" w:firstLine="698"/>
        <w:jc w:val="both"/>
        <w:rPr>
          <w:sz w:val="24"/>
        </w:rPr>
      </w:pPr>
      <w:r>
        <w:rPr>
          <w:sz w:val="24"/>
        </w:rPr>
        <w:t>Подлежат госпитализации в структурное подразделение медицинской организации для лечения COVID-19 вне зависимости от тяжести</w:t>
      </w:r>
      <w:r>
        <w:rPr>
          <w:spacing w:val="-7"/>
          <w:sz w:val="24"/>
        </w:rPr>
        <w:t> </w:t>
      </w:r>
      <w:r>
        <w:rPr>
          <w:sz w:val="24"/>
        </w:rPr>
        <w:t>заболевания:</w:t>
      </w:r>
    </w:p>
    <w:p>
      <w:pPr>
        <w:pStyle w:val="BodyText"/>
        <w:spacing w:before="3"/>
        <w:ind w:left="0"/>
        <w:jc w:val="left"/>
        <w:rPr>
          <w:sz w:val="31"/>
        </w:rPr>
      </w:pPr>
    </w:p>
    <w:p>
      <w:pPr>
        <w:pStyle w:val="ListParagraph"/>
        <w:numPr>
          <w:ilvl w:val="0"/>
          <w:numId w:val="38"/>
        </w:numPr>
        <w:tabs>
          <w:tab w:pos="1001" w:val="left" w:leader="none"/>
        </w:tabs>
        <w:spacing w:line="312" w:lineRule="auto" w:before="0" w:after="0"/>
        <w:ind w:left="1000" w:right="674" w:hanging="339"/>
        <w:jc w:val="both"/>
        <w:rPr>
          <w:sz w:val="24"/>
        </w:rPr>
      </w:pPr>
      <w:r>
        <w:rPr>
          <w:sz w:val="24"/>
        </w:rPr>
        <w:t>Пациенты, относящиеся к группе риска (старше 65 лет, с сопутствующими заболеваними и состояниями: артериальной гипертензией; хронической сердечной недостаточностью; онкологическими заболеваниями; гиперкоагуляцией; ДВС-синдромом; острым коронарным синдромом;</w:t>
      </w:r>
      <w:r>
        <w:rPr>
          <w:spacing w:val="-33"/>
          <w:sz w:val="24"/>
        </w:rPr>
        <w:t> </w:t>
      </w:r>
      <w:r>
        <w:rPr>
          <w:sz w:val="24"/>
        </w:rPr>
        <w:t>сахарным диабетом; болезнью двигательного нейрона; циррозом печени; длительным приемом ГК и биологической терапии по поводу воспалительных заболеваний кишечника;</w:t>
      </w:r>
      <w:r>
        <w:rPr>
          <w:spacing w:val="35"/>
          <w:sz w:val="24"/>
        </w:rPr>
        <w:t> </w:t>
      </w:r>
      <w:r>
        <w:rPr>
          <w:sz w:val="24"/>
        </w:rPr>
        <w:t>ревматоидным</w:t>
      </w:r>
      <w:r>
        <w:rPr>
          <w:spacing w:val="34"/>
          <w:sz w:val="24"/>
        </w:rPr>
        <w:t> </w:t>
      </w:r>
      <w:r>
        <w:rPr>
          <w:sz w:val="24"/>
        </w:rPr>
        <w:t>артритом;</w:t>
      </w:r>
      <w:r>
        <w:rPr>
          <w:spacing w:val="35"/>
          <w:sz w:val="24"/>
        </w:rPr>
        <w:t> </w:t>
      </w:r>
      <w:r>
        <w:rPr>
          <w:sz w:val="24"/>
        </w:rPr>
        <w:t>пациенты,</w:t>
      </w:r>
      <w:r>
        <w:rPr>
          <w:spacing w:val="36"/>
          <w:sz w:val="24"/>
        </w:rPr>
        <w:t> </w:t>
      </w:r>
      <w:r>
        <w:rPr>
          <w:sz w:val="24"/>
        </w:rPr>
        <w:t>получающие</w:t>
      </w:r>
      <w:r>
        <w:rPr>
          <w:spacing w:val="34"/>
          <w:sz w:val="24"/>
        </w:rPr>
        <w:t> </w:t>
      </w:r>
      <w:r>
        <w:rPr>
          <w:sz w:val="24"/>
        </w:rPr>
        <w:t>гемодиализ</w:t>
      </w:r>
      <w:r>
        <w:rPr>
          <w:spacing w:val="34"/>
          <w:sz w:val="24"/>
        </w:rPr>
        <w:t> </w:t>
      </w:r>
      <w:r>
        <w:rPr>
          <w:sz w:val="24"/>
        </w:rPr>
        <w:t>или</w:t>
      </w:r>
    </w:p>
    <w:p>
      <w:pPr>
        <w:spacing w:after="0" w:line="312" w:lineRule="auto"/>
        <w:jc w:val="both"/>
        <w:rPr>
          <w:sz w:val="24"/>
        </w:rPr>
        <w:sectPr>
          <w:pgSz w:w="11920" w:h="16850"/>
          <w:pgMar w:header="0" w:footer="620" w:top="1060" w:bottom="880" w:left="1380" w:right="600"/>
        </w:sectPr>
      </w:pPr>
    </w:p>
    <w:p>
      <w:pPr>
        <w:pStyle w:val="BodyText"/>
        <w:spacing w:line="312" w:lineRule="auto" w:before="78"/>
        <w:ind w:left="1000" w:right="678"/>
      </w:pPr>
      <w:r>
        <w:rPr/>
        <w:t>перитонеальный  диализ;  иммунодефицитными   состояниями,   в   том   числе с ВИЧ-инфекцией без антиретровирусной терапии; получающие химиотерапию);</w:t>
      </w:r>
    </w:p>
    <w:p>
      <w:pPr>
        <w:pStyle w:val="ListParagraph"/>
        <w:numPr>
          <w:ilvl w:val="0"/>
          <w:numId w:val="38"/>
        </w:numPr>
        <w:tabs>
          <w:tab w:pos="1001" w:val="left" w:leader="none"/>
        </w:tabs>
        <w:spacing w:line="309" w:lineRule="auto" w:before="1" w:after="0"/>
        <w:ind w:left="1000" w:right="678" w:hanging="339"/>
        <w:jc w:val="both"/>
        <w:rPr>
          <w:sz w:val="24"/>
        </w:rPr>
      </w:pPr>
      <w:r>
        <w:rPr>
          <w:sz w:val="24"/>
        </w:rPr>
        <w:t>Пациенты, проживающие в общежитии, многонаселенной квартире, с лицами старше 65 лет, с лицами, страдающими хроническими заболеваниями бронхолегочной, сердечно-сосудистой и эндокринной</w:t>
      </w:r>
      <w:r>
        <w:rPr>
          <w:spacing w:val="1"/>
          <w:sz w:val="24"/>
        </w:rPr>
        <w:t> </w:t>
      </w:r>
      <w:r>
        <w:rPr>
          <w:sz w:val="24"/>
        </w:rPr>
        <w:t>систем.</w:t>
      </w:r>
    </w:p>
    <w:p>
      <w:pPr>
        <w:pStyle w:val="BodyText"/>
        <w:spacing w:before="5"/>
        <w:ind w:left="0"/>
        <w:jc w:val="left"/>
        <w:rPr>
          <w:sz w:val="32"/>
        </w:rPr>
      </w:pPr>
    </w:p>
    <w:p>
      <w:pPr>
        <w:pStyle w:val="ListParagraph"/>
        <w:numPr>
          <w:ilvl w:val="0"/>
          <w:numId w:val="41"/>
        </w:numPr>
        <w:tabs>
          <w:tab w:pos="1296" w:val="left" w:leader="none"/>
        </w:tabs>
        <w:spacing w:line="312" w:lineRule="auto" w:before="0" w:after="0"/>
        <w:ind w:left="331" w:right="674" w:firstLine="698"/>
        <w:jc w:val="both"/>
        <w:rPr>
          <w:sz w:val="24"/>
        </w:rPr>
      </w:pPr>
      <w:r>
        <w:rPr>
          <w:sz w:val="24"/>
        </w:rPr>
        <w:t>Пациенты, указанные в пункте 8, находящиеся в состоянии легкой степени тяжести, госпитализируются в структурное подразделение медицинской организации для лечения COVID-19 на койки для пациентов в состоянии средней тяжести, исходя из наличия двух из следующих</w:t>
      </w:r>
      <w:r>
        <w:rPr>
          <w:spacing w:val="4"/>
          <w:sz w:val="24"/>
        </w:rPr>
        <w:t> </w:t>
      </w:r>
      <w:r>
        <w:rPr>
          <w:sz w:val="24"/>
        </w:rPr>
        <w:t>критериев:</w:t>
      </w:r>
    </w:p>
    <w:p>
      <w:pPr>
        <w:pStyle w:val="ListParagraph"/>
        <w:numPr>
          <w:ilvl w:val="0"/>
          <w:numId w:val="38"/>
        </w:numPr>
        <w:tabs>
          <w:tab w:pos="1001" w:val="left" w:leader="none"/>
        </w:tabs>
        <w:spacing w:line="240" w:lineRule="auto" w:before="1" w:after="0"/>
        <w:ind w:left="1000" w:right="0" w:hanging="339"/>
        <w:jc w:val="both"/>
        <w:rPr>
          <w:sz w:val="24"/>
        </w:rPr>
      </w:pPr>
      <w:r>
        <w:rPr>
          <w:position w:val="2"/>
          <w:sz w:val="24"/>
        </w:rPr>
        <w:t>SpO</w:t>
      </w:r>
      <w:r>
        <w:rPr>
          <w:sz w:val="16"/>
        </w:rPr>
        <w:t>2 </w:t>
      </w:r>
      <w:r>
        <w:rPr>
          <w:position w:val="2"/>
          <w:sz w:val="24"/>
        </w:rPr>
        <w:t>≥ 95% (обязательный</w:t>
      </w:r>
      <w:r>
        <w:rPr>
          <w:spacing w:val="-20"/>
          <w:position w:val="2"/>
          <w:sz w:val="24"/>
        </w:rPr>
        <w:t> </w:t>
      </w:r>
      <w:r>
        <w:rPr>
          <w:position w:val="2"/>
          <w:sz w:val="24"/>
        </w:rPr>
        <w:t>критерий);</w:t>
      </w:r>
    </w:p>
    <w:p>
      <w:pPr>
        <w:pStyle w:val="ListParagraph"/>
        <w:numPr>
          <w:ilvl w:val="0"/>
          <w:numId w:val="38"/>
        </w:numPr>
        <w:tabs>
          <w:tab w:pos="1001" w:val="left" w:leader="none"/>
        </w:tabs>
        <w:spacing w:line="240" w:lineRule="auto" w:before="82" w:after="0"/>
        <w:ind w:left="1000" w:right="0" w:hanging="339"/>
        <w:jc w:val="both"/>
        <w:rPr>
          <w:sz w:val="24"/>
        </w:rPr>
      </w:pPr>
      <w:r>
        <w:rPr>
          <w:sz w:val="24"/>
        </w:rPr>
        <w:t>t &lt; 38</w:t>
      </w:r>
      <w:r>
        <w:rPr>
          <w:spacing w:val="-1"/>
          <w:sz w:val="24"/>
        </w:rPr>
        <w:t> </w:t>
      </w:r>
      <w:r>
        <w:rPr>
          <w:sz w:val="24"/>
        </w:rPr>
        <w:t>°C;</w:t>
      </w:r>
    </w:p>
    <w:p>
      <w:pPr>
        <w:pStyle w:val="ListParagraph"/>
        <w:numPr>
          <w:ilvl w:val="0"/>
          <w:numId w:val="38"/>
        </w:numPr>
        <w:tabs>
          <w:tab w:pos="1001" w:val="left" w:leader="none"/>
        </w:tabs>
        <w:spacing w:line="240" w:lineRule="auto" w:before="83" w:after="0"/>
        <w:ind w:left="1000" w:right="0" w:hanging="339"/>
        <w:jc w:val="both"/>
        <w:rPr>
          <w:sz w:val="24"/>
        </w:rPr>
      </w:pPr>
      <w:r>
        <w:rPr>
          <w:sz w:val="24"/>
        </w:rPr>
        <w:t>ЧДД ≤</w:t>
      </w:r>
      <w:r>
        <w:rPr>
          <w:spacing w:val="-2"/>
          <w:sz w:val="24"/>
        </w:rPr>
        <w:t> </w:t>
      </w:r>
      <w:r>
        <w:rPr>
          <w:sz w:val="24"/>
        </w:rPr>
        <w:t>22.</w:t>
      </w:r>
    </w:p>
    <w:p>
      <w:pPr>
        <w:pStyle w:val="BodyText"/>
        <w:spacing w:before="4"/>
        <w:ind w:left="0"/>
        <w:jc w:val="left"/>
        <w:rPr>
          <w:sz w:val="39"/>
        </w:rPr>
      </w:pPr>
    </w:p>
    <w:p>
      <w:pPr>
        <w:pStyle w:val="ListParagraph"/>
        <w:numPr>
          <w:ilvl w:val="0"/>
          <w:numId w:val="41"/>
        </w:numPr>
        <w:tabs>
          <w:tab w:pos="1520" w:val="left" w:leader="none"/>
        </w:tabs>
        <w:spacing w:line="312" w:lineRule="auto" w:before="0" w:after="0"/>
        <w:ind w:left="331" w:right="675" w:firstLine="698"/>
        <w:jc w:val="both"/>
        <w:rPr>
          <w:sz w:val="24"/>
        </w:rPr>
      </w:pPr>
      <w:r>
        <w:rPr>
          <w:sz w:val="24"/>
        </w:rPr>
        <w:t>Пациенты в возрасте до 18 лет госпитализируются в структурное подразделение медицинской организации для лечения COVID-19 при наличии одного из следующих</w:t>
      </w:r>
      <w:r>
        <w:rPr>
          <w:spacing w:val="2"/>
          <w:sz w:val="24"/>
        </w:rPr>
        <w:t> </w:t>
      </w:r>
      <w:r>
        <w:rPr>
          <w:sz w:val="24"/>
        </w:rPr>
        <w:t>критериев:</w:t>
      </w:r>
    </w:p>
    <w:p>
      <w:pPr>
        <w:pStyle w:val="BodyText"/>
        <w:spacing w:before="4"/>
        <w:ind w:left="0"/>
        <w:jc w:val="left"/>
        <w:rPr>
          <w:sz w:val="31"/>
        </w:rPr>
      </w:pPr>
    </w:p>
    <w:p>
      <w:pPr>
        <w:pStyle w:val="ListParagraph"/>
        <w:numPr>
          <w:ilvl w:val="0"/>
          <w:numId w:val="38"/>
        </w:numPr>
        <w:tabs>
          <w:tab w:pos="1000" w:val="left" w:leader="none"/>
          <w:tab w:pos="1001" w:val="left" w:leader="none"/>
        </w:tabs>
        <w:spacing w:line="240" w:lineRule="auto" w:before="1" w:after="0"/>
        <w:ind w:left="1000" w:right="0" w:hanging="339"/>
        <w:jc w:val="left"/>
        <w:rPr>
          <w:sz w:val="24"/>
        </w:rPr>
      </w:pPr>
      <w:r>
        <w:rPr>
          <w:sz w:val="24"/>
        </w:rPr>
        <w:t>t &gt; 39.0 °C в день обращения или t &gt; 38 °C в течение 5 дней и</w:t>
      </w:r>
      <w:r>
        <w:rPr>
          <w:spacing w:val="-6"/>
          <w:sz w:val="24"/>
        </w:rPr>
        <w:t> </w:t>
      </w:r>
      <w:r>
        <w:rPr>
          <w:sz w:val="24"/>
        </w:rPr>
        <w:t>больше;</w:t>
      </w:r>
    </w:p>
    <w:p>
      <w:pPr>
        <w:pStyle w:val="ListParagraph"/>
        <w:numPr>
          <w:ilvl w:val="0"/>
          <w:numId w:val="38"/>
        </w:numPr>
        <w:tabs>
          <w:tab w:pos="1000" w:val="left" w:leader="none"/>
          <w:tab w:pos="1001" w:val="left" w:leader="none"/>
          <w:tab w:pos="2815" w:val="left" w:leader="none"/>
          <w:tab w:pos="4999" w:val="left" w:leader="none"/>
          <w:tab w:pos="6388" w:val="left" w:leader="none"/>
          <w:tab w:pos="7624" w:val="left" w:leader="none"/>
          <w:tab w:pos="9026" w:val="left" w:leader="none"/>
        </w:tabs>
        <w:spacing w:line="304" w:lineRule="auto" w:before="80" w:after="0"/>
        <w:ind w:left="1000" w:right="678" w:hanging="339"/>
        <w:jc w:val="left"/>
        <w:rPr>
          <w:sz w:val="24"/>
        </w:rPr>
      </w:pPr>
      <w:r>
        <w:rPr>
          <w:sz w:val="24"/>
        </w:rPr>
        <w:t>Дыхательная</w:t>
        <w:tab/>
        <w:t>недостаточность</w:t>
        <w:tab/>
        <w:t>(наличие</w:t>
        <w:tab/>
        <w:t>любого</w:t>
        <w:tab/>
        <w:t>признака</w:t>
        <w:tab/>
      </w:r>
      <w:r>
        <w:rPr>
          <w:spacing w:val="-9"/>
          <w:sz w:val="24"/>
        </w:rPr>
        <w:t>из </w:t>
      </w:r>
      <w:r>
        <w:rPr>
          <w:sz w:val="24"/>
        </w:rPr>
        <w:t>нижеперечисленных симптомов респираторного</w:t>
      </w:r>
      <w:r>
        <w:rPr>
          <w:spacing w:val="-1"/>
          <w:sz w:val="24"/>
        </w:rPr>
        <w:t> </w:t>
      </w:r>
      <w:r>
        <w:rPr>
          <w:sz w:val="24"/>
        </w:rPr>
        <w:t>дистресса):</w:t>
      </w:r>
    </w:p>
    <w:p>
      <w:pPr>
        <w:pStyle w:val="ListParagraph"/>
        <w:numPr>
          <w:ilvl w:val="1"/>
          <w:numId w:val="38"/>
        </w:numPr>
        <w:tabs>
          <w:tab w:pos="1316" w:val="left" w:leader="none"/>
        </w:tabs>
        <w:spacing w:line="295" w:lineRule="auto" w:before="24" w:after="0"/>
        <w:ind w:left="1528" w:right="673" w:hanging="356"/>
        <w:jc w:val="left"/>
        <w:rPr>
          <w:sz w:val="24"/>
        </w:rPr>
      </w:pPr>
      <w:r>
        <w:rPr>
          <w:sz w:val="24"/>
        </w:rPr>
        <w:t>тахипноэ: ЧДД у детей в возрасте до 1 года – более 50, от 1 до 5 лет – более 40, старше 5 лет – более 30 в</w:t>
      </w:r>
      <w:r>
        <w:rPr>
          <w:spacing w:val="-4"/>
          <w:sz w:val="24"/>
        </w:rPr>
        <w:t> </w:t>
      </w:r>
      <w:r>
        <w:rPr>
          <w:sz w:val="24"/>
        </w:rPr>
        <w:t>мин;</w:t>
      </w:r>
    </w:p>
    <w:p>
      <w:pPr>
        <w:pStyle w:val="ListParagraph"/>
        <w:numPr>
          <w:ilvl w:val="1"/>
          <w:numId w:val="38"/>
        </w:numPr>
        <w:tabs>
          <w:tab w:pos="1316" w:val="left" w:leader="none"/>
        </w:tabs>
        <w:spacing w:line="240" w:lineRule="auto" w:before="20" w:after="0"/>
        <w:ind w:left="1315" w:right="0" w:hanging="143"/>
        <w:jc w:val="left"/>
        <w:rPr>
          <w:sz w:val="24"/>
        </w:rPr>
      </w:pPr>
      <w:r>
        <w:rPr>
          <w:sz w:val="24"/>
        </w:rPr>
        <w:t>одышка в покое или при беспокойстве</w:t>
      </w:r>
      <w:r>
        <w:rPr>
          <w:spacing w:val="-6"/>
          <w:sz w:val="24"/>
        </w:rPr>
        <w:t> </w:t>
      </w:r>
      <w:r>
        <w:rPr>
          <w:sz w:val="24"/>
        </w:rPr>
        <w:t>ребенка;</w:t>
      </w:r>
    </w:p>
    <w:p>
      <w:pPr>
        <w:pStyle w:val="ListParagraph"/>
        <w:numPr>
          <w:ilvl w:val="1"/>
          <w:numId w:val="38"/>
        </w:numPr>
        <w:tabs>
          <w:tab w:pos="1316" w:val="left" w:leader="none"/>
        </w:tabs>
        <w:spacing w:line="240" w:lineRule="auto" w:before="74" w:after="0"/>
        <w:ind w:left="1315" w:right="0" w:hanging="143"/>
        <w:jc w:val="left"/>
        <w:rPr>
          <w:sz w:val="24"/>
        </w:rPr>
      </w:pPr>
      <w:r>
        <w:rPr>
          <w:sz w:val="24"/>
        </w:rPr>
        <w:t>участие вспомогательной мускулатуры в акте</w:t>
      </w:r>
      <w:r>
        <w:rPr>
          <w:spacing w:val="-3"/>
          <w:sz w:val="24"/>
        </w:rPr>
        <w:t> </w:t>
      </w:r>
      <w:r>
        <w:rPr>
          <w:sz w:val="24"/>
        </w:rPr>
        <w:t>дыхания;</w:t>
      </w:r>
    </w:p>
    <w:p>
      <w:pPr>
        <w:pStyle w:val="ListParagraph"/>
        <w:numPr>
          <w:ilvl w:val="1"/>
          <w:numId w:val="38"/>
        </w:numPr>
        <w:tabs>
          <w:tab w:pos="1316" w:val="left" w:leader="none"/>
        </w:tabs>
        <w:spacing w:line="240" w:lineRule="auto" w:before="74" w:after="0"/>
        <w:ind w:left="1315" w:right="0" w:hanging="143"/>
        <w:jc w:val="left"/>
        <w:rPr>
          <w:sz w:val="24"/>
        </w:rPr>
      </w:pPr>
      <w:r>
        <w:rPr>
          <w:sz w:val="24"/>
        </w:rPr>
        <w:t>втяжения уступчивых мест грудной клетки при</w:t>
      </w:r>
      <w:r>
        <w:rPr>
          <w:spacing w:val="4"/>
          <w:sz w:val="24"/>
        </w:rPr>
        <w:t> </w:t>
      </w:r>
      <w:r>
        <w:rPr>
          <w:sz w:val="24"/>
        </w:rPr>
        <w:t>дыхании;</w:t>
      </w:r>
    </w:p>
    <w:p>
      <w:pPr>
        <w:pStyle w:val="ListParagraph"/>
        <w:numPr>
          <w:ilvl w:val="1"/>
          <w:numId w:val="38"/>
        </w:numPr>
        <w:tabs>
          <w:tab w:pos="1316" w:val="left" w:leader="none"/>
        </w:tabs>
        <w:spacing w:line="240" w:lineRule="auto" w:before="75" w:after="0"/>
        <w:ind w:left="1315" w:right="0" w:hanging="143"/>
        <w:jc w:val="left"/>
        <w:rPr>
          <w:sz w:val="24"/>
        </w:rPr>
      </w:pPr>
      <w:r>
        <w:rPr>
          <w:sz w:val="24"/>
        </w:rPr>
        <w:t>раздувание крыльев носа при</w:t>
      </w:r>
      <w:r>
        <w:rPr>
          <w:spacing w:val="-3"/>
          <w:sz w:val="24"/>
        </w:rPr>
        <w:t> </w:t>
      </w:r>
      <w:r>
        <w:rPr>
          <w:sz w:val="24"/>
        </w:rPr>
        <w:t>дыхании;</w:t>
      </w:r>
    </w:p>
    <w:p>
      <w:pPr>
        <w:pStyle w:val="ListParagraph"/>
        <w:numPr>
          <w:ilvl w:val="1"/>
          <w:numId w:val="38"/>
        </w:numPr>
        <w:tabs>
          <w:tab w:pos="1316" w:val="left" w:leader="none"/>
        </w:tabs>
        <w:spacing w:line="240" w:lineRule="auto" w:before="74" w:after="0"/>
        <w:ind w:left="1315" w:right="0" w:hanging="143"/>
        <w:jc w:val="left"/>
        <w:rPr>
          <w:sz w:val="24"/>
        </w:rPr>
      </w:pPr>
      <w:r>
        <w:rPr>
          <w:sz w:val="24"/>
        </w:rPr>
        <w:t>кряхтящее или стонущее</w:t>
      </w:r>
      <w:r>
        <w:rPr>
          <w:spacing w:val="-2"/>
          <w:sz w:val="24"/>
        </w:rPr>
        <w:t> </w:t>
      </w:r>
      <w:r>
        <w:rPr>
          <w:sz w:val="24"/>
        </w:rPr>
        <w:t>дыхание;</w:t>
      </w:r>
    </w:p>
    <w:p>
      <w:pPr>
        <w:pStyle w:val="ListParagraph"/>
        <w:numPr>
          <w:ilvl w:val="1"/>
          <w:numId w:val="38"/>
        </w:numPr>
        <w:tabs>
          <w:tab w:pos="1316" w:val="left" w:leader="none"/>
        </w:tabs>
        <w:spacing w:line="240" w:lineRule="auto" w:before="74" w:after="0"/>
        <w:ind w:left="1315" w:right="0" w:hanging="143"/>
        <w:jc w:val="left"/>
        <w:rPr>
          <w:sz w:val="24"/>
        </w:rPr>
      </w:pPr>
      <w:r>
        <w:rPr>
          <w:sz w:val="24"/>
        </w:rPr>
        <w:t>эпизоды</w:t>
      </w:r>
      <w:r>
        <w:rPr>
          <w:spacing w:val="-1"/>
          <w:sz w:val="24"/>
        </w:rPr>
        <w:t> </w:t>
      </w:r>
      <w:r>
        <w:rPr>
          <w:sz w:val="24"/>
        </w:rPr>
        <w:t>апноэ;</w:t>
      </w:r>
    </w:p>
    <w:p>
      <w:pPr>
        <w:pStyle w:val="ListParagraph"/>
        <w:numPr>
          <w:ilvl w:val="1"/>
          <w:numId w:val="38"/>
        </w:numPr>
        <w:tabs>
          <w:tab w:pos="1316" w:val="left" w:leader="none"/>
        </w:tabs>
        <w:spacing w:line="240" w:lineRule="auto" w:before="74" w:after="0"/>
        <w:ind w:left="1315" w:right="0" w:hanging="143"/>
        <w:jc w:val="left"/>
        <w:rPr>
          <w:sz w:val="24"/>
        </w:rPr>
      </w:pPr>
      <w:r>
        <w:rPr>
          <w:sz w:val="24"/>
        </w:rPr>
        <w:t>кивательные движения головы, синхронные со</w:t>
      </w:r>
      <w:r>
        <w:rPr>
          <w:spacing w:val="-6"/>
          <w:sz w:val="24"/>
        </w:rPr>
        <w:t> </w:t>
      </w:r>
      <w:r>
        <w:rPr>
          <w:sz w:val="24"/>
        </w:rPr>
        <w:t>вдохом;</w:t>
      </w:r>
    </w:p>
    <w:p>
      <w:pPr>
        <w:pStyle w:val="ListParagraph"/>
        <w:numPr>
          <w:ilvl w:val="1"/>
          <w:numId w:val="38"/>
        </w:numPr>
        <w:tabs>
          <w:tab w:pos="1316" w:val="left" w:leader="none"/>
        </w:tabs>
        <w:spacing w:line="240" w:lineRule="auto" w:before="74" w:after="0"/>
        <w:ind w:left="1315" w:right="0" w:hanging="143"/>
        <w:jc w:val="left"/>
        <w:rPr>
          <w:sz w:val="24"/>
        </w:rPr>
      </w:pPr>
      <w:r>
        <w:rPr>
          <w:sz w:val="24"/>
        </w:rPr>
        <w:t>дистанционные</w:t>
      </w:r>
      <w:r>
        <w:rPr>
          <w:spacing w:val="-2"/>
          <w:sz w:val="24"/>
        </w:rPr>
        <w:t> </w:t>
      </w:r>
      <w:r>
        <w:rPr>
          <w:sz w:val="24"/>
        </w:rPr>
        <w:t>хрипы;</w:t>
      </w:r>
    </w:p>
    <w:p>
      <w:pPr>
        <w:pStyle w:val="ListParagraph"/>
        <w:numPr>
          <w:ilvl w:val="1"/>
          <w:numId w:val="38"/>
        </w:numPr>
        <w:tabs>
          <w:tab w:pos="1316" w:val="left" w:leader="none"/>
        </w:tabs>
        <w:spacing w:line="240" w:lineRule="auto" w:before="74" w:after="0"/>
        <w:ind w:left="1315" w:right="0" w:hanging="143"/>
        <w:jc w:val="left"/>
        <w:rPr>
          <w:sz w:val="24"/>
        </w:rPr>
      </w:pPr>
      <w:r>
        <w:rPr>
          <w:sz w:val="24"/>
        </w:rPr>
        <w:t>невозможность сосать/пить вследствие дыхательных</w:t>
      </w:r>
      <w:r>
        <w:rPr>
          <w:spacing w:val="-1"/>
          <w:sz w:val="24"/>
        </w:rPr>
        <w:t> </w:t>
      </w:r>
      <w:r>
        <w:rPr>
          <w:sz w:val="24"/>
        </w:rPr>
        <w:t>нарушений;</w:t>
      </w:r>
    </w:p>
    <w:p>
      <w:pPr>
        <w:pStyle w:val="ListParagraph"/>
        <w:numPr>
          <w:ilvl w:val="1"/>
          <w:numId w:val="38"/>
        </w:numPr>
        <w:tabs>
          <w:tab w:pos="1316" w:val="left" w:leader="none"/>
        </w:tabs>
        <w:spacing w:line="240" w:lineRule="auto" w:before="74" w:after="0"/>
        <w:ind w:left="1315" w:right="0" w:hanging="143"/>
        <w:jc w:val="left"/>
        <w:rPr>
          <w:sz w:val="24"/>
        </w:rPr>
      </w:pPr>
      <w:r>
        <w:rPr>
          <w:sz w:val="24"/>
        </w:rPr>
        <w:t>акроцианоз или центральный</w:t>
      </w:r>
      <w:r>
        <w:rPr>
          <w:spacing w:val="-1"/>
          <w:sz w:val="24"/>
        </w:rPr>
        <w:t> </w:t>
      </w:r>
      <w:r>
        <w:rPr>
          <w:sz w:val="24"/>
        </w:rPr>
        <w:t>цианоз;</w:t>
      </w:r>
    </w:p>
    <w:p>
      <w:pPr>
        <w:spacing w:before="73"/>
        <w:ind w:left="1173" w:right="0" w:firstLine="0"/>
        <w:jc w:val="left"/>
        <w:rPr>
          <w:sz w:val="24"/>
        </w:rPr>
      </w:pPr>
      <w:r>
        <w:rPr>
          <w:position w:val="2"/>
          <w:sz w:val="28"/>
        </w:rPr>
        <w:t>- </w:t>
      </w:r>
      <w:r>
        <w:rPr>
          <w:position w:val="2"/>
          <w:sz w:val="24"/>
        </w:rPr>
        <w:t>SpO</w:t>
      </w:r>
      <w:r>
        <w:rPr>
          <w:sz w:val="16"/>
        </w:rPr>
        <w:t>2 </w:t>
      </w:r>
      <w:r>
        <w:rPr>
          <w:position w:val="2"/>
          <w:sz w:val="24"/>
        </w:rPr>
        <w:t>&lt; 95%;</w:t>
      </w:r>
    </w:p>
    <w:p>
      <w:pPr>
        <w:pStyle w:val="ListParagraph"/>
        <w:numPr>
          <w:ilvl w:val="0"/>
          <w:numId w:val="38"/>
        </w:numPr>
        <w:tabs>
          <w:tab w:pos="1000" w:val="left" w:leader="none"/>
          <w:tab w:pos="1001" w:val="left" w:leader="none"/>
        </w:tabs>
        <w:spacing w:line="304" w:lineRule="auto" w:before="76" w:after="0"/>
        <w:ind w:left="1000" w:right="677" w:hanging="339"/>
        <w:jc w:val="left"/>
        <w:rPr>
          <w:sz w:val="24"/>
        </w:rPr>
      </w:pPr>
      <w:r>
        <w:rPr>
          <w:sz w:val="24"/>
        </w:rPr>
        <w:t>Тахикардия у детей в возрасте до 1 года – более 140, от 1 до 5 лет – более 130, старше 5 лет – более 120 ударов в</w:t>
      </w:r>
      <w:r>
        <w:rPr>
          <w:spacing w:val="-3"/>
          <w:sz w:val="24"/>
        </w:rPr>
        <w:t> </w:t>
      </w:r>
      <w:r>
        <w:rPr>
          <w:sz w:val="24"/>
        </w:rPr>
        <w:t>мин.;</w:t>
      </w:r>
    </w:p>
    <w:p>
      <w:pPr>
        <w:pStyle w:val="ListParagraph"/>
        <w:numPr>
          <w:ilvl w:val="0"/>
          <w:numId w:val="38"/>
        </w:numPr>
        <w:tabs>
          <w:tab w:pos="1000" w:val="left" w:leader="none"/>
          <w:tab w:pos="1001" w:val="left" w:leader="none"/>
        </w:tabs>
        <w:spacing w:line="240" w:lineRule="auto" w:before="10" w:after="0"/>
        <w:ind w:left="1000" w:right="0" w:hanging="339"/>
        <w:jc w:val="left"/>
        <w:rPr>
          <w:sz w:val="24"/>
        </w:rPr>
      </w:pPr>
      <w:r>
        <w:rPr>
          <w:sz w:val="24"/>
        </w:rPr>
        <w:t>Наличие геморрагической</w:t>
      </w:r>
      <w:r>
        <w:rPr>
          <w:spacing w:val="-1"/>
          <w:sz w:val="24"/>
        </w:rPr>
        <w:t> </w:t>
      </w:r>
      <w:r>
        <w:rPr>
          <w:sz w:val="24"/>
        </w:rPr>
        <w:t>сыпи;</w:t>
      </w:r>
    </w:p>
    <w:p>
      <w:pPr>
        <w:spacing w:after="0" w:line="240" w:lineRule="auto"/>
        <w:jc w:val="left"/>
        <w:rPr>
          <w:sz w:val="24"/>
        </w:rPr>
        <w:sectPr>
          <w:pgSz w:w="11920" w:h="16850"/>
          <w:pgMar w:header="0" w:footer="620" w:top="1060" w:bottom="880" w:left="1380" w:right="600"/>
        </w:sectPr>
      </w:pPr>
    </w:p>
    <w:p>
      <w:pPr>
        <w:pStyle w:val="ListParagraph"/>
        <w:numPr>
          <w:ilvl w:val="0"/>
          <w:numId w:val="38"/>
        </w:numPr>
        <w:tabs>
          <w:tab w:pos="1000" w:val="left" w:leader="none"/>
          <w:tab w:pos="1001" w:val="left" w:leader="none"/>
        </w:tabs>
        <w:spacing w:line="240" w:lineRule="auto" w:before="80" w:after="0"/>
        <w:ind w:left="1000" w:right="0" w:hanging="339"/>
        <w:jc w:val="left"/>
        <w:rPr>
          <w:sz w:val="24"/>
        </w:rPr>
      </w:pPr>
      <w:r>
        <w:rPr>
          <w:sz w:val="24"/>
        </w:rPr>
        <w:t>Наличие любого из следующих экстренных и неотложных признаков:</w:t>
      </w:r>
    </w:p>
    <w:p>
      <w:pPr>
        <w:pStyle w:val="ListParagraph"/>
        <w:numPr>
          <w:ilvl w:val="1"/>
          <w:numId w:val="38"/>
        </w:numPr>
        <w:tabs>
          <w:tab w:pos="1316" w:val="left" w:leader="none"/>
        </w:tabs>
        <w:spacing w:line="240" w:lineRule="auto" w:before="94" w:after="0"/>
        <w:ind w:left="1315" w:right="0" w:hanging="143"/>
        <w:jc w:val="left"/>
        <w:rPr>
          <w:sz w:val="24"/>
        </w:rPr>
      </w:pPr>
      <w:r>
        <w:rPr>
          <w:sz w:val="24"/>
        </w:rPr>
        <w:t>судороги;</w:t>
      </w:r>
    </w:p>
    <w:p>
      <w:pPr>
        <w:pStyle w:val="ListParagraph"/>
        <w:numPr>
          <w:ilvl w:val="1"/>
          <w:numId w:val="38"/>
        </w:numPr>
        <w:tabs>
          <w:tab w:pos="1316" w:val="left" w:leader="none"/>
        </w:tabs>
        <w:spacing w:line="240" w:lineRule="auto" w:before="76" w:after="0"/>
        <w:ind w:left="1315" w:right="0" w:hanging="143"/>
        <w:jc w:val="left"/>
        <w:rPr>
          <w:sz w:val="24"/>
        </w:rPr>
      </w:pPr>
      <w:r>
        <w:rPr>
          <w:sz w:val="24"/>
        </w:rPr>
        <w:t>шок;</w:t>
      </w:r>
    </w:p>
    <w:p>
      <w:pPr>
        <w:pStyle w:val="ListParagraph"/>
        <w:numPr>
          <w:ilvl w:val="1"/>
          <w:numId w:val="38"/>
        </w:numPr>
        <w:tabs>
          <w:tab w:pos="1316" w:val="left" w:leader="none"/>
        </w:tabs>
        <w:spacing w:line="240" w:lineRule="auto" w:before="74" w:after="0"/>
        <w:ind w:left="1315" w:right="0" w:hanging="143"/>
        <w:jc w:val="left"/>
        <w:rPr>
          <w:sz w:val="24"/>
        </w:rPr>
      </w:pPr>
      <w:r>
        <w:rPr>
          <w:sz w:val="24"/>
        </w:rPr>
        <w:t>тяжелая дыхательная</w:t>
      </w:r>
      <w:r>
        <w:rPr>
          <w:spacing w:val="-1"/>
          <w:sz w:val="24"/>
        </w:rPr>
        <w:t> </w:t>
      </w:r>
      <w:r>
        <w:rPr>
          <w:sz w:val="24"/>
        </w:rPr>
        <w:t>недостаточность;</w:t>
      </w:r>
    </w:p>
    <w:p>
      <w:pPr>
        <w:pStyle w:val="ListParagraph"/>
        <w:numPr>
          <w:ilvl w:val="1"/>
          <w:numId w:val="38"/>
        </w:numPr>
        <w:tabs>
          <w:tab w:pos="1316" w:val="left" w:leader="none"/>
        </w:tabs>
        <w:spacing w:line="240" w:lineRule="auto" w:before="74" w:after="0"/>
        <w:ind w:left="1315" w:right="0" w:hanging="143"/>
        <w:jc w:val="left"/>
        <w:rPr>
          <w:sz w:val="24"/>
        </w:rPr>
      </w:pPr>
      <w:r>
        <w:rPr>
          <w:sz w:val="24"/>
        </w:rPr>
        <w:t>тяжелое</w:t>
      </w:r>
      <w:r>
        <w:rPr>
          <w:spacing w:val="-2"/>
          <w:sz w:val="24"/>
        </w:rPr>
        <w:t> </w:t>
      </w:r>
      <w:r>
        <w:rPr>
          <w:sz w:val="24"/>
        </w:rPr>
        <w:t>обезвоживание;</w:t>
      </w:r>
    </w:p>
    <w:p>
      <w:pPr>
        <w:pStyle w:val="ListParagraph"/>
        <w:numPr>
          <w:ilvl w:val="1"/>
          <w:numId w:val="38"/>
        </w:numPr>
        <w:tabs>
          <w:tab w:pos="1316" w:val="left" w:leader="none"/>
        </w:tabs>
        <w:spacing w:line="240" w:lineRule="auto" w:before="74" w:after="0"/>
        <w:ind w:left="1315" w:right="0" w:hanging="143"/>
        <w:jc w:val="left"/>
        <w:rPr>
          <w:sz w:val="24"/>
        </w:rPr>
      </w:pPr>
      <w:r>
        <w:rPr>
          <w:sz w:val="24"/>
        </w:rPr>
        <w:t>угнетение сознания (сонливость) или</w:t>
      </w:r>
      <w:r>
        <w:rPr>
          <w:spacing w:val="-3"/>
          <w:sz w:val="24"/>
        </w:rPr>
        <w:t> </w:t>
      </w:r>
      <w:r>
        <w:rPr>
          <w:sz w:val="24"/>
        </w:rPr>
        <w:t>возбуждение;</w:t>
      </w:r>
    </w:p>
    <w:p>
      <w:pPr>
        <w:pStyle w:val="ListParagraph"/>
        <w:numPr>
          <w:ilvl w:val="0"/>
          <w:numId w:val="38"/>
        </w:numPr>
        <w:tabs>
          <w:tab w:pos="1000" w:val="left" w:leader="none"/>
          <w:tab w:pos="1001" w:val="left" w:leader="none"/>
        </w:tabs>
        <w:spacing w:line="240" w:lineRule="auto" w:before="75" w:after="0"/>
        <w:ind w:left="1000" w:right="0" w:hanging="339"/>
        <w:jc w:val="left"/>
        <w:rPr>
          <w:sz w:val="24"/>
        </w:rPr>
      </w:pPr>
      <w:r>
        <w:rPr>
          <w:sz w:val="24"/>
        </w:rPr>
        <w:t>Наличие одного из следующих тяжелых фоновых заболеваний независимо</w:t>
      </w:r>
    </w:p>
    <w:p>
      <w:pPr>
        <w:pStyle w:val="ListParagraph"/>
        <w:numPr>
          <w:ilvl w:val="0"/>
          <w:numId w:val="38"/>
        </w:numPr>
        <w:tabs>
          <w:tab w:pos="1000" w:val="left" w:leader="none"/>
          <w:tab w:pos="1001" w:val="left" w:leader="none"/>
        </w:tabs>
        <w:spacing w:line="240" w:lineRule="auto" w:before="81" w:after="0"/>
        <w:ind w:left="1000" w:right="0" w:hanging="339"/>
        <w:jc w:val="left"/>
        <w:rPr>
          <w:sz w:val="24"/>
        </w:rPr>
      </w:pPr>
      <w:r>
        <w:rPr>
          <w:sz w:val="24"/>
        </w:rPr>
        <w:t>от</w:t>
      </w:r>
      <w:r>
        <w:rPr>
          <w:spacing w:val="-4"/>
          <w:sz w:val="24"/>
        </w:rPr>
        <w:t> </w:t>
      </w:r>
      <w:r>
        <w:rPr>
          <w:sz w:val="24"/>
        </w:rPr>
        <w:t>уровня</w:t>
      </w:r>
      <w:r>
        <w:rPr>
          <w:spacing w:val="-6"/>
          <w:sz w:val="24"/>
        </w:rPr>
        <w:t> </w:t>
      </w:r>
      <w:r>
        <w:rPr>
          <w:sz w:val="24"/>
        </w:rPr>
        <w:t>повышения</w:t>
      </w:r>
      <w:r>
        <w:rPr>
          <w:spacing w:val="-6"/>
          <w:sz w:val="24"/>
        </w:rPr>
        <w:t> </w:t>
      </w:r>
      <w:r>
        <w:rPr>
          <w:sz w:val="24"/>
        </w:rPr>
        <w:t>Т</w:t>
      </w:r>
      <w:r>
        <w:rPr>
          <w:spacing w:val="-9"/>
          <w:sz w:val="24"/>
        </w:rPr>
        <w:t> </w:t>
      </w:r>
      <w:r>
        <w:rPr>
          <w:sz w:val="24"/>
        </w:rPr>
        <w:t>и</w:t>
      </w:r>
      <w:r>
        <w:rPr>
          <w:spacing w:val="-5"/>
          <w:sz w:val="24"/>
        </w:rPr>
        <w:t> </w:t>
      </w:r>
      <w:r>
        <w:rPr>
          <w:sz w:val="24"/>
        </w:rPr>
        <w:t>степени</w:t>
      </w:r>
      <w:r>
        <w:rPr>
          <w:spacing w:val="-6"/>
          <w:sz w:val="24"/>
        </w:rPr>
        <w:t> </w:t>
      </w:r>
      <w:r>
        <w:rPr>
          <w:sz w:val="24"/>
        </w:rPr>
        <w:t>выраженности</w:t>
      </w:r>
      <w:r>
        <w:rPr>
          <w:spacing w:val="-5"/>
          <w:sz w:val="24"/>
        </w:rPr>
        <w:t> </w:t>
      </w:r>
      <w:r>
        <w:rPr>
          <w:sz w:val="24"/>
        </w:rPr>
        <w:t>дыхательной</w:t>
      </w:r>
      <w:r>
        <w:rPr>
          <w:spacing w:val="-8"/>
          <w:sz w:val="24"/>
        </w:rPr>
        <w:t> </w:t>
      </w:r>
      <w:r>
        <w:rPr>
          <w:sz w:val="24"/>
        </w:rPr>
        <w:t>недостаточности:</w:t>
      </w:r>
    </w:p>
    <w:p>
      <w:pPr>
        <w:pStyle w:val="ListParagraph"/>
        <w:numPr>
          <w:ilvl w:val="1"/>
          <w:numId w:val="38"/>
        </w:numPr>
        <w:tabs>
          <w:tab w:pos="1316" w:val="left" w:leader="none"/>
        </w:tabs>
        <w:spacing w:line="295" w:lineRule="auto" w:before="96" w:after="0"/>
        <w:ind w:left="1528" w:right="676" w:hanging="356"/>
        <w:jc w:val="left"/>
        <w:rPr>
          <w:sz w:val="24"/>
        </w:rPr>
      </w:pPr>
      <w:r>
        <w:rPr>
          <w:sz w:val="24"/>
        </w:rPr>
        <w:t>иммунодефицитное состояние, в том числе лечение иммуносупрессивными препаратами;</w:t>
      </w:r>
    </w:p>
    <w:p>
      <w:pPr>
        <w:pStyle w:val="ListParagraph"/>
        <w:numPr>
          <w:ilvl w:val="1"/>
          <w:numId w:val="38"/>
        </w:numPr>
        <w:tabs>
          <w:tab w:pos="1316" w:val="left" w:leader="none"/>
        </w:tabs>
        <w:spacing w:line="240" w:lineRule="auto" w:before="18" w:after="0"/>
        <w:ind w:left="1315" w:right="0" w:hanging="143"/>
        <w:jc w:val="left"/>
        <w:rPr>
          <w:sz w:val="24"/>
        </w:rPr>
      </w:pPr>
      <w:r>
        <w:rPr>
          <w:sz w:val="24"/>
        </w:rPr>
        <w:t>онкологические и онкогематологические</w:t>
      </w:r>
      <w:r>
        <w:rPr>
          <w:spacing w:val="-2"/>
          <w:sz w:val="24"/>
        </w:rPr>
        <w:t> </w:t>
      </w:r>
      <w:r>
        <w:rPr>
          <w:sz w:val="24"/>
        </w:rPr>
        <w:t>заболевания;</w:t>
      </w:r>
    </w:p>
    <w:p>
      <w:pPr>
        <w:pStyle w:val="ListParagraph"/>
        <w:numPr>
          <w:ilvl w:val="1"/>
          <w:numId w:val="38"/>
        </w:numPr>
        <w:tabs>
          <w:tab w:pos="1316" w:val="left" w:leader="none"/>
        </w:tabs>
        <w:spacing w:line="240" w:lineRule="auto" w:before="74" w:after="0"/>
        <w:ind w:left="1315" w:right="0" w:hanging="143"/>
        <w:jc w:val="left"/>
        <w:rPr>
          <w:sz w:val="24"/>
        </w:rPr>
      </w:pPr>
      <w:r>
        <w:rPr>
          <w:sz w:val="24"/>
        </w:rPr>
        <w:t>болезни с нарушениями системы свертывания</w:t>
      </w:r>
      <w:r>
        <w:rPr>
          <w:spacing w:val="-1"/>
          <w:sz w:val="24"/>
        </w:rPr>
        <w:t> </w:t>
      </w:r>
      <w:r>
        <w:rPr>
          <w:sz w:val="24"/>
        </w:rPr>
        <w:t>крови;</w:t>
      </w:r>
    </w:p>
    <w:p>
      <w:pPr>
        <w:pStyle w:val="ListParagraph"/>
        <w:numPr>
          <w:ilvl w:val="1"/>
          <w:numId w:val="38"/>
        </w:numPr>
        <w:tabs>
          <w:tab w:pos="1316" w:val="left" w:leader="none"/>
        </w:tabs>
        <w:spacing w:line="295" w:lineRule="auto" w:before="77" w:after="0"/>
        <w:ind w:left="1528" w:right="676" w:hanging="356"/>
        <w:jc w:val="left"/>
        <w:rPr>
          <w:sz w:val="24"/>
        </w:rPr>
      </w:pPr>
      <w:r>
        <w:rPr>
          <w:sz w:val="24"/>
        </w:rPr>
        <w:t>врожденные и приобретенные пороки и заболевания сердца, в том числе нарушения ритма,</w:t>
      </w:r>
      <w:r>
        <w:rPr>
          <w:spacing w:val="-1"/>
          <w:sz w:val="24"/>
        </w:rPr>
        <w:t> </w:t>
      </w:r>
      <w:r>
        <w:rPr>
          <w:sz w:val="24"/>
        </w:rPr>
        <w:t>кардиомиопатия;</w:t>
      </w:r>
    </w:p>
    <w:p>
      <w:pPr>
        <w:pStyle w:val="ListParagraph"/>
        <w:numPr>
          <w:ilvl w:val="1"/>
          <w:numId w:val="38"/>
        </w:numPr>
        <w:tabs>
          <w:tab w:pos="1316" w:val="left" w:leader="none"/>
        </w:tabs>
        <w:spacing w:line="240" w:lineRule="auto" w:before="18" w:after="0"/>
        <w:ind w:left="1315" w:right="0" w:hanging="143"/>
        <w:jc w:val="left"/>
        <w:rPr>
          <w:sz w:val="24"/>
        </w:rPr>
      </w:pPr>
      <w:r>
        <w:rPr>
          <w:sz w:val="24"/>
        </w:rPr>
        <w:t>врожденные и приобретенные хронические заболевания</w:t>
      </w:r>
      <w:r>
        <w:rPr>
          <w:spacing w:val="-4"/>
          <w:sz w:val="24"/>
        </w:rPr>
        <w:t> </w:t>
      </w:r>
      <w:r>
        <w:rPr>
          <w:sz w:val="24"/>
        </w:rPr>
        <w:t>легких;</w:t>
      </w:r>
    </w:p>
    <w:p>
      <w:pPr>
        <w:pStyle w:val="ListParagraph"/>
        <w:numPr>
          <w:ilvl w:val="1"/>
          <w:numId w:val="38"/>
        </w:numPr>
        <w:tabs>
          <w:tab w:pos="1316" w:val="left" w:leader="none"/>
        </w:tabs>
        <w:spacing w:line="240" w:lineRule="auto" w:before="74" w:after="0"/>
        <w:ind w:left="1315" w:right="0" w:hanging="143"/>
        <w:jc w:val="left"/>
        <w:rPr>
          <w:sz w:val="24"/>
        </w:rPr>
      </w:pPr>
      <w:r>
        <w:rPr>
          <w:sz w:val="24"/>
        </w:rPr>
        <w:t>болезни эндокринной системы (сахарный диабет, ожирение);</w:t>
      </w:r>
    </w:p>
    <w:p>
      <w:pPr>
        <w:pStyle w:val="ListParagraph"/>
        <w:numPr>
          <w:ilvl w:val="1"/>
          <w:numId w:val="38"/>
        </w:numPr>
        <w:tabs>
          <w:tab w:pos="1316" w:val="left" w:leader="none"/>
          <w:tab w:pos="2375" w:val="left" w:leader="none"/>
          <w:tab w:pos="4091" w:val="left" w:leader="none"/>
          <w:tab w:pos="5171" w:val="left" w:leader="none"/>
          <w:tab w:pos="6328" w:val="left" w:leader="none"/>
          <w:tab w:pos="8411" w:val="left" w:leader="none"/>
        </w:tabs>
        <w:spacing w:line="295" w:lineRule="auto" w:before="74" w:after="0"/>
        <w:ind w:left="1528" w:right="674" w:hanging="356"/>
        <w:jc w:val="left"/>
        <w:rPr>
          <w:sz w:val="24"/>
        </w:rPr>
      </w:pPr>
      <w:r>
        <w:rPr>
          <w:sz w:val="24"/>
        </w:rPr>
        <w:t>болезни</w:t>
        <w:tab/>
        <w:t>двигательного</w:t>
        <w:tab/>
        <w:t>нейрона</w:t>
        <w:tab/>
        <w:t>(боковой</w:t>
        <w:tab/>
        <w:t>амиотрофический</w:t>
        <w:tab/>
      </w:r>
      <w:r>
        <w:rPr>
          <w:spacing w:val="-3"/>
          <w:sz w:val="24"/>
        </w:rPr>
        <w:t>склероз, </w:t>
      </w:r>
      <w:r>
        <w:rPr>
          <w:sz w:val="24"/>
        </w:rPr>
        <w:t>спинальная мышечная атрофия и</w:t>
      </w:r>
      <w:r>
        <w:rPr>
          <w:spacing w:val="2"/>
          <w:sz w:val="24"/>
        </w:rPr>
        <w:t> </w:t>
      </w:r>
      <w:r>
        <w:rPr>
          <w:sz w:val="24"/>
        </w:rPr>
        <w:t>другие);</w:t>
      </w:r>
    </w:p>
    <w:p>
      <w:pPr>
        <w:pStyle w:val="ListParagraph"/>
        <w:numPr>
          <w:ilvl w:val="1"/>
          <w:numId w:val="38"/>
        </w:numPr>
        <w:tabs>
          <w:tab w:pos="1316" w:val="left" w:leader="none"/>
        </w:tabs>
        <w:spacing w:line="240" w:lineRule="auto" w:before="20" w:after="0"/>
        <w:ind w:left="1315" w:right="0" w:hanging="143"/>
        <w:jc w:val="left"/>
        <w:rPr>
          <w:sz w:val="24"/>
        </w:rPr>
      </w:pPr>
      <w:r>
        <w:rPr>
          <w:sz w:val="24"/>
        </w:rPr>
        <w:t>хронические тяжелые болезни печени, почек, желудочно-кишечного</w:t>
      </w:r>
      <w:r>
        <w:rPr>
          <w:spacing w:val="-10"/>
          <w:sz w:val="24"/>
        </w:rPr>
        <w:t> </w:t>
      </w:r>
      <w:r>
        <w:rPr>
          <w:sz w:val="24"/>
        </w:rPr>
        <w:t>тракта.</w:t>
      </w:r>
    </w:p>
    <w:p>
      <w:pPr>
        <w:pStyle w:val="ListParagraph"/>
        <w:numPr>
          <w:ilvl w:val="0"/>
          <w:numId w:val="38"/>
        </w:numPr>
        <w:tabs>
          <w:tab w:pos="1001" w:val="left" w:leader="none"/>
        </w:tabs>
        <w:spacing w:line="312" w:lineRule="auto" w:before="75" w:after="0"/>
        <w:ind w:left="1000" w:right="674" w:hanging="339"/>
        <w:jc w:val="both"/>
        <w:rPr>
          <w:sz w:val="24"/>
        </w:rPr>
      </w:pPr>
      <w:r>
        <w:rPr>
          <w:sz w:val="24"/>
        </w:rPr>
        <w:t>Невозможность изоляции при проживании с лицами, относящими к группе риска (старше 65 лет, с сопутствующими заболеваними и состояниями: артериальной гипертензией; хронической сердечной недостаточностью; онкологическими заболеваниями; гиперкоагуляцией; ДВС-синдромом; острым коронарным синдромом; сахарным диабетом; болезнями двигательного нейрона; циррозом печени; длительным приемом ГК и биологической терапии по поводу воспалительных заболеваний кишечника; ревматоидным артритом; пациенты, получающие гемодиализ или перитонеальный диализ; иммунодефицитными состояниями, в том числе с ВИЧ-инфекцией без антиретровирусной терапии; получающие</w:t>
      </w:r>
      <w:r>
        <w:rPr>
          <w:spacing w:val="-3"/>
          <w:sz w:val="24"/>
        </w:rPr>
        <w:t> </w:t>
      </w:r>
      <w:r>
        <w:rPr>
          <w:sz w:val="24"/>
        </w:rPr>
        <w:t>химиотерапию);</w:t>
      </w:r>
    </w:p>
    <w:p>
      <w:pPr>
        <w:pStyle w:val="ListParagraph"/>
        <w:numPr>
          <w:ilvl w:val="0"/>
          <w:numId w:val="38"/>
        </w:numPr>
        <w:tabs>
          <w:tab w:pos="1001" w:val="left" w:leader="none"/>
        </w:tabs>
        <w:spacing w:line="309" w:lineRule="auto" w:before="0" w:after="0"/>
        <w:ind w:left="1000" w:right="675" w:hanging="339"/>
        <w:jc w:val="both"/>
        <w:rPr>
          <w:sz w:val="24"/>
        </w:rPr>
      </w:pPr>
      <w:r>
        <w:rPr>
          <w:sz w:val="24"/>
        </w:rPr>
        <w:t>Отсутствие условий для лечения на дому или гарантий выполнения рекомендаций (общежитие, учреждения социального обеспечения, пункт временного размещения, социально неблагополучная семья, неблагоприятные социально-бытовые условия).</w:t>
      </w:r>
    </w:p>
    <w:p>
      <w:pPr>
        <w:spacing w:after="0" w:line="309" w:lineRule="auto"/>
        <w:jc w:val="both"/>
        <w:rPr>
          <w:sz w:val="24"/>
        </w:rPr>
        <w:sectPr>
          <w:pgSz w:w="11920" w:h="16850"/>
          <w:pgMar w:header="0" w:footer="620" w:top="1060" w:bottom="880" w:left="1380" w:right="600"/>
        </w:sectPr>
      </w:pPr>
    </w:p>
    <w:p>
      <w:pPr>
        <w:pStyle w:val="Heading2"/>
        <w:numPr>
          <w:ilvl w:val="1"/>
          <w:numId w:val="40"/>
        </w:numPr>
        <w:tabs>
          <w:tab w:pos="1522" w:val="left" w:leader="none"/>
        </w:tabs>
        <w:spacing w:line="259" w:lineRule="auto" w:before="59" w:after="0"/>
        <w:ind w:left="1029" w:right="754" w:firstLine="0"/>
        <w:jc w:val="left"/>
      </w:pPr>
      <w:bookmarkStart w:name="9.5. ОСНОВНЫЕ ПРИНЦИПЫ ОКАЗАНИЯ МЕДИЦИНС" w:id="178"/>
      <w:bookmarkEnd w:id="178"/>
      <w:r>
        <w:rPr>
          <w:b w:val="0"/>
        </w:rPr>
      </w:r>
      <w:bookmarkStart w:name="_bookmark40" w:id="179"/>
      <w:bookmarkEnd w:id="179"/>
      <w:r>
        <w:rPr>
          <w:b w:val="0"/>
        </w:rPr>
      </w:r>
      <w:bookmarkStart w:name="_bookmark40" w:id="180"/>
      <w:bookmarkEnd w:id="180"/>
      <w:r>
        <w:rPr>
          <w:color w:val="1F487C"/>
        </w:rPr>
        <w:t>О</w:t>
      </w:r>
      <w:r>
        <w:rPr>
          <w:color w:val="1F487C"/>
        </w:rPr>
        <w:t>СНОВНЫЕ ПРИНЦИПЫ ОКАЗАНИЯ МЕДИЦИНСКОЙ ПОМОЩИ В АМБУЛАТОРНЫХ УСЛОВИЯХ (НА</w:t>
      </w:r>
      <w:r>
        <w:rPr>
          <w:color w:val="1F487C"/>
          <w:spacing w:val="-11"/>
        </w:rPr>
        <w:t> </w:t>
      </w:r>
      <w:r>
        <w:rPr>
          <w:color w:val="1F487C"/>
        </w:rPr>
        <w:t>ДОМУ)</w:t>
      </w:r>
    </w:p>
    <w:p>
      <w:pPr>
        <w:pStyle w:val="BodyText"/>
        <w:spacing w:line="312" w:lineRule="auto" w:before="120"/>
        <w:ind w:right="679" w:firstLine="708"/>
      </w:pPr>
      <w:r>
        <w:rPr/>
        <w:t>Алгоритм действий медицинских работников, оказывающих медицинскую помощь</w:t>
      </w:r>
      <w:r>
        <w:rPr>
          <w:spacing w:val="-16"/>
        </w:rPr>
        <w:t> </w:t>
      </w:r>
      <w:r>
        <w:rPr/>
        <w:t>в</w:t>
      </w:r>
      <w:r>
        <w:rPr>
          <w:spacing w:val="-17"/>
        </w:rPr>
        <w:t> </w:t>
      </w:r>
      <w:r>
        <w:rPr/>
        <w:t>амбулаторных</w:t>
      </w:r>
      <w:r>
        <w:rPr>
          <w:spacing w:val="-12"/>
        </w:rPr>
        <w:t> </w:t>
      </w:r>
      <w:r>
        <w:rPr/>
        <w:t>условиях,</w:t>
      </w:r>
      <w:r>
        <w:rPr>
          <w:spacing w:val="-17"/>
        </w:rPr>
        <w:t> </w:t>
      </w:r>
      <w:r>
        <w:rPr/>
        <w:t>в</w:t>
      </w:r>
      <w:r>
        <w:rPr>
          <w:spacing w:val="-16"/>
        </w:rPr>
        <w:t> </w:t>
      </w:r>
      <w:r>
        <w:rPr/>
        <w:t>том</w:t>
      </w:r>
      <w:r>
        <w:rPr>
          <w:spacing w:val="-18"/>
        </w:rPr>
        <w:t> </w:t>
      </w:r>
      <w:r>
        <w:rPr/>
        <w:t>числе</w:t>
      </w:r>
      <w:r>
        <w:rPr>
          <w:spacing w:val="-18"/>
        </w:rPr>
        <w:t> </w:t>
      </w:r>
      <w:r>
        <w:rPr/>
        <w:t>на</w:t>
      </w:r>
      <w:r>
        <w:rPr>
          <w:spacing w:val="-17"/>
        </w:rPr>
        <w:t> </w:t>
      </w:r>
      <w:r>
        <w:rPr/>
        <w:t>дому,</w:t>
      </w:r>
      <w:r>
        <w:rPr>
          <w:spacing w:val="-17"/>
        </w:rPr>
        <w:t> </w:t>
      </w:r>
      <w:r>
        <w:rPr/>
        <w:t>пациентам</w:t>
      </w:r>
      <w:r>
        <w:rPr>
          <w:spacing w:val="-18"/>
        </w:rPr>
        <w:t> </w:t>
      </w:r>
      <w:r>
        <w:rPr/>
        <w:t>с</w:t>
      </w:r>
      <w:r>
        <w:rPr>
          <w:spacing w:val="-18"/>
        </w:rPr>
        <w:t> </w:t>
      </w:r>
      <w:r>
        <w:rPr/>
        <w:t>ОРВИ</w:t>
      </w:r>
      <w:r>
        <w:rPr>
          <w:spacing w:val="-16"/>
        </w:rPr>
        <w:t> </w:t>
      </w:r>
      <w:r>
        <w:rPr/>
        <w:t>представлен в </w:t>
      </w:r>
      <w:hyperlink w:history="true" w:anchor="_bookmark69">
        <w:r>
          <w:rPr>
            <w:color w:val="0562C1"/>
            <w:u w:val="single" w:color="0562C1"/>
          </w:rPr>
          <w:t>Приложении</w:t>
        </w:r>
        <w:r>
          <w:rPr>
            <w:color w:val="0562C1"/>
            <w:spacing w:val="-1"/>
            <w:u w:val="single" w:color="0562C1"/>
          </w:rPr>
          <w:t> </w:t>
        </w:r>
        <w:r>
          <w:rPr>
            <w:color w:val="0562C1"/>
            <w:u w:val="single" w:color="0562C1"/>
          </w:rPr>
          <w:t>14</w:t>
        </w:r>
      </w:hyperlink>
      <w:r>
        <w:rPr/>
        <w:t>.</w:t>
      </w:r>
    </w:p>
    <w:p>
      <w:pPr>
        <w:pStyle w:val="BodyText"/>
        <w:spacing w:line="312" w:lineRule="auto"/>
        <w:ind w:left="331" w:right="675" w:firstLine="698"/>
      </w:pPr>
      <w:r>
        <w:rPr/>
        <w:t>При получении положительного результата лабораторных исследований биологического материала пациента на наличие COVID-19 (далее – результат теста  на COVID-19) уполномоченное лицо медицинской</w:t>
      </w:r>
      <w:r>
        <w:rPr>
          <w:spacing w:val="1"/>
        </w:rPr>
        <w:t> </w:t>
      </w:r>
      <w:r>
        <w:rPr/>
        <w:t>организации:</w:t>
      </w:r>
    </w:p>
    <w:p>
      <w:pPr>
        <w:pStyle w:val="BodyText"/>
        <w:spacing w:before="3"/>
        <w:ind w:left="0"/>
        <w:jc w:val="left"/>
        <w:rPr>
          <w:sz w:val="31"/>
        </w:rPr>
      </w:pPr>
    </w:p>
    <w:p>
      <w:pPr>
        <w:pStyle w:val="ListParagraph"/>
        <w:numPr>
          <w:ilvl w:val="0"/>
          <w:numId w:val="38"/>
        </w:numPr>
        <w:tabs>
          <w:tab w:pos="1001" w:val="left" w:leader="none"/>
        </w:tabs>
        <w:spacing w:line="240" w:lineRule="auto" w:before="0" w:after="0"/>
        <w:ind w:left="1000" w:right="0" w:hanging="339"/>
        <w:jc w:val="both"/>
        <w:rPr>
          <w:sz w:val="24"/>
        </w:rPr>
      </w:pPr>
      <w:r>
        <w:rPr>
          <w:sz w:val="24"/>
        </w:rPr>
        <w:t>Уведомляет пациента о положительном результате теста на</w:t>
      </w:r>
      <w:r>
        <w:rPr>
          <w:spacing w:val="-7"/>
          <w:sz w:val="24"/>
        </w:rPr>
        <w:t> </w:t>
      </w:r>
      <w:r>
        <w:rPr>
          <w:sz w:val="24"/>
        </w:rPr>
        <w:t>COVID-19;</w:t>
      </w:r>
    </w:p>
    <w:p>
      <w:pPr>
        <w:pStyle w:val="ListParagraph"/>
        <w:numPr>
          <w:ilvl w:val="0"/>
          <w:numId w:val="38"/>
        </w:numPr>
        <w:tabs>
          <w:tab w:pos="1001" w:val="left" w:leader="none"/>
        </w:tabs>
        <w:spacing w:line="304" w:lineRule="auto" w:before="83" w:after="0"/>
        <w:ind w:left="1000" w:right="677" w:hanging="339"/>
        <w:jc w:val="both"/>
        <w:rPr>
          <w:sz w:val="24"/>
        </w:rPr>
      </w:pPr>
      <w:r>
        <w:rPr>
          <w:sz w:val="24"/>
        </w:rPr>
        <w:t>Оповещает о положительном результате теста на COVID-19 руководителя медицинской организации;</w:t>
      </w:r>
    </w:p>
    <w:p>
      <w:pPr>
        <w:pStyle w:val="ListParagraph"/>
        <w:numPr>
          <w:ilvl w:val="0"/>
          <w:numId w:val="38"/>
        </w:numPr>
        <w:tabs>
          <w:tab w:pos="1001" w:val="left" w:leader="none"/>
        </w:tabs>
        <w:spacing w:line="304" w:lineRule="auto" w:before="10" w:after="0"/>
        <w:ind w:left="1000" w:right="674" w:hanging="339"/>
        <w:jc w:val="both"/>
        <w:rPr>
          <w:sz w:val="24"/>
        </w:rPr>
      </w:pPr>
      <w:r>
        <w:rPr>
          <w:sz w:val="24"/>
        </w:rPr>
        <w:t>Вносит в журнал учета пациентов с COVID-19 плановые даты для повторного забора биологического материала (мазки из носо- и ротоглотки) – 3-й, 11-й</w:t>
      </w:r>
      <w:r>
        <w:rPr>
          <w:spacing w:val="-6"/>
          <w:sz w:val="24"/>
        </w:rPr>
        <w:t> </w:t>
      </w:r>
      <w:r>
        <w:rPr>
          <w:sz w:val="24"/>
        </w:rPr>
        <w:t>дни;</w:t>
      </w:r>
    </w:p>
    <w:p>
      <w:pPr>
        <w:pStyle w:val="ListParagraph"/>
        <w:numPr>
          <w:ilvl w:val="0"/>
          <w:numId w:val="38"/>
        </w:numPr>
        <w:tabs>
          <w:tab w:pos="1001" w:val="left" w:leader="none"/>
        </w:tabs>
        <w:spacing w:line="309" w:lineRule="auto" w:before="11" w:after="0"/>
        <w:ind w:left="1000" w:right="673" w:hanging="339"/>
        <w:jc w:val="both"/>
        <w:rPr>
          <w:sz w:val="24"/>
        </w:rPr>
      </w:pPr>
      <w:r>
        <w:rPr>
          <w:sz w:val="24"/>
        </w:rPr>
        <w:t>Организует осмотр работников медицинской организации, контактировавших   с заболевшим пациентом и, в случае выявления симптомов ОРВИ, забор у них биоматериала (мазки из носо- и ротоглотки) для лабораторного исследования</w:t>
      </w:r>
      <w:r>
        <w:rPr>
          <w:spacing w:val="-34"/>
          <w:sz w:val="24"/>
        </w:rPr>
        <w:t> </w:t>
      </w:r>
      <w:r>
        <w:rPr>
          <w:sz w:val="24"/>
        </w:rPr>
        <w:t>на наличие</w:t>
      </w:r>
      <w:r>
        <w:rPr>
          <w:spacing w:val="-2"/>
          <w:sz w:val="24"/>
        </w:rPr>
        <w:t> </w:t>
      </w:r>
      <w:r>
        <w:rPr>
          <w:sz w:val="24"/>
        </w:rPr>
        <w:t>COVID-19;</w:t>
      </w:r>
    </w:p>
    <w:p>
      <w:pPr>
        <w:pStyle w:val="ListParagraph"/>
        <w:numPr>
          <w:ilvl w:val="0"/>
          <w:numId w:val="38"/>
        </w:numPr>
        <w:tabs>
          <w:tab w:pos="1001" w:val="left" w:leader="none"/>
        </w:tabs>
        <w:spacing w:line="240" w:lineRule="auto" w:before="4" w:after="0"/>
        <w:ind w:left="1000" w:right="0" w:hanging="339"/>
        <w:jc w:val="both"/>
        <w:rPr>
          <w:sz w:val="24"/>
        </w:rPr>
      </w:pPr>
      <w:r>
        <w:rPr>
          <w:sz w:val="24"/>
        </w:rPr>
        <w:t>Осуществляет опрос пациента с целью уточнения его</w:t>
      </w:r>
      <w:r>
        <w:rPr>
          <w:spacing w:val="-3"/>
          <w:sz w:val="24"/>
        </w:rPr>
        <w:t> </w:t>
      </w:r>
      <w:r>
        <w:rPr>
          <w:sz w:val="24"/>
        </w:rPr>
        <w:t>состояния;</w:t>
      </w:r>
    </w:p>
    <w:p>
      <w:pPr>
        <w:pStyle w:val="ListParagraph"/>
        <w:numPr>
          <w:ilvl w:val="0"/>
          <w:numId w:val="38"/>
        </w:numPr>
        <w:tabs>
          <w:tab w:pos="1001" w:val="left" w:leader="none"/>
        </w:tabs>
        <w:spacing w:line="309" w:lineRule="auto" w:before="83" w:after="0"/>
        <w:ind w:left="1000" w:right="677" w:hanging="339"/>
        <w:jc w:val="both"/>
        <w:rPr>
          <w:sz w:val="24"/>
        </w:rPr>
      </w:pPr>
      <w:r>
        <w:rPr>
          <w:sz w:val="24"/>
        </w:rPr>
        <w:t>Осуществляет информирование медицинского работника, направляемого для оказания медицинской помощи пациенту, о положительном результате теста  на</w:t>
      </w:r>
      <w:r>
        <w:rPr>
          <w:spacing w:val="-2"/>
          <w:sz w:val="24"/>
        </w:rPr>
        <w:t> </w:t>
      </w:r>
      <w:r>
        <w:rPr>
          <w:sz w:val="24"/>
        </w:rPr>
        <w:t>COVID-19.</w:t>
      </w:r>
    </w:p>
    <w:p>
      <w:pPr>
        <w:pStyle w:val="BodyText"/>
        <w:spacing w:before="5"/>
        <w:ind w:left="0"/>
        <w:jc w:val="left"/>
        <w:rPr>
          <w:sz w:val="32"/>
        </w:rPr>
      </w:pPr>
    </w:p>
    <w:p>
      <w:pPr>
        <w:pStyle w:val="BodyText"/>
        <w:spacing w:line="312" w:lineRule="auto"/>
        <w:ind w:left="331" w:right="673" w:firstLine="698"/>
      </w:pPr>
      <w:r>
        <w:rPr/>
        <w:t>Медицинские работники, оказывающие медицинскую помощь на дому пациентам с положительным результатом теста на COVID-19, обязаны:</w:t>
      </w:r>
    </w:p>
    <w:p>
      <w:pPr>
        <w:pStyle w:val="BodyText"/>
        <w:spacing w:before="3"/>
        <w:ind w:left="0"/>
        <w:jc w:val="left"/>
        <w:rPr>
          <w:sz w:val="31"/>
        </w:rPr>
      </w:pPr>
    </w:p>
    <w:p>
      <w:pPr>
        <w:pStyle w:val="ListParagraph"/>
        <w:numPr>
          <w:ilvl w:val="0"/>
          <w:numId w:val="38"/>
        </w:numPr>
        <w:tabs>
          <w:tab w:pos="1001" w:val="left" w:leader="none"/>
        </w:tabs>
        <w:spacing w:line="309" w:lineRule="auto" w:before="0" w:after="0"/>
        <w:ind w:left="1000" w:right="677" w:hanging="339"/>
        <w:jc w:val="both"/>
        <w:rPr>
          <w:sz w:val="24"/>
        </w:rPr>
      </w:pPr>
      <w:r>
        <w:rPr>
          <w:sz w:val="24"/>
        </w:rPr>
        <w:t>Использовать СИЗ (очки, одноразовые перчатки, респиратор соответствующего класса защиты, противочумный костюм 1-го типа или одноразовый халат, бахилы);</w:t>
      </w:r>
    </w:p>
    <w:p>
      <w:pPr>
        <w:pStyle w:val="ListParagraph"/>
        <w:numPr>
          <w:ilvl w:val="0"/>
          <w:numId w:val="38"/>
        </w:numPr>
        <w:tabs>
          <w:tab w:pos="1001" w:val="left" w:leader="none"/>
        </w:tabs>
        <w:spacing w:line="304" w:lineRule="auto" w:before="4" w:after="0"/>
        <w:ind w:left="1000" w:right="676" w:hanging="339"/>
        <w:jc w:val="both"/>
        <w:rPr>
          <w:sz w:val="24"/>
        </w:rPr>
      </w:pPr>
      <w:r>
        <w:rPr>
          <w:sz w:val="24"/>
        </w:rPr>
        <w:t>Иметь запас медицинских масок в количестве не менее 20 штук и предлагать их пациенту, прежде чем приступить к опросу и</w:t>
      </w:r>
      <w:r>
        <w:rPr>
          <w:spacing w:val="-10"/>
          <w:sz w:val="24"/>
        </w:rPr>
        <w:t> </w:t>
      </w:r>
      <w:r>
        <w:rPr>
          <w:sz w:val="24"/>
        </w:rPr>
        <w:t>осмотру;</w:t>
      </w:r>
    </w:p>
    <w:p>
      <w:pPr>
        <w:pStyle w:val="ListParagraph"/>
        <w:numPr>
          <w:ilvl w:val="0"/>
          <w:numId w:val="38"/>
        </w:numPr>
        <w:tabs>
          <w:tab w:pos="1001" w:val="left" w:leader="none"/>
        </w:tabs>
        <w:spacing w:line="304" w:lineRule="auto" w:before="10" w:after="0"/>
        <w:ind w:left="1000" w:right="674" w:hanging="339"/>
        <w:jc w:val="both"/>
        <w:rPr>
          <w:sz w:val="24"/>
        </w:rPr>
      </w:pPr>
      <w:r>
        <w:rPr>
          <w:sz w:val="24"/>
        </w:rPr>
        <w:t>Рекомендовать пациенту во время осмотра и опроса медицинским работником находиться в медицинской</w:t>
      </w:r>
      <w:r>
        <w:rPr>
          <w:spacing w:val="-1"/>
          <w:sz w:val="24"/>
        </w:rPr>
        <w:t> </w:t>
      </w:r>
      <w:r>
        <w:rPr>
          <w:sz w:val="24"/>
        </w:rPr>
        <w:t>маске;</w:t>
      </w:r>
    </w:p>
    <w:p>
      <w:pPr>
        <w:pStyle w:val="ListParagraph"/>
        <w:numPr>
          <w:ilvl w:val="0"/>
          <w:numId w:val="38"/>
        </w:numPr>
        <w:tabs>
          <w:tab w:pos="1001" w:val="left" w:leader="none"/>
        </w:tabs>
        <w:spacing w:line="240" w:lineRule="auto" w:before="11" w:after="0"/>
        <w:ind w:left="1000" w:right="0" w:hanging="339"/>
        <w:jc w:val="both"/>
        <w:rPr>
          <w:sz w:val="24"/>
        </w:rPr>
      </w:pPr>
      <w:r>
        <w:rPr>
          <w:sz w:val="24"/>
        </w:rPr>
        <w:t>Обрабатывать руки в перчатках дезинфицирующим</w:t>
      </w:r>
      <w:r>
        <w:rPr>
          <w:spacing w:val="-2"/>
          <w:sz w:val="24"/>
        </w:rPr>
        <w:t> </w:t>
      </w:r>
      <w:r>
        <w:rPr>
          <w:sz w:val="24"/>
        </w:rPr>
        <w:t>средством;</w:t>
      </w:r>
    </w:p>
    <w:p>
      <w:pPr>
        <w:pStyle w:val="ListParagraph"/>
        <w:numPr>
          <w:ilvl w:val="0"/>
          <w:numId w:val="38"/>
        </w:numPr>
        <w:tabs>
          <w:tab w:pos="1001" w:val="left" w:leader="none"/>
        </w:tabs>
        <w:spacing w:line="240" w:lineRule="auto" w:before="82" w:after="0"/>
        <w:ind w:left="1000" w:right="0" w:hanging="339"/>
        <w:jc w:val="both"/>
        <w:rPr>
          <w:sz w:val="24"/>
        </w:rPr>
      </w:pPr>
      <w:r>
        <w:rPr>
          <w:sz w:val="24"/>
        </w:rPr>
        <w:t>Находясь в квартире пациента не снимать</w:t>
      </w:r>
      <w:r>
        <w:rPr>
          <w:spacing w:val="-5"/>
          <w:sz w:val="24"/>
        </w:rPr>
        <w:t> </w:t>
      </w:r>
      <w:r>
        <w:rPr>
          <w:sz w:val="24"/>
        </w:rPr>
        <w:t>СИЗ;</w:t>
      </w:r>
    </w:p>
    <w:p>
      <w:pPr>
        <w:pStyle w:val="ListParagraph"/>
        <w:numPr>
          <w:ilvl w:val="0"/>
          <w:numId w:val="38"/>
        </w:numPr>
        <w:tabs>
          <w:tab w:pos="1001" w:val="left" w:leader="none"/>
        </w:tabs>
        <w:spacing w:line="309" w:lineRule="auto" w:before="81" w:after="0"/>
        <w:ind w:left="1000" w:right="675" w:hanging="339"/>
        <w:jc w:val="both"/>
        <w:rPr>
          <w:sz w:val="24"/>
        </w:rPr>
      </w:pPr>
      <w:r>
        <w:rPr>
          <w:sz w:val="24"/>
        </w:rPr>
        <w:t>После выхода из квартиры пациента снять средства индивидуальной защиты, упаковать их в пакет для медицинских отходов класса B и обеспечить их дальнейшую    транспортировку    для     обезвреживания     в     соответствии    с</w:t>
      </w:r>
      <w:r>
        <w:rPr>
          <w:spacing w:val="-1"/>
          <w:sz w:val="24"/>
        </w:rPr>
        <w:t> </w:t>
      </w:r>
      <w:r>
        <w:rPr>
          <w:sz w:val="24"/>
        </w:rPr>
        <w:t>требованиями;</w:t>
      </w:r>
    </w:p>
    <w:p>
      <w:pPr>
        <w:spacing w:after="0" w:line="309" w:lineRule="auto"/>
        <w:jc w:val="both"/>
        <w:rPr>
          <w:sz w:val="24"/>
        </w:rPr>
        <w:sectPr>
          <w:pgSz w:w="11920" w:h="16850"/>
          <w:pgMar w:header="0" w:footer="620" w:top="1080" w:bottom="880" w:left="1380" w:right="600"/>
        </w:sectPr>
      </w:pPr>
    </w:p>
    <w:p>
      <w:pPr>
        <w:pStyle w:val="ListParagraph"/>
        <w:numPr>
          <w:ilvl w:val="0"/>
          <w:numId w:val="38"/>
        </w:numPr>
        <w:tabs>
          <w:tab w:pos="1001" w:val="left" w:leader="none"/>
        </w:tabs>
        <w:spacing w:line="309" w:lineRule="auto" w:before="80" w:after="0"/>
        <w:ind w:left="1000" w:right="675" w:hanging="339"/>
        <w:jc w:val="both"/>
        <w:rPr>
          <w:sz w:val="24"/>
        </w:rPr>
      </w:pPr>
      <w:r>
        <w:rPr>
          <w:sz w:val="24"/>
        </w:rPr>
        <w:t>По завершении оказания медицинской помощи пациенту сообщать уполномоченному лицу медицинской организации о лицах, имеющих контакт   с</w:t>
      </w:r>
      <w:r>
        <w:rPr>
          <w:spacing w:val="-1"/>
          <w:sz w:val="24"/>
        </w:rPr>
        <w:t> </w:t>
      </w:r>
      <w:r>
        <w:rPr>
          <w:sz w:val="24"/>
        </w:rPr>
        <w:t>пациентом.</w:t>
      </w:r>
    </w:p>
    <w:p>
      <w:pPr>
        <w:pStyle w:val="BodyText"/>
        <w:spacing w:before="5"/>
        <w:ind w:left="0"/>
        <w:jc w:val="left"/>
        <w:rPr>
          <w:sz w:val="32"/>
        </w:rPr>
      </w:pPr>
    </w:p>
    <w:p>
      <w:pPr>
        <w:pStyle w:val="BodyText"/>
        <w:spacing w:line="312" w:lineRule="auto"/>
        <w:ind w:left="331" w:right="675" w:firstLine="698"/>
      </w:pPr>
      <w:r>
        <w:rPr/>
        <w:t>Медицинская</w:t>
      </w:r>
      <w:r>
        <w:rPr>
          <w:spacing w:val="-10"/>
        </w:rPr>
        <w:t> </w:t>
      </w:r>
      <w:r>
        <w:rPr/>
        <w:t>помощь</w:t>
      </w:r>
      <w:r>
        <w:rPr>
          <w:spacing w:val="-8"/>
        </w:rPr>
        <w:t> </w:t>
      </w:r>
      <w:r>
        <w:rPr/>
        <w:t>взрослым</w:t>
      </w:r>
      <w:r>
        <w:rPr>
          <w:spacing w:val="-9"/>
        </w:rPr>
        <w:t> </w:t>
      </w:r>
      <w:r>
        <w:rPr/>
        <w:t>пациентам</w:t>
      </w:r>
      <w:r>
        <w:rPr>
          <w:spacing w:val="-9"/>
        </w:rPr>
        <w:t> </w:t>
      </w:r>
      <w:r>
        <w:rPr/>
        <w:t>с</w:t>
      </w:r>
      <w:r>
        <w:rPr>
          <w:spacing w:val="-10"/>
        </w:rPr>
        <w:t> </w:t>
      </w:r>
      <w:r>
        <w:rPr/>
        <w:t>положительным</w:t>
      </w:r>
      <w:r>
        <w:rPr>
          <w:spacing w:val="-9"/>
        </w:rPr>
        <w:t> </w:t>
      </w:r>
      <w:r>
        <w:rPr/>
        <w:t>результатом</w:t>
      </w:r>
      <w:r>
        <w:rPr>
          <w:spacing w:val="-9"/>
        </w:rPr>
        <w:t> </w:t>
      </w:r>
      <w:r>
        <w:rPr/>
        <w:t>теста на</w:t>
      </w:r>
      <w:r>
        <w:rPr>
          <w:spacing w:val="-11"/>
        </w:rPr>
        <w:t> </w:t>
      </w:r>
      <w:r>
        <w:rPr/>
        <w:t>COVID-19</w:t>
      </w:r>
      <w:r>
        <w:rPr>
          <w:spacing w:val="-10"/>
        </w:rPr>
        <w:t> </w:t>
      </w:r>
      <w:r>
        <w:rPr/>
        <w:t>может</w:t>
      </w:r>
      <w:r>
        <w:rPr>
          <w:spacing w:val="-9"/>
        </w:rPr>
        <w:t> </w:t>
      </w:r>
      <w:r>
        <w:rPr/>
        <w:t>оказываться</w:t>
      </w:r>
      <w:r>
        <w:rPr>
          <w:spacing w:val="-10"/>
        </w:rPr>
        <w:t> </w:t>
      </w:r>
      <w:r>
        <w:rPr/>
        <w:t>на</w:t>
      </w:r>
      <w:r>
        <w:rPr>
          <w:spacing w:val="-11"/>
        </w:rPr>
        <w:t> </w:t>
      </w:r>
      <w:r>
        <w:rPr/>
        <w:t>дому</w:t>
      </w:r>
      <w:r>
        <w:rPr>
          <w:spacing w:val="-14"/>
        </w:rPr>
        <w:t> </w:t>
      </w:r>
      <w:r>
        <w:rPr/>
        <w:t>в</w:t>
      </w:r>
      <w:r>
        <w:rPr>
          <w:spacing w:val="-10"/>
        </w:rPr>
        <w:t> </w:t>
      </w:r>
      <w:r>
        <w:rPr/>
        <w:t>случае</w:t>
      </w:r>
      <w:r>
        <w:rPr>
          <w:spacing w:val="-11"/>
        </w:rPr>
        <w:t> </w:t>
      </w:r>
      <w:r>
        <w:rPr/>
        <w:t>отсутствия</w:t>
      </w:r>
      <w:r>
        <w:rPr>
          <w:spacing w:val="-10"/>
        </w:rPr>
        <w:t> </w:t>
      </w:r>
      <w:r>
        <w:rPr/>
        <w:t>клинических</w:t>
      </w:r>
      <w:r>
        <w:rPr>
          <w:spacing w:val="-7"/>
        </w:rPr>
        <w:t> </w:t>
      </w:r>
      <w:r>
        <w:rPr/>
        <w:t>проявлений заболеваний или легком течении заболевания. Допускается оказание медициской помощи на дому взрослым пациентам со среднетяжелым течением заболевания при наличии</w:t>
      </w:r>
      <w:r>
        <w:rPr>
          <w:spacing w:val="2"/>
        </w:rPr>
        <w:t> </w:t>
      </w:r>
      <w:r>
        <w:rPr/>
        <w:t>условий.</w:t>
      </w:r>
    </w:p>
    <w:p>
      <w:pPr>
        <w:pStyle w:val="BodyText"/>
        <w:spacing w:before="4"/>
        <w:ind w:left="0"/>
        <w:jc w:val="left"/>
        <w:rPr>
          <w:sz w:val="31"/>
        </w:rPr>
      </w:pPr>
    </w:p>
    <w:p>
      <w:pPr>
        <w:pStyle w:val="ListParagraph"/>
        <w:numPr>
          <w:ilvl w:val="0"/>
          <w:numId w:val="38"/>
        </w:numPr>
        <w:tabs>
          <w:tab w:pos="1001" w:val="left" w:leader="none"/>
        </w:tabs>
        <w:spacing w:line="304" w:lineRule="auto" w:before="1" w:after="0"/>
        <w:ind w:left="1000" w:right="671" w:hanging="339"/>
        <w:jc w:val="both"/>
        <w:rPr>
          <w:sz w:val="24"/>
        </w:rPr>
      </w:pPr>
      <w:r>
        <w:rPr>
          <w:sz w:val="24"/>
        </w:rPr>
        <w:t>Пациент с положительным результатом теста на COVID-19 получает небходимое</w:t>
      </w:r>
      <w:r>
        <w:rPr>
          <w:spacing w:val="-17"/>
          <w:sz w:val="24"/>
        </w:rPr>
        <w:t> </w:t>
      </w:r>
      <w:r>
        <w:rPr>
          <w:sz w:val="24"/>
        </w:rPr>
        <w:t>лечение</w:t>
      </w:r>
      <w:r>
        <w:rPr>
          <w:spacing w:val="-17"/>
          <w:sz w:val="24"/>
        </w:rPr>
        <w:t> </w:t>
      </w:r>
      <w:r>
        <w:rPr>
          <w:sz w:val="24"/>
        </w:rPr>
        <w:t>в</w:t>
      </w:r>
      <w:r>
        <w:rPr>
          <w:spacing w:val="-14"/>
          <w:sz w:val="24"/>
        </w:rPr>
        <w:t> </w:t>
      </w:r>
      <w:r>
        <w:rPr>
          <w:sz w:val="24"/>
        </w:rPr>
        <w:t>соответствии</w:t>
      </w:r>
      <w:r>
        <w:rPr>
          <w:spacing w:val="-15"/>
          <w:sz w:val="24"/>
        </w:rPr>
        <w:t> </w:t>
      </w:r>
      <w:r>
        <w:rPr>
          <w:sz w:val="24"/>
        </w:rPr>
        <w:t>с</w:t>
      </w:r>
      <w:r>
        <w:rPr>
          <w:spacing w:val="-17"/>
          <w:sz w:val="24"/>
        </w:rPr>
        <w:t> </w:t>
      </w:r>
      <w:r>
        <w:rPr>
          <w:sz w:val="24"/>
        </w:rPr>
        <w:t>данными</w:t>
      </w:r>
      <w:r>
        <w:rPr>
          <w:spacing w:val="-15"/>
          <w:sz w:val="24"/>
        </w:rPr>
        <w:t> </w:t>
      </w:r>
      <w:r>
        <w:rPr>
          <w:sz w:val="24"/>
        </w:rPr>
        <w:t>методическими</w:t>
      </w:r>
      <w:r>
        <w:rPr>
          <w:spacing w:val="-15"/>
          <w:sz w:val="24"/>
        </w:rPr>
        <w:t> </w:t>
      </w:r>
      <w:r>
        <w:rPr>
          <w:sz w:val="24"/>
        </w:rPr>
        <w:t>рекомендациями.</w:t>
      </w:r>
    </w:p>
    <w:p>
      <w:pPr>
        <w:pStyle w:val="ListParagraph"/>
        <w:numPr>
          <w:ilvl w:val="0"/>
          <w:numId w:val="38"/>
        </w:numPr>
        <w:tabs>
          <w:tab w:pos="1001" w:val="left" w:leader="none"/>
        </w:tabs>
        <w:spacing w:line="309" w:lineRule="auto" w:before="10" w:after="0"/>
        <w:ind w:left="1000" w:right="672" w:hanging="339"/>
        <w:jc w:val="both"/>
        <w:rPr>
          <w:sz w:val="24"/>
        </w:rPr>
      </w:pPr>
      <w:r>
        <w:rPr>
          <w:sz w:val="24"/>
        </w:rPr>
        <w:t>Пациент    должен     быть     проинформирован     медицинским     работником  о необходимости вызова врача или бригады скорой медицинской помощи при ухудшении самочувствия (t тела &gt; 38,5 °C в течение 3 дней и более, появление</w:t>
      </w:r>
      <w:r>
        <w:rPr>
          <w:position w:val="2"/>
          <w:sz w:val="24"/>
        </w:rPr>
        <w:t> затрудненного дыхания, одышки, SpO</w:t>
      </w:r>
      <w:r>
        <w:rPr>
          <w:sz w:val="16"/>
        </w:rPr>
        <w:t>2 </w:t>
      </w:r>
      <w:r>
        <w:rPr>
          <w:position w:val="2"/>
          <w:sz w:val="24"/>
        </w:rPr>
        <w:t>&lt; 93%), а также о возможных способах</w:t>
      </w:r>
      <w:r>
        <w:rPr>
          <w:sz w:val="24"/>
        </w:rPr>
        <w:t> обращения за медицинской</w:t>
      </w:r>
      <w:r>
        <w:rPr>
          <w:spacing w:val="-1"/>
          <w:sz w:val="24"/>
        </w:rPr>
        <w:t> </w:t>
      </w:r>
      <w:r>
        <w:rPr>
          <w:sz w:val="24"/>
        </w:rPr>
        <w:t>помощью.</w:t>
      </w:r>
    </w:p>
    <w:p>
      <w:pPr>
        <w:pStyle w:val="ListParagraph"/>
        <w:numPr>
          <w:ilvl w:val="0"/>
          <w:numId w:val="38"/>
        </w:numPr>
        <w:tabs>
          <w:tab w:pos="1001" w:val="left" w:leader="none"/>
        </w:tabs>
        <w:spacing w:line="309" w:lineRule="auto" w:before="6" w:after="0"/>
        <w:ind w:left="1000" w:right="676" w:hanging="339"/>
        <w:jc w:val="both"/>
        <w:rPr>
          <w:sz w:val="24"/>
        </w:rPr>
      </w:pPr>
      <w:r>
        <w:rPr>
          <w:sz w:val="24"/>
        </w:rPr>
        <w:t>Лица, проживающие с пациентом в одном помещении, должны быть проинформированы о рисках заболевания COVID-19 и необходимости временного проживания в другом</w:t>
      </w:r>
      <w:r>
        <w:rPr>
          <w:spacing w:val="-1"/>
          <w:sz w:val="24"/>
        </w:rPr>
        <w:t> </w:t>
      </w:r>
      <w:r>
        <w:rPr>
          <w:sz w:val="24"/>
        </w:rPr>
        <w:t>месте.</w:t>
      </w:r>
    </w:p>
    <w:p>
      <w:pPr>
        <w:pStyle w:val="ListParagraph"/>
        <w:numPr>
          <w:ilvl w:val="0"/>
          <w:numId w:val="38"/>
        </w:numPr>
        <w:tabs>
          <w:tab w:pos="1001" w:val="left" w:leader="none"/>
        </w:tabs>
        <w:spacing w:line="312" w:lineRule="auto" w:before="1" w:after="0"/>
        <w:ind w:left="1000" w:right="674" w:hanging="339"/>
        <w:jc w:val="both"/>
        <w:rPr>
          <w:sz w:val="24"/>
        </w:rPr>
      </w:pPr>
      <w:r>
        <w:rPr>
          <w:sz w:val="24"/>
        </w:rPr>
        <w:t>Пациент и лица, проживающие с ним, должны быть проинформированы о том, что нарушение санитарно-эпидемиологических правил, повлекшее по неосторожности   массовое   заболевание,   может   повлечь   привлечение   их   к</w:t>
      </w:r>
      <w:r>
        <w:rPr>
          <w:spacing w:val="-1"/>
          <w:sz w:val="24"/>
        </w:rPr>
        <w:t> </w:t>
      </w:r>
      <w:r>
        <w:rPr>
          <w:sz w:val="24"/>
        </w:rPr>
        <w:t>уголовной</w:t>
      </w:r>
      <w:r>
        <w:rPr>
          <w:spacing w:val="-12"/>
          <w:sz w:val="24"/>
        </w:rPr>
        <w:t> </w:t>
      </w:r>
      <w:r>
        <w:rPr>
          <w:sz w:val="24"/>
        </w:rPr>
        <w:t>ответственности,</w:t>
      </w:r>
      <w:r>
        <w:rPr>
          <w:spacing w:val="-13"/>
          <w:sz w:val="24"/>
        </w:rPr>
        <w:t> </w:t>
      </w:r>
      <w:r>
        <w:rPr>
          <w:sz w:val="24"/>
        </w:rPr>
        <w:t>предусмотренной</w:t>
      </w:r>
      <w:r>
        <w:rPr>
          <w:spacing w:val="-12"/>
          <w:sz w:val="24"/>
        </w:rPr>
        <w:t> </w:t>
      </w:r>
      <w:r>
        <w:rPr>
          <w:sz w:val="24"/>
        </w:rPr>
        <w:t>статьей</w:t>
      </w:r>
      <w:r>
        <w:rPr>
          <w:spacing w:val="-12"/>
          <w:sz w:val="24"/>
        </w:rPr>
        <w:t> </w:t>
      </w:r>
      <w:r>
        <w:rPr>
          <w:sz w:val="24"/>
        </w:rPr>
        <w:t>236</w:t>
      </w:r>
      <w:r>
        <w:rPr>
          <w:spacing w:val="-12"/>
          <w:sz w:val="24"/>
        </w:rPr>
        <w:t> </w:t>
      </w:r>
      <w:r>
        <w:rPr>
          <w:sz w:val="24"/>
        </w:rPr>
        <w:t>Уголовного</w:t>
      </w:r>
      <w:r>
        <w:rPr>
          <w:spacing w:val="-13"/>
          <w:sz w:val="24"/>
        </w:rPr>
        <w:t> </w:t>
      </w:r>
      <w:r>
        <w:rPr>
          <w:sz w:val="24"/>
        </w:rPr>
        <w:t>кодекса Российской Федерации (Собрание законодательства Российской Федерации, 1996, №25, ст. 2954; 2011, №50, ст.</w:t>
      </w:r>
      <w:r>
        <w:rPr>
          <w:spacing w:val="-1"/>
          <w:sz w:val="24"/>
        </w:rPr>
        <w:t> </w:t>
      </w:r>
      <w:r>
        <w:rPr>
          <w:sz w:val="24"/>
        </w:rPr>
        <w:t>7362).</w:t>
      </w:r>
    </w:p>
    <w:p>
      <w:pPr>
        <w:pStyle w:val="ListParagraph"/>
        <w:numPr>
          <w:ilvl w:val="0"/>
          <w:numId w:val="38"/>
        </w:numPr>
        <w:tabs>
          <w:tab w:pos="1001" w:val="left" w:leader="none"/>
        </w:tabs>
        <w:spacing w:line="309" w:lineRule="auto" w:before="0" w:after="0"/>
        <w:ind w:left="1000" w:right="675" w:hanging="339"/>
        <w:jc w:val="both"/>
        <w:rPr>
          <w:sz w:val="24"/>
        </w:rPr>
      </w:pPr>
      <w:r>
        <w:rPr>
          <w:sz w:val="24"/>
        </w:rPr>
        <w:t>Пациент и лица, проживающие с ним, должны быть обеспечены информационными материалами по вопросам ухода за пациентами, больными COVID-19, и общими рекомендациями по защите от инфекций, передающихся воздушно-капельным и контактным</w:t>
      </w:r>
      <w:r>
        <w:rPr>
          <w:spacing w:val="-5"/>
          <w:sz w:val="24"/>
        </w:rPr>
        <w:t> </w:t>
      </w:r>
      <w:r>
        <w:rPr>
          <w:sz w:val="24"/>
        </w:rPr>
        <w:t>путем.</w:t>
      </w:r>
    </w:p>
    <w:p>
      <w:pPr>
        <w:pStyle w:val="ListParagraph"/>
        <w:numPr>
          <w:ilvl w:val="0"/>
          <w:numId w:val="38"/>
        </w:numPr>
        <w:tabs>
          <w:tab w:pos="1001" w:val="left" w:leader="none"/>
        </w:tabs>
        <w:spacing w:line="309" w:lineRule="auto" w:before="0" w:after="0"/>
        <w:ind w:left="1000" w:right="673" w:hanging="339"/>
        <w:jc w:val="both"/>
        <w:rPr>
          <w:sz w:val="24"/>
        </w:rPr>
      </w:pPr>
      <w:r>
        <w:rPr>
          <w:sz w:val="24"/>
        </w:rPr>
        <w:t>В случае принятия решения о дальнейшем оказании медицинской помощи пациенту</w:t>
      </w:r>
      <w:r>
        <w:rPr>
          <w:spacing w:val="-13"/>
          <w:sz w:val="24"/>
        </w:rPr>
        <w:t> </w:t>
      </w:r>
      <w:r>
        <w:rPr>
          <w:sz w:val="24"/>
        </w:rPr>
        <w:t>в</w:t>
      </w:r>
      <w:r>
        <w:rPr>
          <w:spacing w:val="-7"/>
          <w:sz w:val="24"/>
        </w:rPr>
        <w:t> </w:t>
      </w:r>
      <w:r>
        <w:rPr>
          <w:sz w:val="24"/>
        </w:rPr>
        <w:t>амбулаторных</w:t>
      </w:r>
      <w:r>
        <w:rPr>
          <w:spacing w:val="-2"/>
          <w:sz w:val="24"/>
        </w:rPr>
        <w:t> </w:t>
      </w:r>
      <w:r>
        <w:rPr>
          <w:sz w:val="24"/>
        </w:rPr>
        <w:t>условиях</w:t>
      </w:r>
      <w:r>
        <w:rPr>
          <w:spacing w:val="-4"/>
          <w:sz w:val="24"/>
        </w:rPr>
        <w:t> </w:t>
      </w:r>
      <w:r>
        <w:rPr>
          <w:sz w:val="24"/>
        </w:rPr>
        <w:t>(на</w:t>
      </w:r>
      <w:r>
        <w:rPr>
          <w:spacing w:val="-7"/>
          <w:sz w:val="24"/>
        </w:rPr>
        <w:t> </w:t>
      </w:r>
      <w:r>
        <w:rPr>
          <w:sz w:val="24"/>
        </w:rPr>
        <w:t>дому)</w:t>
      </w:r>
      <w:r>
        <w:rPr>
          <w:spacing w:val="-5"/>
          <w:sz w:val="24"/>
        </w:rPr>
        <w:t> </w:t>
      </w:r>
      <w:r>
        <w:rPr>
          <w:sz w:val="24"/>
        </w:rPr>
        <w:t>оформляется</w:t>
      </w:r>
      <w:r>
        <w:rPr>
          <w:spacing w:val="-5"/>
          <w:sz w:val="24"/>
        </w:rPr>
        <w:t> </w:t>
      </w:r>
      <w:r>
        <w:rPr>
          <w:sz w:val="24"/>
        </w:rPr>
        <w:t>согласие</w:t>
      </w:r>
      <w:r>
        <w:rPr>
          <w:spacing w:val="-7"/>
          <w:sz w:val="24"/>
        </w:rPr>
        <w:t> </w:t>
      </w:r>
      <w:r>
        <w:rPr>
          <w:sz w:val="24"/>
        </w:rPr>
        <w:t>на</w:t>
      </w:r>
      <w:r>
        <w:rPr>
          <w:spacing w:val="-7"/>
          <w:sz w:val="24"/>
        </w:rPr>
        <w:t> </w:t>
      </w:r>
      <w:r>
        <w:rPr>
          <w:sz w:val="24"/>
        </w:rPr>
        <w:t>оказание медицинской</w:t>
      </w:r>
      <w:r>
        <w:rPr>
          <w:spacing w:val="-11"/>
          <w:sz w:val="24"/>
        </w:rPr>
        <w:t> </w:t>
      </w:r>
      <w:r>
        <w:rPr>
          <w:sz w:val="24"/>
        </w:rPr>
        <w:t>помощи</w:t>
      </w:r>
      <w:r>
        <w:rPr>
          <w:spacing w:val="-10"/>
          <w:sz w:val="24"/>
        </w:rPr>
        <w:t> </w:t>
      </w:r>
      <w:r>
        <w:rPr>
          <w:sz w:val="24"/>
        </w:rPr>
        <w:t>в</w:t>
      </w:r>
      <w:r>
        <w:rPr>
          <w:spacing w:val="-12"/>
          <w:sz w:val="24"/>
        </w:rPr>
        <w:t> </w:t>
      </w:r>
      <w:r>
        <w:rPr>
          <w:sz w:val="24"/>
        </w:rPr>
        <w:t>амбулаторных</w:t>
      </w:r>
      <w:r>
        <w:rPr>
          <w:spacing w:val="-6"/>
          <w:sz w:val="24"/>
        </w:rPr>
        <w:t> </w:t>
      </w:r>
      <w:r>
        <w:rPr>
          <w:sz w:val="24"/>
        </w:rPr>
        <w:t>условиях</w:t>
      </w:r>
      <w:r>
        <w:rPr>
          <w:spacing w:val="-9"/>
          <w:sz w:val="24"/>
        </w:rPr>
        <w:t> </w:t>
      </w:r>
      <w:r>
        <w:rPr>
          <w:sz w:val="24"/>
        </w:rPr>
        <w:t>(на</w:t>
      </w:r>
      <w:r>
        <w:rPr>
          <w:spacing w:val="-13"/>
          <w:sz w:val="24"/>
        </w:rPr>
        <w:t> </w:t>
      </w:r>
      <w:r>
        <w:rPr>
          <w:sz w:val="24"/>
        </w:rPr>
        <w:t>дому)</w:t>
      </w:r>
      <w:r>
        <w:rPr>
          <w:spacing w:val="-9"/>
          <w:sz w:val="24"/>
        </w:rPr>
        <w:t> </w:t>
      </w:r>
      <w:r>
        <w:rPr>
          <w:sz w:val="24"/>
        </w:rPr>
        <w:t>и</w:t>
      </w:r>
      <w:r>
        <w:rPr>
          <w:spacing w:val="-10"/>
          <w:sz w:val="24"/>
        </w:rPr>
        <w:t> </w:t>
      </w:r>
      <w:r>
        <w:rPr>
          <w:sz w:val="24"/>
        </w:rPr>
        <w:t>соблюдение</w:t>
      </w:r>
      <w:r>
        <w:rPr>
          <w:spacing w:val="-13"/>
          <w:sz w:val="24"/>
        </w:rPr>
        <w:t> </w:t>
      </w:r>
      <w:r>
        <w:rPr>
          <w:sz w:val="24"/>
        </w:rPr>
        <w:t>режима изоляции при лечении</w:t>
      </w:r>
      <w:r>
        <w:rPr>
          <w:spacing w:val="-4"/>
          <w:sz w:val="24"/>
        </w:rPr>
        <w:t> </w:t>
      </w:r>
      <w:r>
        <w:rPr>
          <w:sz w:val="24"/>
        </w:rPr>
        <w:t>COVID-19.</w:t>
      </w:r>
    </w:p>
    <w:p>
      <w:pPr>
        <w:pStyle w:val="BodyText"/>
        <w:spacing w:before="7"/>
        <w:ind w:left="0"/>
        <w:jc w:val="left"/>
        <w:rPr>
          <w:sz w:val="32"/>
        </w:rPr>
      </w:pPr>
    </w:p>
    <w:p>
      <w:pPr>
        <w:pStyle w:val="BodyText"/>
        <w:spacing w:line="312" w:lineRule="auto"/>
        <w:ind w:left="331" w:right="677" w:firstLine="698"/>
      </w:pPr>
      <w:r>
        <w:rPr/>
        <w:t>Пациент с положительным результатом теста на COVID-19 подлежит госпитализации при наличии одного из следующих обстоятельств:</w:t>
      </w:r>
    </w:p>
    <w:p>
      <w:pPr>
        <w:spacing w:after="0" w:line="312" w:lineRule="auto"/>
        <w:sectPr>
          <w:pgSz w:w="11920" w:h="16850"/>
          <w:pgMar w:header="0" w:footer="620" w:top="1060" w:bottom="880" w:left="1380" w:right="600"/>
        </w:sectPr>
      </w:pPr>
    </w:p>
    <w:p>
      <w:pPr>
        <w:pStyle w:val="ListParagraph"/>
        <w:numPr>
          <w:ilvl w:val="0"/>
          <w:numId w:val="38"/>
        </w:numPr>
        <w:tabs>
          <w:tab w:pos="1001" w:val="left" w:leader="none"/>
        </w:tabs>
        <w:spacing w:line="312" w:lineRule="auto" w:before="80" w:after="0"/>
        <w:ind w:left="1000" w:right="676" w:hanging="339"/>
        <w:jc w:val="both"/>
        <w:rPr>
          <w:sz w:val="24"/>
        </w:rPr>
      </w:pPr>
      <w:r>
        <w:rPr>
          <w:sz w:val="24"/>
        </w:rPr>
        <w:t>Легком течении заболевания, в случае если возраст пациента старше 65 лет или имеются симптомы ОРВИ в сочетании с хронической сердечной недостаточностью, сахарным диабетом, заболеванием дыхательной системы (бронхиальная астма, хроническая обструктивная болезнь легких). Данной катгории</w:t>
      </w:r>
      <w:r>
        <w:rPr>
          <w:spacing w:val="-13"/>
          <w:sz w:val="24"/>
        </w:rPr>
        <w:t> </w:t>
      </w:r>
      <w:r>
        <w:rPr>
          <w:sz w:val="24"/>
        </w:rPr>
        <w:t>пациентов</w:t>
      </w:r>
      <w:r>
        <w:rPr>
          <w:spacing w:val="-13"/>
          <w:sz w:val="24"/>
        </w:rPr>
        <w:t> </w:t>
      </w:r>
      <w:r>
        <w:rPr>
          <w:sz w:val="24"/>
        </w:rPr>
        <w:t>медицинская</w:t>
      </w:r>
      <w:r>
        <w:rPr>
          <w:spacing w:val="-11"/>
          <w:sz w:val="24"/>
        </w:rPr>
        <w:t> </w:t>
      </w:r>
      <w:r>
        <w:rPr>
          <w:sz w:val="24"/>
        </w:rPr>
        <w:t>помощь</w:t>
      </w:r>
      <w:r>
        <w:rPr>
          <w:spacing w:val="-11"/>
          <w:sz w:val="24"/>
        </w:rPr>
        <w:t> </w:t>
      </w:r>
      <w:r>
        <w:rPr>
          <w:sz w:val="24"/>
        </w:rPr>
        <w:t>может</w:t>
      </w:r>
      <w:r>
        <w:rPr>
          <w:spacing w:val="-11"/>
          <w:sz w:val="24"/>
        </w:rPr>
        <w:t> </w:t>
      </w:r>
      <w:r>
        <w:rPr>
          <w:sz w:val="24"/>
        </w:rPr>
        <w:t>оказываться</w:t>
      </w:r>
      <w:r>
        <w:rPr>
          <w:spacing w:val="-11"/>
          <w:sz w:val="24"/>
        </w:rPr>
        <w:t> </w:t>
      </w:r>
      <w:r>
        <w:rPr>
          <w:sz w:val="24"/>
        </w:rPr>
        <w:t>в</w:t>
      </w:r>
      <w:r>
        <w:rPr>
          <w:spacing w:val="-13"/>
          <w:sz w:val="24"/>
        </w:rPr>
        <w:t> </w:t>
      </w:r>
      <w:r>
        <w:rPr>
          <w:sz w:val="24"/>
        </w:rPr>
        <w:t>амбулаторно</w:t>
      </w:r>
      <w:r>
        <w:rPr>
          <w:spacing w:val="-11"/>
          <w:sz w:val="24"/>
        </w:rPr>
        <w:t> </w:t>
      </w:r>
      <w:r>
        <w:rPr>
          <w:sz w:val="24"/>
        </w:rPr>
        <w:t>при наличии</w:t>
      </w:r>
      <w:r>
        <w:rPr>
          <w:spacing w:val="2"/>
          <w:sz w:val="24"/>
        </w:rPr>
        <w:t> </w:t>
      </w:r>
      <w:r>
        <w:rPr>
          <w:sz w:val="24"/>
        </w:rPr>
        <w:t>условий.</w:t>
      </w:r>
    </w:p>
    <w:p>
      <w:pPr>
        <w:pStyle w:val="ListParagraph"/>
        <w:numPr>
          <w:ilvl w:val="0"/>
          <w:numId w:val="38"/>
        </w:numPr>
        <w:tabs>
          <w:tab w:pos="1001" w:val="left" w:leader="none"/>
        </w:tabs>
        <w:spacing w:line="309" w:lineRule="auto" w:before="0" w:after="0"/>
        <w:ind w:left="1000" w:right="675" w:hanging="339"/>
        <w:jc w:val="both"/>
        <w:rPr>
          <w:sz w:val="24"/>
        </w:rPr>
      </w:pPr>
      <w:r>
        <w:rPr>
          <w:sz w:val="24"/>
        </w:rPr>
        <w:t>Совместном  проживании  с  лицами,  относящимися  к  группам  риска  (лица  в возрасте старше 65 лет, а также лица, страдающие хроническими заболеваниями бронхолегочной, сердечно-сосудистой и эндокринной систем, беременных женщин) и невозможности их отселения независимо от тяжести течения заболевания у</w:t>
      </w:r>
      <w:r>
        <w:rPr>
          <w:spacing w:val="-3"/>
          <w:sz w:val="24"/>
        </w:rPr>
        <w:t> </w:t>
      </w:r>
      <w:r>
        <w:rPr>
          <w:sz w:val="24"/>
        </w:rPr>
        <w:t>пациента;</w:t>
      </w:r>
    </w:p>
    <w:p>
      <w:pPr>
        <w:pStyle w:val="ListParagraph"/>
        <w:numPr>
          <w:ilvl w:val="0"/>
          <w:numId w:val="38"/>
        </w:numPr>
        <w:tabs>
          <w:tab w:pos="1001" w:val="left" w:leader="none"/>
        </w:tabs>
        <w:spacing w:line="309" w:lineRule="auto" w:before="2" w:after="0"/>
        <w:ind w:left="1000" w:right="674" w:hanging="339"/>
        <w:jc w:val="both"/>
        <w:rPr>
          <w:sz w:val="24"/>
        </w:rPr>
      </w:pPr>
      <w:r>
        <w:rPr>
          <w:sz w:val="24"/>
        </w:rPr>
        <w:t>Легком течении заболевания  у  детей  при  наличии  у  них  симптомов  ОРВИ в сочетании с хроническими заболеваниями: сердечной недостаточностью, СД, бронхиальной</w:t>
      </w:r>
      <w:r>
        <w:rPr>
          <w:spacing w:val="-8"/>
          <w:sz w:val="24"/>
        </w:rPr>
        <w:t> </w:t>
      </w:r>
      <w:r>
        <w:rPr>
          <w:sz w:val="24"/>
        </w:rPr>
        <w:t>астмой,</w:t>
      </w:r>
      <w:r>
        <w:rPr>
          <w:spacing w:val="-10"/>
          <w:sz w:val="24"/>
        </w:rPr>
        <w:t> </w:t>
      </w:r>
      <w:r>
        <w:rPr>
          <w:sz w:val="24"/>
        </w:rPr>
        <w:t>врожденными</w:t>
      </w:r>
      <w:r>
        <w:rPr>
          <w:spacing w:val="-8"/>
          <w:sz w:val="24"/>
        </w:rPr>
        <w:t> </w:t>
      </w:r>
      <w:r>
        <w:rPr>
          <w:sz w:val="24"/>
        </w:rPr>
        <w:t>пороками</w:t>
      </w:r>
      <w:r>
        <w:rPr>
          <w:spacing w:val="-11"/>
          <w:sz w:val="24"/>
        </w:rPr>
        <w:t> </w:t>
      </w:r>
      <w:r>
        <w:rPr>
          <w:sz w:val="24"/>
        </w:rPr>
        <w:t>сердца</w:t>
      </w:r>
      <w:r>
        <w:rPr>
          <w:spacing w:val="-10"/>
          <w:sz w:val="24"/>
        </w:rPr>
        <w:t> </w:t>
      </w:r>
      <w:r>
        <w:rPr>
          <w:sz w:val="24"/>
        </w:rPr>
        <w:t>и</w:t>
      </w:r>
      <w:r>
        <w:rPr>
          <w:spacing w:val="-9"/>
          <w:sz w:val="24"/>
        </w:rPr>
        <w:t> </w:t>
      </w:r>
      <w:r>
        <w:rPr>
          <w:sz w:val="24"/>
        </w:rPr>
        <w:t>легких,</w:t>
      </w:r>
      <w:r>
        <w:rPr>
          <w:spacing w:val="-9"/>
          <w:sz w:val="24"/>
        </w:rPr>
        <w:t> </w:t>
      </w:r>
      <w:r>
        <w:rPr>
          <w:sz w:val="24"/>
        </w:rPr>
        <w:t>находящихся</w:t>
      </w:r>
      <w:r>
        <w:rPr>
          <w:spacing w:val="-12"/>
          <w:sz w:val="24"/>
        </w:rPr>
        <w:t> </w:t>
      </w:r>
      <w:r>
        <w:rPr>
          <w:sz w:val="24"/>
        </w:rPr>
        <w:t>на иммуносупрессивной терапии и</w:t>
      </w:r>
      <w:r>
        <w:rPr>
          <w:spacing w:val="2"/>
          <w:sz w:val="24"/>
        </w:rPr>
        <w:t> </w:t>
      </w:r>
      <w:r>
        <w:rPr>
          <w:sz w:val="24"/>
        </w:rPr>
        <w:t>других;</w:t>
      </w:r>
    </w:p>
    <w:p>
      <w:pPr>
        <w:pStyle w:val="BodyText"/>
        <w:spacing w:before="7"/>
        <w:ind w:left="0"/>
        <w:jc w:val="left"/>
        <w:rPr>
          <w:sz w:val="32"/>
        </w:rPr>
      </w:pPr>
    </w:p>
    <w:p>
      <w:pPr>
        <w:pStyle w:val="BodyText"/>
        <w:spacing w:line="312" w:lineRule="auto"/>
        <w:ind w:left="331" w:right="673" w:firstLine="698"/>
      </w:pPr>
      <w:r>
        <w:rPr/>
        <w:t>Медицинская организация, в которой наблюдается ребенок с положительным результатом теста на COVID-19 и отсутствием клинических проявлений заболеваний, обеспечивает ежедневный  опрос  участковой  медицинской  сестрой  (по  телефону)  о состоянии пациента не менее 2-х раз в день, а также патронаж врача-педиатра участкового не реже 1 раза в 5</w:t>
      </w:r>
      <w:r>
        <w:rPr>
          <w:spacing w:val="-3"/>
        </w:rPr>
        <w:t> </w:t>
      </w:r>
      <w:r>
        <w:rPr/>
        <w:t>дней.</w:t>
      </w:r>
    </w:p>
    <w:p>
      <w:pPr>
        <w:pStyle w:val="BodyText"/>
        <w:spacing w:line="312" w:lineRule="auto" w:before="1"/>
        <w:ind w:left="331" w:right="674" w:firstLine="698"/>
      </w:pPr>
      <w:r>
        <w:rPr/>
        <w:t>Медицинская организация, в которой наблюдается ребенок с положительным результатом теста на COVID-19 и легким течением заболевания, обеспечивает ежедневный опрос участковой медицинской сестрой (по телефону) о состоянии пациента не менее 2-х раз в день, а также патронаж врача-педиатра участкового (фельдшера) с учетом состояния ребенка не реже 1 раза в 2 дня.</w:t>
      </w:r>
    </w:p>
    <w:p>
      <w:pPr>
        <w:pStyle w:val="BodyText"/>
        <w:spacing w:line="312" w:lineRule="auto"/>
        <w:ind w:left="331" w:right="673" w:firstLine="698"/>
      </w:pPr>
      <w:r>
        <w:rPr/>
        <w:t>Законный представитель, обеспечивающий уход за ребенком с положительным результатом теста на COVID-19, которому оказывается медицинская помощь на дому, должен быть проинформирован о рисках заболевания COVID-19 и необходимости соблюдения рекомендаций по защите от инфекций, передающихся воздушно- капельным и контактным путем, особенностям ухода за пациентами больными указанной инфекцией, а также иметь информацию, что нарушение санитарно- эпидемиологических правил, повлекшее по неосторожности массовое заболевание, может повлечь привлечение к уголовной ответственности, предусмотренной статьей 236 Уголовного кодекса Российской Федерации.</w:t>
      </w:r>
    </w:p>
    <w:p>
      <w:pPr>
        <w:spacing w:after="0" w:line="312" w:lineRule="auto"/>
        <w:sectPr>
          <w:pgSz w:w="11920" w:h="16850"/>
          <w:pgMar w:header="0" w:footer="620" w:top="1060" w:bottom="880" w:left="1380" w:right="600"/>
        </w:sectPr>
      </w:pPr>
    </w:p>
    <w:p>
      <w:pPr>
        <w:pStyle w:val="Heading2"/>
        <w:numPr>
          <w:ilvl w:val="1"/>
          <w:numId w:val="40"/>
        </w:numPr>
        <w:tabs>
          <w:tab w:pos="1522" w:val="left" w:leader="none"/>
        </w:tabs>
        <w:spacing w:line="259" w:lineRule="auto" w:before="59" w:after="0"/>
        <w:ind w:left="1029" w:right="1092" w:firstLine="0"/>
        <w:jc w:val="left"/>
      </w:pPr>
      <w:bookmarkStart w:name="9.6. МАРШРУТИЗАЦИЯ ПАЦИЕНТОВ, НУЖДАЮЩИХС" w:id="181"/>
      <w:bookmarkEnd w:id="181"/>
      <w:r>
        <w:rPr>
          <w:b w:val="0"/>
        </w:rPr>
      </w:r>
      <w:bookmarkStart w:name="_bookmark41" w:id="182"/>
      <w:bookmarkEnd w:id="182"/>
      <w:r>
        <w:rPr>
          <w:b w:val="0"/>
        </w:rPr>
      </w:r>
      <w:bookmarkStart w:name="_bookmark41" w:id="183"/>
      <w:bookmarkEnd w:id="183"/>
      <w:r>
        <w:rPr>
          <w:color w:val="1F487C"/>
        </w:rPr>
        <w:t>МАРШР</w:t>
      </w:r>
      <w:r>
        <w:rPr>
          <w:color w:val="1F487C"/>
        </w:rPr>
        <w:t>УТИЗАЦИЯ ПАЦИЕНТОВ, НУЖДАЮЩИХСЯ В ЭКСТРЕННОЙ ХИРУРГИЧЕСКОЙ</w:t>
      </w:r>
      <w:r>
        <w:rPr>
          <w:color w:val="1F487C"/>
          <w:spacing w:val="-6"/>
        </w:rPr>
        <w:t> </w:t>
      </w:r>
      <w:r>
        <w:rPr>
          <w:color w:val="1F487C"/>
        </w:rPr>
        <w:t>ПОМОЩИ</w:t>
      </w:r>
    </w:p>
    <w:p>
      <w:pPr>
        <w:pStyle w:val="Heading3"/>
        <w:spacing w:line="259" w:lineRule="auto" w:before="240"/>
        <w:ind w:right="792"/>
      </w:pPr>
      <w:bookmarkStart w:name="Экстренная хирургическая помощь пациента" w:id="184"/>
      <w:bookmarkEnd w:id="184"/>
      <w:r>
        <w:rPr>
          <w:b w:val="0"/>
        </w:rPr>
      </w:r>
      <w:r>
        <w:rPr>
          <w:color w:val="1F487C"/>
        </w:rPr>
        <w:t>Экстренная хирургическая помощь пациентам с COVID-19, находящимся на стационарном лечении</w:t>
      </w:r>
    </w:p>
    <w:p>
      <w:pPr>
        <w:pStyle w:val="BodyText"/>
        <w:spacing w:line="312" w:lineRule="auto" w:before="119"/>
        <w:ind w:right="673" w:firstLine="708"/>
      </w:pPr>
      <w:r>
        <w:rPr/>
        <w:t>Пациентам, находящимся на стационарном лечении, специализированная экстренная хирургическая помощь оказывается в многопрофильной инфекционной больнице или перепрофилированном многопрофильном стационаре для оказания помощи больным с COVID-19 (в операционном блоке, оборудованном для проведения операций у пациентов с COVID-19). При необходимости, в инфекционный стационар может быть вызвана специализированная хирургическая бригада из другого учреждения, если профильных специалистов нет на месте.</w:t>
      </w:r>
    </w:p>
    <w:p>
      <w:pPr>
        <w:pStyle w:val="BodyText"/>
        <w:spacing w:line="312" w:lineRule="auto"/>
        <w:ind w:right="673" w:firstLine="708"/>
      </w:pPr>
      <w:r>
        <w:rPr/>
        <w:t>В ряде случаев решение о переводе пациента с COVID-19 для экстренной хирургической помощи в иной специализированный инфекционный стационар или перепрофилированный    многопрофильный     стационар     может     быть     принято  в индивидуальном порядке с учетом возможности безопасной транспортировки при отсутствии обусловленной транспортировкой угрозы для жизни. Специализированные хирургические бригады могут быть использованы в тех случаях, когда в лечебном учреждении нет специалистов соответствующего профиля или</w:t>
      </w:r>
      <w:r>
        <w:rPr>
          <w:spacing w:val="-9"/>
        </w:rPr>
        <w:t> </w:t>
      </w:r>
      <w:r>
        <w:rPr/>
        <w:t>квалификации.</w:t>
      </w:r>
    </w:p>
    <w:p>
      <w:pPr>
        <w:pStyle w:val="BodyText"/>
        <w:spacing w:before="10"/>
        <w:ind w:left="0"/>
        <w:jc w:val="left"/>
        <w:rPr>
          <w:sz w:val="20"/>
        </w:rPr>
      </w:pPr>
    </w:p>
    <w:p>
      <w:pPr>
        <w:pStyle w:val="Heading3"/>
        <w:spacing w:line="259" w:lineRule="auto"/>
        <w:ind w:right="792"/>
      </w:pPr>
      <w:bookmarkStart w:name="Экстренная хирургическая помощь пациента" w:id="185"/>
      <w:bookmarkEnd w:id="185"/>
      <w:r>
        <w:rPr>
          <w:b w:val="0"/>
        </w:rPr>
      </w:r>
      <w:r>
        <w:rPr>
          <w:color w:val="1F487C"/>
        </w:rPr>
        <w:t>Экстренная хирургическая помощь пациентам с COVID-19, находящимся на домашнем лечении</w:t>
      </w:r>
    </w:p>
    <w:p>
      <w:pPr>
        <w:pStyle w:val="BodyText"/>
        <w:spacing w:line="312" w:lineRule="auto" w:before="119"/>
        <w:ind w:right="674" w:firstLine="708"/>
      </w:pPr>
      <w:r>
        <w:rPr/>
        <w:t>Пациента госпитализируют для  оказания  экстренной хирургической  помощи в многопрофильную инфекционную больницу или перепрофилированный многопрофильный стационар для оказания помощи больным с COVID-19. При необходимости в стационар может быть вызвана специализированная хирургическая бригада. Специализированные хирургические бригады могут быть использованы в </w:t>
      </w:r>
      <w:r>
        <w:rPr>
          <w:spacing w:val="-4"/>
        </w:rPr>
        <w:t>тех </w:t>
      </w:r>
      <w:r>
        <w:rPr/>
        <w:t>случаях, когда в лечебном учреждении нет специалистов соответствующего профиля или квалификации. В остальных случаях экстренная хирургическая помощь оказывается специалистами многопрофильной инфекционной</w:t>
      </w:r>
      <w:r>
        <w:rPr>
          <w:spacing w:val="-4"/>
        </w:rPr>
        <w:t> </w:t>
      </w:r>
      <w:r>
        <w:rPr/>
        <w:t>больницы.</w:t>
      </w:r>
    </w:p>
    <w:p>
      <w:pPr>
        <w:spacing w:line="256" w:lineRule="auto" w:before="2"/>
        <w:ind w:left="321" w:right="1480" w:firstLine="707"/>
        <w:jc w:val="both"/>
        <w:rPr>
          <w:sz w:val="28"/>
        </w:rPr>
      </w:pPr>
      <w:r>
        <w:rPr>
          <w:sz w:val="28"/>
        </w:rPr>
        <w:t>Экстренная хирургическая помощь пациентам без COVID-19, находящимся на карантине в домашних условиях</w:t>
      </w:r>
    </w:p>
    <w:p>
      <w:pPr>
        <w:pStyle w:val="BodyText"/>
        <w:spacing w:line="312" w:lineRule="auto" w:before="164"/>
        <w:ind w:right="674" w:firstLine="708"/>
      </w:pPr>
      <w:r>
        <w:rPr/>
        <w:t>Пациент доставляется для оказания экстренной помощи в специализированную хирургическую больницу, имеющую возможность изолировать подозрительных (условно инфицированных) пациентов с дальнейшим переводом в инфекционное отделение для пациентов с внебольничной пневмонией. Пациенту в экстренном порядке</w:t>
      </w:r>
      <w:r>
        <w:rPr>
          <w:spacing w:val="-11"/>
        </w:rPr>
        <w:t> </w:t>
      </w:r>
      <w:r>
        <w:rPr/>
        <w:t>выполняют</w:t>
      </w:r>
      <w:r>
        <w:rPr>
          <w:spacing w:val="-11"/>
        </w:rPr>
        <w:t> </w:t>
      </w:r>
      <w:r>
        <w:rPr/>
        <w:t>КТ</w:t>
      </w:r>
      <w:r>
        <w:rPr>
          <w:spacing w:val="-12"/>
        </w:rPr>
        <w:t> </w:t>
      </w:r>
      <w:r>
        <w:rPr/>
        <w:t>ОГК</w:t>
      </w:r>
      <w:r>
        <w:rPr>
          <w:spacing w:val="-9"/>
        </w:rPr>
        <w:t> </w:t>
      </w:r>
      <w:r>
        <w:rPr/>
        <w:t>с</w:t>
      </w:r>
      <w:r>
        <w:rPr>
          <w:spacing w:val="-11"/>
        </w:rPr>
        <w:t> </w:t>
      </w:r>
      <w:r>
        <w:rPr/>
        <w:t>использованием</w:t>
      </w:r>
      <w:r>
        <w:rPr>
          <w:spacing w:val="-12"/>
        </w:rPr>
        <w:t> </w:t>
      </w:r>
      <w:r>
        <w:rPr/>
        <w:t>соответствующих</w:t>
      </w:r>
      <w:r>
        <w:rPr>
          <w:spacing w:val="-7"/>
        </w:rPr>
        <w:t> </w:t>
      </w:r>
      <w:r>
        <w:rPr/>
        <w:t>мер</w:t>
      </w:r>
      <w:r>
        <w:rPr>
          <w:spacing w:val="-10"/>
        </w:rPr>
        <w:t> </w:t>
      </w:r>
      <w:r>
        <w:rPr/>
        <w:t>безопасности</w:t>
      </w:r>
      <w:r>
        <w:rPr>
          <w:spacing w:val="-9"/>
        </w:rPr>
        <w:t> </w:t>
      </w:r>
      <w:r>
        <w:rPr/>
        <w:t>как для больного, так и для медицинского персонала (обязательно использование СИЗ)     и лабораторное обследование на</w:t>
      </w:r>
      <w:r>
        <w:rPr>
          <w:spacing w:val="-3"/>
        </w:rPr>
        <w:t> </w:t>
      </w:r>
      <w:r>
        <w:rPr/>
        <w:t>COVID-19.</w:t>
      </w:r>
    </w:p>
    <w:p>
      <w:pPr>
        <w:spacing w:after="0" w:line="312" w:lineRule="auto"/>
        <w:sectPr>
          <w:pgSz w:w="11920" w:h="16850"/>
          <w:pgMar w:header="0" w:footer="620" w:top="1080" w:bottom="880" w:left="1380" w:right="600"/>
        </w:sectPr>
      </w:pPr>
    </w:p>
    <w:p>
      <w:pPr>
        <w:pStyle w:val="BodyText"/>
        <w:spacing w:line="312" w:lineRule="auto" w:before="78"/>
        <w:ind w:right="673" w:firstLine="708"/>
      </w:pPr>
      <w:r>
        <w:rPr/>
        <w:t>Решение о маршрутизации пациента должно приниматься на основании эпидемиологических и клинических данных. Кроме того, результаты тестирования не могут влиять на принятие решения о маршрутизации пациента. При отсутствии клинических симптомов ОРВИ или пневмонии экстренную хирургическую помощь оказывают в специализированном хирургическом стационаре (имеющем в своем составе   мельцеровские   боксы    или    инфекционное    отделение    для    пациентов с внебольничной пневмонией). Оказание медицинской помощи проводится медицинским персоналом, не контактирующим с пациентами с COVID-19, если пациент был на карантине более 14 дней или у него 2 отрицательных теста на COVID-19.</w:t>
      </w:r>
    </w:p>
    <w:p>
      <w:pPr>
        <w:pStyle w:val="BodyText"/>
        <w:spacing w:line="312" w:lineRule="auto"/>
        <w:ind w:right="674" w:firstLine="708"/>
      </w:pPr>
      <w:r>
        <w:rPr/>
        <w:t>При выявлении внебольничной пневмонии или положительном тесте на COVID-19 экстренную хирургическую помощь оказывают в многопрофильной инфекционной</w:t>
      </w:r>
      <w:r>
        <w:rPr>
          <w:spacing w:val="-11"/>
        </w:rPr>
        <w:t> </w:t>
      </w:r>
      <w:r>
        <w:rPr/>
        <w:t>больнице</w:t>
      </w:r>
      <w:r>
        <w:rPr>
          <w:spacing w:val="-12"/>
        </w:rPr>
        <w:t> </w:t>
      </w:r>
      <w:r>
        <w:rPr/>
        <w:t>или</w:t>
      </w:r>
      <w:r>
        <w:rPr>
          <w:spacing w:val="-12"/>
        </w:rPr>
        <w:t> </w:t>
      </w:r>
      <w:r>
        <w:rPr/>
        <w:t>перепрофилированном</w:t>
      </w:r>
      <w:r>
        <w:rPr>
          <w:spacing w:val="-11"/>
        </w:rPr>
        <w:t> </w:t>
      </w:r>
      <w:r>
        <w:rPr/>
        <w:t>многопрофильном</w:t>
      </w:r>
      <w:r>
        <w:rPr>
          <w:spacing w:val="-11"/>
        </w:rPr>
        <w:t> </w:t>
      </w:r>
      <w:r>
        <w:rPr/>
        <w:t>стационаре</w:t>
      </w:r>
      <w:r>
        <w:rPr>
          <w:spacing w:val="-12"/>
        </w:rPr>
        <w:t> </w:t>
      </w:r>
      <w:r>
        <w:rPr/>
        <w:t>для оказания помощи больным с COVID-19, куда, в случае необходимости, может быть вызвана специализированная хирургическая бригада. В случае жизнеугрожающей ситуации и невозможности транспортировки хирургическая помощь оказывается на месте,     с     соблюдением     всех     санитарно-эпидемиологических     мероприятий. В послеоперационном периоде пациент помещается в изолированный бокс или боксированное отделение, откуда осуществляется перевод в инфекционный или перепрофилированный многопрофильный стационар для оказания помощи больным   с COVID-19 после стабилизации состояния</w:t>
      </w:r>
      <w:r>
        <w:rPr>
          <w:spacing w:val="-5"/>
        </w:rPr>
        <w:t> </w:t>
      </w:r>
      <w:r>
        <w:rPr/>
        <w:t>пациента.</w:t>
      </w:r>
    </w:p>
    <w:p>
      <w:pPr>
        <w:pStyle w:val="BodyText"/>
        <w:spacing w:before="9"/>
        <w:ind w:left="0"/>
        <w:jc w:val="left"/>
        <w:rPr>
          <w:sz w:val="20"/>
        </w:rPr>
      </w:pPr>
    </w:p>
    <w:p>
      <w:pPr>
        <w:pStyle w:val="Heading3"/>
      </w:pPr>
      <w:bookmarkStart w:name="Экстренная хирургическая помощь пациента" w:id="186"/>
      <w:bookmarkEnd w:id="186"/>
      <w:r>
        <w:rPr>
          <w:b w:val="0"/>
        </w:rPr>
      </w:r>
      <w:r>
        <w:rPr>
          <w:color w:val="1F487C"/>
        </w:rPr>
        <w:t>Экстренная хирургическая помощь пациентам без COVID-19</w:t>
      </w:r>
    </w:p>
    <w:p>
      <w:pPr>
        <w:pStyle w:val="BodyText"/>
        <w:spacing w:line="312" w:lineRule="auto" w:before="142"/>
        <w:ind w:right="674" w:firstLine="708"/>
      </w:pPr>
      <w:r>
        <w:rPr/>
        <w:t>Пациент      доставляется       бригадой       скорой       медицинской       помощи в многопрофильную клинику, выделенную для оказания экстренной хирургической помощи пациентам без COVID-19, имеющую возможность изолировать больных, подозрительных на внебольничную пневмонию или</w:t>
      </w:r>
      <w:r>
        <w:rPr>
          <w:spacing w:val="-2"/>
        </w:rPr>
        <w:t> </w:t>
      </w:r>
      <w:r>
        <w:rPr/>
        <w:t>ОРВИ.</w:t>
      </w:r>
    </w:p>
    <w:p>
      <w:pPr>
        <w:pStyle w:val="BodyText"/>
        <w:spacing w:line="312" w:lineRule="auto"/>
        <w:ind w:right="673" w:firstLine="708"/>
      </w:pPr>
      <w:r>
        <w:rPr/>
        <w:t>Пациенту в экстренном порядке выполняют КТ ОГК (с использованием соответствующих мер безопасности как для больного, так и для медицинского персонала) и берут материал для лабораторного обследования на COVID-19. Сроки выполнения  теста  и   его   результаты   не   могут   влиять   на   принятие   решения   о маршрутизации пациента. При отсутствии клинических признаков ОРВИ, пневмонии экстренную хирургическую помощь оказывают в специализированном хирургическом стационаре (имеющем в своем составе мельцеровские боксы или инфекционное отделение для пациентов с внебольничной пневмонией). Оказание медицинской помощи  проводится  медицинским  персоналом,  не  контактирующим  с пациентами с COVID-19, если пациент был на карантине более 14 дней или у него    2 отрицательных теста на</w:t>
      </w:r>
      <w:r>
        <w:rPr>
          <w:spacing w:val="-2"/>
        </w:rPr>
        <w:t> </w:t>
      </w:r>
      <w:r>
        <w:rPr/>
        <w:t>COVID-19.</w:t>
      </w:r>
    </w:p>
    <w:p>
      <w:pPr>
        <w:pStyle w:val="BodyText"/>
        <w:spacing w:before="2"/>
        <w:ind w:left="112" w:right="675"/>
        <w:jc w:val="right"/>
      </w:pPr>
      <w:r>
        <w:rPr/>
        <w:t>При выявлении внебольничной пневмонии, ОРВИ или положительном тесте</w:t>
      </w:r>
      <w:r>
        <w:rPr>
          <w:spacing w:val="14"/>
        </w:rPr>
        <w:t> </w:t>
      </w:r>
      <w:r>
        <w:rPr/>
        <w:t>на</w:t>
      </w:r>
    </w:p>
    <w:p>
      <w:pPr>
        <w:pStyle w:val="BodyText"/>
        <w:spacing w:before="81"/>
        <w:ind w:left="112" w:right="675"/>
        <w:jc w:val="right"/>
      </w:pPr>
      <w:r>
        <w:rPr/>
        <w:t>COVID-19 </w:t>
      </w:r>
      <w:r>
        <w:rPr>
          <w:spacing w:val="11"/>
        </w:rPr>
        <w:t> </w:t>
      </w:r>
      <w:r>
        <w:rPr/>
        <w:t>больной </w:t>
      </w:r>
      <w:r>
        <w:rPr>
          <w:spacing w:val="13"/>
        </w:rPr>
        <w:t> </w:t>
      </w:r>
      <w:r>
        <w:rPr/>
        <w:t>переводится </w:t>
      </w:r>
      <w:r>
        <w:rPr>
          <w:spacing w:val="12"/>
        </w:rPr>
        <w:t> </w:t>
      </w:r>
      <w:r>
        <w:rPr/>
        <w:t>для </w:t>
      </w:r>
      <w:r>
        <w:rPr>
          <w:spacing w:val="12"/>
        </w:rPr>
        <w:t> </w:t>
      </w:r>
      <w:r>
        <w:rPr/>
        <w:t>оказания </w:t>
      </w:r>
      <w:r>
        <w:rPr>
          <w:spacing w:val="12"/>
        </w:rPr>
        <w:t> </w:t>
      </w:r>
      <w:r>
        <w:rPr/>
        <w:t>экстренной </w:t>
      </w:r>
      <w:r>
        <w:rPr>
          <w:spacing w:val="11"/>
        </w:rPr>
        <w:t> </w:t>
      </w:r>
      <w:r>
        <w:rPr/>
        <w:t>хирургической </w:t>
      </w:r>
      <w:r>
        <w:rPr>
          <w:spacing w:val="13"/>
        </w:rPr>
        <w:t> </w:t>
      </w:r>
      <w:r>
        <w:rPr/>
        <w:t>помощи</w:t>
      </w:r>
    </w:p>
    <w:p>
      <w:pPr>
        <w:spacing w:after="0"/>
        <w:jc w:val="right"/>
        <w:sectPr>
          <w:pgSz w:w="11920" w:h="16850"/>
          <w:pgMar w:header="0" w:footer="620" w:top="1060" w:bottom="880" w:left="1380" w:right="600"/>
        </w:sectPr>
      </w:pPr>
    </w:p>
    <w:p>
      <w:pPr>
        <w:pStyle w:val="BodyText"/>
        <w:spacing w:line="312" w:lineRule="auto" w:before="78"/>
        <w:ind w:right="676"/>
      </w:pPr>
      <w:r>
        <w:rPr/>
        <w:t>в многопрофильную инфекционную больницу или перепрофилированный многопрофильный  стационар  для  оказания  помощи  больным  с  COVID-19,   куда, в случае необходимости, может быть вызвана специализированная хирургическая бригада.</w:t>
      </w:r>
    </w:p>
    <w:p>
      <w:pPr>
        <w:pStyle w:val="BodyText"/>
        <w:spacing w:line="312" w:lineRule="auto"/>
        <w:ind w:right="675" w:firstLine="708"/>
      </w:pPr>
      <w:r>
        <w:rPr/>
        <w:t>В случае жизнеугрожающей ситуации и невозможности транспортировки, помощь оказывается на месте с соблюдением всех санитарно-эпидемиологических мероприятий. В послеоперационном периоде пациент помещается в изолированный бокс или боксированное отделение, откуда осуществляется перевод в инфекционный или перепрофилированный многопрофильный стационар для оказания помощи больным с COVID-19 после стабилизации состояния.</w:t>
      </w:r>
    </w:p>
    <w:p>
      <w:pPr>
        <w:pStyle w:val="BodyText"/>
        <w:spacing w:before="10"/>
        <w:ind w:left="0"/>
        <w:jc w:val="left"/>
        <w:rPr>
          <w:sz w:val="20"/>
        </w:rPr>
      </w:pPr>
    </w:p>
    <w:p>
      <w:pPr>
        <w:pStyle w:val="Heading3"/>
        <w:spacing w:line="259" w:lineRule="auto"/>
        <w:ind w:right="1234"/>
      </w:pPr>
      <w:bookmarkStart w:name="Меры предосторожности для обеспечения бе" w:id="187"/>
      <w:bookmarkEnd w:id="187"/>
      <w:r>
        <w:rPr>
          <w:b w:val="0"/>
        </w:rPr>
      </w:r>
      <w:r>
        <w:rPr>
          <w:color w:val="1F487C"/>
        </w:rPr>
        <w:t>Меры предосторожности для обеспечения безопасности медицинского персонала при оказании экстренной хирургической помощи</w:t>
      </w:r>
    </w:p>
    <w:p>
      <w:pPr>
        <w:pStyle w:val="BodyText"/>
        <w:spacing w:line="312" w:lineRule="auto" w:before="119"/>
        <w:ind w:right="674" w:firstLine="708"/>
      </w:pPr>
      <w:r>
        <w:rPr/>
        <w:t>Образование мельчайших жидких частиц (аэрозолей) в ходе медицинских процедур может представлять угрозу для медицинского персонала из-за возможного содержания в аэрозоли SARS-CoV-2. Следующие процедуры считаются потенциально опасными в отношении образования аэрозолей, содержащих COVID-19:</w:t>
      </w:r>
    </w:p>
    <w:p>
      <w:pPr>
        <w:pStyle w:val="BodyText"/>
        <w:spacing w:before="3"/>
        <w:ind w:left="0"/>
        <w:jc w:val="left"/>
        <w:rPr>
          <w:sz w:val="31"/>
        </w:rPr>
      </w:pPr>
    </w:p>
    <w:p>
      <w:pPr>
        <w:pStyle w:val="ListParagraph"/>
        <w:numPr>
          <w:ilvl w:val="0"/>
          <w:numId w:val="38"/>
        </w:numPr>
        <w:tabs>
          <w:tab w:pos="1001" w:val="left" w:leader="none"/>
        </w:tabs>
        <w:spacing w:line="304" w:lineRule="auto" w:before="1" w:after="0"/>
        <w:ind w:left="1000" w:right="675" w:hanging="339"/>
        <w:jc w:val="both"/>
        <w:rPr>
          <w:sz w:val="24"/>
        </w:rPr>
      </w:pPr>
      <w:r>
        <w:rPr>
          <w:sz w:val="24"/>
        </w:rPr>
        <w:t>Эндоскопия верхних отделов ЖКТ, подразумевающая открытую аспирацию содержимого верхних дыхательных</w:t>
      </w:r>
      <w:r>
        <w:rPr>
          <w:spacing w:val="1"/>
          <w:sz w:val="24"/>
        </w:rPr>
        <w:t> </w:t>
      </w:r>
      <w:r>
        <w:rPr>
          <w:sz w:val="24"/>
        </w:rPr>
        <w:t>путей;</w:t>
      </w:r>
    </w:p>
    <w:p>
      <w:pPr>
        <w:pStyle w:val="ListParagraph"/>
        <w:numPr>
          <w:ilvl w:val="0"/>
          <w:numId w:val="38"/>
        </w:numPr>
        <w:tabs>
          <w:tab w:pos="1001" w:val="left" w:leader="none"/>
        </w:tabs>
        <w:spacing w:line="304" w:lineRule="auto" w:before="13" w:after="0"/>
        <w:ind w:left="1000" w:right="674" w:hanging="339"/>
        <w:jc w:val="both"/>
        <w:rPr>
          <w:sz w:val="24"/>
        </w:rPr>
      </w:pPr>
      <w:r>
        <w:rPr>
          <w:sz w:val="24"/>
        </w:rPr>
        <w:t>Хирургические операции с использованием высокоскоростных устройств (пилы и</w:t>
      </w:r>
      <w:r>
        <w:rPr>
          <w:spacing w:val="1"/>
          <w:sz w:val="24"/>
        </w:rPr>
        <w:t> </w:t>
      </w:r>
      <w:r>
        <w:rPr>
          <w:sz w:val="24"/>
        </w:rPr>
        <w:t>пр.);</w:t>
      </w:r>
    </w:p>
    <w:p>
      <w:pPr>
        <w:pStyle w:val="ListParagraph"/>
        <w:numPr>
          <w:ilvl w:val="0"/>
          <w:numId w:val="38"/>
        </w:numPr>
        <w:tabs>
          <w:tab w:pos="1001" w:val="left" w:leader="none"/>
        </w:tabs>
        <w:spacing w:line="304" w:lineRule="auto" w:before="10" w:after="0"/>
        <w:ind w:left="1000" w:right="674" w:hanging="339"/>
        <w:jc w:val="both"/>
        <w:rPr>
          <w:sz w:val="24"/>
        </w:rPr>
      </w:pPr>
      <w:r>
        <w:rPr>
          <w:sz w:val="24"/>
        </w:rPr>
        <w:t>Некоторые экстренные стоматологические манипуляции (например, высокоскоростное</w:t>
      </w:r>
      <w:r>
        <w:rPr>
          <w:spacing w:val="-2"/>
          <w:sz w:val="24"/>
        </w:rPr>
        <w:t> </w:t>
      </w:r>
      <w:r>
        <w:rPr>
          <w:sz w:val="24"/>
        </w:rPr>
        <w:t>сверление);</w:t>
      </w:r>
    </w:p>
    <w:p>
      <w:pPr>
        <w:pStyle w:val="ListParagraph"/>
        <w:numPr>
          <w:ilvl w:val="0"/>
          <w:numId w:val="38"/>
        </w:numPr>
        <w:tabs>
          <w:tab w:pos="1001" w:val="left" w:leader="none"/>
        </w:tabs>
        <w:spacing w:line="309" w:lineRule="auto" w:before="11" w:after="0"/>
        <w:ind w:left="1000" w:right="674" w:hanging="339"/>
        <w:jc w:val="both"/>
        <w:rPr>
          <w:sz w:val="24"/>
        </w:rPr>
      </w:pPr>
      <w:r>
        <w:rPr>
          <w:sz w:val="24"/>
        </w:rPr>
        <w:t>Неинвазивная      вентиляция,      например,       двухуровневая       вентиляция   с положительным давлением в дыхательных путях и непрерывная вентиляция   с положительным давлением в дыхательных путях, вентиляция высокочастотными колебаниями;</w:t>
      </w:r>
    </w:p>
    <w:p>
      <w:pPr>
        <w:pStyle w:val="ListParagraph"/>
        <w:numPr>
          <w:ilvl w:val="0"/>
          <w:numId w:val="38"/>
        </w:numPr>
        <w:tabs>
          <w:tab w:pos="1001" w:val="left" w:leader="none"/>
        </w:tabs>
        <w:spacing w:line="240" w:lineRule="auto" w:before="4" w:after="0"/>
        <w:ind w:left="1000" w:right="0" w:hanging="339"/>
        <w:jc w:val="both"/>
        <w:rPr>
          <w:sz w:val="24"/>
        </w:rPr>
      </w:pPr>
      <w:r>
        <w:rPr>
          <w:sz w:val="24"/>
        </w:rPr>
        <w:t>Стимуляция отхождения</w:t>
      </w:r>
      <w:r>
        <w:rPr>
          <w:spacing w:val="-1"/>
          <w:sz w:val="24"/>
        </w:rPr>
        <w:t> </w:t>
      </w:r>
      <w:r>
        <w:rPr>
          <w:sz w:val="24"/>
        </w:rPr>
        <w:t>мокроты;</w:t>
      </w:r>
    </w:p>
    <w:p>
      <w:pPr>
        <w:pStyle w:val="ListParagraph"/>
        <w:numPr>
          <w:ilvl w:val="0"/>
          <w:numId w:val="38"/>
        </w:numPr>
        <w:tabs>
          <w:tab w:pos="1001" w:val="left" w:leader="none"/>
        </w:tabs>
        <w:spacing w:line="240" w:lineRule="auto" w:before="83" w:after="0"/>
        <w:ind w:left="1000" w:right="0" w:hanging="339"/>
        <w:jc w:val="both"/>
        <w:rPr>
          <w:sz w:val="24"/>
        </w:rPr>
      </w:pPr>
      <w:r>
        <w:rPr>
          <w:sz w:val="24"/>
        </w:rPr>
        <w:t>Высокопоточная назальная</w:t>
      </w:r>
      <w:r>
        <w:rPr>
          <w:spacing w:val="-1"/>
          <w:sz w:val="24"/>
        </w:rPr>
        <w:t> </w:t>
      </w:r>
      <w:r>
        <w:rPr>
          <w:sz w:val="24"/>
        </w:rPr>
        <w:t>оксигенация.</w:t>
      </w:r>
    </w:p>
    <w:p>
      <w:pPr>
        <w:pStyle w:val="BodyText"/>
        <w:spacing w:before="4"/>
        <w:ind w:left="0"/>
        <w:jc w:val="left"/>
        <w:rPr>
          <w:sz w:val="39"/>
        </w:rPr>
      </w:pPr>
    </w:p>
    <w:p>
      <w:pPr>
        <w:pStyle w:val="BodyText"/>
        <w:spacing w:line="312" w:lineRule="auto"/>
        <w:ind w:right="677" w:firstLine="708"/>
      </w:pPr>
      <w:r>
        <w:rPr/>
        <w:t>Для пациентов с подозрительным или подтвержденным случаем COVID-19 любой</w:t>
      </w:r>
      <w:r>
        <w:rPr>
          <w:spacing w:val="-17"/>
        </w:rPr>
        <w:t> </w:t>
      </w:r>
      <w:r>
        <w:rPr/>
        <w:t>из</w:t>
      </w:r>
      <w:r>
        <w:rPr>
          <w:spacing w:val="-17"/>
        </w:rPr>
        <w:t> </w:t>
      </w:r>
      <w:r>
        <w:rPr/>
        <w:t>этих</w:t>
      </w:r>
      <w:r>
        <w:rPr>
          <w:spacing w:val="-15"/>
        </w:rPr>
        <w:t> </w:t>
      </w:r>
      <w:r>
        <w:rPr/>
        <w:t>потенциально</w:t>
      </w:r>
      <w:r>
        <w:rPr>
          <w:spacing w:val="-18"/>
        </w:rPr>
        <w:t> </w:t>
      </w:r>
      <w:r>
        <w:rPr/>
        <w:t>инфекционных</w:t>
      </w:r>
      <w:r>
        <w:rPr>
          <w:spacing w:val="-14"/>
        </w:rPr>
        <w:t> </w:t>
      </w:r>
      <w:r>
        <w:rPr/>
        <w:t>процедур</w:t>
      </w:r>
      <w:r>
        <w:rPr>
          <w:spacing w:val="-18"/>
        </w:rPr>
        <w:t> </w:t>
      </w:r>
      <w:r>
        <w:rPr/>
        <w:t>с</w:t>
      </w:r>
      <w:r>
        <w:rPr>
          <w:spacing w:val="-19"/>
        </w:rPr>
        <w:t> </w:t>
      </w:r>
      <w:r>
        <w:rPr/>
        <w:t>образованием</w:t>
      </w:r>
      <w:r>
        <w:rPr>
          <w:spacing w:val="-16"/>
        </w:rPr>
        <w:t> </w:t>
      </w:r>
      <w:r>
        <w:rPr/>
        <w:t>аэрозоли</w:t>
      </w:r>
      <w:r>
        <w:rPr>
          <w:spacing w:val="-16"/>
        </w:rPr>
        <w:t> </w:t>
      </w:r>
      <w:r>
        <w:rPr/>
        <w:t>следует проводить только в случае крайней</w:t>
      </w:r>
      <w:r>
        <w:rPr>
          <w:spacing w:val="-2"/>
        </w:rPr>
        <w:t> </w:t>
      </w:r>
      <w:r>
        <w:rPr/>
        <w:t>необходимости.</w:t>
      </w:r>
    </w:p>
    <w:p>
      <w:pPr>
        <w:pStyle w:val="BodyText"/>
        <w:spacing w:line="312" w:lineRule="auto"/>
        <w:ind w:right="674" w:firstLine="708"/>
      </w:pPr>
      <w:r>
        <w:rPr/>
        <w:t>Рекомендуется, чтобы вентиляция как в ламинарном потоке, так и в обычных вентилируемых помещениях, была полностью включена во время хирургических манипуляций, особенно, если пациент инфицирован SARS-CoV-2. Максимальная вентиляция в операционной позволит защитить медицинский персонал от заражения вирусом. Воздух, выходящий из операционных в прилегающие больничные</w:t>
      </w:r>
    </w:p>
    <w:p>
      <w:pPr>
        <w:spacing w:after="0" w:line="312" w:lineRule="auto"/>
        <w:sectPr>
          <w:pgSz w:w="11920" w:h="16850"/>
          <w:pgMar w:header="0" w:footer="620" w:top="1060" w:bottom="880" w:left="1380" w:right="600"/>
        </w:sectPr>
      </w:pPr>
    </w:p>
    <w:p>
      <w:pPr>
        <w:pStyle w:val="BodyText"/>
        <w:spacing w:line="312" w:lineRule="auto" w:before="78"/>
        <w:ind w:right="1115"/>
        <w:jc w:val="left"/>
      </w:pPr>
      <w:r>
        <w:rPr/>
        <w:t>территории, будет сильно разбавлен и не должен рассматриваться в качестве возможного инфекционного агента.</w:t>
      </w:r>
    </w:p>
    <w:p>
      <w:pPr>
        <w:pStyle w:val="BodyText"/>
        <w:spacing w:before="10"/>
        <w:ind w:left="0"/>
        <w:jc w:val="left"/>
        <w:rPr>
          <w:sz w:val="20"/>
        </w:rPr>
      </w:pPr>
    </w:p>
    <w:p>
      <w:pPr>
        <w:pStyle w:val="Heading3"/>
        <w:spacing w:line="259" w:lineRule="auto"/>
        <w:ind w:right="685"/>
      </w:pPr>
      <w:bookmarkStart w:name="Профилактика образования и высвобождения" w:id="188"/>
      <w:bookmarkEnd w:id="188"/>
      <w:r>
        <w:rPr>
          <w:b w:val="0"/>
        </w:rPr>
      </w:r>
      <w:r>
        <w:rPr>
          <w:color w:val="1F487C"/>
        </w:rPr>
        <w:t>Профилактика образования и высвобождения мельчайших жидких частиц (аэрозолей) в ходе хирургического вмешательств</w:t>
      </w:r>
    </w:p>
    <w:p>
      <w:pPr>
        <w:pStyle w:val="BodyText"/>
        <w:spacing w:line="312" w:lineRule="auto" w:before="119"/>
        <w:ind w:right="674" w:firstLine="708"/>
      </w:pPr>
      <w:r>
        <w:rPr/>
        <w:t>Интраоперационное выделение хирургического дыма может нести в себе мельчайшие частицы вируса. С целью уменьшения выделения хирургического дыма, рекомендовано максимально снизить мощность электрокоагуляции. В ряде исследований было доказано, что в хирургическом дыме обнаруживаются коринебактерии, папилломавирус и ВИЧ. Известно, что концентрация дыма при проведении лапароскопической операции значительно выше, чем при открытых вмешательствах.  Уменьшение   пневмоперитонеума   в   конце   операции   позволяет в значительной степени снизить риск распространения мельчайших жидких частиц, особенно при резком извлечении троакаров и/или в ходе замены лапароскопических инструментов. С технической точки зрения должны применяться интеллектуальные проточные системы, позволяющие поддерживать внутрибрюшное давление на предельно низком уровне и эвакуирующим дым. Классические аспирационные системы, наоборот, подвержены более высокому риску передачи мельчайших частиц SARS-CoV-2.</w:t>
      </w:r>
    </w:p>
    <w:p>
      <w:pPr>
        <w:pStyle w:val="BodyText"/>
        <w:spacing w:line="312" w:lineRule="auto" w:before="1"/>
        <w:ind w:right="676" w:firstLine="708"/>
      </w:pPr>
      <w:r>
        <w:rPr/>
        <w:t>Предпочтительно  минимизировать  различные  манипуляции   с  кишечником, а также его вскрытие во время хирургических процедур, которые этого не предусматривают. Это особенно важно при выполнении лапароскопических </w:t>
      </w:r>
      <w:r>
        <w:rPr>
          <w:position w:val="2"/>
        </w:rPr>
        <w:t>манипуляций, чтобы снизить риск диффузии вируса в режиме инсуффляции</w:t>
      </w:r>
      <w:r>
        <w:rPr>
          <w:spacing w:val="-10"/>
          <w:position w:val="2"/>
        </w:rPr>
        <w:t> </w:t>
      </w:r>
      <w:r>
        <w:rPr>
          <w:position w:val="2"/>
        </w:rPr>
        <w:t>CO</w:t>
      </w:r>
      <w:r>
        <w:rPr>
          <w:sz w:val="16"/>
        </w:rPr>
        <w:t>2</w:t>
      </w:r>
      <w:r>
        <w:rPr>
          <w:position w:val="2"/>
        </w:rPr>
        <w:t>.</w:t>
      </w:r>
    </w:p>
    <w:p>
      <w:pPr>
        <w:pStyle w:val="BodyText"/>
        <w:spacing w:line="312" w:lineRule="auto"/>
        <w:ind w:right="677" w:firstLine="708"/>
      </w:pPr>
      <w:r>
        <w:rPr/>
        <w:t>До настоящего момента не было ни одного факта передачи заболевания через мочу, тем не менее дренирование мочевого пузыря и/или мочеточника во время операций следует проводить с осторожностью, особенно в случае наличия пневмоперитонеума.</w:t>
      </w:r>
    </w:p>
    <w:p>
      <w:pPr>
        <w:pStyle w:val="BodyText"/>
        <w:spacing w:before="7"/>
        <w:ind w:left="0"/>
        <w:jc w:val="left"/>
        <w:rPr>
          <w:sz w:val="20"/>
        </w:rPr>
      </w:pPr>
    </w:p>
    <w:p>
      <w:pPr>
        <w:pStyle w:val="Heading3"/>
      </w:pPr>
      <w:bookmarkStart w:name="Защита медицинского персонала в операцио" w:id="189"/>
      <w:bookmarkEnd w:id="189"/>
      <w:r>
        <w:rPr>
          <w:b w:val="0"/>
        </w:rPr>
      </w:r>
      <w:r>
        <w:rPr>
          <w:color w:val="1F487C"/>
        </w:rPr>
        <w:t>Защита медицинского персонала в операционных</w:t>
      </w:r>
    </w:p>
    <w:p>
      <w:pPr>
        <w:pStyle w:val="BodyText"/>
        <w:spacing w:line="312" w:lineRule="auto" w:before="142"/>
        <w:ind w:right="674" w:firstLine="708"/>
      </w:pPr>
      <w:r>
        <w:rPr/>
        <w:t>Вся хирургическая бригада (включая хирургов, анестезиологов и медсестер) должна   использовать   дополнительные   СИЗ   при   оперативных    вмешательствах у больных  с коронавирусной  инфекцией. Защитные очки, маска FFP2/3 (в т.ч. маска  с защитным козырьком) и защитная одежда (комбинезон) представляют собой необходимые предметы в случае выполнения любой инвазивной операции, выполняемой во время чрезвычайной ситуации с COVID-19. Хирурги должны минимизировать любые контакты с биологическими жидкостями пациента. Также необходимо</w:t>
      </w:r>
      <w:r>
        <w:rPr>
          <w:spacing w:val="-7"/>
        </w:rPr>
        <w:t> </w:t>
      </w:r>
      <w:r>
        <w:rPr/>
        <w:t>проводить</w:t>
      </w:r>
      <w:r>
        <w:rPr>
          <w:spacing w:val="-9"/>
        </w:rPr>
        <w:t> </w:t>
      </w:r>
      <w:r>
        <w:rPr/>
        <w:t>тщательную</w:t>
      </w:r>
      <w:r>
        <w:rPr>
          <w:spacing w:val="-7"/>
        </w:rPr>
        <w:t> </w:t>
      </w:r>
      <w:r>
        <w:rPr/>
        <w:t>очистку</w:t>
      </w:r>
      <w:r>
        <w:rPr>
          <w:spacing w:val="-12"/>
        </w:rPr>
        <w:t> </w:t>
      </w:r>
      <w:r>
        <w:rPr/>
        <w:t>и</w:t>
      </w:r>
      <w:r>
        <w:rPr>
          <w:spacing w:val="-4"/>
        </w:rPr>
        <w:t> </w:t>
      </w:r>
      <w:r>
        <w:rPr/>
        <w:t>дезинфекцию</w:t>
      </w:r>
      <w:r>
        <w:rPr>
          <w:spacing w:val="-7"/>
        </w:rPr>
        <w:t> </w:t>
      </w:r>
      <w:r>
        <w:rPr/>
        <w:t>всего</w:t>
      </w:r>
      <w:r>
        <w:rPr>
          <w:spacing w:val="-7"/>
        </w:rPr>
        <w:t> </w:t>
      </w:r>
      <w:r>
        <w:rPr/>
        <w:t>оборудования,</w:t>
      </w:r>
      <w:r>
        <w:rPr>
          <w:spacing w:val="-6"/>
        </w:rPr>
        <w:t> </w:t>
      </w:r>
      <w:r>
        <w:rPr/>
        <w:t>в</w:t>
      </w:r>
      <w:r>
        <w:rPr>
          <w:spacing w:val="-8"/>
        </w:rPr>
        <w:t> </w:t>
      </w:r>
      <w:r>
        <w:rPr/>
        <w:t>том числе лапароскопических, эндоскопических стоек и хирургических</w:t>
      </w:r>
      <w:r>
        <w:rPr>
          <w:spacing w:val="-4"/>
        </w:rPr>
        <w:t> </w:t>
      </w:r>
      <w:r>
        <w:rPr/>
        <w:t>консолей.</w:t>
      </w:r>
    </w:p>
    <w:p>
      <w:pPr>
        <w:spacing w:after="0" w:line="312" w:lineRule="auto"/>
        <w:sectPr>
          <w:pgSz w:w="11920" w:h="16850"/>
          <w:pgMar w:header="0" w:footer="620" w:top="1060" w:bottom="880" w:left="1380" w:right="600"/>
        </w:sectPr>
      </w:pPr>
    </w:p>
    <w:p>
      <w:pPr>
        <w:pStyle w:val="Heading2"/>
        <w:spacing w:line="300" w:lineRule="auto" w:before="59"/>
        <w:ind w:right="1979"/>
      </w:pPr>
      <w:bookmarkStart w:name="10. ПРАВИЛА ФОРМУЛИРОВКИ ДИАГНОЗА, КОДИР" w:id="190"/>
      <w:bookmarkEnd w:id="190"/>
      <w:r>
        <w:rPr>
          <w:b w:val="0"/>
        </w:rPr>
      </w:r>
      <w:bookmarkStart w:name="_bookmark42" w:id="191"/>
      <w:bookmarkEnd w:id="191"/>
      <w:r>
        <w:rPr>
          <w:b w:val="0"/>
        </w:rPr>
      </w:r>
      <w:r>
        <w:rPr>
          <w:color w:val="1F487C"/>
        </w:rPr>
        <w:t>10. ПРАВИЛА ФОРМУЛИРОВКИ ДИАГНОЗА, КОДИРОВАНИЯ ПО МКБ-10 И УЧЕТ ПАЦИЕНТОВ С COVID-19 В ИНФОРМАЦИОННОМ РЕСУРСЕ</w:t>
      </w:r>
    </w:p>
    <w:p>
      <w:pPr>
        <w:pStyle w:val="BodyText"/>
        <w:spacing w:line="312" w:lineRule="auto" w:before="119"/>
        <w:ind w:right="674" w:firstLine="708"/>
      </w:pPr>
      <w:r>
        <w:rPr/>
        <w:t>Для обеспечения достоверного статистического учета при наличии у пациента коронавирусной инфекции, или подозрения на нее, заключительный клинический, патологоанатомический и судебно-медицинский диагнозы должны быть сформулированы в соответствии с правилами МКБ-10.</w:t>
      </w:r>
    </w:p>
    <w:p>
      <w:pPr>
        <w:pStyle w:val="BodyText"/>
        <w:spacing w:line="312" w:lineRule="auto"/>
        <w:ind w:right="674" w:firstLine="708"/>
      </w:pPr>
      <w:r>
        <w:rPr/>
        <w:t>В</w:t>
      </w:r>
      <w:r>
        <w:rPr>
          <w:spacing w:val="-9"/>
        </w:rPr>
        <w:t> </w:t>
      </w:r>
      <w:r>
        <w:rPr/>
        <w:t>статистике</w:t>
      </w:r>
      <w:r>
        <w:rPr>
          <w:spacing w:val="-7"/>
        </w:rPr>
        <w:t> </w:t>
      </w:r>
      <w:r>
        <w:rPr/>
        <w:t>заболеваемости</w:t>
      </w:r>
      <w:r>
        <w:rPr>
          <w:spacing w:val="-5"/>
        </w:rPr>
        <w:t> </w:t>
      </w:r>
      <w:r>
        <w:rPr/>
        <w:t>в</w:t>
      </w:r>
      <w:r>
        <w:rPr>
          <w:spacing w:val="-8"/>
        </w:rPr>
        <w:t> </w:t>
      </w:r>
      <w:r>
        <w:rPr/>
        <w:t>конце</w:t>
      </w:r>
      <w:r>
        <w:rPr>
          <w:spacing w:val="-7"/>
        </w:rPr>
        <w:t> </w:t>
      </w:r>
      <w:r>
        <w:rPr/>
        <w:t>эпизода</w:t>
      </w:r>
      <w:r>
        <w:rPr>
          <w:spacing w:val="-10"/>
        </w:rPr>
        <w:t> </w:t>
      </w:r>
      <w:r>
        <w:rPr/>
        <w:t>оказания</w:t>
      </w:r>
      <w:r>
        <w:rPr>
          <w:spacing w:val="-6"/>
        </w:rPr>
        <w:t> </w:t>
      </w:r>
      <w:r>
        <w:rPr/>
        <w:t>медицинской</w:t>
      </w:r>
      <w:r>
        <w:rPr>
          <w:spacing w:val="-10"/>
        </w:rPr>
        <w:t> </w:t>
      </w:r>
      <w:r>
        <w:rPr/>
        <w:t>помощи</w:t>
      </w:r>
      <w:r>
        <w:rPr>
          <w:spacing w:val="-9"/>
        </w:rPr>
        <w:t> </w:t>
      </w:r>
      <w:r>
        <w:rPr/>
        <w:t>из нескольких имеющихся у пациента заболеваний при прочих равных условиях должно быть выбрано только одно заболевание в качестве основного, на долю которого пришлась наибольшая часть использованных ресурсов (том 2, стр.</w:t>
      </w:r>
      <w:r>
        <w:rPr>
          <w:spacing w:val="-4"/>
        </w:rPr>
        <w:t> </w:t>
      </w:r>
      <w:r>
        <w:rPr/>
        <w:t>107).</w:t>
      </w:r>
    </w:p>
    <w:p>
      <w:pPr>
        <w:pStyle w:val="BodyText"/>
        <w:spacing w:line="312" w:lineRule="auto"/>
        <w:ind w:right="676" w:firstLine="708"/>
      </w:pPr>
      <w:r>
        <w:rPr/>
        <w:t>Кодирование статистической информации при наличии подозрения или установленного</w:t>
      </w:r>
      <w:r>
        <w:rPr>
          <w:spacing w:val="-12"/>
        </w:rPr>
        <w:t> </w:t>
      </w:r>
      <w:r>
        <w:rPr/>
        <w:t>диагноза</w:t>
      </w:r>
      <w:r>
        <w:rPr>
          <w:spacing w:val="-11"/>
        </w:rPr>
        <w:t> </w:t>
      </w:r>
      <w:r>
        <w:rPr/>
        <w:t>COVID-19</w:t>
      </w:r>
      <w:r>
        <w:rPr>
          <w:spacing w:val="-9"/>
        </w:rPr>
        <w:t> </w:t>
      </w:r>
      <w:r>
        <w:rPr/>
        <w:t>осуществляется</w:t>
      </w:r>
      <w:r>
        <w:rPr>
          <w:spacing w:val="-11"/>
        </w:rPr>
        <w:t> </w:t>
      </w:r>
      <w:r>
        <w:rPr/>
        <w:t>в</w:t>
      </w:r>
      <w:r>
        <w:rPr>
          <w:spacing w:val="-9"/>
        </w:rPr>
        <w:t> </w:t>
      </w:r>
      <w:r>
        <w:rPr/>
        <w:t>соответствии</w:t>
      </w:r>
      <w:r>
        <w:rPr>
          <w:spacing w:val="-10"/>
        </w:rPr>
        <w:t> </w:t>
      </w:r>
      <w:r>
        <w:rPr/>
        <w:t>с</w:t>
      </w:r>
      <w:r>
        <w:rPr>
          <w:spacing w:val="-7"/>
        </w:rPr>
        <w:t> </w:t>
      </w:r>
      <w:r>
        <w:rPr/>
        <w:t>нижеследующим порядком:</w:t>
      </w:r>
    </w:p>
    <w:p>
      <w:pPr>
        <w:pStyle w:val="BodyText"/>
        <w:spacing w:line="312" w:lineRule="auto"/>
        <w:ind w:left="1029" w:right="675"/>
      </w:pPr>
      <w:r>
        <w:rPr>
          <w:b/>
        </w:rPr>
        <w:t>U07.1 </w:t>
      </w:r>
      <w:r>
        <w:rPr/>
        <w:t>– Коронавирусная инфекция COVID-19, вирус идентифицирован (подтвержден лабораторным тестированием независимо от тяжести клинических признаков или симптомов)</w:t>
      </w:r>
    </w:p>
    <w:p>
      <w:pPr>
        <w:pStyle w:val="BodyText"/>
        <w:spacing w:line="312" w:lineRule="auto"/>
        <w:ind w:left="1029" w:right="676"/>
      </w:pPr>
      <w:r>
        <w:rPr>
          <w:b/>
        </w:rPr>
        <w:t>U07.2 </w:t>
      </w:r>
      <w:r>
        <w:rPr/>
        <w:t>– Коронавирусная инфекция COVID-19, вирус не идентифицирован (COVID-19 диагностируется клинически или эпидемиологически, но лабораторные исследования неубедительны или недоступны)</w:t>
      </w:r>
    </w:p>
    <w:p>
      <w:pPr>
        <w:pStyle w:val="BodyText"/>
        <w:spacing w:line="275" w:lineRule="exact"/>
        <w:ind w:left="1029"/>
      </w:pPr>
      <w:r>
        <w:rPr>
          <w:b/>
        </w:rPr>
        <w:t>Z03.8 </w:t>
      </w:r>
      <w:r>
        <w:rPr/>
        <w:t>– Наблюдение при подозрении на коронавирусную инфекцию</w:t>
      </w:r>
    </w:p>
    <w:p>
      <w:pPr>
        <w:pStyle w:val="BodyText"/>
        <w:spacing w:before="84"/>
        <w:ind w:left="1029"/>
      </w:pPr>
      <w:r>
        <w:rPr>
          <w:b/>
        </w:rPr>
        <w:t>Z22.8 </w:t>
      </w:r>
      <w:r>
        <w:rPr/>
        <w:t>– Носительство возбудителя коронавирусной инфекции</w:t>
      </w:r>
    </w:p>
    <w:p>
      <w:pPr>
        <w:pStyle w:val="BodyText"/>
        <w:spacing w:before="82"/>
        <w:ind w:left="1029"/>
      </w:pPr>
      <w:r>
        <w:rPr>
          <w:b/>
        </w:rPr>
        <w:t>Z20.8 </w:t>
      </w:r>
      <w:r>
        <w:rPr/>
        <w:t>– Контакт с больным коронавирусной инфекцией</w:t>
      </w:r>
    </w:p>
    <w:p>
      <w:pPr>
        <w:pStyle w:val="BodyText"/>
        <w:spacing w:line="312" w:lineRule="auto" w:before="84"/>
        <w:ind w:right="678" w:firstLine="708"/>
      </w:pPr>
      <w:r>
        <w:rPr>
          <w:b/>
        </w:rPr>
        <w:t>Z11.5 </w:t>
      </w:r>
      <w:r>
        <w:rPr/>
        <w:t>– Скрининговое обследование с целью выявления коронавирусной инфекции</w:t>
      </w:r>
    </w:p>
    <w:p>
      <w:pPr>
        <w:pStyle w:val="BodyText"/>
        <w:spacing w:line="312" w:lineRule="auto"/>
        <w:ind w:left="1029" w:right="1875"/>
        <w:jc w:val="left"/>
      </w:pPr>
      <w:r>
        <w:rPr>
          <w:b/>
        </w:rPr>
        <w:t>В34.2 </w:t>
      </w:r>
      <w:r>
        <w:rPr/>
        <w:t>– Коронавирусная инфекция неуточненная (кроме COVID-19) </w:t>
      </w:r>
      <w:r>
        <w:rPr>
          <w:b/>
        </w:rPr>
        <w:t>В33.8 </w:t>
      </w:r>
      <w:r>
        <w:rPr/>
        <w:t>– Коронавирусная инфекция уточненная (кроме COVID-19) </w:t>
      </w:r>
      <w:r>
        <w:rPr>
          <w:b/>
        </w:rPr>
        <w:t>Z29.0 </w:t>
      </w:r>
      <w:r>
        <w:rPr/>
        <w:t>– Изоляция</w:t>
      </w:r>
    </w:p>
    <w:p>
      <w:pPr>
        <w:pStyle w:val="BodyText"/>
        <w:spacing w:line="312" w:lineRule="auto"/>
        <w:ind w:right="676" w:firstLine="708"/>
      </w:pPr>
      <w:r>
        <w:rPr/>
        <w:t>При наличии пневмонии, вызванной COVID-19, рубрики </w:t>
      </w:r>
      <w:r>
        <w:rPr>
          <w:b/>
        </w:rPr>
        <w:t>J12-J18 </w:t>
      </w:r>
      <w:r>
        <w:rPr/>
        <w:t>используются в качестве дополнительных кодов. При летальных исходах рубрики XXI класса МКБ-10 не используются.</w:t>
      </w:r>
    </w:p>
    <w:p>
      <w:pPr>
        <w:pStyle w:val="BodyText"/>
        <w:spacing w:line="312" w:lineRule="auto"/>
        <w:ind w:right="674" w:firstLine="708"/>
      </w:pPr>
      <w:r>
        <w:rPr/>
        <w:t>Первичная медицинская документация (Талон пациента, получающего медицинскую помощь в амбулаторных условиях – форма № 025-1/у; Статистическая карта выбывшего из стационара – форма № 066/у) заполняется в установленном порядке. Дополнительные коды проставляются ручным способом в правом верхнем углу.</w:t>
      </w:r>
    </w:p>
    <w:p>
      <w:pPr>
        <w:pStyle w:val="BodyText"/>
        <w:spacing w:before="9"/>
        <w:ind w:left="0"/>
        <w:jc w:val="left"/>
        <w:rPr>
          <w:sz w:val="20"/>
        </w:rPr>
      </w:pPr>
    </w:p>
    <w:p>
      <w:pPr>
        <w:pStyle w:val="Heading3"/>
        <w:jc w:val="left"/>
      </w:pPr>
      <w:bookmarkStart w:name="Примеры формулировки диагнозов и кодиров" w:id="192"/>
      <w:bookmarkEnd w:id="192"/>
      <w:r>
        <w:rPr>
          <w:b w:val="0"/>
        </w:rPr>
      </w:r>
      <w:r>
        <w:rPr>
          <w:color w:val="1F487C"/>
        </w:rPr>
        <w:t>Примеры формулировки диагнозов и кодирование CОVID-19 по МКБ-10:</w:t>
      </w:r>
    </w:p>
    <w:p>
      <w:pPr>
        <w:spacing w:after="0"/>
        <w:jc w:val="left"/>
        <w:sectPr>
          <w:pgSz w:w="11920" w:h="16850"/>
          <w:pgMar w:header="0" w:footer="620" w:top="1080" w:bottom="880" w:left="1380" w:right="600"/>
        </w:sectPr>
      </w:pPr>
    </w:p>
    <w:p>
      <w:pPr>
        <w:spacing w:before="78"/>
        <w:ind w:left="1029" w:right="0" w:firstLine="0"/>
        <w:jc w:val="left"/>
        <w:rPr>
          <w:b/>
          <w:sz w:val="24"/>
        </w:rPr>
      </w:pPr>
      <w:r>
        <w:rPr>
          <w:b/>
          <w:color w:val="1F4E79"/>
          <w:sz w:val="24"/>
        </w:rPr>
        <w:t>Пример 1.</w:t>
      </w:r>
    </w:p>
    <w:p>
      <w:pPr>
        <w:spacing w:line="312" w:lineRule="auto" w:before="82"/>
        <w:ind w:left="321" w:right="0" w:firstLine="0"/>
        <w:jc w:val="left"/>
        <w:rPr>
          <w:b/>
          <w:sz w:val="24"/>
        </w:rPr>
      </w:pPr>
      <w:r>
        <w:rPr>
          <w:b/>
          <w:sz w:val="24"/>
        </w:rPr>
        <w:t>Основное заболевание: </w:t>
      </w:r>
      <w:r>
        <w:rPr>
          <w:sz w:val="24"/>
        </w:rPr>
        <w:t>Коронавирусная инфекция CОVID-19 (подтвержденная), среднетяжелая форма </w:t>
      </w:r>
      <w:r>
        <w:rPr>
          <w:b/>
          <w:sz w:val="24"/>
        </w:rPr>
        <w:t>U07.1.</w:t>
      </w:r>
    </w:p>
    <w:p>
      <w:pPr>
        <w:pStyle w:val="BodyText"/>
        <w:spacing w:line="312" w:lineRule="auto"/>
        <w:ind w:right="615"/>
        <w:jc w:val="left"/>
      </w:pPr>
      <w:r>
        <w:rPr>
          <w:b/>
        </w:rPr>
        <w:t>Осложнения: </w:t>
      </w:r>
      <w:r>
        <w:rPr/>
        <w:t>Двусторонняя пневмония, острый респираторный дистресс-синдром, острая дыхательная недостаточность.</w:t>
      </w:r>
    </w:p>
    <w:p>
      <w:pPr>
        <w:tabs>
          <w:tab w:pos="2330" w:val="left" w:leader="none"/>
          <w:tab w:pos="4003" w:val="left" w:leader="none"/>
          <w:tab w:pos="6023" w:val="left" w:leader="none"/>
          <w:tab w:pos="7818" w:val="left" w:leader="none"/>
        </w:tabs>
        <w:spacing w:line="312" w:lineRule="auto" w:before="0"/>
        <w:ind w:left="321" w:right="674" w:firstLine="0"/>
        <w:jc w:val="left"/>
        <w:rPr>
          <w:sz w:val="24"/>
        </w:rPr>
      </w:pPr>
      <w:r>
        <w:rPr>
          <w:b/>
          <w:sz w:val="24"/>
        </w:rPr>
        <w:t>Сопутствующие</w:t>
        <w:tab/>
        <w:t>заболевания:</w:t>
        <w:tab/>
      </w:r>
      <w:r>
        <w:rPr>
          <w:sz w:val="24"/>
        </w:rPr>
        <w:t>Постинфарктный</w:t>
        <w:tab/>
        <w:t>кардиосклероз.</w:t>
        <w:tab/>
      </w:r>
      <w:r>
        <w:rPr>
          <w:spacing w:val="-3"/>
          <w:sz w:val="24"/>
        </w:rPr>
        <w:t>Артериальная </w:t>
      </w:r>
      <w:r>
        <w:rPr>
          <w:sz w:val="24"/>
        </w:rPr>
        <w:t>гипертензия.</w:t>
      </w:r>
    </w:p>
    <w:p>
      <w:pPr>
        <w:pStyle w:val="BodyText"/>
        <w:spacing w:before="3"/>
        <w:ind w:left="0"/>
        <w:jc w:val="left"/>
        <w:rPr>
          <w:sz w:val="31"/>
        </w:rPr>
      </w:pPr>
    </w:p>
    <w:p>
      <w:pPr>
        <w:pStyle w:val="Heading3"/>
        <w:jc w:val="left"/>
      </w:pPr>
      <w:r>
        <w:rPr>
          <w:color w:val="1F4E79"/>
        </w:rPr>
        <w:t>Пример 2.</w:t>
      </w:r>
    </w:p>
    <w:p>
      <w:pPr>
        <w:spacing w:before="82"/>
        <w:ind w:left="321" w:right="0" w:firstLine="0"/>
        <w:jc w:val="left"/>
        <w:rPr>
          <w:sz w:val="24"/>
        </w:rPr>
      </w:pPr>
      <w:r>
        <w:rPr>
          <w:b/>
          <w:sz w:val="24"/>
        </w:rPr>
        <w:t>Основное заболевание: </w:t>
      </w:r>
      <w:r>
        <w:rPr>
          <w:sz w:val="24"/>
        </w:rPr>
        <w:t>Подозрение на коронавирусную инфекцию, тяжелое течение</w:t>
      </w:r>
    </w:p>
    <w:p>
      <w:pPr>
        <w:pStyle w:val="Heading3"/>
        <w:spacing w:before="84"/>
        <w:ind w:left="321"/>
        <w:jc w:val="left"/>
      </w:pPr>
      <w:r>
        <w:rPr/>
        <w:t>U07.2.</w:t>
      </w:r>
    </w:p>
    <w:p>
      <w:pPr>
        <w:spacing w:before="82"/>
        <w:ind w:left="321" w:right="0" w:firstLine="0"/>
        <w:jc w:val="left"/>
        <w:rPr>
          <w:sz w:val="24"/>
        </w:rPr>
      </w:pPr>
      <w:r>
        <w:rPr>
          <w:b/>
          <w:sz w:val="24"/>
        </w:rPr>
        <w:t>Фоновое заболевание: </w:t>
      </w:r>
      <w:r>
        <w:rPr>
          <w:sz w:val="24"/>
        </w:rPr>
        <w:t>Сахарный диабет 2 типа с ангиопатией.</w:t>
      </w:r>
    </w:p>
    <w:p>
      <w:pPr>
        <w:pStyle w:val="BodyText"/>
        <w:spacing w:before="84"/>
        <w:jc w:val="left"/>
      </w:pPr>
      <w:r>
        <w:rPr>
          <w:b/>
        </w:rPr>
        <w:t>Осложнения: </w:t>
      </w:r>
      <w:r>
        <w:rPr/>
        <w:t>Двусторонняя пневмония, острая дыхательная недостаточность.</w:t>
      </w:r>
    </w:p>
    <w:p>
      <w:pPr>
        <w:spacing w:before="81"/>
        <w:ind w:left="321" w:right="0" w:firstLine="0"/>
        <w:jc w:val="left"/>
        <w:rPr>
          <w:sz w:val="24"/>
        </w:rPr>
      </w:pPr>
      <w:r>
        <w:rPr>
          <w:b/>
          <w:sz w:val="24"/>
        </w:rPr>
        <w:t>Сопутствующие заболевания: </w:t>
      </w:r>
      <w:r>
        <w:rPr>
          <w:sz w:val="24"/>
        </w:rPr>
        <w:t>Сахарный диабет 2 типа с ангиопатией.</w:t>
      </w:r>
    </w:p>
    <w:p>
      <w:pPr>
        <w:pStyle w:val="BodyText"/>
        <w:spacing w:before="5"/>
        <w:ind w:left="0"/>
        <w:jc w:val="left"/>
        <w:rPr>
          <w:sz w:val="38"/>
        </w:rPr>
      </w:pPr>
    </w:p>
    <w:p>
      <w:pPr>
        <w:pStyle w:val="BodyText"/>
        <w:ind w:left="1029"/>
        <w:jc w:val="left"/>
      </w:pPr>
      <w:r>
        <w:rPr>
          <w:b/>
          <w:color w:val="1F4E79"/>
        </w:rPr>
        <w:t>Пример 3. </w:t>
      </w:r>
      <w:r>
        <w:rPr/>
        <w:t>(только для этапного клинического диагноза).</w:t>
      </w:r>
    </w:p>
    <w:p>
      <w:pPr>
        <w:spacing w:line="312" w:lineRule="auto" w:before="84"/>
        <w:ind w:left="321" w:right="1417" w:firstLine="0"/>
        <w:jc w:val="left"/>
        <w:rPr>
          <w:sz w:val="24"/>
        </w:rPr>
      </w:pPr>
      <w:r>
        <w:rPr>
          <w:b/>
          <w:sz w:val="24"/>
        </w:rPr>
        <w:t>Основное заболевание: </w:t>
      </w:r>
      <w:r>
        <w:rPr>
          <w:sz w:val="24"/>
        </w:rPr>
        <w:t>Контакт с больным коронавирусной инфекцией </w:t>
      </w:r>
      <w:r>
        <w:rPr>
          <w:b/>
          <w:sz w:val="24"/>
        </w:rPr>
        <w:t>Z20.8. Сопутствующие заболевания: Артериальная </w:t>
      </w:r>
      <w:r>
        <w:rPr>
          <w:sz w:val="24"/>
        </w:rPr>
        <w:t>гипертензия.</w:t>
      </w:r>
    </w:p>
    <w:p>
      <w:pPr>
        <w:pStyle w:val="BodyText"/>
        <w:spacing w:before="1"/>
        <w:ind w:left="0"/>
        <w:jc w:val="left"/>
        <w:rPr>
          <w:sz w:val="31"/>
        </w:rPr>
      </w:pPr>
    </w:p>
    <w:p>
      <w:pPr>
        <w:pStyle w:val="BodyText"/>
        <w:spacing w:line="312" w:lineRule="auto"/>
        <w:ind w:right="673" w:firstLine="708"/>
      </w:pPr>
      <w:r>
        <w:rPr/>
        <w:t>От правильности формулировки заключительного клинического, патологоанатомического или судебно-медицинского  диагноза  зависит  кодирование и выбор первоначальной причины смерти.</w:t>
      </w:r>
    </w:p>
    <w:p>
      <w:pPr>
        <w:pStyle w:val="BodyText"/>
        <w:spacing w:line="312" w:lineRule="auto" w:before="1"/>
        <w:ind w:right="673" w:firstLine="708"/>
      </w:pPr>
      <w:r>
        <w:rPr/>
        <w:t>В разных странах существует разный подход к формулировке патологоанатомического диагноза, выбору и учету причин смерти от COVID-19, что, вероятно, объясняет существенные различия в статистике смертности. Единые международные рекомендации для COVID-19 представлены в рекомендациях ВОЗ от 16-20.04.2020 г. Предварительный и окончательный патологоанатомические диагнозы формулируются в соответствии с приказом МЗ РФ от 06.06.2013 № 354 </w:t>
      </w:r>
      <w:r>
        <w:rPr>
          <w:spacing w:val="-4"/>
        </w:rPr>
        <w:t>«О </w:t>
      </w:r>
      <w:r>
        <w:rPr/>
        <w:t>порядке проведения патолого-анатомических вскрытий» и клиническими рекомендациями Российского общества патологоанатомов «Формулировка патологоанатомического диагноза при некоторых инфекционных и паразитарных болезнях» RPSA.1(2016), причем   окончательный   –    после    завершения    гистологического    исследования и получения результатов лабораторных исследований. Проводится консультирование наблюдений</w:t>
      </w:r>
      <w:r>
        <w:rPr>
          <w:spacing w:val="-9"/>
        </w:rPr>
        <w:t> </w:t>
      </w:r>
      <w:r>
        <w:rPr/>
        <w:t>ведущим</w:t>
      </w:r>
      <w:r>
        <w:rPr>
          <w:spacing w:val="-10"/>
        </w:rPr>
        <w:t> </w:t>
      </w:r>
      <w:r>
        <w:rPr/>
        <w:t>специалистом</w:t>
      </w:r>
      <w:r>
        <w:rPr>
          <w:spacing w:val="-10"/>
        </w:rPr>
        <w:t> </w:t>
      </w:r>
      <w:r>
        <w:rPr/>
        <w:t>по</w:t>
      </w:r>
      <w:r>
        <w:rPr>
          <w:spacing w:val="-9"/>
        </w:rPr>
        <w:t> </w:t>
      </w:r>
      <w:r>
        <w:rPr/>
        <w:t>инфекционной</w:t>
      </w:r>
      <w:r>
        <w:rPr>
          <w:spacing w:val="-9"/>
        </w:rPr>
        <w:t> </w:t>
      </w:r>
      <w:r>
        <w:rPr/>
        <w:t>патологии</w:t>
      </w:r>
      <w:r>
        <w:rPr>
          <w:spacing w:val="-9"/>
        </w:rPr>
        <w:t> </w:t>
      </w:r>
      <w:r>
        <w:rPr/>
        <w:t>субъекта</w:t>
      </w:r>
      <w:r>
        <w:rPr>
          <w:spacing w:val="-10"/>
        </w:rPr>
        <w:t> </w:t>
      </w:r>
      <w:r>
        <w:rPr/>
        <w:t>Российской Федерации,</w:t>
      </w:r>
      <w:r>
        <w:rPr>
          <w:spacing w:val="-10"/>
        </w:rPr>
        <w:t> </w:t>
      </w:r>
      <w:r>
        <w:rPr/>
        <w:t>определенным</w:t>
      </w:r>
      <w:r>
        <w:rPr>
          <w:spacing w:val="-9"/>
        </w:rPr>
        <w:t> </w:t>
      </w:r>
      <w:r>
        <w:rPr/>
        <w:t>его</w:t>
      </w:r>
      <w:r>
        <w:rPr>
          <w:spacing w:val="-6"/>
        </w:rPr>
        <w:t> </w:t>
      </w:r>
      <w:r>
        <w:rPr/>
        <w:t>исполнительным</w:t>
      </w:r>
      <w:r>
        <w:rPr>
          <w:spacing w:val="-9"/>
        </w:rPr>
        <w:t> </w:t>
      </w:r>
      <w:r>
        <w:rPr/>
        <w:t>органом</w:t>
      </w:r>
      <w:r>
        <w:rPr>
          <w:spacing w:val="-9"/>
        </w:rPr>
        <w:t> </w:t>
      </w:r>
      <w:r>
        <w:rPr/>
        <w:t>в</w:t>
      </w:r>
      <w:r>
        <w:rPr>
          <w:spacing w:val="-7"/>
        </w:rPr>
        <w:t> </w:t>
      </w:r>
      <w:r>
        <w:rPr/>
        <w:t>области</w:t>
      </w:r>
      <w:r>
        <w:rPr>
          <w:spacing w:val="-8"/>
        </w:rPr>
        <w:t> </w:t>
      </w:r>
      <w:r>
        <w:rPr/>
        <w:t>здравоохранения,</w:t>
      </w:r>
      <w:r>
        <w:rPr>
          <w:spacing w:val="-9"/>
        </w:rPr>
        <w:t> </w:t>
      </w:r>
      <w:r>
        <w:rPr/>
        <w:t>а, при необходимости, и ведущими специалистами страны из числа членов рабочей группы главного патологоанатома Минздрава</w:t>
      </w:r>
      <w:r>
        <w:rPr>
          <w:spacing w:val="-4"/>
        </w:rPr>
        <w:t> </w:t>
      </w:r>
      <w:r>
        <w:rPr/>
        <w:t>России.</w:t>
      </w:r>
    </w:p>
    <w:p>
      <w:pPr>
        <w:pStyle w:val="BodyText"/>
        <w:spacing w:line="312" w:lineRule="auto"/>
        <w:ind w:right="605" w:firstLine="708"/>
      </w:pPr>
      <w:r>
        <w:rPr/>
        <w:t>Следует различать при формулировке диагноза и оформления медицинского свидетельства о смерти:</w:t>
      </w:r>
    </w:p>
    <w:p>
      <w:pPr>
        <w:spacing w:after="0" w:line="312" w:lineRule="auto"/>
        <w:sectPr>
          <w:pgSz w:w="11920" w:h="16850"/>
          <w:pgMar w:header="0" w:footer="620" w:top="1060" w:bottom="880" w:left="1380" w:right="600"/>
        </w:sectPr>
      </w:pPr>
    </w:p>
    <w:p>
      <w:pPr>
        <w:pStyle w:val="ListParagraph"/>
        <w:numPr>
          <w:ilvl w:val="0"/>
          <w:numId w:val="38"/>
        </w:numPr>
        <w:tabs>
          <w:tab w:pos="1001" w:val="left" w:leader="none"/>
        </w:tabs>
        <w:spacing w:line="304" w:lineRule="auto" w:before="78" w:after="0"/>
        <w:ind w:left="1000" w:right="680" w:hanging="339"/>
        <w:jc w:val="both"/>
        <w:rPr>
          <w:sz w:val="24"/>
        </w:rPr>
      </w:pPr>
      <w:r>
        <w:rPr>
          <w:sz w:val="24"/>
        </w:rPr>
        <w:t>Наступление летального исхода от COVID-19, когда COVID-19 является основным заболеванием (первоначальной причиной</w:t>
      </w:r>
      <w:r>
        <w:rPr>
          <w:spacing w:val="-2"/>
          <w:sz w:val="24"/>
        </w:rPr>
        <w:t> </w:t>
      </w:r>
      <w:r>
        <w:rPr>
          <w:sz w:val="24"/>
        </w:rPr>
        <w:t>смерти);</w:t>
      </w:r>
    </w:p>
    <w:p>
      <w:pPr>
        <w:pStyle w:val="ListParagraph"/>
        <w:numPr>
          <w:ilvl w:val="0"/>
          <w:numId w:val="38"/>
        </w:numPr>
        <w:tabs>
          <w:tab w:pos="1001" w:val="left" w:leader="none"/>
        </w:tabs>
        <w:spacing w:line="309" w:lineRule="auto" w:before="13" w:after="0"/>
        <w:ind w:left="1000" w:right="676" w:hanging="339"/>
        <w:jc w:val="both"/>
        <w:rPr>
          <w:sz w:val="24"/>
        </w:rPr>
      </w:pPr>
      <w:r>
        <w:rPr>
          <w:sz w:val="24"/>
        </w:rPr>
        <w:t>Наступление летального исхода от других тяжелых ранее существовавших заболеваний, при наличии («присоединении») инфекции, вызванной SARS-CoV-2, но без таких ее клинико-морфологических проявлений, которые могли бы стать самостоятельной причиной смерти (в т.ч. при не тяжелой пневмонии</w:t>
      </w:r>
      <w:r>
        <w:rPr>
          <w:spacing w:val="22"/>
          <w:sz w:val="24"/>
        </w:rPr>
        <w:t> </w:t>
      </w:r>
      <w:r>
        <w:rPr>
          <w:sz w:val="24"/>
        </w:rPr>
        <w:t>и</w:t>
      </w:r>
      <w:r>
        <w:rPr>
          <w:spacing w:val="22"/>
          <w:sz w:val="24"/>
        </w:rPr>
        <w:t> </w:t>
      </w:r>
      <w:r>
        <w:rPr>
          <w:sz w:val="24"/>
        </w:rPr>
        <w:t>других</w:t>
      </w:r>
      <w:r>
        <w:rPr>
          <w:spacing w:val="23"/>
          <w:sz w:val="24"/>
        </w:rPr>
        <w:t> </w:t>
      </w:r>
      <w:r>
        <w:rPr>
          <w:sz w:val="24"/>
        </w:rPr>
        <w:t>смертельных</w:t>
      </w:r>
      <w:r>
        <w:rPr>
          <w:spacing w:val="23"/>
          <w:sz w:val="24"/>
        </w:rPr>
        <w:t> </w:t>
      </w:r>
      <w:r>
        <w:rPr>
          <w:sz w:val="24"/>
        </w:rPr>
        <w:t>проявлений).</w:t>
      </w:r>
      <w:r>
        <w:rPr>
          <w:spacing w:val="22"/>
          <w:sz w:val="24"/>
        </w:rPr>
        <w:t> </w:t>
      </w:r>
      <w:r>
        <w:rPr>
          <w:sz w:val="24"/>
        </w:rPr>
        <w:t>При</w:t>
      </w:r>
      <w:r>
        <w:rPr>
          <w:spacing w:val="22"/>
          <w:sz w:val="24"/>
        </w:rPr>
        <w:t> </w:t>
      </w:r>
      <w:r>
        <w:rPr>
          <w:sz w:val="24"/>
        </w:rPr>
        <w:t>этом</w:t>
      </w:r>
      <w:r>
        <w:rPr>
          <w:spacing w:val="20"/>
          <w:sz w:val="24"/>
        </w:rPr>
        <w:t> </w:t>
      </w:r>
      <w:r>
        <w:rPr>
          <w:sz w:val="24"/>
        </w:rPr>
        <w:t>COVID-19,</w:t>
      </w:r>
      <w:r>
        <w:rPr>
          <w:spacing w:val="22"/>
          <w:sz w:val="24"/>
        </w:rPr>
        <w:t> </w:t>
      </w:r>
      <w:r>
        <w:rPr>
          <w:sz w:val="24"/>
        </w:rPr>
        <w:t>является</w:t>
      </w:r>
    </w:p>
    <w:p>
      <w:pPr>
        <w:pStyle w:val="BodyText"/>
        <w:spacing w:line="312" w:lineRule="auto" w:before="4"/>
        <w:ind w:left="1000" w:right="675"/>
      </w:pPr>
      <w:r>
        <w:rPr/>
        <w:t>«катализатором» обострения и неблагоприятного течения ранее существовавших болезней органов кровообращения, онкологических и других заболеваний. Следует также анализировать возможность развития ятрогенных осложнений. В таких ситуациях COVID-19 не должен расцениваться как основное   заболевание   (первоначальная   причина   смерти)   и   указывается   в диагнозе как коморбидное (чаще сочетанное)</w:t>
      </w:r>
      <w:r>
        <w:rPr>
          <w:spacing w:val="-2"/>
        </w:rPr>
        <w:t> </w:t>
      </w:r>
      <w:r>
        <w:rPr/>
        <w:t>заболевание.</w:t>
      </w:r>
    </w:p>
    <w:p>
      <w:pPr>
        <w:pStyle w:val="ListParagraph"/>
        <w:numPr>
          <w:ilvl w:val="0"/>
          <w:numId w:val="38"/>
        </w:numPr>
        <w:tabs>
          <w:tab w:pos="1001" w:val="left" w:leader="none"/>
        </w:tabs>
        <w:spacing w:line="309" w:lineRule="auto" w:before="2" w:after="0"/>
        <w:ind w:left="1000" w:right="673" w:hanging="339"/>
        <w:jc w:val="both"/>
        <w:rPr>
          <w:sz w:val="24"/>
        </w:rPr>
      </w:pPr>
      <w:r>
        <w:rPr>
          <w:sz w:val="24"/>
        </w:rPr>
        <w:t>Наступление летального исхода от различных альтернативных COVID-19 причин – несовместимых с жизнью заболеваний и их осложнений (а также травм). В таких ситуациях COVID‑19 не должен расцениваться как основное заболевание (первоначальная причина смерти) и указывается в диагнозе как ко‑ морбидное (чаще сочетанное) или сопутствующее</w:t>
      </w:r>
      <w:r>
        <w:rPr>
          <w:spacing w:val="-5"/>
          <w:sz w:val="24"/>
        </w:rPr>
        <w:t> </w:t>
      </w:r>
      <w:r>
        <w:rPr>
          <w:sz w:val="24"/>
        </w:rPr>
        <w:t>заболевание.</w:t>
      </w:r>
    </w:p>
    <w:p>
      <w:pPr>
        <w:pStyle w:val="BodyText"/>
        <w:spacing w:before="11"/>
        <w:ind w:left="0"/>
        <w:jc w:val="left"/>
        <w:rPr>
          <w:sz w:val="32"/>
        </w:rPr>
      </w:pPr>
    </w:p>
    <w:p>
      <w:pPr>
        <w:pStyle w:val="BodyText"/>
        <w:spacing w:line="312" w:lineRule="auto"/>
        <w:ind w:right="672" w:firstLine="708"/>
      </w:pPr>
      <w:r>
        <w:rPr/>
        <w:t>При формулировке патологоанатомического диагноза и оформлении медицинского свидетельства о смерти важно следовать международным рекомендациям ВОЗ, хотя некоторые из них противоречат основам патологии. ОРДС, являющийся клиническим проявлением диффузного альвеолярного повреждения рекомендовано указывать как осложнение COVID-19, хотя оно представляет собой его морфологический субстрат. Кроме того, в России не предусмотрено применение дополнительных</w:t>
      </w:r>
      <w:r>
        <w:rPr>
          <w:spacing w:val="-10"/>
        </w:rPr>
        <w:t> </w:t>
      </w:r>
      <w:r>
        <w:rPr/>
        <w:t>вторых</w:t>
      </w:r>
      <w:r>
        <w:rPr>
          <w:spacing w:val="-10"/>
        </w:rPr>
        <w:t> </w:t>
      </w:r>
      <w:r>
        <w:rPr/>
        <w:t>кодов</w:t>
      </w:r>
      <w:r>
        <w:rPr>
          <w:spacing w:val="-12"/>
        </w:rPr>
        <w:t> </w:t>
      </w:r>
      <w:r>
        <w:rPr/>
        <w:t>при</w:t>
      </w:r>
      <w:r>
        <w:rPr>
          <w:spacing w:val="-9"/>
        </w:rPr>
        <w:t> </w:t>
      </w:r>
      <w:r>
        <w:rPr/>
        <w:t>шифровке</w:t>
      </w:r>
      <w:r>
        <w:rPr>
          <w:spacing w:val="-12"/>
        </w:rPr>
        <w:t> </w:t>
      </w:r>
      <w:r>
        <w:rPr/>
        <w:t>по</w:t>
      </w:r>
      <w:r>
        <w:rPr>
          <w:spacing w:val="-10"/>
        </w:rPr>
        <w:t> </w:t>
      </w:r>
      <w:r>
        <w:rPr/>
        <w:t>МКБ-10</w:t>
      </w:r>
      <w:r>
        <w:rPr>
          <w:spacing w:val="-9"/>
        </w:rPr>
        <w:t> </w:t>
      </w:r>
      <w:r>
        <w:rPr/>
        <w:t>разных</w:t>
      </w:r>
      <w:r>
        <w:rPr>
          <w:spacing w:val="-10"/>
        </w:rPr>
        <w:t> </w:t>
      </w:r>
      <w:r>
        <w:rPr/>
        <w:t>заболеваний,</w:t>
      </w:r>
      <w:r>
        <w:rPr>
          <w:spacing w:val="-9"/>
        </w:rPr>
        <w:t> </w:t>
      </w:r>
      <w:r>
        <w:rPr/>
        <w:t>поэтому при прогрессировании вирусной или вирусно-бактериальной пневмонии  у умерших   с COVID-19 требуется указывать ее в рубрике диагноза «Осложнения основного заболевания» и строке «б)» части I медицинского свидетельства о смерти (в строе «а» указывается</w:t>
      </w:r>
      <w:r>
        <w:rPr>
          <w:spacing w:val="36"/>
        </w:rPr>
        <w:t> </w:t>
      </w:r>
      <w:r>
        <w:rPr/>
        <w:t>при</w:t>
      </w:r>
      <w:r>
        <w:rPr>
          <w:spacing w:val="38"/>
        </w:rPr>
        <w:t> </w:t>
      </w:r>
      <w:r>
        <w:rPr/>
        <w:t>этом</w:t>
      </w:r>
      <w:r>
        <w:rPr>
          <w:spacing w:val="33"/>
        </w:rPr>
        <w:t> </w:t>
      </w:r>
      <w:r>
        <w:rPr/>
        <w:t>ОРДС</w:t>
      </w:r>
      <w:r>
        <w:rPr>
          <w:spacing w:val="38"/>
        </w:rPr>
        <w:t> </w:t>
      </w:r>
      <w:r>
        <w:rPr/>
        <w:t>или</w:t>
      </w:r>
      <w:r>
        <w:rPr>
          <w:spacing w:val="35"/>
        </w:rPr>
        <w:t> </w:t>
      </w:r>
      <w:r>
        <w:rPr/>
        <w:t>острая</w:t>
      </w:r>
      <w:r>
        <w:rPr>
          <w:spacing w:val="37"/>
        </w:rPr>
        <w:t> </w:t>
      </w:r>
      <w:r>
        <w:rPr/>
        <w:t>респираторная</w:t>
      </w:r>
      <w:r>
        <w:rPr>
          <w:spacing w:val="36"/>
        </w:rPr>
        <w:t> </w:t>
      </w:r>
      <w:r>
        <w:rPr/>
        <w:t>недостаточность,</w:t>
      </w:r>
      <w:r>
        <w:rPr>
          <w:spacing w:val="37"/>
        </w:rPr>
        <w:t> </w:t>
      </w:r>
      <w:r>
        <w:rPr/>
        <w:t>а</w:t>
      </w:r>
      <w:r>
        <w:rPr>
          <w:spacing w:val="35"/>
        </w:rPr>
        <w:t> </w:t>
      </w:r>
      <w:r>
        <w:rPr/>
        <w:t>в</w:t>
      </w:r>
      <w:r>
        <w:rPr>
          <w:spacing w:val="36"/>
        </w:rPr>
        <w:t> </w:t>
      </w:r>
      <w:r>
        <w:rPr/>
        <w:t>строке</w:t>
      </w:r>
    </w:p>
    <w:p>
      <w:pPr>
        <w:pStyle w:val="BodyText"/>
        <w:spacing w:line="312" w:lineRule="auto"/>
        <w:ind w:right="674"/>
      </w:pPr>
      <w:r>
        <w:rPr/>
        <w:t>«в» - новая коронавирусная инфекция с кодами U07.1 или U07.2). Общеприняты следующие осложнения, которые также могут рассматриваться как непосредственная причина смерти:</w:t>
      </w:r>
    </w:p>
    <w:p>
      <w:pPr>
        <w:pStyle w:val="BodyText"/>
        <w:spacing w:before="3"/>
        <w:ind w:left="0"/>
        <w:jc w:val="left"/>
        <w:rPr>
          <w:sz w:val="31"/>
        </w:rPr>
      </w:pPr>
    </w:p>
    <w:p>
      <w:pPr>
        <w:pStyle w:val="ListParagraph"/>
        <w:numPr>
          <w:ilvl w:val="0"/>
          <w:numId w:val="38"/>
        </w:numPr>
        <w:tabs>
          <w:tab w:pos="1000" w:val="left" w:leader="none"/>
          <w:tab w:pos="1001" w:val="left" w:leader="none"/>
        </w:tabs>
        <w:spacing w:line="240" w:lineRule="auto" w:before="0" w:after="0"/>
        <w:ind w:left="1000" w:right="0" w:hanging="339"/>
        <w:jc w:val="left"/>
        <w:rPr>
          <w:sz w:val="24"/>
        </w:rPr>
      </w:pPr>
      <w:r>
        <w:rPr>
          <w:sz w:val="24"/>
        </w:rPr>
        <w:t>Дыхательная недостаточность (по сути, еще один синоним</w:t>
      </w:r>
      <w:r>
        <w:rPr>
          <w:spacing w:val="-4"/>
          <w:sz w:val="24"/>
        </w:rPr>
        <w:t> </w:t>
      </w:r>
      <w:r>
        <w:rPr>
          <w:sz w:val="24"/>
        </w:rPr>
        <w:t>ОРДС);</w:t>
      </w:r>
    </w:p>
    <w:p>
      <w:pPr>
        <w:pStyle w:val="ListParagraph"/>
        <w:numPr>
          <w:ilvl w:val="0"/>
          <w:numId w:val="38"/>
        </w:numPr>
        <w:tabs>
          <w:tab w:pos="1000" w:val="left" w:leader="none"/>
          <w:tab w:pos="1001" w:val="left" w:leader="none"/>
        </w:tabs>
        <w:spacing w:line="240" w:lineRule="auto" w:before="83" w:after="0"/>
        <w:ind w:left="1000" w:right="0" w:hanging="339"/>
        <w:jc w:val="left"/>
        <w:rPr>
          <w:sz w:val="24"/>
        </w:rPr>
      </w:pPr>
      <w:r>
        <w:rPr>
          <w:sz w:val="24"/>
        </w:rPr>
        <w:t>Острая сердечная</w:t>
      </w:r>
      <w:r>
        <w:rPr>
          <w:spacing w:val="-1"/>
          <w:sz w:val="24"/>
        </w:rPr>
        <w:t> </w:t>
      </w:r>
      <w:r>
        <w:rPr>
          <w:sz w:val="24"/>
        </w:rPr>
        <w:t>недостаточность;</w:t>
      </w:r>
    </w:p>
    <w:p>
      <w:pPr>
        <w:pStyle w:val="ListParagraph"/>
        <w:numPr>
          <w:ilvl w:val="0"/>
          <w:numId w:val="38"/>
        </w:numPr>
        <w:tabs>
          <w:tab w:pos="1000" w:val="left" w:leader="none"/>
          <w:tab w:pos="1001" w:val="left" w:leader="none"/>
        </w:tabs>
        <w:spacing w:line="240" w:lineRule="auto" w:before="83" w:after="0"/>
        <w:ind w:left="1000" w:right="0" w:hanging="339"/>
        <w:jc w:val="left"/>
        <w:rPr>
          <w:sz w:val="24"/>
        </w:rPr>
      </w:pPr>
      <w:r>
        <w:rPr>
          <w:sz w:val="24"/>
        </w:rPr>
        <w:t>Острая почечная</w:t>
      </w:r>
      <w:r>
        <w:rPr>
          <w:spacing w:val="-1"/>
          <w:sz w:val="24"/>
        </w:rPr>
        <w:t> </w:t>
      </w:r>
      <w:r>
        <w:rPr>
          <w:sz w:val="24"/>
        </w:rPr>
        <w:t>недостаточность;</w:t>
      </w:r>
    </w:p>
    <w:p>
      <w:pPr>
        <w:pStyle w:val="ListParagraph"/>
        <w:numPr>
          <w:ilvl w:val="0"/>
          <w:numId w:val="38"/>
        </w:numPr>
        <w:tabs>
          <w:tab w:pos="1000" w:val="left" w:leader="none"/>
          <w:tab w:pos="1001" w:val="left" w:leader="none"/>
        </w:tabs>
        <w:spacing w:line="240" w:lineRule="auto" w:before="80" w:after="0"/>
        <w:ind w:left="1000" w:right="0" w:hanging="339"/>
        <w:jc w:val="left"/>
        <w:rPr>
          <w:sz w:val="24"/>
        </w:rPr>
      </w:pPr>
      <w:r>
        <w:rPr>
          <w:sz w:val="24"/>
        </w:rPr>
        <w:t>Сепсис, инфекционно-токсический (септический)</w:t>
      </w:r>
      <w:r>
        <w:rPr>
          <w:spacing w:val="-1"/>
          <w:sz w:val="24"/>
        </w:rPr>
        <w:t> </w:t>
      </w:r>
      <w:r>
        <w:rPr>
          <w:sz w:val="24"/>
        </w:rPr>
        <w:t>шок;</w:t>
      </w:r>
    </w:p>
    <w:p>
      <w:pPr>
        <w:spacing w:after="0" w:line="240" w:lineRule="auto"/>
        <w:jc w:val="left"/>
        <w:rPr>
          <w:sz w:val="24"/>
        </w:rPr>
        <w:sectPr>
          <w:pgSz w:w="11920" w:h="16850"/>
          <w:pgMar w:header="0" w:footer="620" w:top="1420" w:bottom="880" w:left="1380" w:right="600"/>
        </w:sectPr>
      </w:pPr>
    </w:p>
    <w:p>
      <w:pPr>
        <w:pStyle w:val="ListParagraph"/>
        <w:numPr>
          <w:ilvl w:val="0"/>
          <w:numId w:val="38"/>
        </w:numPr>
        <w:tabs>
          <w:tab w:pos="1000" w:val="left" w:leader="none"/>
          <w:tab w:pos="1001" w:val="left" w:leader="none"/>
        </w:tabs>
        <w:spacing w:line="240" w:lineRule="auto" w:before="80" w:after="0"/>
        <w:ind w:left="1000" w:right="0" w:hanging="339"/>
        <w:jc w:val="left"/>
        <w:rPr>
          <w:sz w:val="24"/>
        </w:rPr>
      </w:pPr>
      <w:r>
        <w:rPr>
          <w:sz w:val="24"/>
        </w:rPr>
        <w:t>Тромбозы и тромбоэмболии,</w:t>
      </w:r>
      <w:r>
        <w:rPr>
          <w:spacing w:val="-1"/>
          <w:sz w:val="24"/>
        </w:rPr>
        <w:t> </w:t>
      </w:r>
      <w:r>
        <w:rPr>
          <w:sz w:val="24"/>
        </w:rPr>
        <w:t>ДВС-синдром;</w:t>
      </w:r>
    </w:p>
    <w:p>
      <w:pPr>
        <w:pStyle w:val="ListParagraph"/>
        <w:numPr>
          <w:ilvl w:val="0"/>
          <w:numId w:val="38"/>
        </w:numPr>
        <w:tabs>
          <w:tab w:pos="1000" w:val="left" w:leader="none"/>
          <w:tab w:pos="1001" w:val="left" w:leader="none"/>
        </w:tabs>
        <w:spacing w:line="240" w:lineRule="auto" w:before="83" w:after="0"/>
        <w:ind w:left="1000" w:right="0" w:hanging="339"/>
        <w:jc w:val="left"/>
        <w:rPr>
          <w:sz w:val="24"/>
        </w:rPr>
      </w:pPr>
      <w:r>
        <w:rPr>
          <w:sz w:val="24"/>
        </w:rPr>
        <w:t>Полиорганная</w:t>
      </w:r>
      <w:r>
        <w:rPr>
          <w:spacing w:val="-1"/>
          <w:sz w:val="24"/>
        </w:rPr>
        <w:t> </w:t>
      </w:r>
      <w:r>
        <w:rPr>
          <w:sz w:val="24"/>
        </w:rPr>
        <w:t>недостаточность;</w:t>
      </w:r>
    </w:p>
    <w:p>
      <w:pPr>
        <w:pStyle w:val="ListParagraph"/>
        <w:numPr>
          <w:ilvl w:val="0"/>
          <w:numId w:val="38"/>
        </w:numPr>
        <w:tabs>
          <w:tab w:pos="1000" w:val="left" w:leader="none"/>
          <w:tab w:pos="1001" w:val="left" w:leader="none"/>
        </w:tabs>
        <w:spacing w:line="240" w:lineRule="auto" w:before="80" w:after="0"/>
        <w:ind w:left="1000" w:right="0" w:hanging="339"/>
        <w:jc w:val="left"/>
        <w:rPr>
          <w:sz w:val="24"/>
        </w:rPr>
      </w:pPr>
      <w:r>
        <w:rPr>
          <w:sz w:val="24"/>
        </w:rPr>
        <w:t>Вторичные бактериальные</w:t>
      </w:r>
      <w:r>
        <w:rPr>
          <w:spacing w:val="-3"/>
          <w:sz w:val="24"/>
        </w:rPr>
        <w:t> </w:t>
      </w:r>
      <w:r>
        <w:rPr>
          <w:sz w:val="24"/>
        </w:rPr>
        <w:t>инфекции.</w:t>
      </w:r>
    </w:p>
    <w:p>
      <w:pPr>
        <w:pStyle w:val="BodyText"/>
        <w:spacing w:before="10"/>
        <w:ind w:left="0"/>
        <w:jc w:val="left"/>
        <w:rPr>
          <w:sz w:val="27"/>
        </w:rPr>
      </w:pPr>
    </w:p>
    <w:p>
      <w:pPr>
        <w:pStyle w:val="Heading3"/>
        <w:spacing w:line="259" w:lineRule="auto"/>
        <w:ind w:right="2006"/>
      </w:pPr>
      <w:bookmarkStart w:name="Примеры формулировки патологоанатомическ" w:id="193"/>
      <w:bookmarkEnd w:id="193"/>
      <w:r>
        <w:rPr>
          <w:b w:val="0"/>
        </w:rPr>
      </w:r>
      <w:r>
        <w:rPr>
          <w:color w:val="1F487C"/>
        </w:rPr>
        <w:t>Примеры формулировки патологоанатомических или судебно- медицинских диагнозов (в сокращенном, не развернутом виде) и кодирования по МКБ-10 причин смерти при CОVID-19:</w:t>
      </w:r>
    </w:p>
    <w:p>
      <w:pPr>
        <w:pStyle w:val="BodyText"/>
        <w:ind w:left="0"/>
        <w:jc w:val="left"/>
        <w:rPr>
          <w:b/>
          <w:sz w:val="26"/>
        </w:rPr>
      </w:pPr>
    </w:p>
    <w:p>
      <w:pPr>
        <w:spacing w:before="180"/>
        <w:ind w:left="1029" w:right="0" w:firstLine="0"/>
        <w:jc w:val="both"/>
        <w:rPr>
          <w:b/>
          <w:sz w:val="24"/>
        </w:rPr>
      </w:pPr>
      <w:r>
        <w:rPr>
          <w:b/>
          <w:color w:val="1F4E79"/>
          <w:sz w:val="24"/>
        </w:rPr>
        <w:t>Пример 1.</w:t>
      </w:r>
    </w:p>
    <w:p>
      <w:pPr>
        <w:pStyle w:val="BodyText"/>
        <w:spacing w:before="82"/>
        <w:ind w:left="1029"/>
      </w:pPr>
      <w:r>
        <w:rPr/>
        <w:t>Патологоанатомический диагноз (предварительный, окончательный)</w:t>
      </w:r>
    </w:p>
    <w:p>
      <w:pPr>
        <w:spacing w:line="312" w:lineRule="auto" w:before="84"/>
        <w:ind w:left="321" w:right="675" w:firstLine="0"/>
        <w:jc w:val="both"/>
        <w:rPr>
          <w:b/>
          <w:sz w:val="24"/>
        </w:rPr>
      </w:pPr>
      <w:r>
        <w:rPr>
          <w:b/>
          <w:sz w:val="24"/>
        </w:rPr>
        <w:t>Основное заболевание: </w:t>
      </w:r>
      <w:r>
        <w:rPr>
          <w:sz w:val="24"/>
        </w:rPr>
        <w:t>Новая коронавирусная инфекция, подтвержденная ПЦР тестом (номер, дата). </w:t>
      </w:r>
      <w:r>
        <w:rPr>
          <w:b/>
          <w:sz w:val="24"/>
        </w:rPr>
        <w:t>U07.1.</w:t>
      </w:r>
    </w:p>
    <w:p>
      <w:pPr>
        <w:spacing w:line="312" w:lineRule="auto" w:before="0"/>
        <w:ind w:left="321" w:right="676" w:firstLine="0"/>
        <w:jc w:val="both"/>
        <w:rPr>
          <w:b/>
          <w:sz w:val="24"/>
        </w:rPr>
      </w:pPr>
      <w:r>
        <w:rPr>
          <w:b/>
          <w:sz w:val="24"/>
        </w:rPr>
        <w:t>Осложнения: </w:t>
      </w:r>
      <w:r>
        <w:rPr>
          <w:sz w:val="24"/>
        </w:rPr>
        <w:t>Внебольничная двусторонняя долевая пневмония </w:t>
      </w:r>
      <w:r>
        <w:rPr>
          <w:b/>
          <w:sz w:val="24"/>
        </w:rPr>
        <w:t>J18.1. </w:t>
      </w:r>
      <w:r>
        <w:rPr>
          <w:sz w:val="24"/>
        </w:rPr>
        <w:t>Острый респираторный дистресс-синдром </w:t>
      </w:r>
      <w:r>
        <w:rPr>
          <w:b/>
          <w:sz w:val="24"/>
        </w:rPr>
        <w:t>J80.X</w:t>
      </w:r>
    </w:p>
    <w:p>
      <w:pPr>
        <w:spacing w:line="312" w:lineRule="auto" w:before="0"/>
        <w:ind w:left="321" w:right="674" w:firstLine="0"/>
        <w:jc w:val="both"/>
        <w:rPr>
          <w:sz w:val="24"/>
        </w:rPr>
      </w:pPr>
      <w:r>
        <w:rPr>
          <w:b/>
          <w:sz w:val="24"/>
        </w:rPr>
        <w:t>Реанимационные мероприятия и интенсивная терапия: </w:t>
      </w:r>
      <w:r>
        <w:rPr>
          <w:sz w:val="24"/>
        </w:rPr>
        <w:t>Фибринозно-гнойный трахеобронхит после интубации трахеи, трахеостомии (дата) и ИВЛ в течение суток. </w:t>
      </w:r>
      <w:r>
        <w:rPr>
          <w:b/>
          <w:sz w:val="24"/>
        </w:rPr>
        <w:t>Сопутствующие заболевания: </w:t>
      </w:r>
      <w:r>
        <w:rPr>
          <w:sz w:val="24"/>
        </w:rPr>
        <w:t>Хроническая ишемия головного мозга. Артериальная гипертензия.</w:t>
      </w:r>
    </w:p>
    <w:p>
      <w:pPr>
        <w:pStyle w:val="BodyText"/>
        <w:spacing w:before="1"/>
        <w:ind w:left="0"/>
        <w:jc w:val="left"/>
        <w:rPr>
          <w:sz w:val="31"/>
        </w:rPr>
      </w:pPr>
    </w:p>
    <w:p>
      <w:pPr>
        <w:pStyle w:val="Heading3"/>
      </w:pPr>
      <w:r>
        <w:rPr>
          <w:color w:val="1F4E79"/>
        </w:rPr>
        <w:t>Пример 2.</w:t>
      </w:r>
    </w:p>
    <w:p>
      <w:pPr>
        <w:pStyle w:val="BodyText"/>
        <w:spacing w:before="84"/>
        <w:ind w:left="1029"/>
      </w:pPr>
      <w:r>
        <w:rPr/>
        <w:t>Патологоанатомический диагноз (предварительный, окончательный)</w:t>
      </w:r>
    </w:p>
    <w:p>
      <w:pPr>
        <w:pStyle w:val="Heading3"/>
        <w:spacing w:line="312" w:lineRule="auto" w:before="82"/>
        <w:ind w:left="321" w:right="674"/>
      </w:pPr>
      <w:r>
        <w:rPr/>
        <w:t>Основное заболевание: Новая коронавирусная инфекция, не подтвержденная ПЦР тестом</w:t>
      </w:r>
      <w:r>
        <w:rPr>
          <w:spacing w:val="56"/>
        </w:rPr>
        <w:t> </w:t>
      </w:r>
      <w:r>
        <w:rPr/>
        <w:t>U07.2.</w:t>
      </w:r>
    </w:p>
    <w:p>
      <w:pPr>
        <w:spacing w:before="0"/>
        <w:ind w:left="321" w:right="0" w:firstLine="0"/>
        <w:jc w:val="both"/>
        <w:rPr>
          <w:b/>
          <w:sz w:val="24"/>
        </w:rPr>
      </w:pPr>
      <w:r>
        <w:rPr>
          <w:b/>
          <w:sz w:val="24"/>
        </w:rPr>
        <w:t>Фоновое заболевание: </w:t>
      </w:r>
      <w:r>
        <w:rPr>
          <w:sz w:val="24"/>
        </w:rPr>
        <w:t>Сахарный диабет 2 типа с ангиопатией</w:t>
      </w:r>
      <w:r>
        <w:rPr>
          <w:b/>
          <w:sz w:val="24"/>
        </w:rPr>
        <w:t>.</w:t>
      </w:r>
    </w:p>
    <w:p>
      <w:pPr>
        <w:spacing w:before="84"/>
        <w:ind w:left="321" w:right="0" w:firstLine="0"/>
        <w:jc w:val="both"/>
        <w:rPr>
          <w:sz w:val="24"/>
        </w:rPr>
      </w:pPr>
      <w:r>
        <w:rPr>
          <w:b/>
          <w:sz w:val="24"/>
        </w:rPr>
        <w:t>Сопутствующие заболевания: </w:t>
      </w:r>
      <w:r>
        <w:rPr>
          <w:sz w:val="24"/>
        </w:rPr>
        <w:t>Постинфарктный кардиосклероз.</w:t>
      </w:r>
    </w:p>
    <w:p>
      <w:pPr>
        <w:pStyle w:val="BodyText"/>
        <w:spacing w:line="312" w:lineRule="auto" w:before="82"/>
        <w:ind w:right="673"/>
      </w:pPr>
      <w:r>
        <w:rPr>
          <w:b/>
        </w:rPr>
        <w:t>Осложнения: </w:t>
      </w:r>
      <w:r>
        <w:rPr/>
        <w:t>Внебольничная двусторонняя бронхопневмония </w:t>
      </w:r>
      <w:r>
        <w:rPr>
          <w:b/>
        </w:rPr>
        <w:t>J18.0. </w:t>
      </w:r>
      <w:r>
        <w:rPr/>
        <w:t>Острый респираторный дистресс-синдром </w:t>
      </w:r>
      <w:r>
        <w:rPr>
          <w:b/>
        </w:rPr>
        <w:t>J80.X. </w:t>
      </w:r>
      <w:r>
        <w:rPr/>
        <w:t>ДВС-синдром. Очаги повреждения (метаболические) миокарда.</w:t>
      </w:r>
    </w:p>
    <w:p>
      <w:pPr>
        <w:spacing w:before="1"/>
        <w:ind w:left="321" w:right="0" w:firstLine="0"/>
        <w:jc w:val="both"/>
        <w:rPr>
          <w:sz w:val="24"/>
        </w:rPr>
      </w:pPr>
      <w:r>
        <w:rPr>
          <w:b/>
          <w:sz w:val="24"/>
        </w:rPr>
        <w:t>Сопутствующие заболевания: </w:t>
      </w:r>
      <w:r>
        <w:rPr>
          <w:sz w:val="24"/>
        </w:rPr>
        <w:t>Постинфарктный кардиосклероз.</w:t>
      </w:r>
    </w:p>
    <w:p>
      <w:pPr>
        <w:pStyle w:val="BodyText"/>
        <w:spacing w:before="2"/>
        <w:ind w:left="0"/>
        <w:jc w:val="left"/>
        <w:rPr>
          <w:sz w:val="38"/>
        </w:rPr>
      </w:pPr>
    </w:p>
    <w:p>
      <w:pPr>
        <w:pStyle w:val="Heading3"/>
      </w:pPr>
      <w:r>
        <w:rPr>
          <w:color w:val="1F4E79"/>
        </w:rPr>
        <w:t>Пример 3</w:t>
      </w:r>
    </w:p>
    <w:p>
      <w:pPr>
        <w:pStyle w:val="BodyText"/>
        <w:spacing w:before="84"/>
        <w:ind w:left="1029"/>
      </w:pPr>
      <w:r>
        <w:rPr/>
        <w:t>Патологоанатомический диагноз (предварительный, окончательный)</w:t>
      </w:r>
    </w:p>
    <w:p>
      <w:pPr>
        <w:pStyle w:val="BodyText"/>
        <w:spacing w:line="312" w:lineRule="auto" w:before="82"/>
        <w:ind w:right="674"/>
      </w:pPr>
      <w:r>
        <w:rPr>
          <w:b/>
        </w:rPr>
        <w:t>Основное заболевание: </w:t>
      </w:r>
      <w:r>
        <w:rPr/>
        <w:t>Острый трансмуральный инфаркт миокарда типа 1 </w:t>
      </w:r>
      <w:r>
        <w:rPr>
          <w:b/>
        </w:rPr>
        <w:t>I21. </w:t>
      </w:r>
      <w:r>
        <w:rPr/>
        <w:t>Стенозирующий атеросклероз коронарных артерий сердца … осложненная нестабильная атеросклеротическая бляшка</w:t>
      </w:r>
      <w:r>
        <w:rPr>
          <w:spacing w:val="58"/>
        </w:rPr>
        <w:t> </w:t>
      </w:r>
      <w:r>
        <w:rPr/>
        <w:t>…</w:t>
      </w:r>
    </w:p>
    <w:p>
      <w:pPr>
        <w:spacing w:before="1"/>
        <w:ind w:left="321" w:right="0" w:firstLine="0"/>
        <w:jc w:val="both"/>
        <w:rPr>
          <w:b/>
          <w:sz w:val="24"/>
        </w:rPr>
      </w:pPr>
      <w:r>
        <w:rPr>
          <w:b/>
          <w:sz w:val="24"/>
        </w:rPr>
        <w:t>Фоновое заболевание: </w:t>
      </w:r>
      <w:r>
        <w:rPr>
          <w:sz w:val="24"/>
        </w:rPr>
        <w:t>Гипертоническая болезнь </w:t>
      </w:r>
      <w:r>
        <w:rPr>
          <w:b/>
          <w:sz w:val="24"/>
        </w:rPr>
        <w:t>I10.</w:t>
      </w:r>
    </w:p>
    <w:p>
      <w:pPr>
        <w:spacing w:line="312" w:lineRule="auto" w:before="82"/>
        <w:ind w:left="321" w:right="678" w:firstLine="0"/>
        <w:jc w:val="both"/>
        <w:rPr>
          <w:b/>
          <w:sz w:val="24"/>
        </w:rPr>
      </w:pPr>
      <w:r>
        <w:rPr>
          <w:b/>
          <w:sz w:val="24"/>
        </w:rPr>
        <w:t>Сочетанное заболевание: </w:t>
      </w:r>
      <w:r>
        <w:rPr>
          <w:sz w:val="24"/>
        </w:rPr>
        <w:t>Новая коронавирусная инфекция, подтвержденная ПЦР тестом (номер, дата) </w:t>
      </w:r>
      <w:r>
        <w:rPr>
          <w:b/>
          <w:sz w:val="24"/>
        </w:rPr>
        <w:t>U07.1.</w:t>
      </w:r>
    </w:p>
    <w:p>
      <w:pPr>
        <w:spacing w:line="312" w:lineRule="auto" w:before="0"/>
        <w:ind w:left="321" w:right="678" w:firstLine="0"/>
        <w:jc w:val="both"/>
        <w:rPr>
          <w:sz w:val="24"/>
        </w:rPr>
      </w:pPr>
      <w:r>
        <w:rPr>
          <w:b/>
          <w:sz w:val="24"/>
        </w:rPr>
        <w:t>Осложнения основного заболевания: </w:t>
      </w:r>
      <w:r>
        <w:rPr>
          <w:sz w:val="24"/>
        </w:rPr>
        <w:t>Острое общее венозное полнокровие … Отек головного мозга.</w:t>
      </w:r>
    </w:p>
    <w:p>
      <w:pPr>
        <w:spacing w:after="0" w:line="312" w:lineRule="auto"/>
        <w:jc w:val="both"/>
        <w:rPr>
          <w:sz w:val="24"/>
        </w:rPr>
        <w:sectPr>
          <w:pgSz w:w="11920" w:h="16850"/>
          <w:pgMar w:header="0" w:footer="620" w:top="1060" w:bottom="880" w:left="1380" w:right="600"/>
        </w:sectPr>
      </w:pPr>
    </w:p>
    <w:p>
      <w:pPr>
        <w:spacing w:line="312" w:lineRule="auto" w:before="78"/>
        <w:ind w:left="321" w:right="0" w:firstLine="0"/>
        <w:jc w:val="left"/>
        <w:rPr>
          <w:sz w:val="24"/>
        </w:rPr>
      </w:pPr>
      <w:r>
        <w:rPr>
          <w:b/>
          <w:sz w:val="24"/>
        </w:rPr>
        <w:t>Реанимационные мероприятия и интенсивная терапия: </w:t>
      </w:r>
      <w:r>
        <w:rPr>
          <w:sz w:val="24"/>
        </w:rPr>
        <w:t>ИВЛ _ сут. Левосторонняя нижнедолевая очагово-сливная бронхопневмония после интубации трахеи и ИВЛ.</w:t>
      </w:r>
    </w:p>
    <w:p>
      <w:pPr>
        <w:pStyle w:val="BodyText"/>
        <w:spacing w:before="1"/>
        <w:ind w:left="0"/>
        <w:jc w:val="left"/>
        <w:rPr>
          <w:sz w:val="31"/>
        </w:rPr>
      </w:pPr>
    </w:p>
    <w:p>
      <w:pPr>
        <w:pStyle w:val="Heading3"/>
        <w:jc w:val="left"/>
      </w:pPr>
      <w:r>
        <w:rPr>
          <w:color w:val="1F4E79"/>
        </w:rPr>
        <w:t>Пример 4</w:t>
      </w:r>
    </w:p>
    <w:p>
      <w:pPr>
        <w:pStyle w:val="BodyText"/>
        <w:spacing w:before="84"/>
        <w:ind w:left="1029"/>
        <w:jc w:val="left"/>
      </w:pPr>
      <w:r>
        <w:rPr/>
        <w:t>Патологоанатомический диагноз (предварительный, окончательный)</w:t>
      </w:r>
    </w:p>
    <w:p>
      <w:pPr>
        <w:spacing w:before="82"/>
        <w:ind w:left="321" w:right="0" w:firstLine="0"/>
        <w:jc w:val="left"/>
        <w:rPr>
          <w:b/>
          <w:sz w:val="24"/>
        </w:rPr>
      </w:pPr>
      <w:r>
        <w:rPr>
          <w:b/>
          <w:sz w:val="24"/>
        </w:rPr>
        <w:t>Основное заболевание: </w:t>
      </w:r>
      <w:r>
        <w:rPr>
          <w:sz w:val="24"/>
        </w:rPr>
        <w:t>Хроническая (постинфарктная) аневризма сердца … </w:t>
      </w:r>
      <w:r>
        <w:rPr>
          <w:b/>
          <w:sz w:val="24"/>
        </w:rPr>
        <w:t>I25.3.</w:t>
      </w:r>
    </w:p>
    <w:p>
      <w:pPr>
        <w:pStyle w:val="BodyText"/>
        <w:spacing w:before="84"/>
        <w:jc w:val="left"/>
      </w:pPr>
      <w:r>
        <w:rPr/>
        <w:t>Стенозирующий атеросклероз коронарных артерий (…).</w:t>
      </w:r>
    </w:p>
    <w:p>
      <w:pPr>
        <w:spacing w:line="312" w:lineRule="auto" w:before="82"/>
        <w:ind w:left="321" w:right="615" w:firstLine="0"/>
        <w:jc w:val="left"/>
        <w:rPr>
          <w:sz w:val="24"/>
        </w:rPr>
      </w:pPr>
      <w:r>
        <w:rPr>
          <w:b/>
          <w:sz w:val="24"/>
        </w:rPr>
        <w:t>Фоновое заболевание: </w:t>
      </w:r>
      <w:r>
        <w:rPr>
          <w:sz w:val="24"/>
        </w:rPr>
        <w:t>Гипертоническая болезнь (масса сердца, толщина миокарда левого желудочка более 1,5 см) </w:t>
      </w:r>
      <w:r>
        <w:rPr>
          <w:b/>
          <w:sz w:val="24"/>
        </w:rPr>
        <w:t>I10</w:t>
      </w:r>
      <w:r>
        <w:rPr>
          <w:sz w:val="24"/>
        </w:rPr>
        <w:t>, артериолосклеротический нефросклероз… </w:t>
      </w:r>
      <w:r>
        <w:rPr>
          <w:b/>
          <w:sz w:val="24"/>
        </w:rPr>
        <w:t>Осложнения основного заболевания: </w:t>
      </w:r>
      <w:r>
        <w:rPr>
          <w:sz w:val="24"/>
        </w:rPr>
        <w:t>Хроническое общее венозное полнокровие. Инфаркт миокарда типа 2 … . Отек легких.</w:t>
      </w:r>
    </w:p>
    <w:p>
      <w:pPr>
        <w:pStyle w:val="Heading3"/>
        <w:ind w:left="321"/>
        <w:jc w:val="left"/>
        <w:rPr>
          <w:b w:val="0"/>
        </w:rPr>
      </w:pPr>
      <w:r>
        <w:rPr/>
        <w:t>Реанимационные мероприятия и интенсивная терапия: </w:t>
      </w:r>
      <w:r>
        <w:rPr>
          <w:b w:val="0"/>
        </w:rPr>
        <w:t>….</w:t>
      </w:r>
    </w:p>
    <w:p>
      <w:pPr>
        <w:spacing w:line="312" w:lineRule="auto" w:before="84"/>
        <w:ind w:left="321" w:right="749" w:firstLine="0"/>
        <w:jc w:val="left"/>
        <w:rPr>
          <w:sz w:val="24"/>
        </w:rPr>
      </w:pPr>
      <w:r>
        <w:rPr>
          <w:b/>
          <w:sz w:val="24"/>
        </w:rPr>
        <w:t>Сопутствующие заболевания: </w:t>
      </w:r>
      <w:r>
        <w:rPr>
          <w:sz w:val="24"/>
        </w:rPr>
        <w:t>Новая коронавирусная инфекция, подтвержденная ПЦР тестом (номер, дата).</w:t>
      </w:r>
    </w:p>
    <w:p>
      <w:pPr>
        <w:pStyle w:val="BodyText"/>
        <w:spacing w:before="10"/>
        <w:ind w:left="0"/>
        <w:jc w:val="left"/>
        <w:rPr>
          <w:sz w:val="20"/>
        </w:rPr>
      </w:pPr>
    </w:p>
    <w:p>
      <w:pPr>
        <w:pStyle w:val="Heading3"/>
        <w:jc w:val="left"/>
      </w:pPr>
      <w:bookmarkStart w:name="Примеры оформления медицинских свидетель" w:id="194"/>
      <w:bookmarkEnd w:id="194"/>
      <w:r>
        <w:rPr>
          <w:b w:val="0"/>
        </w:rPr>
      </w:r>
      <w:r>
        <w:rPr>
          <w:color w:val="1F487C"/>
        </w:rPr>
        <w:t>Примеры оформления медицинских свидетельств о смерти по МКБ-10:</w:t>
      </w:r>
    </w:p>
    <w:p>
      <w:pPr>
        <w:pStyle w:val="BodyText"/>
        <w:ind w:left="0"/>
        <w:jc w:val="left"/>
        <w:rPr>
          <w:b/>
          <w:sz w:val="26"/>
        </w:rPr>
      </w:pPr>
    </w:p>
    <w:p>
      <w:pPr>
        <w:spacing w:before="200"/>
        <w:ind w:left="1029" w:right="0" w:firstLine="0"/>
        <w:jc w:val="left"/>
        <w:rPr>
          <w:b/>
          <w:sz w:val="24"/>
        </w:rPr>
      </w:pPr>
      <w:r>
        <w:rPr>
          <w:b/>
          <w:color w:val="1F4E79"/>
          <w:sz w:val="24"/>
        </w:rPr>
        <w:t>Пример 1.</w:t>
      </w:r>
    </w:p>
    <w:p>
      <w:pPr>
        <w:pStyle w:val="BodyText"/>
        <w:spacing w:before="84"/>
        <w:ind w:left="1029"/>
        <w:jc w:val="left"/>
      </w:pPr>
      <w:r>
        <w:rPr/>
        <w:t>I</w:t>
      </w:r>
    </w:p>
    <w:p>
      <w:pPr>
        <w:pStyle w:val="BodyText"/>
        <w:spacing w:before="82"/>
        <w:ind w:left="1029"/>
        <w:jc w:val="left"/>
        <w:rPr>
          <w:b/>
        </w:rPr>
      </w:pPr>
      <w:r>
        <w:rPr/>
        <w:t>а) Острый респираторный дистресс-синдром </w:t>
      </w:r>
      <w:r>
        <w:rPr>
          <w:b/>
        </w:rPr>
        <w:t>J80.X</w:t>
      </w:r>
    </w:p>
    <w:p>
      <w:pPr>
        <w:spacing w:before="84"/>
        <w:ind w:left="1029" w:right="0" w:firstLine="0"/>
        <w:jc w:val="left"/>
        <w:rPr>
          <w:b/>
          <w:sz w:val="24"/>
        </w:rPr>
      </w:pPr>
      <w:r>
        <w:rPr>
          <w:sz w:val="24"/>
        </w:rPr>
        <w:t>б) Бронхопневмония </w:t>
      </w:r>
      <w:r>
        <w:rPr>
          <w:b/>
          <w:sz w:val="24"/>
        </w:rPr>
        <w:t>J18.0</w:t>
      </w:r>
    </w:p>
    <w:p>
      <w:pPr>
        <w:pStyle w:val="BodyText"/>
        <w:spacing w:before="81"/>
        <w:ind w:left="1029"/>
        <w:jc w:val="left"/>
        <w:rPr>
          <w:b/>
        </w:rPr>
      </w:pPr>
      <w:r>
        <w:rPr/>
        <w:t>в) Новая коронавирусная инфекция, подтвержденная вирусологически</w:t>
      </w:r>
      <w:r>
        <w:rPr>
          <w:spacing w:val="53"/>
        </w:rPr>
        <w:t> </w:t>
      </w:r>
      <w:r>
        <w:rPr>
          <w:b/>
        </w:rPr>
        <w:t>U07.1</w:t>
      </w:r>
    </w:p>
    <w:p>
      <w:pPr>
        <w:spacing w:line="710" w:lineRule="atLeast" w:before="8"/>
        <w:ind w:left="1029" w:right="4767" w:firstLine="0"/>
        <w:jc w:val="left"/>
        <w:rPr>
          <w:b/>
          <w:sz w:val="24"/>
        </w:rPr>
      </w:pPr>
      <w:r>
        <w:rPr>
          <w:sz w:val="24"/>
        </w:rPr>
        <w:t>II Рак дна желудка без метастазов </w:t>
      </w:r>
      <w:r>
        <w:rPr>
          <w:b/>
          <w:sz w:val="24"/>
        </w:rPr>
        <w:t>С16.1</w:t>
      </w:r>
      <w:r>
        <w:rPr>
          <w:b/>
          <w:color w:val="1F4E79"/>
          <w:sz w:val="24"/>
        </w:rPr>
        <w:t> Пример 2.</w:t>
      </w:r>
    </w:p>
    <w:p>
      <w:pPr>
        <w:pStyle w:val="BodyText"/>
        <w:spacing w:before="92"/>
        <w:ind w:left="1029"/>
        <w:jc w:val="left"/>
      </w:pPr>
      <w:r>
        <w:rPr/>
        <w:t>I</w:t>
      </w:r>
    </w:p>
    <w:p>
      <w:pPr>
        <w:spacing w:before="81"/>
        <w:ind w:left="1029" w:right="0" w:firstLine="0"/>
        <w:jc w:val="left"/>
        <w:rPr>
          <w:b/>
          <w:sz w:val="24"/>
        </w:rPr>
      </w:pPr>
      <w:r>
        <w:rPr>
          <w:sz w:val="24"/>
        </w:rPr>
        <w:t>а) Отек легкого </w:t>
      </w:r>
      <w:r>
        <w:rPr>
          <w:b/>
          <w:sz w:val="24"/>
        </w:rPr>
        <w:t>J81.Х</w:t>
      </w:r>
    </w:p>
    <w:p>
      <w:pPr>
        <w:spacing w:before="84"/>
        <w:ind w:left="1029" w:right="0" w:firstLine="0"/>
        <w:jc w:val="left"/>
        <w:rPr>
          <w:b/>
          <w:sz w:val="24"/>
        </w:rPr>
      </w:pPr>
      <w:r>
        <w:rPr>
          <w:sz w:val="24"/>
        </w:rPr>
        <w:t>б) Бронхопневмония </w:t>
      </w:r>
      <w:r>
        <w:rPr>
          <w:b/>
          <w:sz w:val="24"/>
        </w:rPr>
        <w:t>J18.0</w:t>
      </w:r>
    </w:p>
    <w:p>
      <w:pPr>
        <w:spacing w:before="82"/>
        <w:ind w:left="1029" w:right="0" w:firstLine="0"/>
        <w:jc w:val="left"/>
        <w:rPr>
          <w:b/>
          <w:sz w:val="24"/>
        </w:rPr>
      </w:pPr>
      <w:r>
        <w:rPr>
          <w:sz w:val="24"/>
        </w:rPr>
        <w:t>в) Рак дна желудка </w:t>
      </w:r>
      <w:r>
        <w:rPr>
          <w:b/>
          <w:sz w:val="24"/>
        </w:rPr>
        <w:t>С16.1</w:t>
      </w:r>
    </w:p>
    <w:p>
      <w:pPr>
        <w:pStyle w:val="BodyText"/>
        <w:spacing w:line="710" w:lineRule="atLeast" w:before="7"/>
        <w:ind w:left="1029" w:right="1053"/>
        <w:jc w:val="left"/>
        <w:rPr>
          <w:b/>
        </w:rPr>
      </w:pPr>
      <w:r>
        <w:rPr/>
        <w:t>II новая коронавирусная инфекция, подтвержденная вирусологически </w:t>
      </w:r>
      <w:r>
        <w:rPr>
          <w:b/>
        </w:rPr>
        <w:t>U07.1</w:t>
      </w:r>
      <w:r>
        <w:rPr>
          <w:b/>
          <w:color w:val="1F4E79"/>
        </w:rPr>
        <w:t> Пример 3.</w:t>
      </w:r>
    </w:p>
    <w:p>
      <w:pPr>
        <w:pStyle w:val="BodyText"/>
        <w:spacing w:before="92"/>
        <w:ind w:left="1029"/>
        <w:jc w:val="left"/>
      </w:pPr>
      <w:r>
        <w:rPr/>
        <w:t>I</w:t>
      </w:r>
    </w:p>
    <w:p>
      <w:pPr>
        <w:spacing w:before="82"/>
        <w:ind w:left="1029" w:right="0" w:firstLine="0"/>
        <w:jc w:val="left"/>
        <w:rPr>
          <w:b/>
          <w:sz w:val="24"/>
        </w:rPr>
      </w:pPr>
      <w:r>
        <w:rPr>
          <w:sz w:val="24"/>
        </w:rPr>
        <w:t>а) отек легкого </w:t>
      </w:r>
      <w:r>
        <w:rPr>
          <w:b/>
          <w:sz w:val="24"/>
        </w:rPr>
        <w:t>J81.Х</w:t>
      </w:r>
    </w:p>
    <w:p>
      <w:pPr>
        <w:spacing w:before="84"/>
        <w:ind w:left="1029" w:right="0" w:firstLine="0"/>
        <w:jc w:val="left"/>
        <w:rPr>
          <w:b/>
          <w:sz w:val="24"/>
        </w:rPr>
      </w:pPr>
      <w:r>
        <w:rPr>
          <w:sz w:val="24"/>
        </w:rPr>
        <w:t>б) бронхопневмония </w:t>
      </w:r>
      <w:r>
        <w:rPr>
          <w:b/>
          <w:sz w:val="24"/>
        </w:rPr>
        <w:t>J18.0</w:t>
      </w:r>
    </w:p>
    <w:p>
      <w:pPr>
        <w:pStyle w:val="BodyText"/>
        <w:spacing w:before="81"/>
        <w:ind w:left="1029"/>
        <w:jc w:val="left"/>
        <w:rPr>
          <w:b/>
        </w:rPr>
      </w:pPr>
      <w:r>
        <w:rPr/>
        <w:t>в) Острый инфаркт миокарда </w:t>
      </w:r>
      <w:r>
        <w:rPr>
          <w:b/>
        </w:rPr>
        <w:t>I21</w:t>
      </w:r>
    </w:p>
    <w:p>
      <w:pPr>
        <w:pStyle w:val="BodyText"/>
        <w:spacing w:before="84"/>
        <w:ind w:left="1029"/>
        <w:jc w:val="left"/>
        <w:rPr>
          <w:b/>
        </w:rPr>
      </w:pPr>
      <w:r>
        <w:rPr/>
        <w:t>II Гипертоническая болезнь. </w:t>
      </w:r>
      <w:r>
        <w:rPr>
          <w:b/>
        </w:rPr>
        <w:t>I10.X</w:t>
      </w:r>
    </w:p>
    <w:p>
      <w:pPr>
        <w:spacing w:after="0"/>
        <w:jc w:val="left"/>
        <w:sectPr>
          <w:pgSz w:w="11920" w:h="16850"/>
          <w:pgMar w:header="0" w:footer="620" w:top="1060" w:bottom="880" w:left="1380" w:right="600"/>
        </w:sectPr>
      </w:pPr>
    </w:p>
    <w:p>
      <w:pPr>
        <w:pStyle w:val="BodyText"/>
        <w:spacing w:before="78"/>
        <w:ind w:left="1029"/>
        <w:rPr>
          <w:b/>
        </w:rPr>
      </w:pPr>
      <w:r>
        <w:rPr/>
        <w:t>Новая коронавирусная инфекция, подтвержденная вирусологически </w:t>
      </w:r>
      <w:r>
        <w:rPr>
          <w:b/>
        </w:rPr>
        <w:t>U07.1</w:t>
      </w:r>
    </w:p>
    <w:p>
      <w:pPr>
        <w:pStyle w:val="BodyText"/>
        <w:spacing w:line="312" w:lineRule="auto" w:before="82"/>
        <w:ind w:right="676" w:firstLine="708"/>
      </w:pPr>
      <w:r>
        <w:rPr/>
        <w:t>В целях сбора сведений информации о пациентах с новой коронавирусной инфекцией, а также лицах с пневмонией, в том числе находящихся на амбулаторном лечении разработана информационная система для (далее – информационный ресурс), которая размещена по адресу: https://covid.egisz.rosminzdrav.ru/.</w:t>
      </w:r>
    </w:p>
    <w:p>
      <w:pPr>
        <w:pStyle w:val="BodyText"/>
        <w:spacing w:line="312" w:lineRule="auto"/>
        <w:ind w:right="672" w:firstLine="708"/>
      </w:pPr>
      <w:r>
        <w:rPr/>
        <w:t>В соответствии с постановлением Правительства Российской Федерации от 31.03.2020 № 373 </w:t>
      </w:r>
      <w:r>
        <w:rPr>
          <w:spacing w:val="-3"/>
        </w:rPr>
        <w:t>«Об </w:t>
      </w:r>
      <w:r>
        <w:rPr/>
        <w:t>утверждении временных правил учета информации в целях предотвращения распространения новой коронавирусной инфекции (COVID-19)» необходимо  обеспечить  предоставление   медицинскими   организациями   сведений о лицах с установленным диагнозом  новой  коронавирусной  инфекции  (COVID-19) и лицах с признаками пневмонии. Сведения направляются в соответствии с порядком, изложенным в инструкции по внесению сведений в информационный ресурс, размещенной         по          адресу          </w:t>
      </w:r>
      <w:hyperlink r:id="rId18">
        <w:r>
          <w:rPr>
            <w:color w:val="0000FF"/>
            <w:u w:val="single" w:color="0000FF"/>
          </w:rPr>
          <w:t>http://portal.egisz.rosminzdrav.ru/materials/3557</w:t>
        </w:r>
        <w:r>
          <w:rPr/>
          <w:t>,</w:t>
        </w:r>
      </w:hyperlink>
      <w:r>
        <w:rPr/>
        <w:t> в установленные</w:t>
      </w:r>
      <w:r>
        <w:rPr>
          <w:spacing w:val="-1"/>
        </w:rPr>
        <w:t> </w:t>
      </w:r>
      <w:r>
        <w:rPr/>
        <w:t>сроки:</w:t>
      </w:r>
    </w:p>
    <w:p>
      <w:pPr>
        <w:pStyle w:val="ListParagraph"/>
        <w:numPr>
          <w:ilvl w:val="0"/>
          <w:numId w:val="38"/>
        </w:numPr>
        <w:tabs>
          <w:tab w:pos="1001" w:val="left" w:leader="none"/>
        </w:tabs>
        <w:spacing w:line="304" w:lineRule="auto" w:before="3" w:after="0"/>
        <w:ind w:left="1000" w:right="676" w:hanging="339"/>
        <w:jc w:val="both"/>
        <w:rPr>
          <w:sz w:val="24"/>
        </w:rPr>
      </w:pPr>
      <w:r>
        <w:rPr>
          <w:sz w:val="24"/>
        </w:rPr>
        <w:t>В</w:t>
      </w:r>
      <w:r>
        <w:rPr>
          <w:spacing w:val="-19"/>
          <w:sz w:val="24"/>
        </w:rPr>
        <w:t> </w:t>
      </w:r>
      <w:r>
        <w:rPr>
          <w:sz w:val="24"/>
        </w:rPr>
        <w:t>течение</w:t>
      </w:r>
      <w:r>
        <w:rPr>
          <w:spacing w:val="-17"/>
          <w:sz w:val="24"/>
        </w:rPr>
        <w:t> </w:t>
      </w:r>
      <w:r>
        <w:rPr>
          <w:sz w:val="24"/>
        </w:rPr>
        <w:t>2</w:t>
      </w:r>
      <w:r>
        <w:rPr>
          <w:spacing w:val="-16"/>
          <w:sz w:val="24"/>
        </w:rPr>
        <w:t> </w:t>
      </w:r>
      <w:r>
        <w:rPr>
          <w:sz w:val="24"/>
        </w:rPr>
        <w:t>ч</w:t>
      </w:r>
      <w:r>
        <w:rPr>
          <w:spacing w:val="-14"/>
          <w:sz w:val="24"/>
        </w:rPr>
        <w:t> </w:t>
      </w:r>
      <w:r>
        <w:rPr>
          <w:sz w:val="24"/>
        </w:rPr>
        <w:t>с</w:t>
      </w:r>
      <w:r>
        <w:rPr>
          <w:spacing w:val="-14"/>
          <w:sz w:val="24"/>
        </w:rPr>
        <w:t> </w:t>
      </w:r>
      <w:r>
        <w:rPr>
          <w:sz w:val="24"/>
        </w:rPr>
        <w:t>момента</w:t>
      </w:r>
      <w:r>
        <w:rPr>
          <w:spacing w:val="-15"/>
          <w:sz w:val="24"/>
        </w:rPr>
        <w:t> </w:t>
      </w:r>
      <w:r>
        <w:rPr>
          <w:sz w:val="24"/>
        </w:rPr>
        <w:t>установления</w:t>
      </w:r>
      <w:r>
        <w:rPr>
          <w:spacing w:val="-16"/>
          <w:sz w:val="24"/>
        </w:rPr>
        <w:t> </w:t>
      </w:r>
      <w:r>
        <w:rPr>
          <w:sz w:val="24"/>
        </w:rPr>
        <w:t>диагноза</w:t>
      </w:r>
      <w:r>
        <w:rPr>
          <w:spacing w:val="-17"/>
          <w:sz w:val="24"/>
        </w:rPr>
        <w:t> </w:t>
      </w:r>
      <w:r>
        <w:rPr>
          <w:sz w:val="24"/>
        </w:rPr>
        <w:t>новой</w:t>
      </w:r>
      <w:r>
        <w:rPr>
          <w:spacing w:val="-15"/>
          <w:sz w:val="24"/>
        </w:rPr>
        <w:t> </w:t>
      </w:r>
      <w:r>
        <w:rPr>
          <w:sz w:val="24"/>
        </w:rPr>
        <w:t>коронавирусной</w:t>
      </w:r>
      <w:r>
        <w:rPr>
          <w:spacing w:val="-13"/>
          <w:sz w:val="24"/>
        </w:rPr>
        <w:t> </w:t>
      </w:r>
      <w:r>
        <w:rPr>
          <w:sz w:val="24"/>
        </w:rPr>
        <w:t>инфекции (COVID-19) или госпитализации пациента с признаками</w:t>
      </w:r>
      <w:r>
        <w:rPr>
          <w:spacing w:val="-6"/>
          <w:sz w:val="24"/>
        </w:rPr>
        <w:t> </w:t>
      </w:r>
      <w:r>
        <w:rPr>
          <w:sz w:val="24"/>
        </w:rPr>
        <w:t>пневмонии;</w:t>
      </w:r>
    </w:p>
    <w:p>
      <w:pPr>
        <w:pStyle w:val="ListParagraph"/>
        <w:numPr>
          <w:ilvl w:val="0"/>
          <w:numId w:val="38"/>
        </w:numPr>
        <w:tabs>
          <w:tab w:pos="1001" w:val="left" w:leader="none"/>
        </w:tabs>
        <w:spacing w:line="240" w:lineRule="auto" w:before="11" w:after="0"/>
        <w:ind w:left="1000" w:right="0" w:hanging="339"/>
        <w:jc w:val="both"/>
        <w:rPr>
          <w:sz w:val="24"/>
        </w:rPr>
      </w:pPr>
      <w:r>
        <w:rPr>
          <w:sz w:val="24"/>
        </w:rPr>
        <w:t>В течение 2 ч с момента получения результатов лабораторных</w:t>
      </w:r>
      <w:r>
        <w:rPr>
          <w:spacing w:val="-7"/>
          <w:sz w:val="24"/>
        </w:rPr>
        <w:t> </w:t>
      </w:r>
      <w:r>
        <w:rPr>
          <w:sz w:val="24"/>
        </w:rPr>
        <w:t>исследований.</w:t>
      </w:r>
    </w:p>
    <w:p>
      <w:pPr>
        <w:pStyle w:val="BodyText"/>
        <w:spacing w:before="7"/>
        <w:ind w:left="0"/>
        <w:jc w:val="left"/>
        <w:rPr>
          <w:sz w:val="27"/>
        </w:rPr>
      </w:pPr>
    </w:p>
    <w:p>
      <w:pPr>
        <w:pStyle w:val="Heading3"/>
        <w:spacing w:before="1"/>
        <w:jc w:val="left"/>
      </w:pPr>
      <w:bookmarkStart w:name="При внесении информации о пациенте необх" w:id="195"/>
      <w:bookmarkEnd w:id="195"/>
      <w:r>
        <w:rPr>
          <w:b w:val="0"/>
        </w:rPr>
      </w:r>
      <w:r>
        <w:rPr>
          <w:color w:val="1F487C"/>
        </w:rPr>
        <w:t>При внесении информации о пациенте необходимо указать:</w:t>
      </w:r>
    </w:p>
    <w:p>
      <w:pPr>
        <w:pStyle w:val="BodyText"/>
        <w:spacing w:line="312" w:lineRule="auto" w:before="144"/>
        <w:ind w:left="1029" w:right="4397"/>
        <w:jc w:val="left"/>
      </w:pPr>
      <w:r>
        <w:rPr/>
        <w:t>а) Дату появления клинических симптомов; б) Диагноз (указывается код по МКБ-10);  в) Дату постановки</w:t>
      </w:r>
      <w:r>
        <w:rPr>
          <w:spacing w:val="-6"/>
        </w:rPr>
        <w:t> </w:t>
      </w:r>
      <w:r>
        <w:rPr/>
        <w:t>диагноза;</w:t>
      </w:r>
    </w:p>
    <w:p>
      <w:pPr>
        <w:pStyle w:val="BodyText"/>
        <w:spacing w:line="275" w:lineRule="exact"/>
        <w:ind w:left="1029"/>
        <w:jc w:val="left"/>
      </w:pPr>
      <w:r>
        <w:rPr/>
        <w:t>г) Наличие сопутствующих (коморбидных) заболеваний:</w:t>
      </w:r>
    </w:p>
    <w:p>
      <w:pPr>
        <w:pStyle w:val="BodyText"/>
        <w:spacing w:before="6"/>
        <w:ind w:left="0"/>
        <w:jc w:val="left"/>
        <w:rPr>
          <w:sz w:val="38"/>
        </w:rPr>
      </w:pPr>
    </w:p>
    <w:p>
      <w:pPr>
        <w:pStyle w:val="ListParagraph"/>
        <w:numPr>
          <w:ilvl w:val="0"/>
          <w:numId w:val="38"/>
        </w:numPr>
        <w:tabs>
          <w:tab w:pos="1000" w:val="left" w:leader="none"/>
          <w:tab w:pos="1001" w:val="left" w:leader="none"/>
        </w:tabs>
        <w:spacing w:line="240" w:lineRule="auto" w:before="0" w:after="0"/>
        <w:ind w:left="1000" w:right="0" w:hanging="339"/>
        <w:jc w:val="left"/>
        <w:rPr>
          <w:sz w:val="24"/>
        </w:rPr>
      </w:pPr>
      <w:r>
        <w:rPr>
          <w:sz w:val="24"/>
        </w:rPr>
        <w:t>Хронических заболеваний бронхолегочной</w:t>
      </w:r>
      <w:r>
        <w:rPr>
          <w:spacing w:val="3"/>
          <w:sz w:val="24"/>
        </w:rPr>
        <w:t> </w:t>
      </w:r>
      <w:r>
        <w:rPr>
          <w:sz w:val="24"/>
        </w:rPr>
        <w:t>системы;</w:t>
      </w:r>
    </w:p>
    <w:p>
      <w:pPr>
        <w:pStyle w:val="ListParagraph"/>
        <w:numPr>
          <w:ilvl w:val="0"/>
          <w:numId w:val="38"/>
        </w:numPr>
        <w:tabs>
          <w:tab w:pos="1000" w:val="left" w:leader="none"/>
          <w:tab w:pos="1001" w:val="left" w:leader="none"/>
        </w:tabs>
        <w:spacing w:line="240" w:lineRule="auto" w:before="83" w:after="0"/>
        <w:ind w:left="1000" w:right="0" w:hanging="339"/>
        <w:jc w:val="left"/>
        <w:rPr>
          <w:sz w:val="24"/>
        </w:rPr>
      </w:pPr>
      <w:r>
        <w:rPr>
          <w:sz w:val="24"/>
        </w:rPr>
        <w:t>Хронических заболеваний сердечно-сосудистой</w:t>
      </w:r>
      <w:r>
        <w:rPr>
          <w:spacing w:val="3"/>
          <w:sz w:val="24"/>
        </w:rPr>
        <w:t> </w:t>
      </w:r>
      <w:r>
        <w:rPr>
          <w:sz w:val="24"/>
        </w:rPr>
        <w:t>системы;</w:t>
      </w:r>
    </w:p>
    <w:p>
      <w:pPr>
        <w:pStyle w:val="ListParagraph"/>
        <w:numPr>
          <w:ilvl w:val="0"/>
          <w:numId w:val="38"/>
        </w:numPr>
        <w:tabs>
          <w:tab w:pos="1000" w:val="left" w:leader="none"/>
          <w:tab w:pos="1001" w:val="left" w:leader="none"/>
        </w:tabs>
        <w:spacing w:line="240" w:lineRule="auto" w:before="83" w:after="0"/>
        <w:ind w:left="1000" w:right="0" w:hanging="339"/>
        <w:jc w:val="left"/>
        <w:rPr>
          <w:sz w:val="24"/>
        </w:rPr>
      </w:pPr>
      <w:r>
        <w:rPr>
          <w:sz w:val="24"/>
        </w:rPr>
        <w:t>Хронических заболеваний эндокринной</w:t>
      </w:r>
      <w:r>
        <w:rPr>
          <w:spacing w:val="3"/>
          <w:sz w:val="24"/>
        </w:rPr>
        <w:t> </w:t>
      </w:r>
      <w:r>
        <w:rPr>
          <w:sz w:val="24"/>
        </w:rPr>
        <w:t>системы;</w:t>
      </w:r>
    </w:p>
    <w:p>
      <w:pPr>
        <w:pStyle w:val="ListParagraph"/>
        <w:numPr>
          <w:ilvl w:val="0"/>
          <w:numId w:val="38"/>
        </w:numPr>
        <w:tabs>
          <w:tab w:pos="1000" w:val="left" w:leader="none"/>
          <w:tab w:pos="1001" w:val="left" w:leader="none"/>
        </w:tabs>
        <w:spacing w:line="240" w:lineRule="auto" w:before="80" w:after="0"/>
        <w:ind w:left="1000" w:right="0" w:hanging="339"/>
        <w:jc w:val="left"/>
        <w:rPr>
          <w:sz w:val="24"/>
        </w:rPr>
      </w:pPr>
      <w:r>
        <w:rPr>
          <w:sz w:val="24"/>
        </w:rPr>
        <w:t>Онкологических</w:t>
      </w:r>
      <w:r>
        <w:rPr>
          <w:spacing w:val="-1"/>
          <w:sz w:val="24"/>
        </w:rPr>
        <w:t> </w:t>
      </w:r>
      <w:r>
        <w:rPr>
          <w:sz w:val="24"/>
        </w:rPr>
        <w:t>заболеваний;</w:t>
      </w:r>
    </w:p>
    <w:p>
      <w:pPr>
        <w:pStyle w:val="ListParagraph"/>
        <w:numPr>
          <w:ilvl w:val="0"/>
          <w:numId w:val="38"/>
        </w:numPr>
        <w:tabs>
          <w:tab w:pos="1000" w:val="left" w:leader="none"/>
          <w:tab w:pos="1001" w:val="left" w:leader="none"/>
        </w:tabs>
        <w:spacing w:line="240" w:lineRule="auto" w:before="83" w:after="0"/>
        <w:ind w:left="1000" w:right="0" w:hanging="339"/>
        <w:jc w:val="left"/>
        <w:rPr>
          <w:sz w:val="24"/>
        </w:rPr>
      </w:pPr>
      <w:r>
        <w:rPr>
          <w:sz w:val="24"/>
        </w:rPr>
        <w:t>ВИЧ-инфекции;</w:t>
      </w:r>
    </w:p>
    <w:p>
      <w:pPr>
        <w:pStyle w:val="ListParagraph"/>
        <w:numPr>
          <w:ilvl w:val="0"/>
          <w:numId w:val="38"/>
        </w:numPr>
        <w:tabs>
          <w:tab w:pos="1000" w:val="left" w:leader="none"/>
          <w:tab w:pos="1001" w:val="left" w:leader="none"/>
        </w:tabs>
        <w:spacing w:line="240" w:lineRule="auto" w:before="80" w:after="0"/>
        <w:ind w:left="1000" w:right="0" w:hanging="339"/>
        <w:jc w:val="left"/>
        <w:rPr>
          <w:sz w:val="24"/>
        </w:rPr>
      </w:pPr>
      <w:r>
        <w:rPr>
          <w:sz w:val="24"/>
        </w:rPr>
        <w:t>туберкулеза;</w:t>
      </w:r>
    </w:p>
    <w:p>
      <w:pPr>
        <w:pStyle w:val="ListParagraph"/>
        <w:numPr>
          <w:ilvl w:val="0"/>
          <w:numId w:val="38"/>
        </w:numPr>
        <w:tabs>
          <w:tab w:pos="1000" w:val="left" w:leader="none"/>
          <w:tab w:pos="1001" w:val="left" w:leader="none"/>
        </w:tabs>
        <w:spacing w:line="240" w:lineRule="auto" w:before="83" w:after="0"/>
        <w:ind w:left="1000" w:right="0" w:hanging="339"/>
        <w:jc w:val="left"/>
        <w:rPr>
          <w:sz w:val="24"/>
        </w:rPr>
      </w:pPr>
      <w:r>
        <w:rPr>
          <w:sz w:val="24"/>
        </w:rPr>
        <w:t>иных</w:t>
      </w:r>
      <w:r>
        <w:rPr>
          <w:spacing w:val="1"/>
          <w:sz w:val="24"/>
        </w:rPr>
        <w:t> </w:t>
      </w:r>
      <w:r>
        <w:rPr>
          <w:sz w:val="24"/>
        </w:rPr>
        <w:t>заболеваний.</w:t>
      </w:r>
    </w:p>
    <w:p>
      <w:pPr>
        <w:pStyle w:val="BodyText"/>
        <w:spacing w:before="4"/>
        <w:ind w:left="0"/>
        <w:jc w:val="left"/>
        <w:rPr>
          <w:sz w:val="39"/>
        </w:rPr>
      </w:pPr>
    </w:p>
    <w:p>
      <w:pPr>
        <w:pStyle w:val="BodyText"/>
        <w:spacing w:before="1"/>
        <w:ind w:left="1029"/>
        <w:jc w:val="left"/>
      </w:pPr>
      <w:r>
        <w:rPr/>
        <w:t>д) Наличие беременности;</w:t>
      </w:r>
    </w:p>
    <w:p>
      <w:pPr>
        <w:pStyle w:val="BodyText"/>
        <w:spacing w:before="84"/>
        <w:ind w:left="1029"/>
        <w:jc w:val="left"/>
      </w:pPr>
      <w:r>
        <w:rPr/>
        <w:t>е) Сведения о вакцинации (грипп и пневмококковая инфекция (при наличии);</w:t>
      </w:r>
    </w:p>
    <w:p>
      <w:pPr>
        <w:pStyle w:val="BodyText"/>
        <w:spacing w:before="4"/>
        <w:ind w:left="0"/>
        <w:jc w:val="left"/>
        <w:rPr>
          <w:sz w:val="38"/>
        </w:rPr>
      </w:pPr>
    </w:p>
    <w:p>
      <w:pPr>
        <w:pStyle w:val="BodyText"/>
        <w:spacing w:line="312" w:lineRule="auto"/>
        <w:ind w:right="675" w:firstLine="708"/>
      </w:pPr>
      <w:r>
        <w:rPr/>
        <w:t>В ежедневном режиме необходимо обеспечить обновление медицинской информации о пациенте</w:t>
      </w:r>
    </w:p>
    <w:p>
      <w:pPr>
        <w:pStyle w:val="BodyText"/>
        <w:ind w:left="1029"/>
        <w:jc w:val="left"/>
      </w:pPr>
      <w:r>
        <w:rPr/>
        <w:t>а) Сведения о проводимом лечении:</w:t>
      </w:r>
    </w:p>
    <w:p>
      <w:pPr>
        <w:spacing w:after="0"/>
        <w:jc w:val="left"/>
        <w:sectPr>
          <w:pgSz w:w="11920" w:h="16850"/>
          <w:pgMar w:header="0" w:footer="620" w:top="1060" w:bottom="880" w:left="1380" w:right="600"/>
        </w:sectPr>
      </w:pPr>
    </w:p>
    <w:p>
      <w:pPr>
        <w:pStyle w:val="ListParagraph"/>
        <w:numPr>
          <w:ilvl w:val="0"/>
          <w:numId w:val="38"/>
        </w:numPr>
        <w:tabs>
          <w:tab w:pos="1000" w:val="left" w:leader="none"/>
          <w:tab w:pos="1001" w:val="left" w:leader="none"/>
        </w:tabs>
        <w:spacing w:line="240" w:lineRule="auto" w:before="80" w:after="0"/>
        <w:ind w:left="1000" w:right="0" w:hanging="339"/>
        <w:jc w:val="left"/>
        <w:rPr>
          <w:sz w:val="24"/>
        </w:rPr>
      </w:pPr>
      <w:r>
        <w:rPr>
          <w:sz w:val="24"/>
        </w:rPr>
        <w:t>Противовирусное</w:t>
      </w:r>
      <w:r>
        <w:rPr>
          <w:spacing w:val="-2"/>
          <w:sz w:val="24"/>
        </w:rPr>
        <w:t> </w:t>
      </w:r>
      <w:r>
        <w:rPr>
          <w:sz w:val="24"/>
        </w:rPr>
        <w:t>лечение;</w:t>
      </w:r>
    </w:p>
    <w:p>
      <w:pPr>
        <w:pStyle w:val="ListParagraph"/>
        <w:numPr>
          <w:ilvl w:val="0"/>
          <w:numId w:val="38"/>
        </w:numPr>
        <w:tabs>
          <w:tab w:pos="1000" w:val="left" w:leader="none"/>
          <w:tab w:pos="1001" w:val="left" w:leader="none"/>
        </w:tabs>
        <w:spacing w:line="240" w:lineRule="auto" w:before="83" w:after="0"/>
        <w:ind w:left="1000" w:right="0" w:hanging="339"/>
        <w:jc w:val="left"/>
        <w:rPr>
          <w:sz w:val="24"/>
        </w:rPr>
      </w:pPr>
      <w:r>
        <w:rPr>
          <w:sz w:val="24"/>
        </w:rPr>
        <w:t>Респираторная поддержка (ИВЛ,</w:t>
      </w:r>
      <w:r>
        <w:rPr>
          <w:spacing w:val="-2"/>
          <w:sz w:val="24"/>
        </w:rPr>
        <w:t> </w:t>
      </w:r>
      <w:r>
        <w:rPr>
          <w:sz w:val="24"/>
        </w:rPr>
        <w:t>ЭКМО);</w:t>
      </w:r>
    </w:p>
    <w:p>
      <w:pPr>
        <w:pStyle w:val="BodyText"/>
        <w:spacing w:before="4"/>
        <w:ind w:left="0"/>
        <w:jc w:val="left"/>
        <w:rPr>
          <w:sz w:val="39"/>
        </w:rPr>
      </w:pPr>
    </w:p>
    <w:p>
      <w:pPr>
        <w:pStyle w:val="BodyText"/>
        <w:spacing w:line="312" w:lineRule="auto"/>
        <w:ind w:left="1029" w:right="4660"/>
        <w:jc w:val="left"/>
      </w:pPr>
      <w:r>
        <w:rPr/>
        <w:t>з) Уровень сатурации кислорода в крови; и) Тяжесть течения заболевания.</w:t>
      </w:r>
    </w:p>
    <w:p>
      <w:pPr>
        <w:pStyle w:val="Heading3"/>
        <w:spacing w:before="120"/>
        <w:ind w:left="887"/>
        <w:jc w:val="left"/>
      </w:pPr>
      <w:r>
        <w:rPr>
          <w:color w:val="1F4E79"/>
        </w:rPr>
        <w:t>В случае смерти пациента</w:t>
      </w:r>
    </w:p>
    <w:p>
      <w:pPr>
        <w:pStyle w:val="BodyText"/>
        <w:spacing w:before="202"/>
        <w:ind w:left="1029"/>
      </w:pPr>
      <w:r>
        <w:rPr/>
        <w:t>а) В течение суток заполняется раздел «Заключительный клинический диагноз»:</w:t>
      </w:r>
    </w:p>
    <w:p>
      <w:pPr>
        <w:pStyle w:val="BodyText"/>
        <w:spacing w:before="6"/>
        <w:ind w:left="0"/>
        <w:jc w:val="left"/>
        <w:rPr>
          <w:sz w:val="38"/>
        </w:rPr>
      </w:pPr>
    </w:p>
    <w:p>
      <w:pPr>
        <w:pStyle w:val="ListParagraph"/>
        <w:numPr>
          <w:ilvl w:val="0"/>
          <w:numId w:val="38"/>
        </w:numPr>
        <w:tabs>
          <w:tab w:pos="1000" w:val="left" w:leader="none"/>
          <w:tab w:pos="1001" w:val="left" w:leader="none"/>
        </w:tabs>
        <w:spacing w:line="240" w:lineRule="auto" w:before="0" w:after="0"/>
        <w:ind w:left="1000" w:right="0" w:hanging="339"/>
        <w:jc w:val="left"/>
        <w:rPr>
          <w:sz w:val="24"/>
        </w:rPr>
      </w:pPr>
      <w:r>
        <w:rPr>
          <w:sz w:val="24"/>
        </w:rPr>
        <w:t>Основное</w:t>
      </w:r>
      <w:r>
        <w:rPr>
          <w:spacing w:val="-2"/>
          <w:sz w:val="24"/>
        </w:rPr>
        <w:t> </w:t>
      </w:r>
      <w:r>
        <w:rPr>
          <w:sz w:val="24"/>
        </w:rPr>
        <w:t>заболевание;</w:t>
      </w:r>
    </w:p>
    <w:p>
      <w:pPr>
        <w:pStyle w:val="ListParagraph"/>
        <w:numPr>
          <w:ilvl w:val="0"/>
          <w:numId w:val="38"/>
        </w:numPr>
        <w:tabs>
          <w:tab w:pos="1000" w:val="left" w:leader="none"/>
          <w:tab w:pos="1001" w:val="left" w:leader="none"/>
        </w:tabs>
        <w:spacing w:line="240" w:lineRule="auto" w:before="83" w:after="0"/>
        <w:ind w:left="1000" w:right="0" w:hanging="339"/>
        <w:jc w:val="left"/>
        <w:rPr>
          <w:sz w:val="24"/>
        </w:rPr>
      </w:pPr>
      <w:r>
        <w:rPr>
          <w:sz w:val="24"/>
        </w:rPr>
        <w:t>Осложнения основного заболевания (при</w:t>
      </w:r>
      <w:r>
        <w:rPr>
          <w:spacing w:val="-3"/>
          <w:sz w:val="24"/>
        </w:rPr>
        <w:t> </w:t>
      </w:r>
      <w:r>
        <w:rPr>
          <w:sz w:val="24"/>
        </w:rPr>
        <w:t>наличии);</w:t>
      </w:r>
    </w:p>
    <w:p>
      <w:pPr>
        <w:pStyle w:val="ListParagraph"/>
        <w:numPr>
          <w:ilvl w:val="0"/>
          <w:numId w:val="38"/>
        </w:numPr>
        <w:tabs>
          <w:tab w:pos="1000" w:val="left" w:leader="none"/>
          <w:tab w:pos="1001" w:val="left" w:leader="none"/>
        </w:tabs>
        <w:spacing w:line="240" w:lineRule="auto" w:before="81" w:after="0"/>
        <w:ind w:left="1000" w:right="0" w:hanging="339"/>
        <w:jc w:val="left"/>
        <w:rPr>
          <w:sz w:val="24"/>
        </w:rPr>
      </w:pPr>
      <w:r>
        <w:rPr>
          <w:sz w:val="24"/>
        </w:rPr>
        <w:t>Коморбидные и сопутствующие заболевания (при</w:t>
      </w:r>
      <w:r>
        <w:rPr>
          <w:spacing w:val="-1"/>
          <w:sz w:val="24"/>
        </w:rPr>
        <w:t> </w:t>
      </w:r>
      <w:r>
        <w:rPr>
          <w:sz w:val="24"/>
        </w:rPr>
        <w:t>наличии).</w:t>
      </w:r>
    </w:p>
    <w:p>
      <w:pPr>
        <w:pStyle w:val="BodyText"/>
        <w:spacing w:before="4"/>
        <w:ind w:left="0"/>
        <w:jc w:val="left"/>
        <w:rPr>
          <w:sz w:val="39"/>
        </w:rPr>
      </w:pPr>
    </w:p>
    <w:p>
      <w:pPr>
        <w:pStyle w:val="BodyText"/>
        <w:ind w:left="1029"/>
      </w:pPr>
      <w:r>
        <w:rPr/>
        <w:t>б) В течение суток с момента проведения вскрытия заполняется раздел</w:t>
      </w:r>
    </w:p>
    <w:p>
      <w:pPr>
        <w:pStyle w:val="BodyText"/>
        <w:spacing w:line="312" w:lineRule="auto" w:before="84"/>
        <w:ind w:right="674"/>
      </w:pPr>
      <w:r>
        <w:rPr/>
        <w:t>«предварительный патологоанатомический (судебно-медицинский) диагноз» по результатам первого этапа патологоанатомического или судебно-медицинского исследования:</w:t>
      </w:r>
    </w:p>
    <w:p>
      <w:pPr>
        <w:pStyle w:val="BodyText"/>
        <w:spacing w:before="4"/>
        <w:ind w:left="0"/>
        <w:jc w:val="left"/>
        <w:rPr>
          <w:sz w:val="31"/>
        </w:rPr>
      </w:pPr>
    </w:p>
    <w:p>
      <w:pPr>
        <w:pStyle w:val="ListParagraph"/>
        <w:numPr>
          <w:ilvl w:val="0"/>
          <w:numId w:val="38"/>
        </w:numPr>
        <w:tabs>
          <w:tab w:pos="1000" w:val="left" w:leader="none"/>
          <w:tab w:pos="1001" w:val="left" w:leader="none"/>
        </w:tabs>
        <w:spacing w:line="240" w:lineRule="auto" w:before="0" w:after="0"/>
        <w:ind w:left="1000" w:right="0" w:hanging="339"/>
        <w:jc w:val="left"/>
        <w:rPr>
          <w:sz w:val="24"/>
        </w:rPr>
      </w:pPr>
      <w:r>
        <w:rPr>
          <w:sz w:val="24"/>
        </w:rPr>
        <w:t>Основное</w:t>
      </w:r>
      <w:r>
        <w:rPr>
          <w:spacing w:val="-2"/>
          <w:sz w:val="24"/>
        </w:rPr>
        <w:t> </w:t>
      </w:r>
      <w:r>
        <w:rPr>
          <w:sz w:val="24"/>
        </w:rPr>
        <w:t>заболевание;</w:t>
      </w:r>
    </w:p>
    <w:p>
      <w:pPr>
        <w:pStyle w:val="ListParagraph"/>
        <w:numPr>
          <w:ilvl w:val="0"/>
          <w:numId w:val="38"/>
        </w:numPr>
        <w:tabs>
          <w:tab w:pos="1000" w:val="left" w:leader="none"/>
          <w:tab w:pos="1001" w:val="left" w:leader="none"/>
        </w:tabs>
        <w:spacing w:line="240" w:lineRule="auto" w:before="83" w:after="0"/>
        <w:ind w:left="1000" w:right="0" w:hanging="339"/>
        <w:jc w:val="left"/>
        <w:rPr>
          <w:sz w:val="24"/>
        </w:rPr>
      </w:pPr>
      <w:r>
        <w:rPr>
          <w:sz w:val="24"/>
        </w:rPr>
        <w:t>Осложнения основного заболевания (при</w:t>
      </w:r>
      <w:r>
        <w:rPr>
          <w:spacing w:val="-3"/>
          <w:sz w:val="24"/>
        </w:rPr>
        <w:t> </w:t>
      </w:r>
      <w:r>
        <w:rPr>
          <w:sz w:val="24"/>
        </w:rPr>
        <w:t>наличии);</w:t>
      </w:r>
    </w:p>
    <w:p>
      <w:pPr>
        <w:pStyle w:val="ListParagraph"/>
        <w:numPr>
          <w:ilvl w:val="0"/>
          <w:numId w:val="38"/>
        </w:numPr>
        <w:tabs>
          <w:tab w:pos="1000" w:val="left" w:leader="none"/>
          <w:tab w:pos="1001" w:val="left" w:leader="none"/>
        </w:tabs>
        <w:spacing w:line="240" w:lineRule="auto" w:before="81" w:after="0"/>
        <w:ind w:left="1000" w:right="0" w:hanging="339"/>
        <w:jc w:val="left"/>
        <w:rPr>
          <w:sz w:val="24"/>
        </w:rPr>
      </w:pPr>
      <w:r>
        <w:rPr>
          <w:sz w:val="24"/>
        </w:rPr>
        <w:t>Коморбидные и сопутствующие заболевания (при</w:t>
      </w:r>
      <w:r>
        <w:rPr>
          <w:spacing w:val="-1"/>
          <w:sz w:val="24"/>
        </w:rPr>
        <w:t> </w:t>
      </w:r>
      <w:r>
        <w:rPr>
          <w:sz w:val="24"/>
        </w:rPr>
        <w:t>наличии)</w:t>
      </w:r>
    </w:p>
    <w:p>
      <w:pPr>
        <w:pStyle w:val="ListParagraph"/>
        <w:numPr>
          <w:ilvl w:val="0"/>
          <w:numId w:val="38"/>
        </w:numPr>
        <w:tabs>
          <w:tab w:pos="1001" w:val="left" w:leader="none"/>
        </w:tabs>
        <w:spacing w:line="309" w:lineRule="auto" w:before="82" w:after="0"/>
        <w:ind w:left="1000" w:right="672" w:hanging="339"/>
        <w:jc w:val="both"/>
        <w:rPr>
          <w:sz w:val="24"/>
        </w:rPr>
      </w:pPr>
      <w:r>
        <w:rPr>
          <w:sz w:val="24"/>
        </w:rPr>
        <w:t>Скан-копия первой части протокола патологоанатомического вскрытия или выписка из результатов наружного и внутреннего судебно-медицинского исследования, содержащая патологические изменения, которые легли в основу постановки судебно- медицинского</w:t>
      </w:r>
      <w:r>
        <w:rPr>
          <w:spacing w:val="-2"/>
          <w:sz w:val="24"/>
        </w:rPr>
        <w:t> </w:t>
      </w:r>
      <w:r>
        <w:rPr>
          <w:sz w:val="24"/>
        </w:rPr>
        <w:t>диагноза.</w:t>
      </w:r>
    </w:p>
    <w:p>
      <w:pPr>
        <w:pStyle w:val="BodyText"/>
        <w:spacing w:before="7"/>
        <w:ind w:left="0"/>
        <w:jc w:val="left"/>
        <w:rPr>
          <w:sz w:val="32"/>
        </w:rPr>
      </w:pPr>
    </w:p>
    <w:p>
      <w:pPr>
        <w:pStyle w:val="BodyText"/>
        <w:ind w:left="1029"/>
      </w:pPr>
      <w:r>
        <w:rPr/>
        <w:t>в) «Медицинское свидетельство о смерти»: (пункт 19)</w:t>
      </w:r>
    </w:p>
    <w:p>
      <w:pPr>
        <w:pStyle w:val="BodyText"/>
        <w:spacing w:before="4"/>
        <w:ind w:left="0"/>
        <w:jc w:val="left"/>
        <w:rPr>
          <w:sz w:val="38"/>
        </w:rPr>
      </w:pPr>
    </w:p>
    <w:p>
      <w:pPr>
        <w:pStyle w:val="Heading3"/>
        <w:spacing w:before="1"/>
      </w:pPr>
      <w:r>
        <w:rPr/>
        <w:t>Часть I</w:t>
      </w:r>
    </w:p>
    <w:p>
      <w:pPr>
        <w:pStyle w:val="BodyText"/>
        <w:spacing w:before="84"/>
        <w:ind w:left="1029"/>
        <w:jc w:val="left"/>
      </w:pPr>
      <w:r>
        <w:rPr/>
        <w:t>Строка «а» Болезнь или состояние, непосредственно приведшее к смерти;</w:t>
      </w:r>
    </w:p>
    <w:p>
      <w:pPr>
        <w:pStyle w:val="BodyText"/>
        <w:spacing w:line="312" w:lineRule="auto" w:before="81"/>
        <w:ind w:firstLine="708"/>
        <w:jc w:val="left"/>
      </w:pPr>
      <w:r>
        <w:rPr/>
        <w:t>Строка «б» Патологическое состояние, которое привело к возникновению вышеуказанной причины (при наличии);</w:t>
      </w:r>
    </w:p>
    <w:p>
      <w:pPr>
        <w:pStyle w:val="BodyText"/>
        <w:spacing w:line="312" w:lineRule="auto"/>
        <w:ind w:right="1115" w:firstLine="708"/>
        <w:jc w:val="left"/>
      </w:pPr>
      <w:r>
        <w:rPr/>
        <w:t>Строка «в» или «б», если последняя не была заполнена - Первоначальная причина смерти;</w:t>
      </w:r>
    </w:p>
    <w:p>
      <w:pPr>
        <w:pStyle w:val="BodyText"/>
        <w:ind w:left="1029"/>
        <w:jc w:val="left"/>
      </w:pPr>
      <w:r>
        <w:rPr/>
        <w:t>Строка «г» Внешняя причина при травмах и отравлениях (при наличии);</w:t>
      </w:r>
    </w:p>
    <w:p>
      <w:pPr>
        <w:pStyle w:val="BodyText"/>
        <w:spacing w:before="5"/>
        <w:ind w:left="0"/>
        <w:jc w:val="left"/>
        <w:rPr>
          <w:sz w:val="38"/>
        </w:rPr>
      </w:pPr>
    </w:p>
    <w:p>
      <w:pPr>
        <w:pStyle w:val="BodyText"/>
        <w:spacing w:line="312" w:lineRule="auto"/>
        <w:ind w:right="591" w:firstLine="708"/>
        <w:jc w:val="left"/>
      </w:pPr>
      <w:r>
        <w:rPr>
          <w:b/>
        </w:rPr>
        <w:t>Часть II. </w:t>
      </w:r>
      <w:r>
        <w:rPr/>
        <w:t>Прочие важные состояния, способствовавшие смерти, но не связанные с болезнью или патологическим состоянием (при наличии);</w:t>
      </w:r>
    </w:p>
    <w:p>
      <w:pPr>
        <w:spacing w:after="0" w:line="312" w:lineRule="auto"/>
        <w:jc w:val="left"/>
        <w:sectPr>
          <w:pgSz w:w="11920" w:h="16850"/>
          <w:pgMar w:header="0" w:footer="620" w:top="1060" w:bottom="880" w:left="1380" w:right="600"/>
        </w:sectPr>
      </w:pPr>
    </w:p>
    <w:p>
      <w:pPr>
        <w:pStyle w:val="BodyText"/>
        <w:spacing w:line="312" w:lineRule="auto" w:before="78"/>
        <w:ind w:right="674" w:firstLine="708"/>
      </w:pPr>
      <w:r>
        <w:rPr/>
        <w:t>г) После завершения патологоанатомического или судебно-медицинского исследования заполняется раздел «заключительный патологоанатомический (судебно- медицинский) диагноз»</w:t>
      </w:r>
    </w:p>
    <w:p>
      <w:pPr>
        <w:pStyle w:val="BodyText"/>
        <w:spacing w:before="4"/>
        <w:ind w:left="0"/>
        <w:jc w:val="left"/>
        <w:rPr>
          <w:sz w:val="31"/>
        </w:rPr>
      </w:pPr>
    </w:p>
    <w:p>
      <w:pPr>
        <w:pStyle w:val="ListParagraph"/>
        <w:numPr>
          <w:ilvl w:val="0"/>
          <w:numId w:val="38"/>
        </w:numPr>
        <w:tabs>
          <w:tab w:pos="1000" w:val="left" w:leader="none"/>
          <w:tab w:pos="1001" w:val="left" w:leader="none"/>
        </w:tabs>
        <w:spacing w:line="240" w:lineRule="auto" w:before="0" w:after="0"/>
        <w:ind w:left="1000" w:right="0" w:hanging="339"/>
        <w:jc w:val="left"/>
        <w:rPr>
          <w:sz w:val="24"/>
        </w:rPr>
      </w:pPr>
      <w:r>
        <w:rPr>
          <w:sz w:val="24"/>
        </w:rPr>
        <w:t>Скан-копия медицинского свидетельства о</w:t>
      </w:r>
      <w:r>
        <w:rPr>
          <w:spacing w:val="-2"/>
          <w:sz w:val="24"/>
        </w:rPr>
        <w:t> </w:t>
      </w:r>
      <w:r>
        <w:rPr>
          <w:sz w:val="24"/>
        </w:rPr>
        <w:t>смерти.</w:t>
      </w:r>
    </w:p>
    <w:p>
      <w:pPr>
        <w:pStyle w:val="ListParagraph"/>
        <w:numPr>
          <w:ilvl w:val="0"/>
          <w:numId w:val="38"/>
        </w:numPr>
        <w:tabs>
          <w:tab w:pos="1000" w:val="left" w:leader="none"/>
          <w:tab w:pos="1001" w:val="left" w:leader="none"/>
        </w:tabs>
        <w:spacing w:line="240" w:lineRule="auto" w:before="83" w:after="0"/>
        <w:ind w:left="1000" w:right="0" w:hanging="339"/>
        <w:jc w:val="left"/>
        <w:rPr>
          <w:sz w:val="24"/>
        </w:rPr>
      </w:pPr>
      <w:r>
        <w:rPr>
          <w:sz w:val="24"/>
        </w:rPr>
        <w:t>Основное</w:t>
      </w:r>
      <w:r>
        <w:rPr>
          <w:spacing w:val="-2"/>
          <w:sz w:val="24"/>
        </w:rPr>
        <w:t> </w:t>
      </w:r>
      <w:r>
        <w:rPr>
          <w:sz w:val="24"/>
        </w:rPr>
        <w:t>заболевание;</w:t>
      </w:r>
    </w:p>
    <w:p>
      <w:pPr>
        <w:pStyle w:val="ListParagraph"/>
        <w:numPr>
          <w:ilvl w:val="0"/>
          <w:numId w:val="38"/>
        </w:numPr>
        <w:tabs>
          <w:tab w:pos="1000" w:val="left" w:leader="none"/>
          <w:tab w:pos="1001" w:val="left" w:leader="none"/>
        </w:tabs>
        <w:spacing w:line="240" w:lineRule="auto" w:before="81" w:after="0"/>
        <w:ind w:left="1000" w:right="0" w:hanging="339"/>
        <w:jc w:val="left"/>
        <w:rPr>
          <w:sz w:val="24"/>
        </w:rPr>
      </w:pPr>
      <w:r>
        <w:rPr>
          <w:sz w:val="24"/>
        </w:rPr>
        <w:t>Осложнения основного заболевания (при</w:t>
      </w:r>
      <w:r>
        <w:rPr>
          <w:spacing w:val="-3"/>
          <w:sz w:val="24"/>
        </w:rPr>
        <w:t> </w:t>
      </w:r>
      <w:r>
        <w:rPr>
          <w:sz w:val="24"/>
        </w:rPr>
        <w:t>наличии);</w:t>
      </w:r>
    </w:p>
    <w:p>
      <w:pPr>
        <w:pStyle w:val="ListParagraph"/>
        <w:numPr>
          <w:ilvl w:val="0"/>
          <w:numId w:val="38"/>
        </w:numPr>
        <w:tabs>
          <w:tab w:pos="1000" w:val="left" w:leader="none"/>
          <w:tab w:pos="1001" w:val="left" w:leader="none"/>
        </w:tabs>
        <w:spacing w:line="240" w:lineRule="auto" w:before="82" w:after="0"/>
        <w:ind w:left="1000" w:right="0" w:hanging="339"/>
        <w:jc w:val="left"/>
        <w:rPr>
          <w:sz w:val="24"/>
        </w:rPr>
      </w:pPr>
      <w:r>
        <w:rPr>
          <w:sz w:val="24"/>
        </w:rPr>
        <w:t>Коморбидные и сопутствующие заболевания (при</w:t>
      </w:r>
      <w:r>
        <w:rPr>
          <w:spacing w:val="-2"/>
          <w:sz w:val="24"/>
        </w:rPr>
        <w:t> </w:t>
      </w:r>
      <w:r>
        <w:rPr>
          <w:sz w:val="24"/>
        </w:rPr>
        <w:t>наличии);</w:t>
      </w:r>
    </w:p>
    <w:p>
      <w:pPr>
        <w:pStyle w:val="ListParagraph"/>
        <w:numPr>
          <w:ilvl w:val="0"/>
          <w:numId w:val="38"/>
        </w:numPr>
        <w:tabs>
          <w:tab w:pos="1001" w:val="left" w:leader="none"/>
        </w:tabs>
        <w:spacing w:line="309" w:lineRule="auto" w:before="83" w:after="0"/>
        <w:ind w:left="1000" w:right="675" w:hanging="339"/>
        <w:jc w:val="both"/>
        <w:rPr>
          <w:sz w:val="24"/>
        </w:rPr>
      </w:pPr>
      <w:r>
        <w:rPr>
          <w:sz w:val="24"/>
        </w:rPr>
        <w:t>Скан-копия второй части протокола патологоанатомического исследования или выписка из результатов дополнительных лабораторных исследований в случае проведения судебно-медицинского</w:t>
      </w:r>
      <w:r>
        <w:rPr>
          <w:spacing w:val="-4"/>
          <w:sz w:val="24"/>
        </w:rPr>
        <w:t> </w:t>
      </w:r>
      <w:r>
        <w:rPr>
          <w:sz w:val="24"/>
        </w:rPr>
        <w:t>исследования;</w:t>
      </w:r>
    </w:p>
    <w:p>
      <w:pPr>
        <w:pStyle w:val="BodyText"/>
        <w:spacing w:before="5"/>
        <w:ind w:left="0"/>
        <w:jc w:val="left"/>
        <w:rPr>
          <w:sz w:val="32"/>
        </w:rPr>
      </w:pPr>
    </w:p>
    <w:p>
      <w:pPr>
        <w:pStyle w:val="BodyText"/>
        <w:ind w:left="1029"/>
      </w:pPr>
      <w:r>
        <w:rPr/>
        <w:t>д) При внесении изменений в первое (предварительное или окончательное)</w:t>
      </w:r>
    </w:p>
    <w:p>
      <w:pPr>
        <w:pStyle w:val="BodyText"/>
        <w:spacing w:line="312" w:lineRule="auto" w:before="82"/>
        <w:ind w:right="675"/>
      </w:pPr>
      <w:r>
        <w:rPr/>
        <w:t>«Медицинское свидетельство о смерти» (при необходимости в случае оформления повторного свидетельства взамен предварительного или окончательного), приложить скан-копию повторного медицинского свидетельства о смерти.</w:t>
      </w:r>
    </w:p>
    <w:p>
      <w:pPr>
        <w:pStyle w:val="BodyText"/>
        <w:spacing w:line="312" w:lineRule="auto" w:before="1"/>
        <w:ind w:right="676" w:firstLine="708"/>
      </w:pPr>
      <w:r>
        <w:rPr/>
        <w:t>Для получения доступа к информационному ресурсу необходимо направить заявку на предоставление доступа по форме, приведенной в инструкции на адрес электронной почты </w:t>
      </w:r>
      <w:hyperlink r:id="rId19">
        <w:r>
          <w:rPr>
            <w:color w:val="0000FF"/>
            <w:u w:val="single" w:color="0000FF"/>
          </w:rPr>
          <w:t>egisz@rt-eu.ru</w:t>
        </w:r>
        <w:r>
          <w:rPr/>
          <w:t>.</w:t>
        </w:r>
      </w:hyperlink>
    </w:p>
    <w:p>
      <w:pPr>
        <w:spacing w:after="0" w:line="312" w:lineRule="auto"/>
        <w:sectPr>
          <w:pgSz w:w="11920" w:h="16850"/>
          <w:pgMar w:header="0" w:footer="620" w:top="1060" w:bottom="880" w:left="1380" w:right="600"/>
        </w:sectPr>
      </w:pPr>
    </w:p>
    <w:p>
      <w:pPr>
        <w:pStyle w:val="Heading3"/>
        <w:spacing w:before="78"/>
        <w:jc w:val="left"/>
      </w:pPr>
      <w:bookmarkStart w:name="Использованные источники" w:id="196"/>
      <w:bookmarkEnd w:id="196"/>
      <w:r>
        <w:rPr>
          <w:b w:val="0"/>
        </w:rPr>
      </w:r>
      <w:bookmarkStart w:name="_bookmark43" w:id="197"/>
      <w:bookmarkEnd w:id="197"/>
      <w:r>
        <w:rPr>
          <w:b w:val="0"/>
        </w:rPr>
      </w:r>
      <w:r>
        <w:rPr>
          <w:color w:val="1F487C"/>
        </w:rPr>
        <w:t>Использованные источники</w:t>
      </w:r>
    </w:p>
    <w:p>
      <w:pPr>
        <w:pStyle w:val="ListParagraph"/>
        <w:numPr>
          <w:ilvl w:val="0"/>
          <w:numId w:val="42"/>
        </w:numPr>
        <w:tabs>
          <w:tab w:pos="888" w:val="left" w:leader="none"/>
          <w:tab w:pos="3046" w:val="left" w:leader="none"/>
          <w:tab w:pos="4837" w:val="left" w:leader="none"/>
          <w:tab w:pos="5581" w:val="left" w:leader="none"/>
          <w:tab w:pos="6752" w:val="left" w:leader="none"/>
          <w:tab w:pos="7868" w:val="left" w:leader="none"/>
          <w:tab w:pos="9137" w:val="left" w:leader="none"/>
        </w:tabs>
        <w:spacing w:line="240" w:lineRule="auto" w:before="143" w:after="0"/>
        <w:ind w:left="887" w:right="673" w:hanging="566"/>
        <w:jc w:val="both"/>
        <w:rPr>
          <w:sz w:val="20"/>
        </w:rPr>
      </w:pPr>
      <w:r>
        <w:rPr>
          <w:sz w:val="20"/>
        </w:rPr>
        <w:t>Abramowicz J.S., Basseal J. Заявление о позиции WFUMB: как безопасно проводить ультразвуковое</w:t>
      </w:r>
      <w:r>
        <w:rPr>
          <w:spacing w:val="-9"/>
          <w:sz w:val="20"/>
        </w:rPr>
        <w:t> </w:t>
      </w:r>
      <w:r>
        <w:rPr>
          <w:sz w:val="20"/>
        </w:rPr>
        <w:t>исследование</w:t>
      </w:r>
      <w:r>
        <w:rPr>
          <w:spacing w:val="-9"/>
          <w:sz w:val="20"/>
        </w:rPr>
        <w:t> </w:t>
      </w:r>
      <w:r>
        <w:rPr>
          <w:sz w:val="20"/>
        </w:rPr>
        <w:t>и</w:t>
      </w:r>
      <w:r>
        <w:rPr>
          <w:spacing w:val="-10"/>
          <w:sz w:val="20"/>
        </w:rPr>
        <w:t> </w:t>
      </w:r>
      <w:r>
        <w:rPr>
          <w:sz w:val="20"/>
        </w:rPr>
        <w:t>обеззараживать</w:t>
      </w:r>
      <w:r>
        <w:rPr>
          <w:spacing w:val="-7"/>
          <w:sz w:val="20"/>
        </w:rPr>
        <w:t> </w:t>
      </w:r>
      <w:r>
        <w:rPr>
          <w:sz w:val="20"/>
        </w:rPr>
        <w:t>ультразвуковое</w:t>
      </w:r>
      <w:r>
        <w:rPr>
          <w:spacing w:val="-9"/>
          <w:sz w:val="20"/>
        </w:rPr>
        <w:t> </w:t>
      </w:r>
      <w:r>
        <w:rPr>
          <w:sz w:val="20"/>
        </w:rPr>
        <w:t>оборудование</w:t>
      </w:r>
      <w:r>
        <w:rPr>
          <w:spacing w:val="-9"/>
          <w:sz w:val="20"/>
        </w:rPr>
        <w:t> </w:t>
      </w:r>
      <w:r>
        <w:rPr>
          <w:sz w:val="20"/>
        </w:rPr>
        <w:t>в</w:t>
      </w:r>
      <w:r>
        <w:rPr>
          <w:spacing w:val="-7"/>
          <w:sz w:val="20"/>
        </w:rPr>
        <w:t> </w:t>
      </w:r>
      <w:r>
        <w:rPr>
          <w:sz w:val="20"/>
        </w:rPr>
        <w:t>условиях</w:t>
      </w:r>
      <w:r>
        <w:rPr>
          <w:spacing w:val="-12"/>
          <w:sz w:val="20"/>
        </w:rPr>
        <w:t> </w:t>
      </w:r>
      <w:r>
        <w:rPr>
          <w:sz w:val="20"/>
        </w:rPr>
        <w:t>COVID- 19 // Ультразвуковая и функциональная диагностика. 2020. № 1. С. 12–23. Doi: 10.24835/1607- 0771-2020-1-12-23.</w:t>
        <w:tab/>
        <w:t>Опубликовано</w:t>
        <w:tab/>
        <w:t>до</w:t>
        <w:tab/>
        <w:t>печати.</w:t>
        <w:tab/>
        <w:t>Режим</w:t>
        <w:tab/>
        <w:t>доступа:</w:t>
        <w:tab/>
        <w:t>//</w:t>
      </w:r>
      <w:hyperlink r:id="rId20">
        <w:r>
          <w:rPr>
            <w:sz w:val="20"/>
          </w:rPr>
          <w:t> http://www.rasudm.org/files/WFUMB-Position-Statement-COVID.pdf,</w:t>
        </w:r>
      </w:hyperlink>
      <w:r>
        <w:rPr>
          <w:sz w:val="20"/>
        </w:rPr>
        <w:t> свободный. Загл. с экрана. 16.04.2020.</w:t>
      </w:r>
    </w:p>
    <w:p>
      <w:pPr>
        <w:pStyle w:val="ListParagraph"/>
        <w:numPr>
          <w:ilvl w:val="0"/>
          <w:numId w:val="42"/>
        </w:numPr>
        <w:tabs>
          <w:tab w:pos="888" w:val="left" w:leader="none"/>
        </w:tabs>
        <w:spacing w:line="240" w:lineRule="auto" w:before="1" w:after="0"/>
        <w:ind w:left="887" w:right="675" w:hanging="567"/>
        <w:jc w:val="both"/>
        <w:rPr>
          <w:sz w:val="20"/>
        </w:rPr>
      </w:pPr>
      <w:r>
        <w:rPr>
          <w:sz w:val="20"/>
        </w:rPr>
        <w:t>Ai T. et al. Correlation of Chest CT and RT-PCR Testing in Coronavirus Disease 2019 (COVID-19) in China:</w:t>
      </w:r>
      <w:r>
        <w:rPr>
          <w:spacing w:val="-13"/>
          <w:sz w:val="20"/>
        </w:rPr>
        <w:t> </w:t>
      </w:r>
      <w:r>
        <w:rPr>
          <w:sz w:val="20"/>
        </w:rPr>
        <w:t>A</w:t>
      </w:r>
      <w:r>
        <w:rPr>
          <w:spacing w:val="-14"/>
          <w:sz w:val="20"/>
        </w:rPr>
        <w:t> </w:t>
      </w:r>
      <w:r>
        <w:rPr>
          <w:sz w:val="20"/>
        </w:rPr>
        <w:t>Report</w:t>
      </w:r>
      <w:r>
        <w:rPr>
          <w:spacing w:val="-14"/>
          <w:sz w:val="20"/>
        </w:rPr>
        <w:t> </w:t>
      </w:r>
      <w:r>
        <w:rPr>
          <w:sz w:val="20"/>
        </w:rPr>
        <w:t>of</w:t>
      </w:r>
      <w:r>
        <w:rPr>
          <w:spacing w:val="-16"/>
          <w:sz w:val="20"/>
        </w:rPr>
        <w:t> </w:t>
      </w:r>
      <w:r>
        <w:rPr>
          <w:sz w:val="20"/>
        </w:rPr>
        <w:t>1014</w:t>
      </w:r>
      <w:r>
        <w:rPr>
          <w:spacing w:val="-13"/>
          <w:sz w:val="20"/>
        </w:rPr>
        <w:t> </w:t>
      </w:r>
      <w:r>
        <w:rPr>
          <w:sz w:val="20"/>
        </w:rPr>
        <w:t>Cases</w:t>
      </w:r>
      <w:r>
        <w:rPr>
          <w:spacing w:val="-13"/>
          <w:sz w:val="20"/>
        </w:rPr>
        <w:t> </w:t>
      </w:r>
      <w:r>
        <w:rPr>
          <w:sz w:val="20"/>
        </w:rPr>
        <w:t>[published</w:t>
      </w:r>
      <w:r>
        <w:rPr>
          <w:spacing w:val="-13"/>
          <w:sz w:val="20"/>
        </w:rPr>
        <w:t> </w:t>
      </w:r>
      <w:r>
        <w:rPr>
          <w:sz w:val="20"/>
        </w:rPr>
        <w:t>online</w:t>
      </w:r>
      <w:r>
        <w:rPr>
          <w:spacing w:val="-14"/>
          <w:sz w:val="20"/>
        </w:rPr>
        <w:t> </w:t>
      </w:r>
      <w:r>
        <w:rPr>
          <w:sz w:val="20"/>
        </w:rPr>
        <w:t>ahead</w:t>
      </w:r>
      <w:r>
        <w:rPr>
          <w:spacing w:val="-13"/>
          <w:sz w:val="20"/>
        </w:rPr>
        <w:t> </w:t>
      </w:r>
      <w:r>
        <w:rPr>
          <w:sz w:val="20"/>
        </w:rPr>
        <w:t>of</w:t>
      </w:r>
      <w:r>
        <w:rPr>
          <w:spacing w:val="-16"/>
          <w:sz w:val="20"/>
        </w:rPr>
        <w:t> </w:t>
      </w:r>
      <w:r>
        <w:rPr>
          <w:sz w:val="20"/>
        </w:rPr>
        <w:t>print,</w:t>
      </w:r>
      <w:r>
        <w:rPr>
          <w:spacing w:val="-14"/>
          <w:sz w:val="20"/>
        </w:rPr>
        <w:t> </w:t>
      </w:r>
      <w:r>
        <w:rPr>
          <w:sz w:val="20"/>
        </w:rPr>
        <w:t>2020</w:t>
      </w:r>
      <w:r>
        <w:rPr>
          <w:spacing w:val="-13"/>
          <w:sz w:val="20"/>
        </w:rPr>
        <w:t> </w:t>
      </w:r>
      <w:r>
        <w:rPr>
          <w:sz w:val="20"/>
        </w:rPr>
        <w:t>Feb</w:t>
      </w:r>
      <w:r>
        <w:rPr>
          <w:spacing w:val="-15"/>
          <w:sz w:val="20"/>
        </w:rPr>
        <w:t> </w:t>
      </w:r>
      <w:r>
        <w:rPr>
          <w:sz w:val="20"/>
        </w:rPr>
        <w:t>26]</w:t>
      </w:r>
      <w:r>
        <w:rPr>
          <w:spacing w:val="-16"/>
          <w:sz w:val="20"/>
        </w:rPr>
        <w:t> </w:t>
      </w:r>
      <w:r>
        <w:rPr>
          <w:sz w:val="20"/>
        </w:rPr>
        <w:t>//</w:t>
      </w:r>
      <w:r>
        <w:rPr>
          <w:spacing w:val="-14"/>
          <w:sz w:val="20"/>
        </w:rPr>
        <w:t> </w:t>
      </w:r>
      <w:r>
        <w:rPr>
          <w:sz w:val="20"/>
        </w:rPr>
        <w:t>Radiology.</w:t>
      </w:r>
      <w:r>
        <w:rPr>
          <w:spacing w:val="-13"/>
          <w:sz w:val="20"/>
        </w:rPr>
        <w:t> </w:t>
      </w:r>
      <w:r>
        <w:rPr>
          <w:sz w:val="20"/>
        </w:rPr>
        <w:t>2020.</w:t>
      </w:r>
      <w:r>
        <w:rPr>
          <w:spacing w:val="-17"/>
          <w:sz w:val="20"/>
        </w:rPr>
        <w:t> </w:t>
      </w:r>
      <w:r>
        <w:rPr>
          <w:sz w:val="20"/>
        </w:rPr>
        <w:t>200642. Doi:</w:t>
      </w:r>
      <w:r>
        <w:rPr>
          <w:spacing w:val="-1"/>
          <w:sz w:val="20"/>
        </w:rPr>
        <w:t> </w:t>
      </w:r>
      <w:r>
        <w:rPr>
          <w:sz w:val="20"/>
        </w:rPr>
        <w:t>10.1148/radiol.2020200642.</w:t>
      </w:r>
    </w:p>
    <w:p>
      <w:pPr>
        <w:pStyle w:val="ListParagraph"/>
        <w:numPr>
          <w:ilvl w:val="0"/>
          <w:numId w:val="42"/>
        </w:numPr>
        <w:tabs>
          <w:tab w:pos="888" w:val="left" w:leader="none"/>
        </w:tabs>
        <w:spacing w:line="240" w:lineRule="auto" w:before="0" w:after="0"/>
        <w:ind w:left="887" w:right="680" w:hanging="567"/>
        <w:jc w:val="both"/>
        <w:rPr>
          <w:sz w:val="20"/>
        </w:rPr>
      </w:pPr>
      <w:r>
        <w:rPr>
          <w:sz w:val="20"/>
        </w:rPr>
        <w:t>Al-Tawfiq J. A., Memish Z. A. Update on therapeutic options for Middle East Respiratory Syndrome Coronavirus (MERS-CoV) // Expert review of anti-infective therapy. 2017. 15. № 3. С.</w:t>
      </w:r>
      <w:r>
        <w:rPr>
          <w:spacing w:val="-22"/>
          <w:sz w:val="20"/>
        </w:rPr>
        <w:t> </w:t>
      </w:r>
      <w:r>
        <w:rPr>
          <w:sz w:val="20"/>
        </w:rPr>
        <w:t>269–275.</w:t>
      </w:r>
    </w:p>
    <w:p>
      <w:pPr>
        <w:pStyle w:val="ListParagraph"/>
        <w:numPr>
          <w:ilvl w:val="0"/>
          <w:numId w:val="42"/>
        </w:numPr>
        <w:tabs>
          <w:tab w:pos="888" w:val="left" w:leader="none"/>
        </w:tabs>
        <w:spacing w:line="240" w:lineRule="auto" w:before="0" w:after="0"/>
        <w:ind w:left="887" w:right="679" w:hanging="567"/>
        <w:jc w:val="both"/>
        <w:rPr>
          <w:sz w:val="20"/>
        </w:rPr>
      </w:pPr>
      <w:r>
        <w:rPr>
          <w:sz w:val="20"/>
        </w:rPr>
        <w:t>Alserehi H. et al. Impact of Middle East respiratory syndrome coronavirus (MERS-CoV) on pregnancy and perinatal outcome // BMC Infect Dis. 2016. №16, p. 105</w:t>
      </w:r>
    </w:p>
    <w:p>
      <w:pPr>
        <w:pStyle w:val="ListParagraph"/>
        <w:numPr>
          <w:ilvl w:val="0"/>
          <w:numId w:val="42"/>
        </w:numPr>
        <w:tabs>
          <w:tab w:pos="888" w:val="left" w:leader="none"/>
        </w:tabs>
        <w:spacing w:line="240" w:lineRule="auto" w:before="1" w:after="0"/>
        <w:ind w:left="887" w:right="676" w:hanging="567"/>
        <w:jc w:val="both"/>
        <w:rPr>
          <w:sz w:val="20"/>
        </w:rPr>
      </w:pPr>
      <w:r>
        <w:rPr>
          <w:sz w:val="20"/>
        </w:rPr>
        <w:t>Assiri A. et al. Middle East respiratory syndrome coronavirus infection during pregnancy: a report of 5 cases from Saudi Arabia // Clin Infect Dis. 2016. № 63. pp.</w:t>
      </w:r>
      <w:r>
        <w:rPr>
          <w:spacing w:val="-9"/>
          <w:sz w:val="20"/>
        </w:rPr>
        <w:t> </w:t>
      </w:r>
      <w:r>
        <w:rPr>
          <w:sz w:val="20"/>
        </w:rPr>
        <w:t>951-953</w:t>
      </w:r>
    </w:p>
    <w:p>
      <w:pPr>
        <w:pStyle w:val="ListParagraph"/>
        <w:numPr>
          <w:ilvl w:val="0"/>
          <w:numId w:val="42"/>
        </w:numPr>
        <w:tabs>
          <w:tab w:pos="887" w:val="left" w:leader="none"/>
        </w:tabs>
        <w:spacing w:line="240" w:lineRule="auto" w:before="0" w:after="0"/>
        <w:ind w:left="886" w:right="675" w:hanging="567"/>
        <w:jc w:val="both"/>
        <w:rPr>
          <w:sz w:val="20"/>
        </w:rPr>
      </w:pPr>
      <w:r>
        <w:rPr>
          <w:sz w:val="20"/>
        </w:rPr>
        <w:t>Baig A.M. et al..Evidence of the COVID-19 Virus Targeting the CNS: Tissue Distribution, Host–Virus Interaction, and Proposed Neurotropic Mechanisms. ACS Chem. Neurosci. 2020. doi:10.1021/acschemneuro.0c00122.</w:t>
      </w:r>
    </w:p>
    <w:p>
      <w:pPr>
        <w:pStyle w:val="ListParagraph"/>
        <w:numPr>
          <w:ilvl w:val="0"/>
          <w:numId w:val="42"/>
        </w:numPr>
        <w:tabs>
          <w:tab w:pos="887" w:val="left" w:leader="none"/>
        </w:tabs>
        <w:spacing w:line="240" w:lineRule="auto" w:before="0" w:after="0"/>
        <w:ind w:left="886" w:right="677" w:hanging="567"/>
        <w:jc w:val="both"/>
        <w:rPr>
          <w:sz w:val="20"/>
        </w:rPr>
      </w:pPr>
      <w:r>
        <w:rPr>
          <w:sz w:val="20"/>
        </w:rPr>
        <w:t>Bassetti M. The Novel Chinese Coronavirus (2019</w:t>
      </w:r>
      <w:r>
        <w:rPr>
          <w:rFonts w:ascii="Cambria Math" w:hAnsi="Cambria Math"/>
          <w:sz w:val="20"/>
        </w:rPr>
        <w:t>‐</w:t>
      </w:r>
      <w:r>
        <w:rPr>
          <w:sz w:val="20"/>
        </w:rPr>
        <w:t>nCoV) Infections: challenges for fighting the storm https://doi.org/10.1111/eci.13209 URL:</w:t>
      </w:r>
      <w:r>
        <w:rPr>
          <w:spacing w:val="-7"/>
          <w:sz w:val="20"/>
        </w:rPr>
        <w:t> </w:t>
      </w:r>
      <w:r>
        <w:rPr>
          <w:sz w:val="20"/>
        </w:rPr>
        <w:t>https://onlinelibrary.wiley.com/doi/abs/10.1111/eci.13209</w:t>
      </w:r>
    </w:p>
    <w:p>
      <w:pPr>
        <w:pStyle w:val="ListParagraph"/>
        <w:numPr>
          <w:ilvl w:val="0"/>
          <w:numId w:val="42"/>
        </w:numPr>
        <w:tabs>
          <w:tab w:pos="887" w:val="left" w:leader="none"/>
        </w:tabs>
        <w:spacing w:line="240" w:lineRule="auto" w:before="0" w:after="0"/>
        <w:ind w:left="886" w:right="679" w:hanging="567"/>
        <w:jc w:val="both"/>
        <w:rPr>
          <w:sz w:val="20"/>
        </w:rPr>
      </w:pPr>
      <w:r>
        <w:rPr>
          <w:sz w:val="20"/>
        </w:rPr>
        <w:t>Behzadi M.A., Leyva-Grado V.H. Overview of Current Therapeutics and Novel Candidates Against Influenza,</w:t>
      </w:r>
      <w:r>
        <w:rPr>
          <w:spacing w:val="-7"/>
          <w:sz w:val="20"/>
        </w:rPr>
        <w:t> </w:t>
      </w:r>
      <w:r>
        <w:rPr>
          <w:sz w:val="20"/>
        </w:rPr>
        <w:t>Respiratory</w:t>
      </w:r>
      <w:r>
        <w:rPr>
          <w:spacing w:val="-11"/>
          <w:sz w:val="20"/>
        </w:rPr>
        <w:t> </w:t>
      </w:r>
      <w:r>
        <w:rPr>
          <w:sz w:val="20"/>
        </w:rPr>
        <w:t>Syncytial</w:t>
      </w:r>
      <w:r>
        <w:rPr>
          <w:spacing w:val="-8"/>
          <w:sz w:val="20"/>
        </w:rPr>
        <w:t> </w:t>
      </w:r>
      <w:r>
        <w:rPr>
          <w:sz w:val="20"/>
        </w:rPr>
        <w:t>Virus,</w:t>
      </w:r>
      <w:r>
        <w:rPr>
          <w:spacing w:val="-7"/>
          <w:sz w:val="20"/>
        </w:rPr>
        <w:t> </w:t>
      </w:r>
      <w:r>
        <w:rPr>
          <w:sz w:val="20"/>
        </w:rPr>
        <w:t>and</w:t>
      </w:r>
      <w:r>
        <w:rPr>
          <w:spacing w:val="-4"/>
          <w:sz w:val="20"/>
        </w:rPr>
        <w:t> </w:t>
      </w:r>
      <w:r>
        <w:rPr>
          <w:sz w:val="20"/>
        </w:rPr>
        <w:t>Middle</w:t>
      </w:r>
      <w:r>
        <w:rPr>
          <w:spacing w:val="-7"/>
          <w:sz w:val="20"/>
        </w:rPr>
        <w:t> </w:t>
      </w:r>
      <w:r>
        <w:rPr>
          <w:sz w:val="20"/>
        </w:rPr>
        <w:t>East</w:t>
      </w:r>
      <w:r>
        <w:rPr>
          <w:spacing w:val="-6"/>
          <w:sz w:val="20"/>
        </w:rPr>
        <w:t> </w:t>
      </w:r>
      <w:r>
        <w:rPr>
          <w:sz w:val="20"/>
        </w:rPr>
        <w:t>Respiratory</w:t>
      </w:r>
      <w:r>
        <w:rPr>
          <w:spacing w:val="-11"/>
          <w:sz w:val="20"/>
        </w:rPr>
        <w:t> </w:t>
      </w:r>
      <w:r>
        <w:rPr>
          <w:sz w:val="20"/>
        </w:rPr>
        <w:t>Syndrome</w:t>
      </w:r>
      <w:r>
        <w:rPr>
          <w:spacing w:val="-5"/>
          <w:sz w:val="20"/>
        </w:rPr>
        <w:t> </w:t>
      </w:r>
      <w:r>
        <w:rPr>
          <w:sz w:val="20"/>
        </w:rPr>
        <w:t>Coronavirus</w:t>
      </w:r>
      <w:r>
        <w:rPr>
          <w:spacing w:val="-8"/>
          <w:sz w:val="20"/>
        </w:rPr>
        <w:t> </w:t>
      </w:r>
      <w:r>
        <w:rPr>
          <w:sz w:val="20"/>
        </w:rPr>
        <w:t>Infections</w:t>
      </w:r>
      <w:r>
        <w:rPr>
          <w:spacing w:val="-9"/>
          <w:sz w:val="20"/>
        </w:rPr>
        <w:t> </w:t>
      </w:r>
      <w:r>
        <w:rPr>
          <w:sz w:val="20"/>
        </w:rPr>
        <w:t>// Frontiers in microbiology. 2019. № 10. p.</w:t>
      </w:r>
      <w:r>
        <w:rPr>
          <w:spacing w:val="-1"/>
          <w:sz w:val="20"/>
        </w:rPr>
        <w:t> </w:t>
      </w:r>
      <w:r>
        <w:rPr>
          <w:sz w:val="20"/>
        </w:rPr>
        <w:t>1327.</w:t>
      </w:r>
    </w:p>
    <w:p>
      <w:pPr>
        <w:pStyle w:val="ListParagraph"/>
        <w:numPr>
          <w:ilvl w:val="0"/>
          <w:numId w:val="42"/>
        </w:numPr>
        <w:tabs>
          <w:tab w:pos="887" w:val="left" w:leader="none"/>
        </w:tabs>
        <w:spacing w:line="240" w:lineRule="auto" w:before="0" w:after="0"/>
        <w:ind w:left="886" w:right="676" w:hanging="567"/>
        <w:jc w:val="both"/>
        <w:rPr>
          <w:sz w:val="20"/>
        </w:rPr>
      </w:pPr>
      <w:r>
        <w:rPr>
          <w:sz w:val="20"/>
        </w:rPr>
        <w:t>Beloncle F, Mercat A Approaches and Techniques to Avoid Development or Progression of Acute Respiratory Distress Syndrome Review Curr Opin Crit Care 2018 Feb;24(1):10-15. doi: 10.1097/MCC.0000000000000477.</w:t>
      </w:r>
    </w:p>
    <w:p>
      <w:pPr>
        <w:pStyle w:val="ListParagraph"/>
        <w:numPr>
          <w:ilvl w:val="0"/>
          <w:numId w:val="42"/>
        </w:numPr>
        <w:tabs>
          <w:tab w:pos="887" w:val="left" w:leader="none"/>
        </w:tabs>
        <w:spacing w:line="240" w:lineRule="auto" w:before="0" w:after="0"/>
        <w:ind w:left="886" w:right="676" w:hanging="567"/>
        <w:jc w:val="both"/>
        <w:rPr>
          <w:sz w:val="20"/>
        </w:rPr>
      </w:pPr>
      <w:r>
        <w:rPr>
          <w:sz w:val="20"/>
        </w:rPr>
        <w:t>Benefits, Open questions and Challenges of the use of Ultrasound in the COVID-19 pandemic era. The views of a panel of worldwide international experts [published online ahead of print, 2020 Apr 15] // Ultraschall Med. 2020;10.1055/a-1149-9872. Doi:</w:t>
      </w:r>
      <w:r>
        <w:rPr>
          <w:spacing w:val="-3"/>
          <w:sz w:val="20"/>
        </w:rPr>
        <w:t> </w:t>
      </w:r>
      <w:r>
        <w:rPr>
          <w:sz w:val="20"/>
        </w:rPr>
        <w:t>10.1055/a-1149-9872.</w:t>
      </w:r>
    </w:p>
    <w:p>
      <w:pPr>
        <w:pStyle w:val="ListParagraph"/>
        <w:numPr>
          <w:ilvl w:val="0"/>
          <w:numId w:val="42"/>
        </w:numPr>
        <w:tabs>
          <w:tab w:pos="886" w:val="left" w:leader="none"/>
        </w:tabs>
        <w:spacing w:line="240" w:lineRule="auto" w:before="1" w:after="0"/>
        <w:ind w:left="885" w:right="680" w:hanging="567"/>
        <w:jc w:val="both"/>
        <w:rPr>
          <w:sz w:val="20"/>
        </w:rPr>
      </w:pPr>
      <w:r>
        <w:rPr>
          <w:sz w:val="20"/>
        </w:rPr>
        <w:t>Bernheim</w:t>
      </w:r>
      <w:r>
        <w:rPr>
          <w:spacing w:val="-5"/>
          <w:sz w:val="20"/>
        </w:rPr>
        <w:t> </w:t>
      </w:r>
      <w:r>
        <w:rPr>
          <w:sz w:val="20"/>
        </w:rPr>
        <w:t>A.</w:t>
      </w:r>
      <w:r>
        <w:rPr>
          <w:spacing w:val="-5"/>
          <w:sz w:val="20"/>
        </w:rPr>
        <w:t> </w:t>
      </w:r>
      <w:r>
        <w:rPr>
          <w:sz w:val="20"/>
        </w:rPr>
        <w:t>et</w:t>
      </w:r>
      <w:r>
        <w:rPr>
          <w:spacing w:val="-3"/>
          <w:sz w:val="20"/>
        </w:rPr>
        <w:t> </w:t>
      </w:r>
      <w:r>
        <w:rPr>
          <w:sz w:val="20"/>
        </w:rPr>
        <w:t>al.</w:t>
      </w:r>
      <w:r>
        <w:rPr>
          <w:spacing w:val="-5"/>
          <w:sz w:val="20"/>
        </w:rPr>
        <w:t> </w:t>
      </w:r>
      <w:r>
        <w:rPr>
          <w:sz w:val="20"/>
        </w:rPr>
        <w:t>Chest</w:t>
      </w:r>
      <w:r>
        <w:rPr>
          <w:spacing w:val="-6"/>
          <w:sz w:val="20"/>
        </w:rPr>
        <w:t> </w:t>
      </w:r>
      <w:r>
        <w:rPr>
          <w:sz w:val="20"/>
        </w:rPr>
        <w:t>CT</w:t>
      </w:r>
      <w:r>
        <w:rPr>
          <w:spacing w:val="-3"/>
          <w:sz w:val="20"/>
        </w:rPr>
        <w:t> </w:t>
      </w:r>
      <w:r>
        <w:rPr>
          <w:sz w:val="20"/>
        </w:rPr>
        <w:t>Findings</w:t>
      </w:r>
      <w:r>
        <w:rPr>
          <w:spacing w:val="-4"/>
          <w:sz w:val="20"/>
        </w:rPr>
        <w:t> </w:t>
      </w:r>
      <w:r>
        <w:rPr>
          <w:sz w:val="20"/>
        </w:rPr>
        <w:t>in</w:t>
      </w:r>
      <w:r>
        <w:rPr>
          <w:spacing w:val="-4"/>
          <w:sz w:val="20"/>
        </w:rPr>
        <w:t> </w:t>
      </w:r>
      <w:r>
        <w:rPr>
          <w:sz w:val="20"/>
        </w:rPr>
        <w:t>Coronavirus</w:t>
      </w:r>
      <w:r>
        <w:rPr>
          <w:spacing w:val="-6"/>
          <w:sz w:val="20"/>
        </w:rPr>
        <w:t> </w:t>
      </w:r>
      <w:r>
        <w:rPr>
          <w:sz w:val="20"/>
        </w:rPr>
        <w:t>Disease-19</w:t>
      </w:r>
      <w:r>
        <w:rPr>
          <w:spacing w:val="-4"/>
          <w:sz w:val="20"/>
        </w:rPr>
        <w:t> </w:t>
      </w:r>
      <w:r>
        <w:rPr>
          <w:sz w:val="20"/>
        </w:rPr>
        <w:t>(COVID-19):</w:t>
      </w:r>
      <w:r>
        <w:rPr>
          <w:spacing w:val="-6"/>
          <w:sz w:val="20"/>
        </w:rPr>
        <w:t> </w:t>
      </w:r>
      <w:r>
        <w:rPr>
          <w:sz w:val="20"/>
        </w:rPr>
        <w:t>Relationship</w:t>
      </w:r>
      <w:r>
        <w:rPr>
          <w:spacing w:val="-5"/>
          <w:sz w:val="20"/>
        </w:rPr>
        <w:t> </w:t>
      </w:r>
      <w:r>
        <w:rPr>
          <w:sz w:val="20"/>
        </w:rPr>
        <w:t>to</w:t>
      </w:r>
      <w:r>
        <w:rPr>
          <w:spacing w:val="-4"/>
          <w:sz w:val="20"/>
        </w:rPr>
        <w:t> </w:t>
      </w:r>
      <w:r>
        <w:rPr>
          <w:sz w:val="20"/>
        </w:rPr>
        <w:t>Duration of Infection. Radiology. 2020:200463.</w:t>
      </w:r>
      <w:r>
        <w:rPr>
          <w:spacing w:val="-4"/>
          <w:sz w:val="20"/>
        </w:rPr>
        <w:t> </w:t>
      </w:r>
      <w:r>
        <w:rPr>
          <w:sz w:val="20"/>
        </w:rPr>
        <w:t>doi:10.1148/radiol.2020200463.</w:t>
      </w:r>
    </w:p>
    <w:p>
      <w:pPr>
        <w:pStyle w:val="ListParagraph"/>
        <w:numPr>
          <w:ilvl w:val="0"/>
          <w:numId w:val="42"/>
        </w:numPr>
        <w:tabs>
          <w:tab w:pos="886" w:val="left" w:leader="none"/>
          <w:tab w:pos="2327" w:val="left" w:leader="none"/>
          <w:tab w:pos="3628" w:val="left" w:leader="none"/>
        </w:tabs>
        <w:spacing w:line="240" w:lineRule="auto" w:before="0" w:after="0"/>
        <w:ind w:left="885" w:right="680" w:hanging="567"/>
        <w:jc w:val="both"/>
        <w:rPr>
          <w:sz w:val="20"/>
        </w:rPr>
      </w:pPr>
      <w:r>
        <w:rPr>
          <w:sz w:val="20"/>
        </w:rPr>
        <w:t>Canada.ca. 2019 novel coronavirus: Symptoms and treatment The official website of the Government of Canada</w:t>
        <w:tab/>
        <w:t>URL:</w:t>
        <w:tab/>
      </w:r>
      <w:r>
        <w:rPr>
          <w:w w:val="95"/>
          <w:sz w:val="20"/>
        </w:rPr>
        <w:t>https://</w:t>
      </w:r>
      <w:hyperlink r:id="rId21">
        <w:r>
          <w:rPr>
            <w:w w:val="95"/>
            <w:sz w:val="20"/>
          </w:rPr>
          <w:t>www.canada.ca/en/public-health/services/diseases/2019-novel-</w:t>
        </w:r>
      </w:hyperlink>
      <w:r>
        <w:rPr>
          <w:w w:val="95"/>
          <w:sz w:val="20"/>
        </w:rPr>
        <w:t> </w:t>
      </w:r>
      <w:r>
        <w:rPr>
          <w:sz w:val="20"/>
        </w:rPr>
        <w:t>coronavirusinfection/symptoms.html</w:t>
      </w:r>
    </w:p>
    <w:p>
      <w:pPr>
        <w:pStyle w:val="ListParagraph"/>
        <w:numPr>
          <w:ilvl w:val="0"/>
          <w:numId w:val="42"/>
        </w:numPr>
        <w:tabs>
          <w:tab w:pos="886" w:val="left" w:leader="none"/>
        </w:tabs>
        <w:spacing w:line="240" w:lineRule="auto" w:before="0" w:after="0"/>
        <w:ind w:left="885" w:right="676" w:hanging="567"/>
        <w:jc w:val="both"/>
        <w:rPr>
          <w:sz w:val="20"/>
        </w:rPr>
      </w:pPr>
      <w:r>
        <w:rPr>
          <w:sz w:val="20"/>
        </w:rPr>
        <w:t>Carmeli Y. et al. Health and economic outcomes of antibiotic resistance in Pseudomonas aeruginosa. Arch Intern Med. 1999 May</w:t>
      </w:r>
      <w:r>
        <w:rPr>
          <w:spacing w:val="-5"/>
          <w:sz w:val="20"/>
        </w:rPr>
        <w:t> </w:t>
      </w:r>
      <w:r>
        <w:rPr>
          <w:sz w:val="20"/>
        </w:rPr>
        <w:t>24;159(10):1127-32.</w:t>
      </w:r>
    </w:p>
    <w:p>
      <w:pPr>
        <w:pStyle w:val="ListParagraph"/>
        <w:numPr>
          <w:ilvl w:val="0"/>
          <w:numId w:val="42"/>
        </w:numPr>
        <w:tabs>
          <w:tab w:pos="885" w:val="left" w:leader="none"/>
        </w:tabs>
        <w:spacing w:line="229" w:lineRule="exact" w:before="0" w:after="0"/>
        <w:ind w:left="884" w:right="0" w:hanging="567"/>
        <w:jc w:val="both"/>
        <w:rPr>
          <w:sz w:val="20"/>
        </w:rPr>
      </w:pPr>
      <w:r>
        <w:rPr>
          <w:sz w:val="20"/>
        </w:rPr>
        <w:t>CDC. 2019 Novel Coronavirus URL:</w:t>
      </w:r>
      <w:r>
        <w:rPr>
          <w:spacing w:val="-3"/>
          <w:sz w:val="20"/>
        </w:rPr>
        <w:t> </w:t>
      </w:r>
      <w:r>
        <w:rPr>
          <w:sz w:val="20"/>
        </w:rPr>
        <w:t>https://</w:t>
      </w:r>
      <w:hyperlink r:id="rId22">
        <w:r>
          <w:rPr>
            <w:sz w:val="20"/>
          </w:rPr>
          <w:t>www.cdc.gov/coronavirus/2019-ncov/index.html</w:t>
        </w:r>
      </w:hyperlink>
    </w:p>
    <w:p>
      <w:pPr>
        <w:pStyle w:val="ListParagraph"/>
        <w:numPr>
          <w:ilvl w:val="0"/>
          <w:numId w:val="42"/>
        </w:numPr>
        <w:tabs>
          <w:tab w:pos="885" w:val="left" w:leader="none"/>
        </w:tabs>
        <w:spacing w:line="240" w:lineRule="auto" w:before="0" w:after="0"/>
        <w:ind w:left="884" w:right="676" w:hanging="567"/>
        <w:jc w:val="both"/>
        <w:rPr>
          <w:sz w:val="20"/>
        </w:rPr>
      </w:pPr>
      <w:r>
        <w:rPr>
          <w:sz w:val="20"/>
        </w:rPr>
        <w:t>Chaolin H. et al. Clinical features of patients infected with 2019 novel coronavirus in Wuhan, China? Lancet 2020; 395: 497–506 Published Online January 24, 2020 https://doi.org/10.1016/ S0140- 6736(20)30183-5</w:t>
      </w:r>
    </w:p>
    <w:p>
      <w:pPr>
        <w:pStyle w:val="ListParagraph"/>
        <w:numPr>
          <w:ilvl w:val="0"/>
          <w:numId w:val="42"/>
        </w:numPr>
        <w:tabs>
          <w:tab w:pos="885" w:val="left" w:leader="none"/>
        </w:tabs>
        <w:spacing w:line="240" w:lineRule="auto" w:before="2" w:after="0"/>
        <w:ind w:left="884" w:right="681" w:hanging="567"/>
        <w:jc w:val="both"/>
        <w:rPr>
          <w:sz w:val="20"/>
        </w:rPr>
      </w:pPr>
      <w:r>
        <w:rPr>
          <w:sz w:val="20"/>
        </w:rPr>
        <w:t>Chaomin Wu et al. Risk Factors Associated With Acute Respiratory Distress Syndrome and Death in Patients With Coronavirus Disease 2019 Pneumonia in Wuhan, China. JAMA Intern Med. Published online March 13, 2020.</w:t>
      </w:r>
      <w:r>
        <w:rPr>
          <w:spacing w:val="-1"/>
          <w:sz w:val="20"/>
        </w:rPr>
        <w:t> </w:t>
      </w:r>
      <w:r>
        <w:rPr>
          <w:sz w:val="20"/>
        </w:rPr>
        <w:t>doi:10.1001/jamainternmed.2020.099</w:t>
      </w:r>
    </w:p>
    <w:p>
      <w:pPr>
        <w:pStyle w:val="ListParagraph"/>
        <w:numPr>
          <w:ilvl w:val="0"/>
          <w:numId w:val="42"/>
        </w:numPr>
        <w:tabs>
          <w:tab w:pos="885" w:val="left" w:leader="none"/>
        </w:tabs>
        <w:spacing w:line="240" w:lineRule="auto" w:before="0" w:after="0"/>
        <w:ind w:left="884" w:right="680" w:hanging="567"/>
        <w:jc w:val="both"/>
        <w:rPr>
          <w:sz w:val="20"/>
        </w:rPr>
      </w:pPr>
      <w:r>
        <w:rPr>
          <w:sz w:val="20"/>
        </w:rPr>
        <w:t>Chen N. et al. Epidemiological and clinical characteristics of 99 cases of 2019 novel coronavirus pneumonia in Wuhan, China: a descriptive study // Lancet. 2020. doi:</w:t>
      </w:r>
      <w:r>
        <w:rPr>
          <w:spacing w:val="-34"/>
          <w:sz w:val="20"/>
        </w:rPr>
        <w:t> </w:t>
      </w:r>
      <w:r>
        <w:rPr>
          <w:sz w:val="20"/>
        </w:rPr>
        <w:t>10.1016/S0140-6736(20)30211-7</w:t>
      </w:r>
    </w:p>
    <w:p>
      <w:pPr>
        <w:pStyle w:val="ListParagraph"/>
        <w:numPr>
          <w:ilvl w:val="0"/>
          <w:numId w:val="42"/>
        </w:numPr>
        <w:tabs>
          <w:tab w:pos="885" w:val="left" w:leader="none"/>
        </w:tabs>
        <w:spacing w:line="240" w:lineRule="auto" w:before="0" w:after="0"/>
        <w:ind w:left="884" w:right="0" w:hanging="567"/>
        <w:jc w:val="both"/>
        <w:rPr>
          <w:sz w:val="20"/>
        </w:rPr>
      </w:pPr>
      <w:r>
        <w:rPr>
          <w:sz w:val="20"/>
        </w:rPr>
        <w:t>China CDC. Diagnosis and treatment protocolfor COVID-19 patients (trial version 7,</w:t>
      </w:r>
      <w:r>
        <w:rPr>
          <w:spacing w:val="-9"/>
          <w:sz w:val="20"/>
        </w:rPr>
        <w:t> </w:t>
      </w:r>
      <w:r>
        <w:rPr>
          <w:sz w:val="20"/>
        </w:rPr>
        <w:t>revised)</w:t>
      </w:r>
    </w:p>
    <w:p>
      <w:pPr>
        <w:pStyle w:val="ListParagraph"/>
        <w:numPr>
          <w:ilvl w:val="0"/>
          <w:numId w:val="42"/>
        </w:numPr>
        <w:tabs>
          <w:tab w:pos="884" w:val="left" w:leader="none"/>
          <w:tab w:pos="885" w:val="left" w:leader="none"/>
        </w:tabs>
        <w:spacing w:line="240" w:lineRule="auto" w:before="0" w:after="0"/>
        <w:ind w:left="884" w:right="681" w:hanging="567"/>
        <w:jc w:val="left"/>
        <w:rPr>
          <w:sz w:val="20"/>
        </w:rPr>
      </w:pPr>
      <w:r>
        <w:rPr>
          <w:sz w:val="20"/>
        </w:rPr>
        <w:t>Chong Y.P. et al. Antiviral Treatment Guidelines for Middle East Respiratory Syndrome // Infection &amp; chemotherapy. 2015. 47. № 3. pp. 212–222.</w:t>
      </w:r>
    </w:p>
    <w:p>
      <w:pPr>
        <w:pStyle w:val="ListParagraph"/>
        <w:numPr>
          <w:ilvl w:val="0"/>
          <w:numId w:val="42"/>
        </w:numPr>
        <w:tabs>
          <w:tab w:pos="884" w:val="left" w:leader="none"/>
          <w:tab w:pos="885" w:val="left" w:leader="none"/>
        </w:tabs>
        <w:spacing w:line="240" w:lineRule="auto" w:before="0" w:after="0"/>
        <w:ind w:left="884" w:right="680" w:hanging="567"/>
        <w:jc w:val="left"/>
        <w:rPr>
          <w:sz w:val="20"/>
        </w:rPr>
      </w:pPr>
      <w:r>
        <w:rPr>
          <w:sz w:val="20"/>
        </w:rPr>
        <w:t>Chung M. et al. CT Imaging Features of 2019 Novel Coronavirus (2019-nCoV) // Radiology. 2020. V. 295. No. 1. P. 202–207. Doi:</w:t>
      </w:r>
      <w:r>
        <w:rPr>
          <w:spacing w:val="-5"/>
          <w:sz w:val="20"/>
        </w:rPr>
        <w:t> </w:t>
      </w:r>
      <w:r>
        <w:rPr>
          <w:sz w:val="20"/>
        </w:rPr>
        <w:t>10.1148/radiol.2020200230.</w:t>
      </w:r>
    </w:p>
    <w:p>
      <w:pPr>
        <w:pStyle w:val="ListParagraph"/>
        <w:numPr>
          <w:ilvl w:val="0"/>
          <w:numId w:val="42"/>
        </w:numPr>
        <w:tabs>
          <w:tab w:pos="884" w:val="left" w:leader="none"/>
          <w:tab w:pos="885" w:val="left" w:leader="none"/>
        </w:tabs>
        <w:spacing w:line="240" w:lineRule="auto" w:before="0" w:after="0"/>
        <w:ind w:left="884" w:right="0" w:hanging="567"/>
        <w:jc w:val="left"/>
        <w:rPr>
          <w:sz w:val="20"/>
        </w:rPr>
      </w:pPr>
      <w:r>
        <w:rPr>
          <w:sz w:val="20"/>
        </w:rPr>
        <w:t>Cinatl J. et al. Treatment of SARS with human interferons // Lancet. 2003. 362. № 9380. pp.</w:t>
      </w:r>
      <w:r>
        <w:rPr>
          <w:spacing w:val="-20"/>
          <w:sz w:val="20"/>
        </w:rPr>
        <w:t> </w:t>
      </w:r>
      <w:r>
        <w:rPr>
          <w:sz w:val="20"/>
        </w:rPr>
        <w:t>293–294.</w:t>
      </w:r>
    </w:p>
    <w:p>
      <w:pPr>
        <w:pStyle w:val="ListParagraph"/>
        <w:numPr>
          <w:ilvl w:val="0"/>
          <w:numId w:val="42"/>
        </w:numPr>
        <w:tabs>
          <w:tab w:pos="885" w:val="left" w:leader="none"/>
        </w:tabs>
        <w:spacing w:line="240" w:lineRule="auto" w:before="0" w:after="0"/>
        <w:ind w:left="884" w:right="677" w:hanging="567"/>
        <w:jc w:val="both"/>
        <w:rPr>
          <w:sz w:val="20"/>
        </w:rPr>
      </w:pPr>
      <w:r>
        <w:rPr>
          <w:sz w:val="20"/>
        </w:rPr>
        <w:t>Clinical management of severe acute respiratory infection when Middle East respiratory syndrome coronavirus (MERS-CoV) infection is suspected: Interim Guidance. Updated 2 July 2015. WHO/MERS/Clinical/15.1</w:t>
      </w:r>
    </w:p>
    <w:p>
      <w:pPr>
        <w:pStyle w:val="ListParagraph"/>
        <w:numPr>
          <w:ilvl w:val="0"/>
          <w:numId w:val="42"/>
        </w:numPr>
        <w:tabs>
          <w:tab w:pos="884" w:val="left" w:leader="none"/>
          <w:tab w:pos="885" w:val="left" w:leader="none"/>
        </w:tabs>
        <w:spacing w:line="240" w:lineRule="auto" w:before="0" w:after="0"/>
        <w:ind w:left="884" w:right="683" w:hanging="567"/>
        <w:jc w:val="left"/>
        <w:rPr>
          <w:sz w:val="20"/>
        </w:rPr>
      </w:pPr>
      <w:r>
        <w:rPr>
          <w:sz w:val="20"/>
        </w:rPr>
        <w:t>Colson, P., Rolain, J. M., Lagier, J. C., Brouqui, P., &amp; Raoult, D. Chloroquine and hydroxychloroquine as available weapons to fight COVID-19 International Journal of Antimicrobial Agents</w:t>
      </w:r>
      <w:r>
        <w:rPr>
          <w:spacing w:val="-10"/>
          <w:sz w:val="20"/>
        </w:rPr>
        <w:t> </w:t>
      </w:r>
      <w:r>
        <w:rPr>
          <w:sz w:val="20"/>
        </w:rPr>
        <w:t>2020.</w:t>
      </w:r>
    </w:p>
    <w:p>
      <w:pPr>
        <w:pStyle w:val="ListParagraph"/>
        <w:numPr>
          <w:ilvl w:val="0"/>
          <w:numId w:val="42"/>
        </w:numPr>
        <w:tabs>
          <w:tab w:pos="884" w:val="left" w:leader="none"/>
          <w:tab w:pos="885" w:val="left" w:leader="none"/>
        </w:tabs>
        <w:spacing w:line="240" w:lineRule="auto" w:before="0" w:after="0"/>
        <w:ind w:left="884" w:right="682" w:hanging="567"/>
        <w:jc w:val="left"/>
        <w:rPr>
          <w:sz w:val="20"/>
        </w:rPr>
      </w:pPr>
      <w:r>
        <w:rPr>
          <w:sz w:val="20"/>
        </w:rPr>
        <w:t>Commonwealth of Australia | Department of Health. Novel coronavirus (2019-nCoV) URL: https://</w:t>
      </w:r>
      <w:hyperlink r:id="rId23">
        <w:r>
          <w:rPr>
            <w:sz w:val="20"/>
          </w:rPr>
          <w:t>www.health.gov.au/health-topics/novel-coronavirus-2019-ncov</w:t>
        </w:r>
      </w:hyperlink>
    </w:p>
    <w:p>
      <w:pPr>
        <w:pStyle w:val="ListParagraph"/>
        <w:numPr>
          <w:ilvl w:val="0"/>
          <w:numId w:val="42"/>
        </w:numPr>
        <w:tabs>
          <w:tab w:pos="887" w:val="left" w:leader="none"/>
          <w:tab w:pos="888" w:val="left" w:leader="none"/>
        </w:tabs>
        <w:spacing w:line="226" w:lineRule="exact" w:before="0" w:after="0"/>
        <w:ind w:left="887" w:right="0" w:hanging="567"/>
        <w:jc w:val="left"/>
        <w:rPr>
          <w:sz w:val="20"/>
        </w:rPr>
      </w:pPr>
      <w:r>
        <w:rPr>
          <w:sz w:val="20"/>
        </w:rPr>
        <w:t>Corman</w:t>
      </w:r>
      <w:r>
        <w:rPr>
          <w:spacing w:val="16"/>
          <w:sz w:val="20"/>
        </w:rPr>
        <w:t> </w:t>
      </w:r>
      <w:r>
        <w:rPr>
          <w:sz w:val="20"/>
        </w:rPr>
        <w:t>V.</w:t>
      </w:r>
      <w:r>
        <w:rPr>
          <w:spacing w:val="17"/>
          <w:sz w:val="20"/>
        </w:rPr>
        <w:t> </w:t>
      </w:r>
      <w:r>
        <w:rPr>
          <w:sz w:val="20"/>
        </w:rPr>
        <w:t>M.</w:t>
      </w:r>
      <w:r>
        <w:rPr>
          <w:spacing w:val="17"/>
          <w:sz w:val="20"/>
        </w:rPr>
        <w:t> </w:t>
      </w:r>
      <w:r>
        <w:rPr>
          <w:sz w:val="20"/>
        </w:rPr>
        <w:t>et</w:t>
      </w:r>
      <w:r>
        <w:rPr>
          <w:spacing w:val="15"/>
          <w:sz w:val="20"/>
        </w:rPr>
        <w:t> </w:t>
      </w:r>
      <w:r>
        <w:rPr>
          <w:sz w:val="20"/>
        </w:rPr>
        <w:t>al.</w:t>
      </w:r>
      <w:r>
        <w:rPr>
          <w:spacing w:val="17"/>
          <w:sz w:val="20"/>
        </w:rPr>
        <w:t> </w:t>
      </w:r>
      <w:r>
        <w:rPr>
          <w:sz w:val="20"/>
        </w:rPr>
        <w:t>Detection</w:t>
      </w:r>
      <w:r>
        <w:rPr>
          <w:spacing w:val="15"/>
          <w:sz w:val="20"/>
        </w:rPr>
        <w:t> </w:t>
      </w:r>
      <w:r>
        <w:rPr>
          <w:sz w:val="20"/>
        </w:rPr>
        <w:t>of</w:t>
      </w:r>
      <w:r>
        <w:rPr>
          <w:spacing w:val="15"/>
          <w:sz w:val="20"/>
        </w:rPr>
        <w:t> </w:t>
      </w:r>
      <w:r>
        <w:rPr>
          <w:sz w:val="20"/>
        </w:rPr>
        <w:t>2019</w:t>
      </w:r>
      <w:r>
        <w:rPr>
          <w:spacing w:val="16"/>
          <w:sz w:val="20"/>
        </w:rPr>
        <w:t> </w:t>
      </w:r>
      <w:r>
        <w:rPr>
          <w:sz w:val="20"/>
        </w:rPr>
        <w:t>novel</w:t>
      </w:r>
      <w:r>
        <w:rPr>
          <w:spacing w:val="16"/>
          <w:sz w:val="20"/>
        </w:rPr>
        <w:t> </w:t>
      </w:r>
      <w:r>
        <w:rPr>
          <w:sz w:val="20"/>
        </w:rPr>
        <w:t>coronavirus</w:t>
      </w:r>
      <w:r>
        <w:rPr>
          <w:spacing w:val="15"/>
          <w:sz w:val="20"/>
        </w:rPr>
        <w:t> </w:t>
      </w:r>
      <w:r>
        <w:rPr>
          <w:sz w:val="20"/>
        </w:rPr>
        <w:t>(2019-nCoV)</w:t>
      </w:r>
      <w:r>
        <w:rPr>
          <w:spacing w:val="16"/>
          <w:sz w:val="20"/>
        </w:rPr>
        <w:t> </w:t>
      </w:r>
      <w:r>
        <w:rPr>
          <w:sz w:val="20"/>
        </w:rPr>
        <w:t>by</w:t>
      </w:r>
      <w:r>
        <w:rPr>
          <w:spacing w:val="13"/>
          <w:sz w:val="20"/>
        </w:rPr>
        <w:t> </w:t>
      </w:r>
      <w:r>
        <w:rPr>
          <w:sz w:val="20"/>
        </w:rPr>
        <w:t>real-time</w:t>
      </w:r>
      <w:r>
        <w:rPr>
          <w:spacing w:val="16"/>
          <w:sz w:val="20"/>
        </w:rPr>
        <w:t> </w:t>
      </w:r>
      <w:r>
        <w:rPr>
          <w:sz w:val="20"/>
        </w:rPr>
        <w:t>RT-PCR</w:t>
      </w:r>
    </w:p>
    <w:p>
      <w:pPr>
        <w:spacing w:line="229" w:lineRule="exact" w:before="0"/>
        <w:ind w:left="887" w:right="0" w:firstLine="0"/>
        <w:jc w:val="left"/>
        <w:rPr>
          <w:sz w:val="20"/>
        </w:rPr>
      </w:pPr>
      <w:r>
        <w:rPr>
          <w:sz w:val="20"/>
        </w:rPr>
        <w:t>//Eurosurveillance. – 2020. – Т. 25. – №. 3. – 25(3). doi: 10.2807/1560-7917.ES</w:t>
      </w:r>
    </w:p>
    <w:p>
      <w:pPr>
        <w:spacing w:after="0" w:line="229" w:lineRule="exact"/>
        <w:jc w:val="left"/>
        <w:rPr>
          <w:sz w:val="20"/>
        </w:rPr>
        <w:sectPr>
          <w:pgSz w:w="11920" w:h="16850"/>
          <w:pgMar w:header="0" w:footer="620" w:top="1060" w:bottom="880" w:left="1380" w:right="600"/>
        </w:sectPr>
      </w:pPr>
    </w:p>
    <w:p>
      <w:pPr>
        <w:pStyle w:val="ListParagraph"/>
        <w:numPr>
          <w:ilvl w:val="0"/>
          <w:numId w:val="42"/>
        </w:numPr>
        <w:tabs>
          <w:tab w:pos="887" w:val="left" w:leader="none"/>
          <w:tab w:pos="888" w:val="left" w:leader="none"/>
          <w:tab w:pos="8853" w:val="left" w:leader="none"/>
        </w:tabs>
        <w:spacing w:line="240" w:lineRule="auto" w:before="79" w:after="0"/>
        <w:ind w:left="887" w:right="0" w:hanging="567"/>
        <w:jc w:val="left"/>
        <w:rPr>
          <w:sz w:val="20"/>
        </w:rPr>
      </w:pPr>
      <w:r>
        <w:rPr>
          <w:sz w:val="20"/>
        </w:rPr>
        <w:t>Coronavirus.</w:t>
        <w:tab/>
        <w:t>URL</w:t>
      </w:r>
    </w:p>
    <w:p>
      <w:pPr>
        <w:spacing w:before="1"/>
        <w:ind w:left="887" w:right="674" w:firstLine="0"/>
        <w:jc w:val="left"/>
        <w:rPr>
          <w:sz w:val="20"/>
        </w:rPr>
      </w:pPr>
      <w:r>
        <w:rPr>
          <w:sz w:val="20"/>
        </w:rPr>
        <w:t>:https://multimedia.scmp.com/widgets/china/wuhanvirus/?fbclid=IwAR2hDHzpZEh5Nj360i2O%201E S 78rXRFymAaFaUK6ZG4m0UTCV1xozulxX1jio </w:t>
      </w:r>
      <w:r>
        <w:rPr>
          <w:color w:val="002439"/>
          <w:sz w:val="20"/>
        </w:rPr>
        <w:t>COVID Care Protocol. </w:t>
      </w:r>
      <w:r>
        <w:rPr>
          <w:color w:val="202429"/>
          <w:sz w:val="20"/>
        </w:rPr>
        <w:t>Last Updated 05-11-2020 3:15 p.m.</w:t>
      </w:r>
      <w:r>
        <w:rPr>
          <w:color w:val="202429"/>
          <w:spacing w:val="-1"/>
          <w:sz w:val="20"/>
        </w:rPr>
        <w:t> </w:t>
      </w:r>
      <w:hyperlink r:id="rId24">
        <w:r>
          <w:rPr>
            <w:color w:val="0562C1"/>
            <w:sz w:val="20"/>
            <w:u w:val="single" w:color="0562C1"/>
          </w:rPr>
          <w:t>https://www.evms.edu/covid-19/covid_care_for_clinicians/#covidcare</w:t>
        </w:r>
      </w:hyperlink>
    </w:p>
    <w:p>
      <w:pPr>
        <w:pStyle w:val="ListParagraph"/>
        <w:numPr>
          <w:ilvl w:val="0"/>
          <w:numId w:val="42"/>
        </w:numPr>
        <w:tabs>
          <w:tab w:pos="887" w:val="left" w:leader="none"/>
          <w:tab w:pos="888" w:val="left" w:leader="none"/>
        </w:tabs>
        <w:spacing w:line="240" w:lineRule="auto" w:before="0" w:after="0"/>
        <w:ind w:left="887" w:right="677" w:hanging="567"/>
        <w:jc w:val="left"/>
        <w:rPr>
          <w:sz w:val="20"/>
        </w:rPr>
      </w:pPr>
      <w:r>
        <w:rPr>
          <w:sz w:val="20"/>
        </w:rPr>
        <w:t>Cortegiani,</w:t>
      </w:r>
      <w:r>
        <w:rPr>
          <w:spacing w:val="-3"/>
          <w:sz w:val="20"/>
        </w:rPr>
        <w:t> </w:t>
      </w:r>
      <w:r>
        <w:rPr>
          <w:sz w:val="20"/>
        </w:rPr>
        <w:t>A.,</w:t>
      </w:r>
      <w:r>
        <w:rPr>
          <w:spacing w:val="-5"/>
          <w:sz w:val="20"/>
        </w:rPr>
        <w:t> </w:t>
      </w:r>
      <w:r>
        <w:rPr>
          <w:sz w:val="20"/>
        </w:rPr>
        <w:t>Ingoglia,</w:t>
      </w:r>
      <w:r>
        <w:rPr>
          <w:spacing w:val="-5"/>
          <w:sz w:val="20"/>
        </w:rPr>
        <w:t> </w:t>
      </w:r>
      <w:r>
        <w:rPr>
          <w:sz w:val="20"/>
        </w:rPr>
        <w:t>G.,</w:t>
      </w:r>
      <w:r>
        <w:rPr>
          <w:spacing w:val="-6"/>
          <w:sz w:val="20"/>
        </w:rPr>
        <w:t> </w:t>
      </w:r>
      <w:r>
        <w:rPr>
          <w:sz w:val="20"/>
        </w:rPr>
        <w:t>Ippolito,</w:t>
      </w:r>
      <w:r>
        <w:rPr>
          <w:spacing w:val="-5"/>
          <w:sz w:val="20"/>
        </w:rPr>
        <w:t> </w:t>
      </w:r>
      <w:r>
        <w:rPr>
          <w:sz w:val="20"/>
        </w:rPr>
        <w:t>M.,</w:t>
      </w:r>
      <w:r>
        <w:rPr>
          <w:spacing w:val="-7"/>
          <w:sz w:val="20"/>
        </w:rPr>
        <w:t> </w:t>
      </w:r>
      <w:r>
        <w:rPr>
          <w:sz w:val="20"/>
        </w:rPr>
        <w:t>Giarratano,</w:t>
      </w:r>
      <w:r>
        <w:rPr>
          <w:spacing w:val="-5"/>
          <w:sz w:val="20"/>
        </w:rPr>
        <w:t> </w:t>
      </w:r>
      <w:r>
        <w:rPr>
          <w:sz w:val="20"/>
        </w:rPr>
        <w:t>A.,</w:t>
      </w:r>
      <w:r>
        <w:rPr>
          <w:spacing w:val="-5"/>
          <w:sz w:val="20"/>
        </w:rPr>
        <w:t> </w:t>
      </w:r>
      <w:r>
        <w:rPr>
          <w:sz w:val="20"/>
        </w:rPr>
        <w:t>&amp;</w:t>
      </w:r>
      <w:r>
        <w:rPr>
          <w:spacing w:val="-5"/>
          <w:sz w:val="20"/>
        </w:rPr>
        <w:t> </w:t>
      </w:r>
      <w:r>
        <w:rPr>
          <w:sz w:val="20"/>
        </w:rPr>
        <w:t>Einav,</w:t>
      </w:r>
      <w:r>
        <w:rPr>
          <w:spacing w:val="-5"/>
          <w:sz w:val="20"/>
        </w:rPr>
        <w:t> </w:t>
      </w:r>
      <w:r>
        <w:rPr>
          <w:sz w:val="20"/>
        </w:rPr>
        <w:t>S.</w:t>
      </w:r>
      <w:r>
        <w:rPr>
          <w:spacing w:val="-5"/>
          <w:sz w:val="20"/>
        </w:rPr>
        <w:t> </w:t>
      </w:r>
      <w:r>
        <w:rPr>
          <w:sz w:val="20"/>
        </w:rPr>
        <w:t>(2020).</w:t>
      </w:r>
      <w:r>
        <w:rPr>
          <w:spacing w:val="-5"/>
          <w:sz w:val="20"/>
        </w:rPr>
        <w:t> </w:t>
      </w:r>
      <w:r>
        <w:rPr>
          <w:sz w:val="20"/>
        </w:rPr>
        <w:t>A</w:t>
      </w:r>
      <w:r>
        <w:rPr>
          <w:spacing w:val="-8"/>
          <w:sz w:val="20"/>
        </w:rPr>
        <w:t> </w:t>
      </w:r>
      <w:r>
        <w:rPr>
          <w:sz w:val="20"/>
        </w:rPr>
        <w:t>systematic</w:t>
      </w:r>
      <w:r>
        <w:rPr>
          <w:spacing w:val="-4"/>
          <w:sz w:val="20"/>
        </w:rPr>
        <w:t> </w:t>
      </w:r>
      <w:r>
        <w:rPr>
          <w:sz w:val="20"/>
        </w:rPr>
        <w:t>review</w:t>
      </w:r>
      <w:r>
        <w:rPr>
          <w:spacing w:val="-9"/>
          <w:sz w:val="20"/>
        </w:rPr>
        <w:t> </w:t>
      </w:r>
      <w:r>
        <w:rPr>
          <w:sz w:val="20"/>
        </w:rPr>
        <w:t>on</w:t>
      </w:r>
      <w:r>
        <w:rPr>
          <w:spacing w:val="-8"/>
          <w:sz w:val="20"/>
        </w:rPr>
        <w:t> </w:t>
      </w:r>
      <w:r>
        <w:rPr>
          <w:sz w:val="20"/>
        </w:rPr>
        <w:t>the efficacy and safety of chloroquine for the treatment of COVID-19. Journal of Critical Care</w:t>
      </w:r>
      <w:r>
        <w:rPr>
          <w:spacing w:val="-22"/>
          <w:sz w:val="20"/>
        </w:rPr>
        <w:t> </w:t>
      </w:r>
      <w:r>
        <w:rPr>
          <w:sz w:val="20"/>
        </w:rPr>
        <w:t>.</w:t>
      </w:r>
    </w:p>
    <w:p>
      <w:pPr>
        <w:pStyle w:val="ListParagraph"/>
        <w:numPr>
          <w:ilvl w:val="0"/>
          <w:numId w:val="42"/>
        </w:numPr>
        <w:tabs>
          <w:tab w:pos="887" w:val="left" w:leader="none"/>
          <w:tab w:pos="888" w:val="left" w:leader="none"/>
          <w:tab w:pos="2006" w:val="left" w:leader="none"/>
          <w:tab w:pos="2904" w:val="left" w:leader="none"/>
          <w:tab w:pos="4324" w:val="left" w:leader="none"/>
          <w:tab w:pos="5887" w:val="left" w:leader="none"/>
          <w:tab w:pos="7084" w:val="left" w:leader="none"/>
          <w:tab w:pos="8304" w:val="left" w:leader="none"/>
        </w:tabs>
        <w:spacing w:line="240" w:lineRule="auto" w:before="0" w:after="0"/>
        <w:ind w:left="888" w:right="675" w:hanging="567"/>
        <w:jc w:val="left"/>
        <w:rPr>
          <w:sz w:val="20"/>
        </w:rPr>
      </w:pPr>
      <w:r>
        <w:rPr>
          <w:sz w:val="20"/>
        </w:rPr>
        <w:t>Critical</w:t>
        <w:tab/>
        <w:t>Care</w:t>
        <w:tab/>
        <w:t>COVID-19</w:t>
        <w:tab/>
        <w:t>Management</w:t>
        <w:tab/>
        <w:t>Protocol</w:t>
        <w:tab/>
        <w:t>(updated</w:t>
        <w:tab/>
      </w:r>
      <w:r>
        <w:rPr>
          <w:spacing w:val="-3"/>
          <w:sz w:val="20"/>
        </w:rPr>
        <w:t>4-15-2020),</w:t>
      </w:r>
      <w:r>
        <w:rPr>
          <w:color w:val="0562C1"/>
          <w:spacing w:val="-3"/>
          <w:sz w:val="20"/>
          <w:u w:val="single" w:color="0562C1"/>
        </w:rPr>
        <w:t> </w:t>
      </w:r>
      <w:r>
        <w:rPr>
          <w:color w:val="0562C1"/>
          <w:sz w:val="20"/>
          <w:u w:val="single" w:color="0562C1"/>
        </w:rPr>
        <w:t>file:///C:/Users/ASUS/AppData/Local/Packages/Microsoft.MicrosoftEdge_8wekyb3d8bbwe/TempState</w:t>
      </w:r>
    </w:p>
    <w:p>
      <w:pPr>
        <w:spacing w:line="228" w:lineRule="exact" w:before="0"/>
        <w:ind w:left="888" w:right="0" w:firstLine="0"/>
        <w:jc w:val="left"/>
        <w:rPr>
          <w:sz w:val="20"/>
        </w:rPr>
      </w:pPr>
      <w:r>
        <w:rPr>
          <w:color w:val="0562C1"/>
          <w:sz w:val="20"/>
          <w:u w:val="single" w:color="0562C1"/>
        </w:rPr>
        <w:t>/Downloads/Marik-Covid-Protocol-Summary%20(2).pdf</w:t>
      </w:r>
      <w:r>
        <w:rPr>
          <w:sz w:val="20"/>
        </w:rPr>
        <w:t>.</w:t>
      </w:r>
    </w:p>
    <w:p>
      <w:pPr>
        <w:pStyle w:val="ListParagraph"/>
        <w:numPr>
          <w:ilvl w:val="0"/>
          <w:numId w:val="42"/>
        </w:numPr>
        <w:tabs>
          <w:tab w:pos="888" w:val="left" w:leader="none"/>
        </w:tabs>
        <w:spacing w:line="240" w:lineRule="auto" w:before="0" w:after="0"/>
        <w:ind w:left="887" w:right="680" w:hanging="567"/>
        <w:jc w:val="both"/>
        <w:rPr>
          <w:sz w:val="20"/>
        </w:rPr>
      </w:pPr>
      <w:r>
        <w:rPr>
          <w:sz w:val="20"/>
        </w:rPr>
        <w:t>Dayer M.R. et al. Lopinavir; A Potent Drug against Coronavirus Infection: Insight from Molecular Docking Study // Arch Clin Infect Dis. 2017 ; 12(4):e13823. doi:</w:t>
      </w:r>
      <w:r>
        <w:rPr>
          <w:spacing w:val="-12"/>
          <w:sz w:val="20"/>
        </w:rPr>
        <w:t> </w:t>
      </w:r>
      <w:r>
        <w:rPr>
          <w:sz w:val="20"/>
        </w:rPr>
        <w:t>10.5812/archcid.13823</w:t>
      </w:r>
    </w:p>
    <w:p>
      <w:pPr>
        <w:pStyle w:val="ListParagraph"/>
        <w:numPr>
          <w:ilvl w:val="0"/>
          <w:numId w:val="42"/>
        </w:numPr>
        <w:tabs>
          <w:tab w:pos="888" w:val="left" w:leader="none"/>
        </w:tabs>
        <w:spacing w:line="240" w:lineRule="auto" w:before="1" w:after="0"/>
        <w:ind w:left="887" w:right="674" w:hanging="567"/>
        <w:jc w:val="both"/>
        <w:rPr>
          <w:sz w:val="20"/>
        </w:rPr>
      </w:pPr>
      <w:r>
        <w:rPr>
          <w:sz w:val="20"/>
        </w:rPr>
        <w:t>Devaux CA, Rolain JM, Colson P, Raoult D. New insights on the antiviral effects of chloroquine against coronavirus: what to expect for COVID-19? Int J Antimicrob Agents. 2020 Mar 12:105938. doi: 10.1016/j.ijantimicag.2020.105938.</w:t>
      </w:r>
    </w:p>
    <w:p>
      <w:pPr>
        <w:pStyle w:val="ListParagraph"/>
        <w:numPr>
          <w:ilvl w:val="0"/>
          <w:numId w:val="42"/>
        </w:numPr>
        <w:tabs>
          <w:tab w:pos="888" w:val="left" w:leader="none"/>
        </w:tabs>
        <w:spacing w:line="240" w:lineRule="auto" w:before="0" w:after="0"/>
        <w:ind w:left="887" w:right="674" w:hanging="567"/>
        <w:jc w:val="both"/>
        <w:rPr>
          <w:sz w:val="20"/>
        </w:rPr>
      </w:pPr>
      <w:r>
        <w:rPr>
          <w:sz w:val="20"/>
        </w:rPr>
        <w:t>Dyall J. et al. Middle East Respiratory Syndrome and Severe Acute Respiratory Syndrome: Current Therapeutic</w:t>
      </w:r>
      <w:r>
        <w:rPr>
          <w:spacing w:val="-3"/>
          <w:sz w:val="20"/>
        </w:rPr>
        <w:t> </w:t>
      </w:r>
      <w:r>
        <w:rPr>
          <w:sz w:val="20"/>
        </w:rPr>
        <w:t>Options</w:t>
      </w:r>
      <w:r>
        <w:rPr>
          <w:spacing w:val="-4"/>
          <w:sz w:val="20"/>
        </w:rPr>
        <w:t> </w:t>
      </w:r>
      <w:r>
        <w:rPr>
          <w:sz w:val="20"/>
        </w:rPr>
        <w:t>and</w:t>
      </w:r>
      <w:r>
        <w:rPr>
          <w:spacing w:val="-1"/>
          <w:sz w:val="20"/>
        </w:rPr>
        <w:t> </w:t>
      </w:r>
      <w:r>
        <w:rPr>
          <w:sz w:val="20"/>
        </w:rPr>
        <w:t>Potential</w:t>
      </w:r>
      <w:r>
        <w:rPr>
          <w:spacing w:val="-3"/>
          <w:sz w:val="20"/>
        </w:rPr>
        <w:t> </w:t>
      </w:r>
      <w:r>
        <w:rPr>
          <w:sz w:val="20"/>
        </w:rPr>
        <w:t>Targets</w:t>
      </w:r>
      <w:r>
        <w:rPr>
          <w:spacing w:val="-3"/>
          <w:sz w:val="20"/>
        </w:rPr>
        <w:t> </w:t>
      </w:r>
      <w:r>
        <w:rPr>
          <w:sz w:val="20"/>
        </w:rPr>
        <w:t>for</w:t>
      </w:r>
      <w:r>
        <w:rPr>
          <w:spacing w:val="-2"/>
          <w:sz w:val="20"/>
        </w:rPr>
        <w:t> </w:t>
      </w:r>
      <w:r>
        <w:rPr>
          <w:sz w:val="20"/>
        </w:rPr>
        <w:t>Novel</w:t>
      </w:r>
      <w:r>
        <w:rPr>
          <w:spacing w:val="-2"/>
          <w:sz w:val="20"/>
        </w:rPr>
        <w:t> </w:t>
      </w:r>
      <w:r>
        <w:rPr>
          <w:sz w:val="20"/>
        </w:rPr>
        <w:t>Therapies</w:t>
      </w:r>
      <w:r>
        <w:rPr>
          <w:spacing w:val="-4"/>
          <w:sz w:val="20"/>
        </w:rPr>
        <w:t> </w:t>
      </w:r>
      <w:r>
        <w:rPr>
          <w:sz w:val="20"/>
        </w:rPr>
        <w:t>//</w:t>
      </w:r>
      <w:r>
        <w:rPr>
          <w:spacing w:val="-2"/>
          <w:sz w:val="20"/>
        </w:rPr>
        <w:t> </w:t>
      </w:r>
      <w:r>
        <w:rPr>
          <w:sz w:val="20"/>
        </w:rPr>
        <w:t>Drugs.</w:t>
      </w:r>
      <w:r>
        <w:rPr>
          <w:spacing w:val="-2"/>
          <w:sz w:val="20"/>
        </w:rPr>
        <w:t> </w:t>
      </w:r>
      <w:r>
        <w:rPr>
          <w:sz w:val="20"/>
        </w:rPr>
        <w:t>2017.</w:t>
      </w:r>
      <w:r>
        <w:rPr>
          <w:spacing w:val="-4"/>
          <w:sz w:val="20"/>
        </w:rPr>
        <w:t> </w:t>
      </w:r>
      <w:r>
        <w:rPr>
          <w:sz w:val="20"/>
        </w:rPr>
        <w:t>77.</w:t>
      </w:r>
      <w:r>
        <w:rPr>
          <w:spacing w:val="-5"/>
          <w:sz w:val="20"/>
        </w:rPr>
        <w:t> </w:t>
      </w:r>
      <w:r>
        <w:rPr>
          <w:sz w:val="20"/>
        </w:rPr>
        <w:t>№</w:t>
      </w:r>
      <w:r>
        <w:rPr>
          <w:spacing w:val="-3"/>
          <w:sz w:val="20"/>
        </w:rPr>
        <w:t> </w:t>
      </w:r>
      <w:r>
        <w:rPr>
          <w:sz w:val="20"/>
        </w:rPr>
        <w:t>18.</w:t>
      </w:r>
      <w:r>
        <w:rPr>
          <w:spacing w:val="-5"/>
          <w:sz w:val="20"/>
        </w:rPr>
        <w:t> </w:t>
      </w:r>
      <w:r>
        <w:rPr>
          <w:sz w:val="20"/>
        </w:rPr>
        <w:t>С.</w:t>
      </w:r>
      <w:r>
        <w:rPr>
          <w:spacing w:val="-1"/>
          <w:sz w:val="20"/>
        </w:rPr>
        <w:t> </w:t>
      </w:r>
      <w:r>
        <w:rPr>
          <w:sz w:val="20"/>
        </w:rPr>
        <w:t>1935–1966.</w:t>
      </w:r>
    </w:p>
    <w:p>
      <w:pPr>
        <w:pStyle w:val="ListParagraph"/>
        <w:numPr>
          <w:ilvl w:val="0"/>
          <w:numId w:val="42"/>
        </w:numPr>
        <w:tabs>
          <w:tab w:pos="888" w:val="left" w:leader="none"/>
        </w:tabs>
        <w:spacing w:line="240" w:lineRule="auto" w:before="0" w:after="0"/>
        <w:ind w:left="887" w:right="0" w:hanging="567"/>
        <w:jc w:val="both"/>
        <w:rPr>
          <w:sz w:val="20"/>
        </w:rPr>
      </w:pPr>
      <w:r>
        <w:rPr>
          <w:sz w:val="20"/>
        </w:rPr>
        <w:t>European Commission. Novel coronavirus 2019-nCoV URL:</w:t>
      </w:r>
      <w:r>
        <w:rPr>
          <w:spacing w:val="-13"/>
          <w:sz w:val="20"/>
        </w:rPr>
        <w:t> </w:t>
      </w:r>
      <w:r>
        <w:rPr>
          <w:sz w:val="20"/>
        </w:rPr>
        <w:t>https://ec.europa.eu/health/coronavirus_en</w:t>
      </w:r>
    </w:p>
    <w:p>
      <w:pPr>
        <w:pStyle w:val="ListParagraph"/>
        <w:numPr>
          <w:ilvl w:val="0"/>
          <w:numId w:val="42"/>
        </w:numPr>
        <w:tabs>
          <w:tab w:pos="888" w:val="left" w:leader="none"/>
        </w:tabs>
        <w:spacing w:line="240" w:lineRule="auto" w:before="1" w:after="0"/>
        <w:ind w:left="887" w:right="675" w:hanging="567"/>
        <w:jc w:val="both"/>
        <w:rPr>
          <w:sz w:val="20"/>
        </w:rPr>
      </w:pPr>
      <w:r>
        <w:rPr>
          <w:sz w:val="20"/>
        </w:rPr>
        <w:t>Fan HH. et al. Repurposing of clinically approved drugs for treatment of coronavirus disease 2019 in a 2019-novel coronavirus (2019-nCoV) related coronavirus model. Chin Med J (Engl). 2020 Mar 6. doi: 10.1097/CM9.0000000000000797</w:t>
      </w:r>
    </w:p>
    <w:p>
      <w:pPr>
        <w:pStyle w:val="ListParagraph"/>
        <w:numPr>
          <w:ilvl w:val="0"/>
          <w:numId w:val="42"/>
        </w:numPr>
        <w:tabs>
          <w:tab w:pos="888" w:val="left" w:leader="none"/>
        </w:tabs>
        <w:spacing w:line="240" w:lineRule="auto" w:before="0" w:after="0"/>
        <w:ind w:left="887" w:right="678" w:hanging="567"/>
        <w:jc w:val="both"/>
        <w:rPr>
          <w:sz w:val="20"/>
        </w:rPr>
      </w:pPr>
      <w:r>
        <w:rPr>
          <w:sz w:val="20"/>
        </w:rPr>
        <w:t>Fang Y. et al. Sensitivity of Chest CT for COVID-19: Comparison to RT-PCR [published online ahead of print, 2020 Feb 19] // Radiology. 2020. 200432. Doi:</w:t>
      </w:r>
      <w:r>
        <w:rPr>
          <w:spacing w:val="-4"/>
          <w:sz w:val="20"/>
        </w:rPr>
        <w:t> </w:t>
      </w:r>
      <w:r>
        <w:rPr>
          <w:sz w:val="20"/>
        </w:rPr>
        <w:t>10.1148/radiol.2020200432.</w:t>
      </w:r>
    </w:p>
    <w:p>
      <w:pPr>
        <w:pStyle w:val="ListParagraph"/>
        <w:numPr>
          <w:ilvl w:val="0"/>
          <w:numId w:val="42"/>
        </w:numPr>
        <w:tabs>
          <w:tab w:pos="888" w:val="left" w:leader="none"/>
        </w:tabs>
        <w:spacing w:line="240" w:lineRule="auto" w:before="0" w:after="0"/>
        <w:ind w:left="887" w:right="676" w:hanging="567"/>
        <w:jc w:val="both"/>
        <w:rPr>
          <w:sz w:val="20"/>
        </w:rPr>
      </w:pPr>
      <w:r>
        <w:rPr>
          <w:sz w:val="20"/>
        </w:rPr>
        <w:t>FDA. Novel coronavirus (2019-nCoV) URL: https://</w:t>
      </w:r>
      <w:hyperlink r:id="rId25">
        <w:r>
          <w:rPr>
            <w:sz w:val="20"/>
          </w:rPr>
          <w:t>www.fda.gov/emergency-preparedness-</w:t>
        </w:r>
      </w:hyperlink>
      <w:r>
        <w:rPr>
          <w:sz w:val="20"/>
        </w:rPr>
        <w:t> andresponse/mcm-issues/novel-coronavirus-2019-ncov</w:t>
      </w:r>
    </w:p>
    <w:p>
      <w:pPr>
        <w:pStyle w:val="ListParagraph"/>
        <w:numPr>
          <w:ilvl w:val="0"/>
          <w:numId w:val="42"/>
        </w:numPr>
        <w:tabs>
          <w:tab w:pos="888" w:val="left" w:leader="none"/>
        </w:tabs>
        <w:spacing w:line="240" w:lineRule="auto" w:before="1" w:after="0"/>
        <w:ind w:left="887" w:right="680" w:hanging="567"/>
        <w:jc w:val="both"/>
        <w:rPr>
          <w:sz w:val="20"/>
        </w:rPr>
      </w:pPr>
      <w:r>
        <w:rPr>
          <w:sz w:val="20"/>
        </w:rPr>
        <w:t>Federal Ministry of Health. Current information on the coronavirus URL:</w:t>
      </w:r>
      <w:hyperlink r:id="rId26">
        <w:r>
          <w:rPr>
            <w:sz w:val="20"/>
          </w:rPr>
          <w:t> https://www.bundesgesundheitsministerium.de/en/en/press/2020/coronavirus.htm</w:t>
        </w:r>
      </w:hyperlink>
      <w:hyperlink r:id="rId26">
        <w:r>
          <w:rPr>
            <w:sz w:val="20"/>
          </w:rPr>
          <w:t>l</w:t>
        </w:r>
      </w:hyperlink>
    </w:p>
    <w:p>
      <w:pPr>
        <w:pStyle w:val="ListParagraph"/>
        <w:numPr>
          <w:ilvl w:val="0"/>
          <w:numId w:val="42"/>
        </w:numPr>
        <w:tabs>
          <w:tab w:pos="887" w:val="left" w:leader="none"/>
        </w:tabs>
        <w:spacing w:line="240" w:lineRule="auto" w:before="0" w:after="0"/>
        <w:ind w:left="886" w:right="678" w:hanging="567"/>
        <w:jc w:val="both"/>
        <w:rPr>
          <w:sz w:val="20"/>
        </w:rPr>
      </w:pPr>
      <w:r>
        <w:rPr>
          <w:sz w:val="20"/>
        </w:rPr>
        <w:t>Franquet T. Imaging of pulmonary viral pneumonia // Radiology. 2011. V. 260. No. 1. P. 18–39. Doi: 10.1148/radiol.11092149.</w:t>
      </w:r>
    </w:p>
    <w:p>
      <w:pPr>
        <w:pStyle w:val="ListParagraph"/>
        <w:numPr>
          <w:ilvl w:val="0"/>
          <w:numId w:val="42"/>
        </w:numPr>
        <w:tabs>
          <w:tab w:pos="887" w:val="left" w:leader="none"/>
        </w:tabs>
        <w:spacing w:line="240" w:lineRule="auto" w:before="0" w:after="0"/>
        <w:ind w:left="886" w:right="677" w:hanging="567"/>
        <w:jc w:val="both"/>
        <w:rPr>
          <w:sz w:val="20"/>
        </w:rPr>
      </w:pPr>
      <w:r>
        <w:rPr>
          <w:sz w:val="20"/>
        </w:rPr>
        <w:t>Gao, J., Tian, Z., &amp; Yang, X. Breakthrough: Chloroquine phosphate has shown apparent efficacy in treatment of COVID-19 associated pneumonia in clinical studies. BioScience Trends</w:t>
      </w:r>
      <w:r>
        <w:rPr>
          <w:spacing w:val="-12"/>
          <w:sz w:val="20"/>
        </w:rPr>
        <w:t> </w:t>
      </w:r>
      <w:r>
        <w:rPr>
          <w:sz w:val="20"/>
        </w:rPr>
        <w:t>2020.</w:t>
      </w:r>
    </w:p>
    <w:p>
      <w:pPr>
        <w:pStyle w:val="ListParagraph"/>
        <w:numPr>
          <w:ilvl w:val="0"/>
          <w:numId w:val="42"/>
        </w:numPr>
        <w:tabs>
          <w:tab w:pos="887" w:val="left" w:leader="none"/>
        </w:tabs>
        <w:spacing w:line="240" w:lineRule="auto" w:before="0" w:after="0"/>
        <w:ind w:left="886" w:right="677" w:hanging="567"/>
        <w:jc w:val="both"/>
        <w:rPr>
          <w:sz w:val="20"/>
        </w:rPr>
      </w:pPr>
      <w:r>
        <w:rPr>
          <w:sz w:val="20"/>
        </w:rPr>
        <w:t>Gautret</w:t>
      </w:r>
      <w:r>
        <w:rPr>
          <w:spacing w:val="-15"/>
          <w:sz w:val="20"/>
        </w:rPr>
        <w:t> </w:t>
      </w:r>
      <w:r>
        <w:rPr>
          <w:sz w:val="20"/>
        </w:rPr>
        <w:t>F.,</w:t>
      </w:r>
      <w:r>
        <w:rPr>
          <w:spacing w:val="-14"/>
          <w:sz w:val="20"/>
        </w:rPr>
        <w:t> </w:t>
      </w:r>
      <w:r>
        <w:rPr>
          <w:sz w:val="20"/>
        </w:rPr>
        <w:t>Lagier</w:t>
      </w:r>
      <w:r>
        <w:rPr>
          <w:spacing w:val="-14"/>
          <w:sz w:val="20"/>
        </w:rPr>
        <w:t> </w:t>
      </w:r>
      <w:r>
        <w:rPr>
          <w:sz w:val="20"/>
        </w:rPr>
        <w:t>J-C.,</w:t>
      </w:r>
      <w:r>
        <w:rPr>
          <w:spacing w:val="-15"/>
          <w:sz w:val="20"/>
        </w:rPr>
        <w:t> </w:t>
      </w:r>
      <w:r>
        <w:rPr>
          <w:sz w:val="20"/>
        </w:rPr>
        <w:t>Parola</w:t>
      </w:r>
      <w:r>
        <w:rPr>
          <w:spacing w:val="-17"/>
          <w:sz w:val="20"/>
        </w:rPr>
        <w:t> </w:t>
      </w:r>
      <w:r>
        <w:rPr>
          <w:sz w:val="20"/>
        </w:rPr>
        <w:t>P.</w:t>
      </w:r>
      <w:r>
        <w:rPr>
          <w:spacing w:val="-14"/>
          <w:sz w:val="20"/>
        </w:rPr>
        <w:t> </w:t>
      </w:r>
      <w:r>
        <w:rPr>
          <w:sz w:val="20"/>
        </w:rPr>
        <w:t>et</w:t>
      </w:r>
      <w:r>
        <w:rPr>
          <w:spacing w:val="-15"/>
          <w:sz w:val="20"/>
        </w:rPr>
        <w:t> </w:t>
      </w:r>
      <w:r>
        <w:rPr>
          <w:sz w:val="20"/>
        </w:rPr>
        <w:t>al.</w:t>
      </w:r>
      <w:r>
        <w:rPr>
          <w:spacing w:val="-14"/>
          <w:sz w:val="20"/>
        </w:rPr>
        <w:t> </w:t>
      </w:r>
      <w:r>
        <w:rPr>
          <w:sz w:val="20"/>
        </w:rPr>
        <w:t>Hydroxychloroquine</w:t>
      </w:r>
      <w:r>
        <w:rPr>
          <w:spacing w:val="-15"/>
          <w:sz w:val="20"/>
        </w:rPr>
        <w:t> </w:t>
      </w:r>
      <w:r>
        <w:rPr>
          <w:sz w:val="20"/>
        </w:rPr>
        <w:t>and</w:t>
      </w:r>
      <w:r>
        <w:rPr>
          <w:spacing w:val="-14"/>
          <w:sz w:val="20"/>
        </w:rPr>
        <w:t> </w:t>
      </w:r>
      <w:r>
        <w:rPr>
          <w:sz w:val="20"/>
        </w:rPr>
        <w:t>azithromycin</w:t>
      </w:r>
      <w:r>
        <w:rPr>
          <w:spacing w:val="-16"/>
          <w:sz w:val="20"/>
        </w:rPr>
        <w:t> </w:t>
      </w:r>
      <w:r>
        <w:rPr>
          <w:sz w:val="20"/>
        </w:rPr>
        <w:t>as</w:t>
      </w:r>
      <w:r>
        <w:rPr>
          <w:spacing w:val="-16"/>
          <w:sz w:val="20"/>
        </w:rPr>
        <w:t> </w:t>
      </w:r>
      <w:r>
        <w:rPr>
          <w:sz w:val="20"/>
        </w:rPr>
        <w:t>a</w:t>
      </w:r>
      <w:r>
        <w:rPr>
          <w:spacing w:val="-15"/>
          <w:sz w:val="20"/>
        </w:rPr>
        <w:t> </w:t>
      </w:r>
      <w:r>
        <w:rPr>
          <w:sz w:val="20"/>
        </w:rPr>
        <w:t>treatment</w:t>
      </w:r>
      <w:r>
        <w:rPr>
          <w:spacing w:val="-13"/>
          <w:sz w:val="20"/>
        </w:rPr>
        <w:t> </w:t>
      </w:r>
      <w:r>
        <w:rPr>
          <w:sz w:val="20"/>
        </w:rPr>
        <w:t>of</w:t>
      </w:r>
      <w:r>
        <w:rPr>
          <w:spacing w:val="-16"/>
          <w:sz w:val="20"/>
        </w:rPr>
        <w:t> </w:t>
      </w:r>
      <w:r>
        <w:rPr>
          <w:sz w:val="20"/>
        </w:rPr>
        <w:t>COVID19: results of an openlabel non-randomized clinical trial. International Journal of Antimicrobial Agents. In Press 17 March 2020 –DOI :</w:t>
      </w:r>
      <w:r>
        <w:rPr>
          <w:spacing w:val="-3"/>
          <w:sz w:val="20"/>
        </w:rPr>
        <w:t> </w:t>
      </w:r>
      <w:r>
        <w:rPr>
          <w:sz w:val="20"/>
        </w:rPr>
        <w:t>10.1016/j.ijantimicag.2020.105949</w:t>
      </w:r>
    </w:p>
    <w:p>
      <w:pPr>
        <w:pStyle w:val="ListParagraph"/>
        <w:numPr>
          <w:ilvl w:val="0"/>
          <w:numId w:val="42"/>
        </w:numPr>
        <w:tabs>
          <w:tab w:pos="887" w:val="left" w:leader="none"/>
        </w:tabs>
        <w:spacing w:line="229" w:lineRule="exact" w:before="0" w:after="0"/>
        <w:ind w:left="886" w:right="0" w:hanging="567"/>
        <w:jc w:val="both"/>
        <w:rPr>
          <w:sz w:val="20"/>
        </w:rPr>
      </w:pPr>
      <w:r>
        <w:rPr>
          <w:sz w:val="20"/>
        </w:rPr>
        <w:t>Gorbalenya</w:t>
      </w:r>
      <w:r>
        <w:rPr>
          <w:spacing w:val="-5"/>
          <w:sz w:val="20"/>
        </w:rPr>
        <w:t> </w:t>
      </w:r>
      <w:r>
        <w:rPr>
          <w:sz w:val="20"/>
        </w:rPr>
        <w:t>A.E.et</w:t>
      </w:r>
      <w:r>
        <w:rPr>
          <w:spacing w:val="-5"/>
          <w:sz w:val="20"/>
        </w:rPr>
        <w:t> </w:t>
      </w:r>
      <w:r>
        <w:rPr>
          <w:sz w:val="20"/>
        </w:rPr>
        <w:t>al.</w:t>
      </w:r>
      <w:r>
        <w:rPr>
          <w:spacing w:val="-4"/>
          <w:sz w:val="20"/>
        </w:rPr>
        <w:t> </w:t>
      </w:r>
      <w:r>
        <w:rPr>
          <w:sz w:val="20"/>
        </w:rPr>
        <w:t>Severe</w:t>
      </w:r>
      <w:r>
        <w:rPr>
          <w:spacing w:val="-4"/>
          <w:sz w:val="20"/>
        </w:rPr>
        <w:t> </w:t>
      </w:r>
      <w:r>
        <w:rPr>
          <w:sz w:val="20"/>
        </w:rPr>
        <w:t>acute</w:t>
      </w:r>
      <w:r>
        <w:rPr>
          <w:spacing w:val="-4"/>
          <w:sz w:val="20"/>
        </w:rPr>
        <w:t> </w:t>
      </w:r>
      <w:r>
        <w:rPr>
          <w:sz w:val="20"/>
        </w:rPr>
        <w:t>respiratory</w:t>
      </w:r>
      <w:r>
        <w:rPr>
          <w:spacing w:val="-8"/>
          <w:sz w:val="20"/>
        </w:rPr>
        <w:t> </w:t>
      </w:r>
      <w:r>
        <w:rPr>
          <w:sz w:val="20"/>
        </w:rPr>
        <w:t>syndrome-related</w:t>
      </w:r>
      <w:r>
        <w:rPr>
          <w:spacing w:val="-3"/>
          <w:sz w:val="20"/>
        </w:rPr>
        <w:t> </w:t>
      </w:r>
      <w:r>
        <w:rPr>
          <w:sz w:val="20"/>
        </w:rPr>
        <w:t>coronavirus:</w:t>
      </w:r>
      <w:r>
        <w:rPr>
          <w:spacing w:val="-5"/>
          <w:sz w:val="20"/>
        </w:rPr>
        <w:t> </w:t>
      </w:r>
      <w:r>
        <w:rPr>
          <w:sz w:val="20"/>
        </w:rPr>
        <w:t>The</w:t>
      </w:r>
      <w:r>
        <w:rPr>
          <w:spacing w:val="-4"/>
          <w:sz w:val="20"/>
        </w:rPr>
        <w:t> </w:t>
      </w:r>
      <w:r>
        <w:rPr>
          <w:sz w:val="20"/>
        </w:rPr>
        <w:t>species</w:t>
      </w:r>
      <w:r>
        <w:rPr>
          <w:spacing w:val="-6"/>
          <w:sz w:val="20"/>
        </w:rPr>
        <w:t> </w:t>
      </w:r>
      <w:r>
        <w:rPr>
          <w:sz w:val="20"/>
        </w:rPr>
        <w:t>and</w:t>
      </w:r>
      <w:r>
        <w:rPr>
          <w:spacing w:val="-3"/>
          <w:sz w:val="20"/>
        </w:rPr>
        <w:t> </w:t>
      </w:r>
      <w:r>
        <w:rPr>
          <w:sz w:val="20"/>
        </w:rPr>
        <w:t>its</w:t>
      </w:r>
      <w:r>
        <w:rPr>
          <w:spacing w:val="-5"/>
          <w:sz w:val="20"/>
        </w:rPr>
        <w:t> </w:t>
      </w:r>
      <w:r>
        <w:rPr>
          <w:sz w:val="20"/>
        </w:rPr>
        <w:t>viruses</w:t>
      </w:r>
    </w:p>
    <w:p>
      <w:pPr>
        <w:spacing w:line="229" w:lineRule="exact" w:before="1"/>
        <w:ind w:left="886" w:right="0" w:firstLine="0"/>
        <w:jc w:val="both"/>
        <w:rPr>
          <w:sz w:val="20"/>
        </w:rPr>
      </w:pPr>
      <w:r>
        <w:rPr>
          <w:sz w:val="20"/>
        </w:rPr>
        <w:t>– a statement of the Coronavirus Study Group, 2020. doi: https://doi.org/10.1101/2020.02.07.937862</w:t>
      </w:r>
    </w:p>
    <w:p>
      <w:pPr>
        <w:pStyle w:val="ListParagraph"/>
        <w:numPr>
          <w:ilvl w:val="0"/>
          <w:numId w:val="42"/>
        </w:numPr>
        <w:tabs>
          <w:tab w:pos="888" w:val="left" w:leader="none"/>
        </w:tabs>
        <w:spacing w:line="240" w:lineRule="auto" w:before="0" w:after="0"/>
        <w:ind w:left="888" w:right="677" w:hanging="567"/>
        <w:jc w:val="both"/>
        <w:rPr>
          <w:sz w:val="20"/>
        </w:rPr>
      </w:pPr>
      <w:r>
        <w:rPr>
          <w:sz w:val="20"/>
        </w:rPr>
        <w:t>Halyabar O. et al. </w:t>
      </w:r>
      <w:r>
        <w:rPr>
          <w:color w:val="1B2F51"/>
          <w:sz w:val="20"/>
        </w:rPr>
        <w:t>Calm in the midst of cytokine storm: a collaborative approach to the diagnosis and treatment of hemophagocytic lymphohistiocytosis and macrophage activation syndrome,</w:t>
      </w:r>
      <w:r>
        <w:rPr>
          <w:color w:val="24426E"/>
          <w:sz w:val="20"/>
        </w:rPr>
        <w:t> </w:t>
      </w:r>
      <w:hyperlink r:id="rId27">
        <w:r>
          <w:rPr>
            <w:i/>
            <w:color w:val="24426E"/>
            <w:sz w:val="20"/>
            <w:u w:val="single" w:color="24426E"/>
          </w:rPr>
          <w:t>Pediatric</w:t>
        </w:r>
      </w:hyperlink>
      <w:hyperlink r:id="rId27">
        <w:r>
          <w:rPr>
            <w:i/>
            <w:color w:val="24426E"/>
            <w:sz w:val="20"/>
            <w:u w:val="single" w:color="24426E"/>
          </w:rPr>
          <w:t> </w:t>
        </w:r>
        <w:r>
          <w:rPr>
            <w:i/>
            <w:color w:val="24426E"/>
            <w:sz w:val="20"/>
            <w:u w:val="single" w:color="24426E"/>
          </w:rPr>
          <w:t>Rheumatology</w:t>
        </w:r>
        <w:r>
          <w:rPr>
            <w:sz w:val="20"/>
          </w:rPr>
          <w:t>,</w:t>
        </w:r>
      </w:hyperlink>
      <w:hyperlink r:id="rId28">
        <w:r>
          <w:rPr>
            <w:color w:val="0562C1"/>
            <w:spacing w:val="-1"/>
            <w:sz w:val="20"/>
          </w:rPr>
          <w:t> </w:t>
        </w:r>
        <w:r>
          <w:rPr>
            <w:color w:val="0562C1"/>
            <w:sz w:val="20"/>
            <w:u w:val="single" w:color="0562C1"/>
          </w:rPr>
          <w:t>https://ped-rheum.biomedcentral.com/articles/10.1186/s12969-019-0309-6</w:t>
        </w:r>
      </w:hyperlink>
    </w:p>
    <w:p>
      <w:pPr>
        <w:pStyle w:val="ListParagraph"/>
        <w:numPr>
          <w:ilvl w:val="0"/>
          <w:numId w:val="42"/>
        </w:numPr>
        <w:tabs>
          <w:tab w:pos="888" w:val="left" w:leader="none"/>
        </w:tabs>
        <w:spacing w:line="240" w:lineRule="auto" w:before="0" w:after="0"/>
        <w:ind w:left="887" w:right="676" w:hanging="567"/>
        <w:jc w:val="both"/>
        <w:rPr>
          <w:sz w:val="20"/>
        </w:rPr>
      </w:pPr>
      <w:r>
        <w:rPr>
          <w:sz w:val="20"/>
        </w:rPr>
        <w:t>Hart B.J. et al. Interferon-β and mycophenolic acid are potent inhibitors of Middle East respiratory syndrome</w:t>
      </w:r>
      <w:r>
        <w:rPr>
          <w:spacing w:val="-8"/>
          <w:sz w:val="20"/>
        </w:rPr>
        <w:t> </w:t>
      </w:r>
      <w:r>
        <w:rPr>
          <w:sz w:val="20"/>
        </w:rPr>
        <w:t>coronavirus</w:t>
      </w:r>
      <w:r>
        <w:rPr>
          <w:spacing w:val="-9"/>
          <w:sz w:val="20"/>
        </w:rPr>
        <w:t> </w:t>
      </w:r>
      <w:r>
        <w:rPr>
          <w:sz w:val="20"/>
        </w:rPr>
        <w:t>in</w:t>
      </w:r>
      <w:r>
        <w:rPr>
          <w:spacing w:val="-8"/>
          <w:sz w:val="20"/>
        </w:rPr>
        <w:t> </w:t>
      </w:r>
      <w:r>
        <w:rPr>
          <w:sz w:val="20"/>
        </w:rPr>
        <w:t>cell-based</w:t>
      </w:r>
      <w:r>
        <w:rPr>
          <w:spacing w:val="-7"/>
          <w:sz w:val="20"/>
        </w:rPr>
        <w:t> </w:t>
      </w:r>
      <w:r>
        <w:rPr>
          <w:sz w:val="20"/>
        </w:rPr>
        <w:t>assays</w:t>
      </w:r>
      <w:r>
        <w:rPr>
          <w:spacing w:val="-8"/>
          <w:sz w:val="20"/>
        </w:rPr>
        <w:t> </w:t>
      </w:r>
      <w:r>
        <w:rPr>
          <w:sz w:val="20"/>
        </w:rPr>
        <w:t>//</w:t>
      </w:r>
      <w:r>
        <w:rPr>
          <w:spacing w:val="-8"/>
          <w:sz w:val="20"/>
        </w:rPr>
        <w:t> </w:t>
      </w:r>
      <w:r>
        <w:rPr>
          <w:sz w:val="20"/>
        </w:rPr>
        <w:t>The</w:t>
      </w:r>
      <w:r>
        <w:rPr>
          <w:spacing w:val="-6"/>
          <w:sz w:val="20"/>
        </w:rPr>
        <w:t> </w:t>
      </w:r>
      <w:r>
        <w:rPr>
          <w:sz w:val="20"/>
        </w:rPr>
        <w:t>Journal</w:t>
      </w:r>
      <w:r>
        <w:rPr>
          <w:spacing w:val="-8"/>
          <w:sz w:val="20"/>
        </w:rPr>
        <w:t> </w:t>
      </w:r>
      <w:r>
        <w:rPr>
          <w:sz w:val="20"/>
        </w:rPr>
        <w:t>of</w:t>
      </w:r>
      <w:r>
        <w:rPr>
          <w:spacing w:val="-11"/>
          <w:sz w:val="20"/>
        </w:rPr>
        <w:t> </w:t>
      </w:r>
      <w:r>
        <w:rPr>
          <w:sz w:val="20"/>
        </w:rPr>
        <w:t>general</w:t>
      </w:r>
      <w:r>
        <w:rPr>
          <w:spacing w:val="-8"/>
          <w:sz w:val="20"/>
        </w:rPr>
        <w:t> </w:t>
      </w:r>
      <w:r>
        <w:rPr>
          <w:sz w:val="20"/>
        </w:rPr>
        <w:t>virology.</w:t>
      </w:r>
      <w:r>
        <w:rPr>
          <w:spacing w:val="-6"/>
          <w:sz w:val="20"/>
        </w:rPr>
        <w:t> </w:t>
      </w:r>
      <w:r>
        <w:rPr>
          <w:sz w:val="20"/>
        </w:rPr>
        <w:t>2014.</w:t>
      </w:r>
      <w:r>
        <w:rPr>
          <w:spacing w:val="-10"/>
          <w:sz w:val="20"/>
        </w:rPr>
        <w:t> </w:t>
      </w:r>
      <w:r>
        <w:rPr>
          <w:sz w:val="20"/>
        </w:rPr>
        <w:t>95.</w:t>
      </w:r>
      <w:r>
        <w:rPr>
          <w:spacing w:val="-11"/>
          <w:sz w:val="20"/>
        </w:rPr>
        <w:t> </w:t>
      </w:r>
      <w:r>
        <w:rPr>
          <w:sz w:val="20"/>
        </w:rPr>
        <w:t>Pt</w:t>
      </w:r>
      <w:r>
        <w:rPr>
          <w:spacing w:val="-10"/>
          <w:sz w:val="20"/>
        </w:rPr>
        <w:t> </w:t>
      </w:r>
      <w:r>
        <w:rPr>
          <w:sz w:val="20"/>
        </w:rPr>
        <w:t>3.</w:t>
      </w:r>
      <w:r>
        <w:rPr>
          <w:spacing w:val="-6"/>
          <w:sz w:val="20"/>
        </w:rPr>
        <w:t> </w:t>
      </w:r>
      <w:r>
        <w:rPr>
          <w:sz w:val="20"/>
        </w:rPr>
        <w:t>С.</w:t>
      </w:r>
      <w:r>
        <w:rPr>
          <w:spacing w:val="-7"/>
          <w:sz w:val="20"/>
        </w:rPr>
        <w:t> </w:t>
      </w:r>
      <w:r>
        <w:rPr>
          <w:sz w:val="20"/>
        </w:rPr>
        <w:t>571–577.</w:t>
      </w:r>
    </w:p>
    <w:p>
      <w:pPr>
        <w:pStyle w:val="ListParagraph"/>
        <w:numPr>
          <w:ilvl w:val="0"/>
          <w:numId w:val="42"/>
        </w:numPr>
        <w:tabs>
          <w:tab w:pos="888" w:val="left" w:leader="none"/>
        </w:tabs>
        <w:spacing w:line="240" w:lineRule="auto" w:before="0" w:after="0"/>
        <w:ind w:left="887" w:right="678" w:hanging="567"/>
        <w:jc w:val="both"/>
        <w:rPr>
          <w:sz w:val="20"/>
        </w:rPr>
      </w:pPr>
      <w:r>
        <w:rPr>
          <w:sz w:val="20"/>
        </w:rPr>
        <w:t>Henderson L.A. et al. On the Alert for Cytokine Storm: Immunopathology in COVID</w:t>
      </w:r>
      <w:r>
        <w:rPr>
          <w:rFonts w:ascii="Cambria Math" w:hAnsi="Cambria Math"/>
          <w:sz w:val="20"/>
        </w:rPr>
        <w:t>‐</w:t>
      </w:r>
      <w:r>
        <w:rPr>
          <w:sz w:val="20"/>
        </w:rPr>
        <w:t>19 Arthritis &amp; Rheumatology Vol. 0, No. 0, Month 2020, pp 1–5 DOI</w:t>
      </w:r>
      <w:r>
        <w:rPr>
          <w:spacing w:val="-6"/>
          <w:sz w:val="20"/>
        </w:rPr>
        <w:t> </w:t>
      </w:r>
      <w:r>
        <w:rPr>
          <w:sz w:val="20"/>
        </w:rPr>
        <w:t>10.1002/art.41285</w:t>
      </w:r>
    </w:p>
    <w:p>
      <w:pPr>
        <w:pStyle w:val="ListParagraph"/>
        <w:numPr>
          <w:ilvl w:val="0"/>
          <w:numId w:val="42"/>
        </w:numPr>
        <w:tabs>
          <w:tab w:pos="887" w:val="left" w:leader="none"/>
          <w:tab w:pos="888" w:val="left" w:leader="none"/>
        </w:tabs>
        <w:spacing w:line="240" w:lineRule="auto" w:before="0" w:after="0"/>
        <w:ind w:left="887" w:right="1912" w:hanging="567"/>
        <w:jc w:val="left"/>
        <w:rPr>
          <w:sz w:val="20"/>
        </w:rPr>
      </w:pPr>
      <w:r>
        <w:rPr>
          <w:w w:val="95"/>
          <w:sz w:val="20"/>
        </w:rPr>
        <w:t>https://grls.rosminzdrav.ru/Grls_View_v2.aspx?routingGuid=4a3c02bc-a256-48f2-90a8- </w:t>
      </w:r>
      <w:r>
        <w:rPr>
          <w:sz w:val="20"/>
        </w:rPr>
        <w:t>14b48b7d197c&amp;t=</w:t>
      </w:r>
    </w:p>
    <w:p>
      <w:pPr>
        <w:pStyle w:val="ListParagraph"/>
        <w:numPr>
          <w:ilvl w:val="0"/>
          <w:numId w:val="42"/>
        </w:numPr>
        <w:tabs>
          <w:tab w:pos="887" w:val="left" w:leader="none"/>
          <w:tab w:pos="888" w:val="left" w:leader="none"/>
        </w:tabs>
        <w:spacing w:line="240" w:lineRule="auto" w:before="0" w:after="0"/>
        <w:ind w:left="887" w:right="0" w:hanging="567"/>
        <w:jc w:val="left"/>
        <w:rPr>
          <w:sz w:val="20"/>
        </w:rPr>
      </w:pPr>
      <w:hyperlink r:id="rId29">
        <w:r>
          <w:rPr>
            <w:sz w:val="20"/>
          </w:rPr>
          <w:t>https://www.vmeda.org/wp-content/uploads/2020/03/koronavirus-metod-rekomendaczii.pdf</w:t>
        </w:r>
      </w:hyperlink>
    </w:p>
    <w:p>
      <w:pPr>
        <w:pStyle w:val="ListParagraph"/>
        <w:numPr>
          <w:ilvl w:val="0"/>
          <w:numId w:val="42"/>
        </w:numPr>
        <w:tabs>
          <w:tab w:pos="888" w:val="left" w:leader="none"/>
        </w:tabs>
        <w:spacing w:line="240" w:lineRule="auto" w:before="0" w:after="0"/>
        <w:ind w:left="887" w:right="679" w:hanging="567"/>
        <w:jc w:val="both"/>
        <w:rPr>
          <w:sz w:val="20"/>
        </w:rPr>
      </w:pPr>
      <w:r>
        <w:rPr>
          <w:sz w:val="20"/>
        </w:rPr>
        <w:t>Huang C. et al. Cinical features of patients infected with 2019 novel coronavirus in Wuhan, China // Lancet. 2020 doi: 10.1016/S0140-6736(20)30183-5. [Epub ahead of</w:t>
      </w:r>
      <w:r>
        <w:rPr>
          <w:spacing w:val="-6"/>
          <w:sz w:val="20"/>
        </w:rPr>
        <w:t> </w:t>
      </w:r>
      <w:r>
        <w:rPr>
          <w:sz w:val="20"/>
        </w:rPr>
        <w:t>print]</w:t>
      </w:r>
    </w:p>
    <w:p>
      <w:pPr>
        <w:pStyle w:val="ListParagraph"/>
        <w:numPr>
          <w:ilvl w:val="0"/>
          <w:numId w:val="42"/>
        </w:numPr>
        <w:tabs>
          <w:tab w:pos="887" w:val="left" w:leader="none"/>
        </w:tabs>
        <w:spacing w:line="240" w:lineRule="auto" w:before="0" w:after="0"/>
        <w:ind w:left="886" w:right="675" w:hanging="567"/>
        <w:jc w:val="both"/>
        <w:rPr>
          <w:sz w:val="20"/>
        </w:rPr>
      </w:pPr>
      <w:r>
        <w:rPr>
          <w:color w:val="1F365C"/>
          <w:sz w:val="20"/>
        </w:rPr>
        <w:t>Infectious Diseases Society of America Guidelines on the Treatment and Management of Patients with COVID-19</w:t>
      </w:r>
      <w:r>
        <w:rPr>
          <w:sz w:val="20"/>
        </w:rPr>
        <w:t>. Published by IDSA,</w:t>
      </w:r>
      <w:r>
        <w:rPr>
          <w:color w:val="0562C1"/>
          <w:sz w:val="20"/>
        </w:rPr>
        <w:t> </w:t>
      </w:r>
      <w:hyperlink r:id="rId30">
        <w:r>
          <w:rPr>
            <w:color w:val="0562C1"/>
            <w:sz w:val="20"/>
            <w:u w:val="single" w:color="0562C1"/>
          </w:rPr>
          <w:t>https://www.idsociety.org/practice-guideline/covid-19-guideline-</w:t>
        </w:r>
      </w:hyperlink>
      <w:hyperlink r:id="rId30">
        <w:r>
          <w:rPr>
            <w:color w:val="0562C1"/>
            <w:sz w:val="20"/>
            <w:u w:val="single" w:color="0562C1"/>
          </w:rPr>
          <w:t> treatment-and-management/</w:t>
        </w:r>
        <w:r>
          <w:rPr>
            <w:color w:val="0562C1"/>
            <w:sz w:val="20"/>
          </w:rPr>
          <w:t> </w:t>
        </w:r>
      </w:hyperlink>
      <w:r>
        <w:rPr>
          <w:sz w:val="20"/>
        </w:rPr>
        <w:t>, [</w:t>
      </w:r>
      <w:r>
        <w:rPr>
          <w:color w:val="0562C1"/>
          <w:sz w:val="20"/>
          <w:u w:val="single" w:color="0562C1"/>
        </w:rPr>
        <w:t>COVID-19 Guideline, Part 1: Treatment and</w:t>
      </w:r>
      <w:r>
        <w:rPr>
          <w:color w:val="0562C1"/>
          <w:spacing w:val="-7"/>
          <w:sz w:val="20"/>
          <w:u w:val="single" w:color="0562C1"/>
        </w:rPr>
        <w:t> </w:t>
      </w:r>
      <w:r>
        <w:rPr>
          <w:color w:val="0562C1"/>
          <w:sz w:val="20"/>
          <w:u w:val="single" w:color="0562C1"/>
        </w:rPr>
        <w:t>Management</w:t>
      </w:r>
      <w:r>
        <w:rPr>
          <w:sz w:val="20"/>
        </w:rPr>
        <w:t>]</w:t>
      </w:r>
    </w:p>
    <w:p>
      <w:pPr>
        <w:pStyle w:val="ListParagraph"/>
        <w:numPr>
          <w:ilvl w:val="0"/>
          <w:numId w:val="42"/>
        </w:numPr>
        <w:tabs>
          <w:tab w:pos="888" w:val="left" w:leader="none"/>
        </w:tabs>
        <w:spacing w:line="240" w:lineRule="auto" w:before="0" w:after="0"/>
        <w:ind w:left="887" w:right="674" w:hanging="567"/>
        <w:jc w:val="both"/>
        <w:rPr>
          <w:sz w:val="20"/>
        </w:rPr>
      </w:pPr>
      <w:r>
        <w:rPr>
          <w:sz w:val="20"/>
        </w:rPr>
        <w:t>Inui S. et al. Chest CT Findings in Cases from the Cruise Ship “Diamond Princess” with Coronavirus Disease 2019 (COVID-19). Radiology: Cardiothoracic Imaging. 2020;2:e200110. doi:10.1148/ryct.2020200110.</w:t>
      </w:r>
    </w:p>
    <w:p>
      <w:pPr>
        <w:pStyle w:val="ListParagraph"/>
        <w:numPr>
          <w:ilvl w:val="0"/>
          <w:numId w:val="42"/>
        </w:numPr>
        <w:tabs>
          <w:tab w:pos="888" w:val="left" w:leader="none"/>
        </w:tabs>
        <w:spacing w:line="240" w:lineRule="auto" w:before="0" w:after="0"/>
        <w:ind w:left="887" w:right="675" w:hanging="567"/>
        <w:jc w:val="both"/>
        <w:rPr>
          <w:sz w:val="20"/>
        </w:rPr>
      </w:pPr>
      <w:r>
        <w:rPr>
          <w:sz w:val="20"/>
        </w:rPr>
        <w:t>Jeong S.Y. et al. MERS-CoV Infection in a Pregnant Woman in Korea. J Korean Med Sci. 2017 Oct;32(10):1717-1720. doi:</w:t>
      </w:r>
      <w:r>
        <w:rPr>
          <w:spacing w:val="-3"/>
          <w:sz w:val="20"/>
        </w:rPr>
        <w:t> </w:t>
      </w:r>
      <w:r>
        <w:rPr>
          <w:sz w:val="20"/>
        </w:rPr>
        <w:t>10.3346/jkms.2017.32.10.1717.</w:t>
      </w:r>
    </w:p>
    <w:p>
      <w:pPr>
        <w:pStyle w:val="ListParagraph"/>
        <w:numPr>
          <w:ilvl w:val="0"/>
          <w:numId w:val="42"/>
        </w:numPr>
        <w:tabs>
          <w:tab w:pos="888" w:val="left" w:leader="none"/>
        </w:tabs>
        <w:spacing w:line="240" w:lineRule="auto" w:before="0" w:after="0"/>
        <w:ind w:left="887" w:right="678" w:hanging="567"/>
        <w:jc w:val="both"/>
        <w:rPr>
          <w:sz w:val="20"/>
        </w:rPr>
      </w:pPr>
      <w:r>
        <w:rPr>
          <w:sz w:val="20"/>
        </w:rPr>
        <w:t>Jesú V. et al. Rationale for Prolonged Corticosteroid Treatment in the Acute Respiratory Distress Syndrome</w:t>
      </w:r>
      <w:r>
        <w:rPr>
          <w:spacing w:val="-4"/>
          <w:sz w:val="20"/>
        </w:rPr>
        <w:t> </w:t>
      </w:r>
      <w:r>
        <w:rPr>
          <w:sz w:val="20"/>
        </w:rPr>
        <w:t>Caused</w:t>
      </w:r>
      <w:r>
        <w:rPr>
          <w:spacing w:val="-9"/>
          <w:sz w:val="20"/>
        </w:rPr>
        <w:t> </w:t>
      </w:r>
      <w:r>
        <w:rPr>
          <w:sz w:val="20"/>
        </w:rPr>
        <w:t>by</w:t>
      </w:r>
      <w:r>
        <w:rPr>
          <w:spacing w:val="-7"/>
          <w:sz w:val="20"/>
        </w:rPr>
        <w:t> </w:t>
      </w:r>
      <w:r>
        <w:rPr>
          <w:sz w:val="20"/>
        </w:rPr>
        <w:t>Coronavirus</w:t>
      </w:r>
      <w:r>
        <w:rPr>
          <w:spacing w:val="-11"/>
          <w:sz w:val="20"/>
        </w:rPr>
        <w:t> </w:t>
      </w:r>
      <w:r>
        <w:rPr>
          <w:sz w:val="20"/>
        </w:rPr>
        <w:t>Disease</w:t>
      </w:r>
      <w:r>
        <w:rPr>
          <w:spacing w:val="-9"/>
          <w:sz w:val="20"/>
        </w:rPr>
        <w:t> </w:t>
      </w:r>
      <w:r>
        <w:rPr>
          <w:sz w:val="20"/>
        </w:rPr>
        <w:t>2019.</w:t>
      </w:r>
      <w:r>
        <w:rPr>
          <w:spacing w:val="-10"/>
          <w:sz w:val="20"/>
        </w:rPr>
        <w:t> </w:t>
      </w:r>
      <w:r>
        <w:rPr>
          <w:sz w:val="20"/>
        </w:rPr>
        <w:t>ritical</w:t>
      </w:r>
      <w:r>
        <w:rPr>
          <w:spacing w:val="-10"/>
          <w:sz w:val="20"/>
        </w:rPr>
        <w:t> </w:t>
      </w:r>
      <w:r>
        <w:rPr>
          <w:sz w:val="20"/>
        </w:rPr>
        <w:t>Care</w:t>
      </w:r>
      <w:r>
        <w:rPr>
          <w:spacing w:val="-12"/>
          <w:sz w:val="20"/>
        </w:rPr>
        <w:t> </w:t>
      </w:r>
      <w:r>
        <w:rPr>
          <w:sz w:val="20"/>
        </w:rPr>
        <w:t>Explorations:</w:t>
      </w:r>
      <w:r>
        <w:rPr>
          <w:spacing w:val="-1"/>
          <w:sz w:val="20"/>
        </w:rPr>
        <w:t> </w:t>
      </w:r>
      <w:hyperlink r:id="rId31">
        <w:r>
          <w:rPr>
            <w:sz w:val="20"/>
          </w:rPr>
          <w:t>April</w:t>
        </w:r>
        <w:r>
          <w:rPr>
            <w:spacing w:val="-10"/>
            <w:sz w:val="20"/>
          </w:rPr>
          <w:t> </w:t>
        </w:r>
        <w:r>
          <w:rPr>
            <w:sz w:val="20"/>
          </w:rPr>
          <w:t>2020</w:t>
        </w:r>
        <w:r>
          <w:rPr>
            <w:spacing w:val="-9"/>
            <w:sz w:val="20"/>
          </w:rPr>
          <w:t> </w:t>
        </w:r>
        <w:r>
          <w:rPr>
            <w:sz w:val="20"/>
          </w:rPr>
          <w:t>-</w:t>
        </w:r>
        <w:r>
          <w:rPr>
            <w:spacing w:val="-12"/>
            <w:sz w:val="20"/>
          </w:rPr>
          <w:t> </w:t>
        </w:r>
        <w:r>
          <w:rPr>
            <w:sz w:val="20"/>
          </w:rPr>
          <w:t>Volume</w:t>
        </w:r>
        <w:r>
          <w:rPr>
            <w:spacing w:val="-10"/>
            <w:sz w:val="20"/>
          </w:rPr>
          <w:t> </w:t>
        </w:r>
        <w:r>
          <w:rPr>
            <w:sz w:val="20"/>
          </w:rPr>
          <w:t>2</w:t>
        </w:r>
        <w:r>
          <w:rPr>
            <w:spacing w:val="-9"/>
            <w:sz w:val="20"/>
          </w:rPr>
          <w:t> </w:t>
        </w:r>
        <w:r>
          <w:rPr>
            <w:sz w:val="20"/>
          </w:rPr>
          <w:t>-</w:t>
        </w:r>
        <w:r>
          <w:rPr>
            <w:spacing w:val="-11"/>
            <w:sz w:val="20"/>
          </w:rPr>
          <w:t> </w:t>
        </w:r>
        <w:r>
          <w:rPr>
            <w:sz w:val="20"/>
          </w:rPr>
          <w:t>Issue</w:t>
        </w:r>
      </w:hyperlink>
      <w:hyperlink r:id="rId31">
        <w:r>
          <w:rPr>
            <w:sz w:val="20"/>
          </w:rPr>
          <w:t> 4 - p e0111 </w:t>
        </w:r>
      </w:hyperlink>
      <w:r>
        <w:rPr>
          <w:sz w:val="20"/>
        </w:rPr>
        <w:t>doi: 10.1097/CCE.0000000000000111</w:t>
      </w:r>
    </w:p>
    <w:p>
      <w:pPr>
        <w:pStyle w:val="ListParagraph"/>
        <w:numPr>
          <w:ilvl w:val="0"/>
          <w:numId w:val="42"/>
        </w:numPr>
        <w:tabs>
          <w:tab w:pos="888" w:val="left" w:leader="none"/>
        </w:tabs>
        <w:spacing w:line="237" w:lineRule="auto" w:before="2" w:after="0"/>
        <w:ind w:left="887" w:right="680" w:hanging="567"/>
        <w:jc w:val="both"/>
        <w:rPr>
          <w:sz w:val="20"/>
        </w:rPr>
      </w:pPr>
      <w:r>
        <w:rPr>
          <w:sz w:val="20"/>
        </w:rPr>
        <w:t>Ji</w:t>
      </w:r>
      <w:r>
        <w:rPr>
          <w:spacing w:val="-7"/>
          <w:sz w:val="20"/>
        </w:rPr>
        <w:t> </w:t>
      </w:r>
      <w:r>
        <w:rPr>
          <w:sz w:val="20"/>
        </w:rPr>
        <w:t>W.</w:t>
      </w:r>
      <w:r>
        <w:rPr>
          <w:spacing w:val="-5"/>
          <w:sz w:val="20"/>
        </w:rPr>
        <w:t> </w:t>
      </w:r>
      <w:r>
        <w:rPr>
          <w:sz w:val="20"/>
        </w:rPr>
        <w:t>et</w:t>
      </w:r>
      <w:r>
        <w:rPr>
          <w:spacing w:val="-7"/>
          <w:sz w:val="20"/>
        </w:rPr>
        <w:t> </w:t>
      </w:r>
      <w:r>
        <w:rPr>
          <w:sz w:val="20"/>
        </w:rPr>
        <w:t>al.</w:t>
      </w:r>
      <w:r>
        <w:rPr>
          <w:spacing w:val="-7"/>
          <w:sz w:val="20"/>
        </w:rPr>
        <w:t> </w:t>
      </w:r>
      <w:r>
        <w:rPr>
          <w:sz w:val="20"/>
        </w:rPr>
        <w:t>Homologous</w:t>
      </w:r>
      <w:r>
        <w:rPr>
          <w:spacing w:val="-6"/>
          <w:sz w:val="20"/>
        </w:rPr>
        <w:t> </w:t>
      </w:r>
      <w:r>
        <w:rPr>
          <w:sz w:val="20"/>
        </w:rPr>
        <w:t>recombination</w:t>
      </w:r>
      <w:r>
        <w:rPr>
          <w:spacing w:val="-5"/>
          <w:sz w:val="20"/>
        </w:rPr>
        <w:t> </w:t>
      </w:r>
      <w:r>
        <w:rPr>
          <w:sz w:val="20"/>
        </w:rPr>
        <w:t>within</w:t>
      </w:r>
      <w:r>
        <w:rPr>
          <w:spacing w:val="-7"/>
          <w:sz w:val="20"/>
        </w:rPr>
        <w:t> </w:t>
      </w:r>
      <w:r>
        <w:rPr>
          <w:sz w:val="20"/>
        </w:rPr>
        <w:t>the</w:t>
      </w:r>
      <w:r>
        <w:rPr>
          <w:spacing w:val="-4"/>
          <w:sz w:val="20"/>
        </w:rPr>
        <w:t> </w:t>
      </w:r>
      <w:r>
        <w:rPr>
          <w:sz w:val="20"/>
        </w:rPr>
        <w:t>spike</w:t>
      </w:r>
      <w:r>
        <w:rPr>
          <w:spacing w:val="-3"/>
          <w:sz w:val="20"/>
        </w:rPr>
        <w:t> </w:t>
      </w:r>
      <w:r>
        <w:rPr>
          <w:sz w:val="20"/>
        </w:rPr>
        <w:t>glycoprotein</w:t>
      </w:r>
      <w:r>
        <w:rPr>
          <w:spacing w:val="-7"/>
          <w:sz w:val="20"/>
        </w:rPr>
        <w:t> </w:t>
      </w:r>
      <w:r>
        <w:rPr>
          <w:sz w:val="20"/>
        </w:rPr>
        <w:t>of</w:t>
      </w:r>
      <w:r>
        <w:rPr>
          <w:spacing w:val="-8"/>
          <w:sz w:val="20"/>
        </w:rPr>
        <w:t> </w:t>
      </w:r>
      <w:r>
        <w:rPr>
          <w:sz w:val="20"/>
        </w:rPr>
        <w:t>the</w:t>
      </w:r>
      <w:r>
        <w:rPr>
          <w:spacing w:val="-5"/>
          <w:sz w:val="20"/>
        </w:rPr>
        <w:t> </w:t>
      </w:r>
      <w:r>
        <w:rPr>
          <w:sz w:val="20"/>
        </w:rPr>
        <w:t>newly</w:t>
      </w:r>
      <w:r>
        <w:rPr>
          <w:spacing w:val="-7"/>
          <w:sz w:val="20"/>
        </w:rPr>
        <w:t> </w:t>
      </w:r>
      <w:r>
        <w:rPr>
          <w:sz w:val="20"/>
        </w:rPr>
        <w:t>identified</w:t>
      </w:r>
      <w:r>
        <w:rPr>
          <w:spacing w:val="-5"/>
          <w:sz w:val="20"/>
        </w:rPr>
        <w:t> </w:t>
      </w:r>
      <w:r>
        <w:rPr>
          <w:sz w:val="20"/>
        </w:rPr>
        <w:t>coronavirus may boost cross</w:t>
      </w:r>
      <w:r>
        <w:rPr>
          <w:rFonts w:ascii="Cambria Math" w:hAnsi="Cambria Math"/>
          <w:sz w:val="20"/>
        </w:rPr>
        <w:t>‐</w:t>
      </w:r>
      <w:r>
        <w:rPr>
          <w:sz w:val="20"/>
        </w:rPr>
        <w:t>species transmission from snake to human //Journal of Medical Virology. –</w:t>
      </w:r>
      <w:r>
        <w:rPr>
          <w:spacing w:val="-25"/>
          <w:sz w:val="20"/>
        </w:rPr>
        <w:t> </w:t>
      </w:r>
      <w:r>
        <w:rPr>
          <w:sz w:val="20"/>
        </w:rPr>
        <w:t>2020.</w:t>
      </w:r>
    </w:p>
    <w:p>
      <w:pPr>
        <w:spacing w:after="0" w:line="237" w:lineRule="auto"/>
        <w:jc w:val="both"/>
        <w:rPr>
          <w:sz w:val="20"/>
        </w:rPr>
        <w:sectPr>
          <w:pgSz w:w="11920" w:h="16850"/>
          <w:pgMar w:header="0" w:footer="620" w:top="1060" w:bottom="880" w:left="1380" w:right="600"/>
        </w:sectPr>
      </w:pPr>
    </w:p>
    <w:p>
      <w:pPr>
        <w:pStyle w:val="ListParagraph"/>
        <w:numPr>
          <w:ilvl w:val="0"/>
          <w:numId w:val="42"/>
        </w:numPr>
        <w:tabs>
          <w:tab w:pos="888" w:val="left" w:leader="none"/>
        </w:tabs>
        <w:spacing w:line="240" w:lineRule="auto" w:before="79" w:after="0"/>
        <w:ind w:left="887" w:right="680" w:hanging="567"/>
        <w:jc w:val="both"/>
        <w:rPr>
          <w:sz w:val="20"/>
        </w:rPr>
      </w:pPr>
      <w:r>
        <w:rPr>
          <w:sz w:val="20"/>
        </w:rPr>
        <w:t>Junqiang L. et al. CT Imaging of the 2019 Novel Coronavirus (2019-nCoV) Pneumonia https://doi.org/10.1148/radiol.2020200236 URL:</w:t>
      </w:r>
      <w:r>
        <w:rPr>
          <w:spacing w:val="-13"/>
          <w:sz w:val="20"/>
        </w:rPr>
        <w:t> </w:t>
      </w:r>
      <w:r>
        <w:rPr>
          <w:sz w:val="20"/>
        </w:rPr>
        <w:t>https://pubs.rsna.org/doi/10.1148/radiol.2020200236</w:t>
      </w:r>
    </w:p>
    <w:p>
      <w:pPr>
        <w:pStyle w:val="ListParagraph"/>
        <w:numPr>
          <w:ilvl w:val="0"/>
          <w:numId w:val="42"/>
        </w:numPr>
        <w:tabs>
          <w:tab w:pos="888" w:val="left" w:leader="none"/>
        </w:tabs>
        <w:spacing w:line="240" w:lineRule="auto" w:before="0" w:after="0"/>
        <w:ind w:left="887" w:right="679" w:hanging="567"/>
        <w:jc w:val="both"/>
        <w:rPr>
          <w:sz w:val="20"/>
        </w:rPr>
      </w:pPr>
      <w:r>
        <w:rPr>
          <w:sz w:val="20"/>
        </w:rPr>
        <w:t>Kligerman</w:t>
      </w:r>
      <w:r>
        <w:rPr>
          <w:spacing w:val="-15"/>
          <w:sz w:val="20"/>
        </w:rPr>
        <w:t> </w:t>
      </w:r>
      <w:r>
        <w:rPr>
          <w:sz w:val="20"/>
        </w:rPr>
        <w:t>S.J.,</w:t>
      </w:r>
      <w:r>
        <w:rPr>
          <w:spacing w:val="-12"/>
          <w:sz w:val="20"/>
        </w:rPr>
        <w:t> </w:t>
      </w:r>
      <w:r>
        <w:rPr>
          <w:sz w:val="20"/>
        </w:rPr>
        <w:t>Franks</w:t>
      </w:r>
      <w:r>
        <w:rPr>
          <w:spacing w:val="-13"/>
          <w:sz w:val="20"/>
        </w:rPr>
        <w:t> </w:t>
      </w:r>
      <w:r>
        <w:rPr>
          <w:sz w:val="20"/>
        </w:rPr>
        <w:t>T.J.,</w:t>
      </w:r>
      <w:r>
        <w:rPr>
          <w:spacing w:val="-12"/>
          <w:sz w:val="20"/>
        </w:rPr>
        <w:t> </w:t>
      </w:r>
      <w:r>
        <w:rPr>
          <w:sz w:val="20"/>
        </w:rPr>
        <w:t>Galvin</w:t>
      </w:r>
      <w:r>
        <w:rPr>
          <w:spacing w:val="-15"/>
          <w:sz w:val="20"/>
        </w:rPr>
        <w:t> </w:t>
      </w:r>
      <w:r>
        <w:rPr>
          <w:sz w:val="20"/>
        </w:rPr>
        <w:t>J.R.</w:t>
      </w:r>
      <w:r>
        <w:rPr>
          <w:spacing w:val="-12"/>
          <w:sz w:val="20"/>
        </w:rPr>
        <w:t> </w:t>
      </w:r>
      <w:r>
        <w:rPr>
          <w:sz w:val="20"/>
        </w:rPr>
        <w:t>From</w:t>
      </w:r>
      <w:r>
        <w:rPr>
          <w:spacing w:val="-16"/>
          <w:sz w:val="20"/>
        </w:rPr>
        <w:t> </w:t>
      </w:r>
      <w:r>
        <w:rPr>
          <w:sz w:val="20"/>
        </w:rPr>
        <w:t>the</w:t>
      </w:r>
      <w:r>
        <w:rPr>
          <w:spacing w:val="-12"/>
          <w:sz w:val="20"/>
        </w:rPr>
        <w:t> </w:t>
      </w:r>
      <w:r>
        <w:rPr>
          <w:sz w:val="20"/>
        </w:rPr>
        <w:t>radiologic</w:t>
      </w:r>
      <w:r>
        <w:rPr>
          <w:spacing w:val="-12"/>
          <w:sz w:val="20"/>
        </w:rPr>
        <w:t> </w:t>
      </w:r>
      <w:r>
        <w:rPr>
          <w:sz w:val="20"/>
        </w:rPr>
        <w:t>pathology</w:t>
      </w:r>
      <w:r>
        <w:rPr>
          <w:spacing w:val="-16"/>
          <w:sz w:val="20"/>
        </w:rPr>
        <w:t> </w:t>
      </w:r>
      <w:r>
        <w:rPr>
          <w:sz w:val="20"/>
        </w:rPr>
        <w:t>archives:</w:t>
      </w:r>
      <w:r>
        <w:rPr>
          <w:spacing w:val="-14"/>
          <w:sz w:val="20"/>
        </w:rPr>
        <w:t> </w:t>
      </w:r>
      <w:r>
        <w:rPr>
          <w:sz w:val="20"/>
        </w:rPr>
        <w:t>organization</w:t>
      </w:r>
      <w:r>
        <w:rPr>
          <w:spacing w:val="-14"/>
          <w:sz w:val="20"/>
        </w:rPr>
        <w:t> </w:t>
      </w:r>
      <w:r>
        <w:rPr>
          <w:sz w:val="20"/>
        </w:rPr>
        <w:t>and</w:t>
      </w:r>
      <w:r>
        <w:rPr>
          <w:spacing w:val="-11"/>
          <w:sz w:val="20"/>
        </w:rPr>
        <w:t> </w:t>
      </w:r>
      <w:r>
        <w:rPr>
          <w:sz w:val="20"/>
        </w:rPr>
        <w:t>fibrosis as a response to lung injury in diffuse alveolar damage, organizing pneumonia, and acute fibrinous and organizing pneumonia // Radiographics. 2013. V. 33. No. 7. P. 1951–1975. Doi:</w:t>
      </w:r>
      <w:r>
        <w:rPr>
          <w:spacing w:val="-30"/>
          <w:sz w:val="20"/>
        </w:rPr>
        <w:t> </w:t>
      </w:r>
      <w:r>
        <w:rPr>
          <w:sz w:val="20"/>
        </w:rPr>
        <w:t>10.1148/rg.337130057.</w:t>
      </w:r>
    </w:p>
    <w:p>
      <w:pPr>
        <w:pStyle w:val="ListParagraph"/>
        <w:numPr>
          <w:ilvl w:val="0"/>
          <w:numId w:val="42"/>
        </w:numPr>
        <w:tabs>
          <w:tab w:pos="888" w:val="left" w:leader="none"/>
        </w:tabs>
        <w:spacing w:line="240" w:lineRule="auto" w:before="0" w:after="0"/>
        <w:ind w:left="887" w:right="673" w:hanging="567"/>
        <w:jc w:val="both"/>
        <w:rPr>
          <w:sz w:val="20"/>
        </w:rPr>
      </w:pPr>
      <w:hyperlink r:id="rId32">
        <w:r>
          <w:rPr>
            <w:sz w:val="20"/>
          </w:rPr>
          <w:t>Kumar</w:t>
        </w:r>
      </w:hyperlink>
      <w:r>
        <w:rPr>
          <w:sz w:val="20"/>
        </w:rPr>
        <w:t> B. et al. A Personalized Diagnostic and Treatment Approach for Macrophage Activation Syndrome and Secondary Hemophagocytic Lymphohistiocytosis in Adults. </w:t>
      </w:r>
      <w:hyperlink r:id="rId33">
        <w:r>
          <w:rPr>
            <w:sz w:val="20"/>
          </w:rPr>
          <w:t>Journal of Clinical</w:t>
        </w:r>
      </w:hyperlink>
      <w:hyperlink r:id="rId33">
        <w:r>
          <w:rPr>
            <w:sz w:val="20"/>
          </w:rPr>
          <w:t> Immunology,</w:t>
        </w:r>
      </w:hyperlink>
      <w:r>
        <w:rPr>
          <w:sz w:val="20"/>
        </w:rPr>
        <w:t> volume 37, pages 638–643(2017), </w:t>
      </w:r>
      <w:hyperlink r:id="rId34">
        <w:r>
          <w:rPr>
            <w:sz w:val="20"/>
          </w:rPr>
          <w:t>https://link.springer.com/article/10.1007/s10875-017-</w:t>
        </w:r>
      </w:hyperlink>
      <w:hyperlink r:id="rId34">
        <w:r>
          <w:rPr>
            <w:sz w:val="20"/>
          </w:rPr>
          <w:t> 0439-x</w:t>
        </w:r>
      </w:hyperlink>
    </w:p>
    <w:p>
      <w:pPr>
        <w:pStyle w:val="ListParagraph"/>
        <w:numPr>
          <w:ilvl w:val="0"/>
          <w:numId w:val="42"/>
        </w:numPr>
        <w:tabs>
          <w:tab w:pos="888" w:val="left" w:leader="none"/>
        </w:tabs>
        <w:spacing w:line="240" w:lineRule="auto" w:before="0" w:after="0"/>
        <w:ind w:left="887" w:right="679" w:hanging="567"/>
        <w:jc w:val="both"/>
        <w:rPr>
          <w:sz w:val="20"/>
        </w:rPr>
      </w:pPr>
      <w:r>
        <w:rPr>
          <w:sz w:val="20"/>
        </w:rPr>
        <w:t>Le Chang et al. Coronavirus Disease 2019: Coronaviruses and Blood Safety. Transfusion Medicine Reviews 2020.</w:t>
      </w:r>
      <w:r>
        <w:rPr>
          <w:spacing w:val="-1"/>
          <w:sz w:val="20"/>
        </w:rPr>
        <w:t> </w:t>
      </w:r>
      <w:r>
        <w:rPr>
          <w:sz w:val="20"/>
        </w:rPr>
        <w:t>doi:10.1016/j.tmrv.2020.02.003.</w:t>
      </w:r>
    </w:p>
    <w:p>
      <w:pPr>
        <w:pStyle w:val="ListParagraph"/>
        <w:numPr>
          <w:ilvl w:val="0"/>
          <w:numId w:val="42"/>
        </w:numPr>
        <w:tabs>
          <w:tab w:pos="888" w:val="left" w:leader="none"/>
        </w:tabs>
        <w:spacing w:line="240" w:lineRule="auto" w:before="1" w:after="0"/>
        <w:ind w:left="887" w:right="680" w:hanging="567"/>
        <w:jc w:val="both"/>
        <w:rPr>
          <w:sz w:val="20"/>
        </w:rPr>
      </w:pPr>
      <w:r>
        <w:rPr>
          <w:sz w:val="20"/>
        </w:rPr>
        <w:t>Lee Kyung Soo. Pneumonia Associated with 2019 Novel Coronavirus: Can Computed Tomographic Findings Help Predict the Prognosis of the Disease? Korean Journal of Radiology(2020), 21</w:t>
      </w:r>
      <w:r>
        <w:rPr>
          <w:spacing w:val="-25"/>
          <w:sz w:val="20"/>
        </w:rPr>
        <w:t> </w:t>
      </w:r>
      <w:r>
        <w:rPr>
          <w:sz w:val="20"/>
        </w:rPr>
        <w:t>(3):257</w:t>
      </w:r>
    </w:p>
    <w:p>
      <w:pPr>
        <w:pStyle w:val="ListParagraph"/>
        <w:numPr>
          <w:ilvl w:val="0"/>
          <w:numId w:val="42"/>
        </w:numPr>
        <w:tabs>
          <w:tab w:pos="888" w:val="left" w:leader="none"/>
        </w:tabs>
        <w:spacing w:line="240" w:lineRule="auto" w:before="1" w:after="0"/>
        <w:ind w:left="887" w:right="679" w:hanging="567"/>
        <w:jc w:val="both"/>
        <w:rPr>
          <w:sz w:val="20"/>
        </w:rPr>
      </w:pPr>
      <w:r>
        <w:rPr>
          <w:sz w:val="20"/>
        </w:rPr>
        <w:t>Li</w:t>
      </w:r>
      <w:r>
        <w:rPr>
          <w:spacing w:val="-7"/>
          <w:sz w:val="20"/>
        </w:rPr>
        <w:t> </w:t>
      </w:r>
      <w:r>
        <w:rPr>
          <w:sz w:val="20"/>
        </w:rPr>
        <w:t>Q</w:t>
      </w:r>
      <w:r>
        <w:rPr>
          <w:spacing w:val="-5"/>
          <w:sz w:val="20"/>
        </w:rPr>
        <w:t> </w:t>
      </w:r>
      <w:r>
        <w:rPr>
          <w:sz w:val="20"/>
        </w:rPr>
        <w:t>et</w:t>
      </w:r>
      <w:r>
        <w:rPr>
          <w:spacing w:val="-6"/>
          <w:sz w:val="20"/>
        </w:rPr>
        <w:t> </w:t>
      </w:r>
      <w:r>
        <w:rPr>
          <w:sz w:val="20"/>
        </w:rPr>
        <w:t>al.</w:t>
      </w:r>
      <w:r>
        <w:rPr>
          <w:spacing w:val="-6"/>
          <w:sz w:val="20"/>
        </w:rPr>
        <w:t> </w:t>
      </w:r>
      <w:r>
        <w:rPr>
          <w:sz w:val="20"/>
        </w:rPr>
        <w:t>Early</w:t>
      </w:r>
      <w:r>
        <w:rPr>
          <w:spacing w:val="-9"/>
          <w:sz w:val="20"/>
        </w:rPr>
        <w:t> </w:t>
      </w:r>
      <w:r>
        <w:rPr>
          <w:sz w:val="20"/>
        </w:rPr>
        <w:t>Transmission</w:t>
      </w:r>
      <w:r>
        <w:rPr>
          <w:spacing w:val="-4"/>
          <w:sz w:val="20"/>
        </w:rPr>
        <w:t> </w:t>
      </w:r>
      <w:r>
        <w:rPr>
          <w:sz w:val="20"/>
        </w:rPr>
        <w:t>Dynamics</w:t>
      </w:r>
      <w:r>
        <w:rPr>
          <w:spacing w:val="-6"/>
          <w:sz w:val="20"/>
        </w:rPr>
        <w:t> </w:t>
      </w:r>
      <w:r>
        <w:rPr>
          <w:sz w:val="20"/>
        </w:rPr>
        <w:t>in</w:t>
      </w:r>
      <w:r>
        <w:rPr>
          <w:spacing w:val="-7"/>
          <w:sz w:val="20"/>
        </w:rPr>
        <w:t> </w:t>
      </w:r>
      <w:r>
        <w:rPr>
          <w:sz w:val="20"/>
        </w:rPr>
        <w:t>Wuhan,</w:t>
      </w:r>
      <w:r>
        <w:rPr>
          <w:spacing w:val="-6"/>
          <w:sz w:val="20"/>
        </w:rPr>
        <w:t> </w:t>
      </w:r>
      <w:r>
        <w:rPr>
          <w:sz w:val="20"/>
        </w:rPr>
        <w:t>China,</w:t>
      </w:r>
      <w:r>
        <w:rPr>
          <w:spacing w:val="-5"/>
          <w:sz w:val="20"/>
        </w:rPr>
        <w:t> </w:t>
      </w:r>
      <w:r>
        <w:rPr>
          <w:sz w:val="20"/>
        </w:rPr>
        <w:t>of</w:t>
      </w:r>
      <w:r>
        <w:rPr>
          <w:spacing w:val="-7"/>
          <w:sz w:val="20"/>
        </w:rPr>
        <w:t> </w:t>
      </w:r>
      <w:r>
        <w:rPr>
          <w:sz w:val="20"/>
        </w:rPr>
        <w:t>Novel</w:t>
      </w:r>
      <w:r>
        <w:rPr>
          <w:spacing w:val="-7"/>
          <w:sz w:val="20"/>
        </w:rPr>
        <w:t> </w:t>
      </w:r>
      <w:r>
        <w:rPr>
          <w:sz w:val="20"/>
        </w:rPr>
        <w:t>Coronavirus-Infected</w:t>
      </w:r>
      <w:r>
        <w:rPr>
          <w:spacing w:val="-4"/>
          <w:sz w:val="20"/>
        </w:rPr>
        <w:t> </w:t>
      </w:r>
      <w:r>
        <w:rPr>
          <w:sz w:val="20"/>
        </w:rPr>
        <w:t>Pneumonia</w:t>
      </w:r>
      <w:r>
        <w:rPr>
          <w:spacing w:val="-5"/>
          <w:sz w:val="20"/>
        </w:rPr>
        <w:t> </w:t>
      </w:r>
      <w:r>
        <w:rPr>
          <w:sz w:val="20"/>
        </w:rPr>
        <w:t>N Engl J Med. 2020 Jan 29. doi:</w:t>
      </w:r>
      <w:r>
        <w:rPr>
          <w:spacing w:val="-5"/>
          <w:sz w:val="20"/>
        </w:rPr>
        <w:t> </w:t>
      </w:r>
      <w:r>
        <w:rPr>
          <w:sz w:val="20"/>
        </w:rPr>
        <w:t>10.1056/NEJMoa2001316</w:t>
      </w:r>
    </w:p>
    <w:p>
      <w:pPr>
        <w:pStyle w:val="ListParagraph"/>
        <w:numPr>
          <w:ilvl w:val="0"/>
          <w:numId w:val="42"/>
        </w:numPr>
        <w:tabs>
          <w:tab w:pos="888" w:val="left" w:leader="none"/>
        </w:tabs>
        <w:spacing w:line="240" w:lineRule="auto" w:before="0" w:after="0"/>
        <w:ind w:left="887" w:right="675" w:hanging="567"/>
        <w:jc w:val="both"/>
        <w:rPr>
          <w:sz w:val="20"/>
        </w:rPr>
      </w:pPr>
      <w:r>
        <w:rPr>
          <w:sz w:val="20"/>
        </w:rPr>
        <w:t>Li</w:t>
      </w:r>
      <w:r>
        <w:rPr>
          <w:spacing w:val="-6"/>
          <w:sz w:val="20"/>
        </w:rPr>
        <w:t> </w:t>
      </w:r>
      <w:r>
        <w:rPr>
          <w:sz w:val="20"/>
        </w:rPr>
        <w:t>X</w:t>
      </w:r>
      <w:r>
        <w:rPr>
          <w:spacing w:val="-4"/>
          <w:sz w:val="20"/>
        </w:rPr>
        <w:t> </w:t>
      </w:r>
      <w:r>
        <w:rPr>
          <w:sz w:val="20"/>
        </w:rPr>
        <w:t>et</w:t>
      </w:r>
      <w:r>
        <w:rPr>
          <w:spacing w:val="-3"/>
          <w:sz w:val="20"/>
        </w:rPr>
        <w:t> </w:t>
      </w:r>
      <w:r>
        <w:rPr>
          <w:sz w:val="20"/>
        </w:rPr>
        <w:t>al.</w:t>
      </w:r>
      <w:r>
        <w:rPr>
          <w:spacing w:val="-4"/>
          <w:sz w:val="20"/>
        </w:rPr>
        <w:t> </w:t>
      </w:r>
      <w:r>
        <w:rPr>
          <w:sz w:val="20"/>
        </w:rPr>
        <w:t>Potential</w:t>
      </w:r>
      <w:r>
        <w:rPr>
          <w:spacing w:val="-6"/>
          <w:sz w:val="20"/>
        </w:rPr>
        <w:t> </w:t>
      </w:r>
      <w:r>
        <w:rPr>
          <w:sz w:val="20"/>
        </w:rPr>
        <w:t>of</w:t>
      </w:r>
      <w:r>
        <w:rPr>
          <w:spacing w:val="-6"/>
          <w:sz w:val="20"/>
        </w:rPr>
        <w:t> </w:t>
      </w:r>
      <w:r>
        <w:rPr>
          <w:sz w:val="20"/>
        </w:rPr>
        <w:t>large</w:t>
      </w:r>
      <w:r>
        <w:rPr>
          <w:spacing w:val="-3"/>
          <w:sz w:val="20"/>
        </w:rPr>
        <w:t> </w:t>
      </w:r>
      <w:r>
        <w:rPr>
          <w:sz w:val="20"/>
        </w:rPr>
        <w:t>'first</w:t>
      </w:r>
      <w:r>
        <w:rPr>
          <w:spacing w:val="-5"/>
          <w:sz w:val="20"/>
        </w:rPr>
        <w:t> </w:t>
      </w:r>
      <w:r>
        <w:rPr>
          <w:sz w:val="20"/>
        </w:rPr>
        <w:t>generation'</w:t>
      </w:r>
      <w:r>
        <w:rPr>
          <w:spacing w:val="-4"/>
          <w:sz w:val="20"/>
        </w:rPr>
        <w:t> </w:t>
      </w:r>
      <w:r>
        <w:rPr>
          <w:sz w:val="20"/>
        </w:rPr>
        <w:t>human-to-human</w:t>
      </w:r>
      <w:r>
        <w:rPr>
          <w:spacing w:val="-7"/>
          <w:sz w:val="20"/>
        </w:rPr>
        <w:t> </w:t>
      </w:r>
      <w:r>
        <w:rPr>
          <w:sz w:val="20"/>
        </w:rPr>
        <w:t>transmission</w:t>
      </w:r>
      <w:r>
        <w:rPr>
          <w:spacing w:val="-6"/>
          <w:sz w:val="20"/>
        </w:rPr>
        <w:t> </w:t>
      </w:r>
      <w:r>
        <w:rPr>
          <w:sz w:val="20"/>
        </w:rPr>
        <w:t>of</w:t>
      </w:r>
      <w:r>
        <w:rPr>
          <w:spacing w:val="-7"/>
          <w:sz w:val="20"/>
        </w:rPr>
        <w:t> </w:t>
      </w:r>
      <w:r>
        <w:rPr>
          <w:sz w:val="20"/>
        </w:rPr>
        <w:t>2019-nCoV.</w:t>
      </w:r>
      <w:r>
        <w:rPr>
          <w:spacing w:val="-1"/>
          <w:sz w:val="20"/>
        </w:rPr>
        <w:t> </w:t>
      </w:r>
      <w:r>
        <w:rPr>
          <w:sz w:val="20"/>
        </w:rPr>
        <w:t>J</w:t>
      </w:r>
      <w:r>
        <w:rPr>
          <w:spacing w:val="-4"/>
          <w:sz w:val="20"/>
        </w:rPr>
        <w:t> </w:t>
      </w:r>
      <w:r>
        <w:rPr>
          <w:sz w:val="20"/>
        </w:rPr>
        <w:t>Med</w:t>
      </w:r>
      <w:r>
        <w:rPr>
          <w:spacing w:val="-3"/>
          <w:sz w:val="20"/>
        </w:rPr>
        <w:t> </w:t>
      </w:r>
      <w:r>
        <w:rPr>
          <w:sz w:val="20"/>
        </w:rPr>
        <w:t>Virol. 2020 Jan 30. doi: 10.1002/jmv.25693. [Epub ahead of</w:t>
      </w:r>
      <w:r>
        <w:rPr>
          <w:spacing w:val="-5"/>
          <w:sz w:val="20"/>
        </w:rPr>
        <w:t> </w:t>
      </w:r>
      <w:r>
        <w:rPr>
          <w:sz w:val="20"/>
        </w:rPr>
        <w:t>print]</w:t>
      </w:r>
    </w:p>
    <w:p>
      <w:pPr>
        <w:pStyle w:val="ListParagraph"/>
        <w:numPr>
          <w:ilvl w:val="0"/>
          <w:numId w:val="42"/>
        </w:numPr>
        <w:tabs>
          <w:tab w:pos="888" w:val="left" w:leader="none"/>
        </w:tabs>
        <w:spacing w:line="240" w:lineRule="auto" w:before="0" w:after="0"/>
        <w:ind w:left="887" w:right="676" w:hanging="567"/>
        <w:jc w:val="both"/>
        <w:rPr>
          <w:sz w:val="20"/>
        </w:rPr>
      </w:pPr>
      <w:r>
        <w:rPr>
          <w:sz w:val="20"/>
        </w:rPr>
        <w:t>Lu H. Drug treatment options for the 2019-new coronavirus (2019-nCoV). Biosci Trends. 2020 Jan 28. doi: 10.5582/bst.2020.01020. [Epub ahead of</w:t>
      </w:r>
      <w:r>
        <w:rPr>
          <w:spacing w:val="-4"/>
          <w:sz w:val="20"/>
        </w:rPr>
        <w:t> </w:t>
      </w:r>
      <w:r>
        <w:rPr>
          <w:sz w:val="20"/>
        </w:rPr>
        <w:t>print]</w:t>
      </w:r>
    </w:p>
    <w:p>
      <w:pPr>
        <w:pStyle w:val="ListParagraph"/>
        <w:numPr>
          <w:ilvl w:val="0"/>
          <w:numId w:val="42"/>
        </w:numPr>
        <w:tabs>
          <w:tab w:pos="888" w:val="left" w:leader="none"/>
        </w:tabs>
        <w:spacing w:line="240" w:lineRule="auto" w:before="1" w:after="0"/>
        <w:ind w:left="887" w:right="676" w:hanging="567"/>
        <w:jc w:val="both"/>
        <w:rPr>
          <w:sz w:val="20"/>
        </w:rPr>
      </w:pPr>
      <w:r>
        <w:rPr>
          <w:sz w:val="20"/>
        </w:rPr>
        <w:t>Lu</w:t>
      </w:r>
      <w:r>
        <w:rPr>
          <w:spacing w:val="-8"/>
          <w:sz w:val="20"/>
        </w:rPr>
        <w:t> </w:t>
      </w:r>
      <w:r>
        <w:rPr>
          <w:sz w:val="20"/>
        </w:rPr>
        <w:t>W.,</w:t>
      </w:r>
      <w:r>
        <w:rPr>
          <w:spacing w:val="-6"/>
          <w:sz w:val="20"/>
        </w:rPr>
        <w:t> </w:t>
      </w:r>
      <w:r>
        <w:rPr>
          <w:sz w:val="20"/>
        </w:rPr>
        <w:t>Zhang</w:t>
      </w:r>
      <w:r>
        <w:rPr>
          <w:spacing w:val="-8"/>
          <w:sz w:val="20"/>
        </w:rPr>
        <w:t> </w:t>
      </w:r>
      <w:r>
        <w:rPr>
          <w:sz w:val="20"/>
        </w:rPr>
        <w:t>S.,</w:t>
      </w:r>
      <w:r>
        <w:rPr>
          <w:spacing w:val="-5"/>
          <w:sz w:val="20"/>
        </w:rPr>
        <w:t> </w:t>
      </w:r>
      <w:r>
        <w:rPr>
          <w:sz w:val="20"/>
        </w:rPr>
        <w:t>Chen</w:t>
      </w:r>
      <w:r>
        <w:rPr>
          <w:spacing w:val="-8"/>
          <w:sz w:val="20"/>
        </w:rPr>
        <w:t> </w:t>
      </w:r>
      <w:r>
        <w:rPr>
          <w:sz w:val="20"/>
        </w:rPr>
        <w:t>B.</w:t>
      </w:r>
      <w:r>
        <w:rPr>
          <w:spacing w:val="-6"/>
          <w:sz w:val="20"/>
        </w:rPr>
        <w:t> </w:t>
      </w:r>
      <w:r>
        <w:rPr>
          <w:sz w:val="20"/>
        </w:rPr>
        <w:t>et</w:t>
      </w:r>
      <w:r>
        <w:rPr>
          <w:spacing w:val="-7"/>
          <w:sz w:val="20"/>
        </w:rPr>
        <w:t> </w:t>
      </w:r>
      <w:r>
        <w:rPr>
          <w:sz w:val="20"/>
        </w:rPr>
        <w:t>al.</w:t>
      </w:r>
      <w:r>
        <w:rPr>
          <w:spacing w:val="-5"/>
          <w:sz w:val="20"/>
        </w:rPr>
        <w:t> </w:t>
      </w:r>
      <w:r>
        <w:rPr>
          <w:sz w:val="20"/>
        </w:rPr>
        <w:t>A</w:t>
      </w:r>
      <w:r>
        <w:rPr>
          <w:spacing w:val="-7"/>
          <w:sz w:val="20"/>
        </w:rPr>
        <w:t> </w:t>
      </w:r>
      <w:r>
        <w:rPr>
          <w:sz w:val="20"/>
        </w:rPr>
        <w:t>Clinical</w:t>
      </w:r>
      <w:r>
        <w:rPr>
          <w:spacing w:val="-7"/>
          <w:sz w:val="20"/>
        </w:rPr>
        <w:t> </w:t>
      </w:r>
      <w:r>
        <w:rPr>
          <w:sz w:val="20"/>
        </w:rPr>
        <w:t>Study</w:t>
      </w:r>
      <w:r>
        <w:rPr>
          <w:spacing w:val="-9"/>
          <w:sz w:val="20"/>
        </w:rPr>
        <w:t> </w:t>
      </w:r>
      <w:r>
        <w:rPr>
          <w:sz w:val="20"/>
        </w:rPr>
        <w:t>of</w:t>
      </w:r>
      <w:r>
        <w:rPr>
          <w:spacing w:val="-8"/>
          <w:sz w:val="20"/>
        </w:rPr>
        <w:t> </w:t>
      </w:r>
      <w:r>
        <w:rPr>
          <w:sz w:val="20"/>
        </w:rPr>
        <w:t>Noninvasive</w:t>
      </w:r>
      <w:r>
        <w:rPr>
          <w:spacing w:val="-4"/>
          <w:sz w:val="20"/>
        </w:rPr>
        <w:t> </w:t>
      </w:r>
      <w:r>
        <w:rPr>
          <w:sz w:val="20"/>
        </w:rPr>
        <w:t>Assessment</w:t>
      </w:r>
      <w:r>
        <w:rPr>
          <w:spacing w:val="-7"/>
          <w:sz w:val="20"/>
        </w:rPr>
        <w:t> </w:t>
      </w:r>
      <w:r>
        <w:rPr>
          <w:sz w:val="20"/>
        </w:rPr>
        <w:t>of</w:t>
      </w:r>
      <w:r>
        <w:rPr>
          <w:spacing w:val="-5"/>
          <w:sz w:val="20"/>
        </w:rPr>
        <w:t> </w:t>
      </w:r>
      <w:r>
        <w:rPr>
          <w:sz w:val="20"/>
        </w:rPr>
        <w:t>Lung</w:t>
      </w:r>
      <w:r>
        <w:rPr>
          <w:spacing w:val="-6"/>
          <w:sz w:val="20"/>
        </w:rPr>
        <w:t> </w:t>
      </w:r>
      <w:r>
        <w:rPr>
          <w:sz w:val="20"/>
        </w:rPr>
        <w:t>Lesions</w:t>
      </w:r>
      <w:r>
        <w:rPr>
          <w:spacing w:val="-8"/>
          <w:sz w:val="20"/>
        </w:rPr>
        <w:t> </w:t>
      </w:r>
      <w:r>
        <w:rPr>
          <w:sz w:val="20"/>
        </w:rPr>
        <w:t>in</w:t>
      </w:r>
      <w:r>
        <w:rPr>
          <w:spacing w:val="-7"/>
          <w:sz w:val="20"/>
        </w:rPr>
        <w:t> </w:t>
      </w:r>
      <w:r>
        <w:rPr>
          <w:sz w:val="20"/>
        </w:rPr>
        <w:t>Patients with</w:t>
      </w:r>
      <w:r>
        <w:rPr>
          <w:spacing w:val="-8"/>
          <w:sz w:val="20"/>
        </w:rPr>
        <w:t> </w:t>
      </w:r>
      <w:r>
        <w:rPr>
          <w:sz w:val="20"/>
        </w:rPr>
        <w:t>Coronavirus</w:t>
      </w:r>
      <w:r>
        <w:rPr>
          <w:spacing w:val="-7"/>
          <w:sz w:val="20"/>
        </w:rPr>
        <w:t> </w:t>
      </w:r>
      <w:r>
        <w:rPr>
          <w:sz w:val="20"/>
        </w:rPr>
        <w:t>Disease-19</w:t>
      </w:r>
      <w:r>
        <w:rPr>
          <w:spacing w:val="-5"/>
          <w:sz w:val="20"/>
        </w:rPr>
        <w:t> </w:t>
      </w:r>
      <w:r>
        <w:rPr>
          <w:sz w:val="20"/>
        </w:rPr>
        <w:t>(COVID-19)</w:t>
      </w:r>
      <w:r>
        <w:rPr>
          <w:spacing w:val="-6"/>
          <w:sz w:val="20"/>
        </w:rPr>
        <w:t> </w:t>
      </w:r>
      <w:r>
        <w:rPr>
          <w:sz w:val="20"/>
        </w:rPr>
        <w:t>by</w:t>
      </w:r>
      <w:r>
        <w:rPr>
          <w:spacing w:val="-10"/>
          <w:sz w:val="20"/>
        </w:rPr>
        <w:t> </w:t>
      </w:r>
      <w:r>
        <w:rPr>
          <w:sz w:val="20"/>
        </w:rPr>
        <w:t>Bedside</w:t>
      </w:r>
      <w:r>
        <w:rPr>
          <w:spacing w:val="-6"/>
          <w:sz w:val="20"/>
        </w:rPr>
        <w:t> </w:t>
      </w:r>
      <w:r>
        <w:rPr>
          <w:sz w:val="20"/>
        </w:rPr>
        <w:t>Ultrasound</w:t>
      </w:r>
      <w:r>
        <w:rPr>
          <w:spacing w:val="-5"/>
          <w:sz w:val="20"/>
        </w:rPr>
        <w:t> </w:t>
      </w:r>
      <w:r>
        <w:rPr>
          <w:sz w:val="20"/>
        </w:rPr>
        <w:t>[published</w:t>
      </w:r>
      <w:r>
        <w:rPr>
          <w:spacing w:val="-5"/>
          <w:sz w:val="20"/>
        </w:rPr>
        <w:t> </w:t>
      </w:r>
      <w:r>
        <w:rPr>
          <w:sz w:val="20"/>
        </w:rPr>
        <w:t>online</w:t>
      </w:r>
      <w:r>
        <w:rPr>
          <w:spacing w:val="-6"/>
          <w:sz w:val="20"/>
        </w:rPr>
        <w:t> </w:t>
      </w:r>
      <w:r>
        <w:rPr>
          <w:sz w:val="20"/>
        </w:rPr>
        <w:t>ahead</w:t>
      </w:r>
      <w:r>
        <w:rPr>
          <w:spacing w:val="-5"/>
          <w:sz w:val="20"/>
        </w:rPr>
        <w:t> </w:t>
      </w:r>
      <w:r>
        <w:rPr>
          <w:sz w:val="20"/>
        </w:rPr>
        <w:t>of</w:t>
      </w:r>
      <w:r>
        <w:rPr>
          <w:spacing w:val="-8"/>
          <w:sz w:val="20"/>
        </w:rPr>
        <w:t> </w:t>
      </w:r>
      <w:r>
        <w:rPr>
          <w:sz w:val="20"/>
        </w:rPr>
        <w:t>print,</w:t>
      </w:r>
      <w:r>
        <w:rPr>
          <w:spacing w:val="-6"/>
          <w:sz w:val="20"/>
        </w:rPr>
        <w:t> </w:t>
      </w:r>
      <w:r>
        <w:rPr>
          <w:sz w:val="20"/>
        </w:rPr>
        <w:t>2020 Apr 15] // Ultraschall Med. 2020;10.1055/a-1154-8795. Doi:</w:t>
      </w:r>
      <w:r>
        <w:rPr>
          <w:spacing w:val="-3"/>
          <w:sz w:val="20"/>
        </w:rPr>
        <w:t> </w:t>
      </w:r>
      <w:r>
        <w:rPr>
          <w:sz w:val="20"/>
        </w:rPr>
        <w:t>10.1055/a-1154-8795.</w:t>
      </w:r>
    </w:p>
    <w:p>
      <w:pPr>
        <w:pStyle w:val="ListParagraph"/>
        <w:numPr>
          <w:ilvl w:val="0"/>
          <w:numId w:val="42"/>
        </w:numPr>
        <w:tabs>
          <w:tab w:pos="887" w:val="left" w:leader="none"/>
        </w:tabs>
        <w:spacing w:line="240" w:lineRule="auto" w:before="0" w:after="0"/>
        <w:ind w:left="886" w:right="677" w:hanging="567"/>
        <w:jc w:val="both"/>
        <w:rPr>
          <w:sz w:val="20"/>
        </w:rPr>
      </w:pPr>
      <w:r>
        <w:rPr>
          <w:sz w:val="20"/>
        </w:rPr>
        <w:t>Ludvigsson JF. Systematic review of COVID</w:t>
      </w:r>
      <w:r>
        <w:rPr>
          <w:rFonts w:ascii="Cambria Math" w:hAnsi="Cambria Math"/>
          <w:sz w:val="20"/>
        </w:rPr>
        <w:t>‐</w:t>
      </w:r>
      <w:r>
        <w:rPr>
          <w:sz w:val="20"/>
        </w:rPr>
        <w:t>19 in children show milder cases and a better prognosis than adults https://doi.org/10.1111/apa.15270</w:t>
      </w:r>
    </w:p>
    <w:p>
      <w:pPr>
        <w:pStyle w:val="ListParagraph"/>
        <w:numPr>
          <w:ilvl w:val="0"/>
          <w:numId w:val="42"/>
        </w:numPr>
        <w:tabs>
          <w:tab w:pos="887" w:val="left" w:leader="none"/>
        </w:tabs>
        <w:spacing w:line="240" w:lineRule="auto" w:before="0" w:after="0"/>
        <w:ind w:left="886" w:right="676" w:hanging="567"/>
        <w:jc w:val="both"/>
        <w:rPr>
          <w:sz w:val="20"/>
        </w:rPr>
      </w:pPr>
      <w:r>
        <w:rPr>
          <w:sz w:val="20"/>
        </w:rPr>
        <w:t>Lupia T., Scabini S., Pinna S.M., Di Perri G., De Rosa F.G., Corcione S. 2019 novel coronavirus (2019- nCoV) outbreak: A new challenge, Journal of Global Antimicrobial Resistance 21 (2020)</w:t>
      </w:r>
      <w:r>
        <w:rPr>
          <w:spacing w:val="-18"/>
          <w:sz w:val="20"/>
        </w:rPr>
        <w:t> </w:t>
      </w:r>
      <w:r>
        <w:rPr>
          <w:sz w:val="20"/>
        </w:rPr>
        <w:t>22–27</w:t>
      </w:r>
    </w:p>
    <w:p>
      <w:pPr>
        <w:pStyle w:val="ListParagraph"/>
        <w:numPr>
          <w:ilvl w:val="0"/>
          <w:numId w:val="42"/>
        </w:numPr>
        <w:tabs>
          <w:tab w:pos="887" w:val="left" w:leader="none"/>
        </w:tabs>
        <w:spacing w:line="240" w:lineRule="auto" w:before="0" w:after="0"/>
        <w:ind w:left="886" w:right="678" w:hanging="567"/>
        <w:jc w:val="both"/>
        <w:rPr>
          <w:sz w:val="20"/>
        </w:rPr>
      </w:pPr>
      <w:r>
        <w:rPr>
          <w:sz w:val="20"/>
        </w:rPr>
        <w:t>Mandell L.A. et al. Infectious Diseases Society of America/American Thoracic Society consensus guidelines</w:t>
      </w:r>
      <w:r>
        <w:rPr>
          <w:spacing w:val="-12"/>
          <w:sz w:val="20"/>
        </w:rPr>
        <w:t> </w:t>
      </w:r>
      <w:r>
        <w:rPr>
          <w:sz w:val="20"/>
        </w:rPr>
        <w:t>on</w:t>
      </w:r>
      <w:r>
        <w:rPr>
          <w:spacing w:val="-11"/>
          <w:sz w:val="20"/>
        </w:rPr>
        <w:t> </w:t>
      </w:r>
      <w:r>
        <w:rPr>
          <w:sz w:val="20"/>
        </w:rPr>
        <w:t>the</w:t>
      </w:r>
      <w:r>
        <w:rPr>
          <w:spacing w:val="-6"/>
          <w:sz w:val="20"/>
        </w:rPr>
        <w:t> </w:t>
      </w:r>
      <w:r>
        <w:rPr>
          <w:sz w:val="20"/>
        </w:rPr>
        <w:t>management</w:t>
      </w:r>
      <w:r>
        <w:rPr>
          <w:spacing w:val="-9"/>
          <w:sz w:val="20"/>
        </w:rPr>
        <w:t> </w:t>
      </w:r>
      <w:r>
        <w:rPr>
          <w:sz w:val="20"/>
        </w:rPr>
        <w:t>of</w:t>
      </w:r>
      <w:r>
        <w:rPr>
          <w:spacing w:val="-13"/>
          <w:sz w:val="20"/>
        </w:rPr>
        <w:t> </w:t>
      </w:r>
      <w:r>
        <w:rPr>
          <w:sz w:val="20"/>
        </w:rPr>
        <w:t>community-acquired</w:t>
      </w:r>
      <w:r>
        <w:rPr>
          <w:spacing w:val="-10"/>
          <w:sz w:val="20"/>
        </w:rPr>
        <w:t> </w:t>
      </w:r>
      <w:r>
        <w:rPr>
          <w:sz w:val="20"/>
        </w:rPr>
        <w:t>pneumonia</w:t>
      </w:r>
      <w:r>
        <w:rPr>
          <w:spacing w:val="-10"/>
          <w:sz w:val="20"/>
        </w:rPr>
        <w:t> </w:t>
      </w:r>
      <w:r>
        <w:rPr>
          <w:sz w:val="20"/>
        </w:rPr>
        <w:t>in</w:t>
      </w:r>
      <w:r>
        <w:rPr>
          <w:spacing w:val="-10"/>
          <w:sz w:val="20"/>
        </w:rPr>
        <w:t> </w:t>
      </w:r>
      <w:r>
        <w:rPr>
          <w:sz w:val="20"/>
        </w:rPr>
        <w:t>adults</w:t>
      </w:r>
      <w:r>
        <w:rPr>
          <w:spacing w:val="-12"/>
          <w:sz w:val="20"/>
        </w:rPr>
        <w:t> </w:t>
      </w:r>
      <w:r>
        <w:rPr>
          <w:sz w:val="20"/>
        </w:rPr>
        <w:t>//Clinical</w:t>
      </w:r>
      <w:r>
        <w:rPr>
          <w:spacing w:val="-9"/>
          <w:sz w:val="20"/>
        </w:rPr>
        <w:t> </w:t>
      </w:r>
      <w:r>
        <w:rPr>
          <w:sz w:val="20"/>
        </w:rPr>
        <w:t>infectious</w:t>
      </w:r>
      <w:r>
        <w:rPr>
          <w:spacing w:val="-12"/>
          <w:sz w:val="20"/>
        </w:rPr>
        <w:t> </w:t>
      </w:r>
      <w:r>
        <w:rPr>
          <w:sz w:val="20"/>
        </w:rPr>
        <w:t>diseases.</w:t>
      </w:r>
    </w:p>
    <w:p>
      <w:pPr>
        <w:spacing w:before="0"/>
        <w:ind w:left="887" w:right="0" w:firstLine="0"/>
        <w:jc w:val="both"/>
        <w:rPr>
          <w:sz w:val="20"/>
        </w:rPr>
      </w:pPr>
      <w:r>
        <w:rPr>
          <w:sz w:val="20"/>
        </w:rPr>
        <w:t>– 2007. – Т. 44. – №. Supplement_2. – pp. S27-S72.</w:t>
      </w:r>
    </w:p>
    <w:p>
      <w:pPr>
        <w:pStyle w:val="ListParagraph"/>
        <w:numPr>
          <w:ilvl w:val="0"/>
          <w:numId w:val="42"/>
        </w:numPr>
        <w:tabs>
          <w:tab w:pos="886" w:val="left" w:leader="none"/>
          <w:tab w:pos="887" w:val="left" w:leader="none"/>
        </w:tabs>
        <w:spacing w:line="240" w:lineRule="auto" w:before="0" w:after="0"/>
        <w:ind w:left="886" w:right="678" w:hanging="567"/>
        <w:jc w:val="left"/>
        <w:rPr>
          <w:sz w:val="20"/>
        </w:rPr>
      </w:pPr>
      <w:r>
        <w:rPr>
          <w:sz w:val="20"/>
        </w:rPr>
        <w:t>Mao L. et al. Neurological Manifestations of Hospitalized Patients with COVID-19 in Wuhan, China: A retrospective case series study; 2020. doi:</w:t>
      </w:r>
      <w:r>
        <w:rPr>
          <w:spacing w:val="-9"/>
          <w:sz w:val="20"/>
        </w:rPr>
        <w:t> </w:t>
      </w:r>
      <w:r>
        <w:rPr>
          <w:sz w:val="20"/>
        </w:rPr>
        <w:t>https://doi.org/10.1101/2020.02.22.20026500</w:t>
      </w:r>
    </w:p>
    <w:p>
      <w:pPr>
        <w:pStyle w:val="ListParagraph"/>
        <w:numPr>
          <w:ilvl w:val="0"/>
          <w:numId w:val="42"/>
        </w:numPr>
        <w:tabs>
          <w:tab w:pos="886" w:val="left" w:leader="none"/>
          <w:tab w:pos="887" w:val="left" w:leader="none"/>
        </w:tabs>
        <w:spacing w:line="240" w:lineRule="auto" w:before="0" w:after="0"/>
        <w:ind w:left="886" w:right="678" w:hanging="567"/>
        <w:jc w:val="left"/>
        <w:rPr>
          <w:sz w:val="20"/>
        </w:rPr>
      </w:pPr>
      <w:r>
        <w:rPr>
          <w:sz w:val="20"/>
        </w:rPr>
        <w:t>Maude S.L. et al. Managing Cytokine Release Syndrome Associated With Novel T Cell-Engaging Therapies Cancer J. 2014 Mar-Apr; 20(2): 119–122. doi:</w:t>
      </w:r>
      <w:r>
        <w:rPr>
          <w:spacing w:val="-8"/>
          <w:sz w:val="20"/>
        </w:rPr>
        <w:t> </w:t>
      </w:r>
      <w:r>
        <w:rPr>
          <w:sz w:val="20"/>
        </w:rPr>
        <w:t>10.1097/PPO.0000000000000035</w:t>
      </w:r>
    </w:p>
    <w:p>
      <w:pPr>
        <w:pStyle w:val="ListParagraph"/>
        <w:numPr>
          <w:ilvl w:val="0"/>
          <w:numId w:val="42"/>
        </w:numPr>
        <w:tabs>
          <w:tab w:pos="886" w:val="left" w:leader="none"/>
          <w:tab w:pos="887" w:val="left" w:leader="none"/>
        </w:tabs>
        <w:spacing w:line="240" w:lineRule="auto" w:before="0" w:after="0"/>
        <w:ind w:left="886" w:right="676" w:hanging="567"/>
        <w:jc w:val="left"/>
        <w:rPr>
          <w:sz w:val="20"/>
        </w:rPr>
      </w:pPr>
      <w:r>
        <w:rPr>
          <w:sz w:val="20"/>
        </w:rPr>
        <w:t>Mehta P, et al. COVID-19: consider cytokine storm syndromes and immunosuppression. Lancet. 2020 Mar 28;395(10229):1033-1034. doi: 10.1016/S0140-6736(20)30628-0. Epub 2020 Mar</w:t>
      </w:r>
      <w:r>
        <w:rPr>
          <w:spacing w:val="-8"/>
          <w:sz w:val="20"/>
        </w:rPr>
        <w:t> </w:t>
      </w:r>
      <w:r>
        <w:rPr>
          <w:sz w:val="20"/>
        </w:rPr>
        <w:t>16.</w:t>
      </w:r>
    </w:p>
    <w:p>
      <w:pPr>
        <w:pStyle w:val="ListParagraph"/>
        <w:numPr>
          <w:ilvl w:val="0"/>
          <w:numId w:val="42"/>
        </w:numPr>
        <w:tabs>
          <w:tab w:pos="886" w:val="left" w:leader="none"/>
          <w:tab w:pos="887" w:val="left" w:leader="none"/>
          <w:tab w:pos="1932" w:val="left" w:leader="none"/>
          <w:tab w:pos="2479" w:val="left" w:leader="none"/>
          <w:tab w:pos="3617" w:val="left" w:leader="none"/>
          <w:tab w:pos="4042" w:val="left" w:leader="none"/>
          <w:tab w:pos="4512" w:val="left" w:leader="none"/>
          <w:tab w:pos="4937" w:val="left" w:leader="none"/>
          <w:tab w:pos="5664" w:val="left" w:leader="none"/>
          <w:tab w:pos="6987" w:val="left" w:leader="none"/>
          <w:tab w:pos="8791" w:val="left" w:leader="none"/>
        </w:tabs>
        <w:spacing w:line="240" w:lineRule="auto" w:before="1" w:after="0"/>
        <w:ind w:left="886" w:right="681" w:hanging="567"/>
        <w:jc w:val="left"/>
        <w:rPr>
          <w:sz w:val="20"/>
        </w:rPr>
      </w:pPr>
      <w:r>
        <w:rPr>
          <w:sz w:val="20"/>
        </w:rPr>
        <w:t>Ministère</w:t>
        <w:tab/>
        <w:t>des</w:t>
        <w:tab/>
        <w:t>Solidarités</w:t>
        <w:tab/>
        <w:t>et</w:t>
        <w:tab/>
        <w:t>de</w:t>
        <w:tab/>
        <w:t>la</w:t>
        <w:tab/>
        <w:t>Santé</w:t>
        <w:tab/>
        <w:t>Coronavirus:</w:t>
        <w:tab/>
        <w:t>questions-réponses</w:t>
        <w:tab/>
      </w:r>
      <w:r>
        <w:rPr>
          <w:spacing w:val="-4"/>
          <w:sz w:val="20"/>
        </w:rPr>
        <w:t>URL: </w:t>
      </w:r>
      <w:r>
        <w:rPr>
          <w:sz w:val="20"/>
        </w:rPr>
        <w:t>https://solidaritessante.gouv.fr/soins-et-maladies/maladies/maladies- infectieuses/coronavirus/coronavirus-questionsreponses</w:t>
      </w:r>
    </w:p>
    <w:p>
      <w:pPr>
        <w:pStyle w:val="ListParagraph"/>
        <w:numPr>
          <w:ilvl w:val="0"/>
          <w:numId w:val="42"/>
        </w:numPr>
        <w:tabs>
          <w:tab w:pos="885" w:val="left" w:leader="none"/>
          <w:tab w:pos="886" w:val="left" w:leader="none"/>
        </w:tabs>
        <w:spacing w:line="240" w:lineRule="auto" w:before="0" w:after="0"/>
        <w:ind w:left="885" w:right="678" w:hanging="567"/>
        <w:jc w:val="left"/>
        <w:rPr>
          <w:sz w:val="20"/>
        </w:rPr>
      </w:pPr>
      <w:r>
        <w:rPr>
          <w:sz w:val="20"/>
        </w:rPr>
        <w:t>Mo</w:t>
      </w:r>
      <w:r>
        <w:rPr>
          <w:spacing w:val="-3"/>
          <w:sz w:val="20"/>
        </w:rPr>
        <w:t> </w:t>
      </w:r>
      <w:r>
        <w:rPr>
          <w:sz w:val="20"/>
        </w:rPr>
        <w:t>Y.,</w:t>
      </w:r>
      <w:r>
        <w:rPr>
          <w:spacing w:val="-5"/>
          <w:sz w:val="20"/>
        </w:rPr>
        <w:t> </w:t>
      </w:r>
      <w:r>
        <w:rPr>
          <w:sz w:val="20"/>
        </w:rPr>
        <w:t>Fisher</w:t>
      </w:r>
      <w:r>
        <w:rPr>
          <w:spacing w:val="-3"/>
          <w:sz w:val="20"/>
        </w:rPr>
        <w:t> </w:t>
      </w:r>
      <w:r>
        <w:rPr>
          <w:sz w:val="20"/>
        </w:rPr>
        <w:t>D.A.</w:t>
      </w:r>
      <w:r>
        <w:rPr>
          <w:spacing w:val="-2"/>
          <w:sz w:val="20"/>
        </w:rPr>
        <w:t> </w:t>
      </w:r>
      <w:r>
        <w:rPr>
          <w:sz w:val="20"/>
        </w:rPr>
        <w:t>review</w:t>
      </w:r>
      <w:r>
        <w:rPr>
          <w:spacing w:val="-8"/>
          <w:sz w:val="20"/>
        </w:rPr>
        <w:t> </w:t>
      </w:r>
      <w:r>
        <w:rPr>
          <w:sz w:val="20"/>
        </w:rPr>
        <w:t>of</w:t>
      </w:r>
      <w:r>
        <w:rPr>
          <w:spacing w:val="-5"/>
          <w:sz w:val="20"/>
        </w:rPr>
        <w:t> </w:t>
      </w:r>
      <w:r>
        <w:rPr>
          <w:sz w:val="20"/>
        </w:rPr>
        <w:t>treatment</w:t>
      </w:r>
      <w:r>
        <w:rPr>
          <w:spacing w:val="-2"/>
          <w:sz w:val="20"/>
        </w:rPr>
        <w:t> </w:t>
      </w:r>
      <w:r>
        <w:rPr>
          <w:sz w:val="20"/>
        </w:rPr>
        <w:t>modalities</w:t>
      </w:r>
      <w:r>
        <w:rPr>
          <w:spacing w:val="-4"/>
          <w:sz w:val="20"/>
        </w:rPr>
        <w:t> </w:t>
      </w:r>
      <w:r>
        <w:rPr>
          <w:sz w:val="20"/>
        </w:rPr>
        <w:t>for</w:t>
      </w:r>
      <w:r>
        <w:rPr>
          <w:spacing w:val="-2"/>
          <w:sz w:val="20"/>
        </w:rPr>
        <w:t> </w:t>
      </w:r>
      <w:r>
        <w:rPr>
          <w:sz w:val="20"/>
        </w:rPr>
        <w:t>Middle</w:t>
      </w:r>
      <w:r>
        <w:rPr>
          <w:spacing w:val="-4"/>
          <w:sz w:val="20"/>
        </w:rPr>
        <w:t> </w:t>
      </w:r>
      <w:r>
        <w:rPr>
          <w:sz w:val="20"/>
        </w:rPr>
        <w:t>East</w:t>
      </w:r>
      <w:r>
        <w:rPr>
          <w:spacing w:val="-3"/>
          <w:sz w:val="20"/>
        </w:rPr>
        <w:t> </w:t>
      </w:r>
      <w:r>
        <w:rPr>
          <w:sz w:val="20"/>
        </w:rPr>
        <w:t>Respiratory</w:t>
      </w:r>
      <w:r>
        <w:rPr>
          <w:spacing w:val="-7"/>
          <w:sz w:val="20"/>
        </w:rPr>
        <w:t> </w:t>
      </w:r>
      <w:r>
        <w:rPr>
          <w:sz w:val="20"/>
        </w:rPr>
        <w:t>Syndrome</w:t>
      </w:r>
      <w:r>
        <w:rPr>
          <w:spacing w:val="-4"/>
          <w:sz w:val="20"/>
        </w:rPr>
        <w:t> </w:t>
      </w:r>
      <w:r>
        <w:rPr>
          <w:sz w:val="20"/>
        </w:rPr>
        <w:t>//</w:t>
      </w:r>
      <w:r>
        <w:rPr>
          <w:spacing w:val="-3"/>
          <w:sz w:val="20"/>
        </w:rPr>
        <w:t> </w:t>
      </w:r>
      <w:r>
        <w:rPr>
          <w:sz w:val="20"/>
        </w:rPr>
        <w:t>The</w:t>
      </w:r>
      <w:r>
        <w:rPr>
          <w:spacing w:val="-5"/>
          <w:sz w:val="20"/>
        </w:rPr>
        <w:t> </w:t>
      </w:r>
      <w:r>
        <w:rPr>
          <w:sz w:val="20"/>
        </w:rPr>
        <w:t>Journal of antimicrobial chemotherapy. 2016. 71. № 12. pp.</w:t>
      </w:r>
      <w:r>
        <w:rPr>
          <w:spacing w:val="-3"/>
          <w:sz w:val="20"/>
        </w:rPr>
        <w:t> </w:t>
      </w:r>
      <w:r>
        <w:rPr>
          <w:sz w:val="20"/>
        </w:rPr>
        <w:t>3340–3350.</w:t>
      </w:r>
    </w:p>
    <w:p>
      <w:pPr>
        <w:pStyle w:val="ListParagraph"/>
        <w:numPr>
          <w:ilvl w:val="0"/>
          <w:numId w:val="42"/>
        </w:numPr>
        <w:tabs>
          <w:tab w:pos="885" w:val="left" w:leader="none"/>
          <w:tab w:pos="886" w:val="left" w:leader="none"/>
        </w:tabs>
        <w:spacing w:line="240" w:lineRule="auto" w:before="0" w:after="0"/>
        <w:ind w:left="885" w:right="677" w:hanging="567"/>
        <w:jc w:val="left"/>
        <w:rPr>
          <w:sz w:val="20"/>
        </w:rPr>
      </w:pPr>
      <w:r>
        <w:rPr>
          <w:sz w:val="20"/>
        </w:rPr>
        <w:t>Momattin</w:t>
      </w:r>
      <w:r>
        <w:rPr>
          <w:spacing w:val="-11"/>
          <w:sz w:val="20"/>
        </w:rPr>
        <w:t> </w:t>
      </w:r>
      <w:r>
        <w:rPr>
          <w:sz w:val="20"/>
        </w:rPr>
        <w:t>H.</w:t>
      </w:r>
      <w:r>
        <w:rPr>
          <w:spacing w:val="-10"/>
          <w:sz w:val="20"/>
        </w:rPr>
        <w:t> </w:t>
      </w:r>
      <w:r>
        <w:rPr>
          <w:sz w:val="20"/>
        </w:rPr>
        <w:t>et</w:t>
      </w:r>
      <w:r>
        <w:rPr>
          <w:spacing w:val="-11"/>
          <w:sz w:val="20"/>
        </w:rPr>
        <w:t> </w:t>
      </w:r>
      <w:r>
        <w:rPr>
          <w:sz w:val="20"/>
        </w:rPr>
        <w:t>al.</w:t>
      </w:r>
      <w:r>
        <w:rPr>
          <w:spacing w:val="-10"/>
          <w:sz w:val="20"/>
        </w:rPr>
        <w:t> </w:t>
      </w:r>
      <w:r>
        <w:rPr>
          <w:sz w:val="20"/>
        </w:rPr>
        <w:t>Therapeutic</w:t>
      </w:r>
      <w:r>
        <w:rPr>
          <w:spacing w:val="-10"/>
          <w:sz w:val="20"/>
        </w:rPr>
        <w:t> </w:t>
      </w:r>
      <w:r>
        <w:rPr>
          <w:sz w:val="20"/>
        </w:rPr>
        <w:t>options</w:t>
      </w:r>
      <w:r>
        <w:rPr>
          <w:spacing w:val="29"/>
          <w:sz w:val="20"/>
        </w:rPr>
        <w:t> </w:t>
      </w:r>
      <w:r>
        <w:rPr>
          <w:sz w:val="20"/>
        </w:rPr>
        <w:t>for</w:t>
      </w:r>
      <w:r>
        <w:rPr>
          <w:spacing w:val="-9"/>
          <w:sz w:val="20"/>
        </w:rPr>
        <w:t> </w:t>
      </w:r>
      <w:r>
        <w:rPr>
          <w:sz w:val="20"/>
        </w:rPr>
        <w:t>Middle</w:t>
      </w:r>
      <w:r>
        <w:rPr>
          <w:spacing w:val="-10"/>
          <w:sz w:val="20"/>
        </w:rPr>
        <w:t> </w:t>
      </w:r>
      <w:r>
        <w:rPr>
          <w:sz w:val="20"/>
        </w:rPr>
        <w:t>East</w:t>
      </w:r>
      <w:r>
        <w:rPr>
          <w:spacing w:val="-10"/>
          <w:sz w:val="20"/>
        </w:rPr>
        <w:t> </w:t>
      </w:r>
      <w:r>
        <w:rPr>
          <w:sz w:val="20"/>
        </w:rPr>
        <w:t>respiratory</w:t>
      </w:r>
      <w:r>
        <w:rPr>
          <w:spacing w:val="-14"/>
          <w:sz w:val="20"/>
        </w:rPr>
        <w:t> </w:t>
      </w:r>
      <w:r>
        <w:rPr>
          <w:sz w:val="20"/>
        </w:rPr>
        <w:t>syndrome</w:t>
      </w:r>
      <w:r>
        <w:rPr>
          <w:spacing w:val="-10"/>
          <w:sz w:val="20"/>
        </w:rPr>
        <w:t> </w:t>
      </w:r>
      <w:r>
        <w:rPr>
          <w:sz w:val="20"/>
        </w:rPr>
        <w:t>coronavirus</w:t>
      </w:r>
      <w:r>
        <w:rPr>
          <w:spacing w:val="-11"/>
          <w:sz w:val="20"/>
        </w:rPr>
        <w:t> </w:t>
      </w:r>
      <w:r>
        <w:rPr>
          <w:sz w:val="20"/>
        </w:rPr>
        <w:t>(MERS-CoV)- possible</w:t>
      </w:r>
      <w:r>
        <w:rPr>
          <w:spacing w:val="-11"/>
          <w:sz w:val="20"/>
        </w:rPr>
        <w:t> </w:t>
      </w:r>
      <w:r>
        <w:rPr>
          <w:sz w:val="20"/>
        </w:rPr>
        <w:t>lessons</w:t>
      </w:r>
      <w:r>
        <w:rPr>
          <w:spacing w:val="-9"/>
          <w:sz w:val="20"/>
        </w:rPr>
        <w:t> </w:t>
      </w:r>
      <w:r>
        <w:rPr>
          <w:sz w:val="20"/>
        </w:rPr>
        <w:t>from</w:t>
      </w:r>
      <w:r>
        <w:rPr>
          <w:spacing w:val="-14"/>
          <w:sz w:val="20"/>
        </w:rPr>
        <w:t> </w:t>
      </w:r>
      <w:r>
        <w:rPr>
          <w:sz w:val="20"/>
        </w:rPr>
        <w:t>a</w:t>
      </w:r>
      <w:r>
        <w:rPr>
          <w:spacing w:val="-10"/>
          <w:sz w:val="20"/>
        </w:rPr>
        <w:t> </w:t>
      </w:r>
      <w:r>
        <w:rPr>
          <w:sz w:val="20"/>
        </w:rPr>
        <w:t>systematic</w:t>
      </w:r>
      <w:r>
        <w:rPr>
          <w:spacing w:val="-10"/>
          <w:sz w:val="20"/>
        </w:rPr>
        <w:t> </w:t>
      </w:r>
      <w:r>
        <w:rPr>
          <w:sz w:val="20"/>
        </w:rPr>
        <w:t>review</w:t>
      </w:r>
      <w:r>
        <w:rPr>
          <w:spacing w:val="-15"/>
          <w:sz w:val="20"/>
        </w:rPr>
        <w:t> </w:t>
      </w:r>
      <w:r>
        <w:rPr>
          <w:sz w:val="20"/>
        </w:rPr>
        <w:t>of</w:t>
      </w:r>
      <w:r>
        <w:rPr>
          <w:spacing w:val="-12"/>
          <w:sz w:val="20"/>
        </w:rPr>
        <w:t> </w:t>
      </w:r>
      <w:r>
        <w:rPr>
          <w:sz w:val="20"/>
        </w:rPr>
        <w:t>SARS-CoV</w:t>
      </w:r>
      <w:r>
        <w:rPr>
          <w:spacing w:val="-11"/>
          <w:sz w:val="20"/>
        </w:rPr>
        <w:t> </w:t>
      </w:r>
      <w:r>
        <w:rPr>
          <w:sz w:val="20"/>
        </w:rPr>
        <w:t>therapy.</w:t>
      </w:r>
      <w:r>
        <w:rPr>
          <w:spacing w:val="-10"/>
          <w:sz w:val="20"/>
        </w:rPr>
        <w:t> </w:t>
      </w:r>
      <w:r>
        <w:rPr>
          <w:sz w:val="20"/>
        </w:rPr>
        <w:t>Int</w:t>
      </w:r>
      <w:r>
        <w:rPr>
          <w:spacing w:val="-10"/>
          <w:sz w:val="20"/>
        </w:rPr>
        <w:t> </w:t>
      </w:r>
      <w:r>
        <w:rPr>
          <w:sz w:val="20"/>
        </w:rPr>
        <w:t>J</w:t>
      </w:r>
      <w:r>
        <w:rPr>
          <w:spacing w:val="-10"/>
          <w:sz w:val="20"/>
        </w:rPr>
        <w:t> </w:t>
      </w:r>
      <w:r>
        <w:rPr>
          <w:sz w:val="20"/>
        </w:rPr>
        <w:t>Infect</w:t>
      </w:r>
      <w:r>
        <w:rPr>
          <w:spacing w:val="-10"/>
          <w:sz w:val="20"/>
        </w:rPr>
        <w:t> </w:t>
      </w:r>
      <w:r>
        <w:rPr>
          <w:sz w:val="20"/>
        </w:rPr>
        <w:t>Dis.</w:t>
      </w:r>
      <w:r>
        <w:rPr>
          <w:spacing w:val="-10"/>
          <w:sz w:val="20"/>
        </w:rPr>
        <w:t> </w:t>
      </w:r>
      <w:r>
        <w:rPr>
          <w:sz w:val="20"/>
        </w:rPr>
        <w:t>2013</w:t>
      </w:r>
      <w:r>
        <w:rPr>
          <w:spacing w:val="-9"/>
          <w:sz w:val="20"/>
        </w:rPr>
        <w:t> </w:t>
      </w:r>
      <w:r>
        <w:rPr>
          <w:sz w:val="20"/>
        </w:rPr>
        <w:t>Oct;17(10):e7928</w:t>
      </w:r>
    </w:p>
    <w:p>
      <w:pPr>
        <w:pStyle w:val="ListParagraph"/>
        <w:numPr>
          <w:ilvl w:val="0"/>
          <w:numId w:val="42"/>
        </w:numPr>
        <w:tabs>
          <w:tab w:pos="885" w:val="left" w:leader="none"/>
          <w:tab w:pos="886" w:val="left" w:leader="none"/>
        </w:tabs>
        <w:spacing w:line="229" w:lineRule="exact" w:before="0" w:after="0"/>
        <w:ind w:left="885" w:right="0" w:hanging="567"/>
        <w:jc w:val="left"/>
        <w:rPr>
          <w:sz w:val="20"/>
        </w:rPr>
      </w:pPr>
      <w:r>
        <w:rPr>
          <w:sz w:val="20"/>
        </w:rPr>
        <w:t>National Health Commission of the People's Republic of China. URL:</w:t>
      </w:r>
      <w:r>
        <w:rPr>
          <w:spacing w:val="-6"/>
          <w:sz w:val="20"/>
        </w:rPr>
        <w:t> </w:t>
      </w:r>
      <w:hyperlink r:id="rId35">
        <w:r>
          <w:rPr>
            <w:sz w:val="20"/>
          </w:rPr>
          <w:t>http://en.nhc.gov.cn</w:t>
        </w:r>
      </w:hyperlink>
    </w:p>
    <w:p>
      <w:pPr>
        <w:pStyle w:val="ListParagraph"/>
        <w:numPr>
          <w:ilvl w:val="0"/>
          <w:numId w:val="42"/>
        </w:numPr>
        <w:tabs>
          <w:tab w:pos="886" w:val="left" w:leader="none"/>
        </w:tabs>
        <w:spacing w:line="240" w:lineRule="auto" w:before="0" w:after="0"/>
        <w:ind w:left="885" w:right="676" w:hanging="567"/>
        <w:jc w:val="both"/>
        <w:rPr>
          <w:sz w:val="20"/>
        </w:rPr>
      </w:pPr>
      <w:r>
        <w:rPr>
          <w:sz w:val="20"/>
        </w:rPr>
        <w:t>Netland J. Severe Acute Respiratory Syndrome Coronavirus Infection Causes Neuronal Death in the Absence of Encephalitis in Mice Transgenic for Human ACE2. J Virol. 2008;82:7264–75. doi:10.1128/JVI.00737-08.</w:t>
      </w:r>
    </w:p>
    <w:p>
      <w:pPr>
        <w:pStyle w:val="ListParagraph"/>
        <w:numPr>
          <w:ilvl w:val="0"/>
          <w:numId w:val="42"/>
        </w:numPr>
        <w:tabs>
          <w:tab w:pos="886" w:val="left" w:leader="none"/>
        </w:tabs>
        <w:spacing w:line="229" w:lineRule="exact" w:before="2" w:after="0"/>
        <w:ind w:left="885" w:right="0" w:hanging="567"/>
        <w:jc w:val="both"/>
        <w:rPr>
          <w:sz w:val="20"/>
        </w:rPr>
      </w:pPr>
      <w:r>
        <w:rPr>
          <w:sz w:val="20"/>
        </w:rPr>
        <w:t>NHS. Coronavirus (2019-nCoV) URL:</w:t>
      </w:r>
      <w:r>
        <w:rPr>
          <w:spacing w:val="-5"/>
          <w:sz w:val="20"/>
        </w:rPr>
        <w:t> </w:t>
      </w:r>
      <w:r>
        <w:rPr>
          <w:sz w:val="20"/>
        </w:rPr>
        <w:t>https://</w:t>
      </w:r>
      <w:hyperlink r:id="rId36">
        <w:r>
          <w:rPr>
            <w:sz w:val="20"/>
          </w:rPr>
          <w:t>www.nhs.uk/conditions/wuhan-novel-coronavirus/</w:t>
        </w:r>
      </w:hyperlink>
    </w:p>
    <w:p>
      <w:pPr>
        <w:pStyle w:val="ListParagraph"/>
        <w:numPr>
          <w:ilvl w:val="0"/>
          <w:numId w:val="42"/>
        </w:numPr>
        <w:tabs>
          <w:tab w:pos="886" w:val="left" w:leader="none"/>
        </w:tabs>
        <w:spacing w:line="240" w:lineRule="auto" w:before="0" w:after="0"/>
        <w:ind w:left="885" w:right="678" w:hanging="567"/>
        <w:jc w:val="both"/>
        <w:rPr>
          <w:sz w:val="20"/>
        </w:rPr>
      </w:pPr>
      <w:r>
        <w:rPr>
          <w:sz w:val="20"/>
        </w:rPr>
        <w:t>Omrani A.S. et al. Ribavirin and interferon alfa-2a for severe Middle East respiratory syndrome coronavirus infection: a retrospective cohort study //The Lancet Infectious Diseases. 2014. Т. 14. №. 11. pp. 1090-1095.</w:t>
      </w:r>
    </w:p>
    <w:p>
      <w:pPr>
        <w:pStyle w:val="ListParagraph"/>
        <w:numPr>
          <w:ilvl w:val="0"/>
          <w:numId w:val="42"/>
        </w:numPr>
        <w:tabs>
          <w:tab w:pos="885" w:val="left" w:leader="none"/>
          <w:tab w:pos="886" w:val="left" w:leader="none"/>
          <w:tab w:pos="2574" w:val="left" w:leader="none"/>
          <w:tab w:pos="3414" w:val="left" w:leader="none"/>
          <w:tab w:pos="4338" w:val="left" w:leader="none"/>
          <w:tab w:pos="5730" w:val="left" w:leader="none"/>
          <w:tab w:pos="6524" w:val="left" w:leader="none"/>
          <w:tab w:pos="7580" w:val="left" w:leader="none"/>
          <w:tab w:pos="8795" w:val="left" w:leader="none"/>
        </w:tabs>
        <w:spacing w:line="240" w:lineRule="auto" w:before="0" w:after="0"/>
        <w:ind w:left="884" w:right="678" w:hanging="567"/>
        <w:jc w:val="left"/>
        <w:rPr>
          <w:sz w:val="20"/>
        </w:rPr>
      </w:pPr>
      <w:r>
        <w:rPr>
          <w:sz w:val="20"/>
        </w:rPr>
        <w:t>Outbreak of acute respiratory syndrome associated with a novel coronavirus, China: first local transmission</w:t>
        <w:tab/>
        <w:t>in</w:t>
        <w:tab/>
        <w:t>the</w:t>
        <w:tab/>
        <w:t>EU/EEA</w:t>
        <w:tab/>
        <w:t>−</w:t>
        <w:tab/>
        <w:t>third</w:t>
        <w:tab/>
        <w:t>update</w:t>
        <w:tab/>
      </w:r>
      <w:r>
        <w:rPr>
          <w:spacing w:val="-5"/>
          <w:sz w:val="20"/>
        </w:rPr>
        <w:t>URL: </w:t>
      </w:r>
      <w:r>
        <w:rPr>
          <w:sz w:val="20"/>
        </w:rPr>
        <w:t>https://</w:t>
      </w:r>
      <w:hyperlink r:id="rId37">
        <w:r>
          <w:rPr>
            <w:sz w:val="20"/>
          </w:rPr>
          <w:t>www.ecdc.europa.eu/sites/default/files/documents/novel-coronavirus-risk-assessment-china-</w:t>
        </w:r>
      </w:hyperlink>
      <w:r>
        <w:rPr>
          <w:sz w:val="20"/>
        </w:rPr>
        <w:t> 31january-2020_0.pdf</w:t>
      </w:r>
    </w:p>
    <w:p>
      <w:pPr>
        <w:pStyle w:val="ListParagraph"/>
        <w:numPr>
          <w:ilvl w:val="0"/>
          <w:numId w:val="42"/>
        </w:numPr>
        <w:tabs>
          <w:tab w:pos="885" w:val="left" w:leader="none"/>
        </w:tabs>
        <w:spacing w:line="240" w:lineRule="auto" w:before="0" w:after="0"/>
        <w:ind w:left="884" w:right="678" w:hanging="567"/>
        <w:jc w:val="both"/>
        <w:rPr>
          <w:sz w:val="20"/>
        </w:rPr>
      </w:pPr>
      <w:r>
        <w:rPr>
          <w:sz w:val="20"/>
        </w:rPr>
        <w:t>Pan</w:t>
      </w:r>
      <w:r>
        <w:rPr>
          <w:spacing w:val="-13"/>
          <w:sz w:val="20"/>
        </w:rPr>
        <w:t> </w:t>
      </w:r>
      <w:r>
        <w:rPr>
          <w:sz w:val="20"/>
        </w:rPr>
        <w:t>F.</w:t>
      </w:r>
      <w:r>
        <w:rPr>
          <w:spacing w:val="-11"/>
          <w:sz w:val="20"/>
        </w:rPr>
        <w:t> </w:t>
      </w:r>
      <w:r>
        <w:rPr>
          <w:sz w:val="20"/>
        </w:rPr>
        <w:t>et</w:t>
      </w:r>
      <w:r>
        <w:rPr>
          <w:spacing w:val="-12"/>
          <w:sz w:val="20"/>
        </w:rPr>
        <w:t> </w:t>
      </w:r>
      <w:r>
        <w:rPr>
          <w:sz w:val="20"/>
        </w:rPr>
        <w:t>al.</w:t>
      </w:r>
      <w:r>
        <w:rPr>
          <w:spacing w:val="-11"/>
          <w:sz w:val="20"/>
        </w:rPr>
        <w:t> </w:t>
      </w:r>
      <w:r>
        <w:rPr>
          <w:sz w:val="20"/>
        </w:rPr>
        <w:t>Time</w:t>
      </w:r>
      <w:r>
        <w:rPr>
          <w:spacing w:val="-11"/>
          <w:sz w:val="20"/>
        </w:rPr>
        <w:t> </w:t>
      </w:r>
      <w:r>
        <w:rPr>
          <w:sz w:val="20"/>
        </w:rPr>
        <w:t>Course</w:t>
      </w:r>
      <w:r>
        <w:rPr>
          <w:spacing w:val="-11"/>
          <w:sz w:val="20"/>
        </w:rPr>
        <w:t> </w:t>
      </w:r>
      <w:r>
        <w:rPr>
          <w:sz w:val="20"/>
        </w:rPr>
        <w:t>of</w:t>
      </w:r>
      <w:r>
        <w:rPr>
          <w:spacing w:val="-11"/>
          <w:sz w:val="20"/>
        </w:rPr>
        <w:t> </w:t>
      </w:r>
      <w:r>
        <w:rPr>
          <w:sz w:val="20"/>
        </w:rPr>
        <w:t>Lung</w:t>
      </w:r>
      <w:r>
        <w:rPr>
          <w:spacing w:val="-10"/>
          <w:sz w:val="20"/>
        </w:rPr>
        <w:t> </w:t>
      </w:r>
      <w:r>
        <w:rPr>
          <w:sz w:val="20"/>
        </w:rPr>
        <w:t>Changes</w:t>
      </w:r>
      <w:r>
        <w:rPr>
          <w:spacing w:val="-12"/>
          <w:sz w:val="20"/>
        </w:rPr>
        <w:t> </w:t>
      </w:r>
      <w:r>
        <w:rPr>
          <w:sz w:val="20"/>
        </w:rPr>
        <w:t>On</w:t>
      </w:r>
      <w:r>
        <w:rPr>
          <w:spacing w:val="-10"/>
          <w:sz w:val="20"/>
        </w:rPr>
        <w:t> </w:t>
      </w:r>
      <w:r>
        <w:rPr>
          <w:sz w:val="20"/>
        </w:rPr>
        <w:t>Chest</w:t>
      </w:r>
      <w:r>
        <w:rPr>
          <w:spacing w:val="-9"/>
          <w:sz w:val="20"/>
        </w:rPr>
        <w:t> </w:t>
      </w:r>
      <w:r>
        <w:rPr>
          <w:sz w:val="20"/>
        </w:rPr>
        <w:t>CT</w:t>
      </w:r>
      <w:r>
        <w:rPr>
          <w:spacing w:val="-9"/>
          <w:sz w:val="20"/>
        </w:rPr>
        <w:t> </w:t>
      </w:r>
      <w:r>
        <w:rPr>
          <w:sz w:val="20"/>
        </w:rPr>
        <w:t>During</w:t>
      </w:r>
      <w:r>
        <w:rPr>
          <w:spacing w:val="-10"/>
          <w:sz w:val="20"/>
        </w:rPr>
        <w:t> </w:t>
      </w:r>
      <w:r>
        <w:rPr>
          <w:sz w:val="20"/>
        </w:rPr>
        <w:t>Recovery</w:t>
      </w:r>
      <w:r>
        <w:rPr>
          <w:spacing w:val="-13"/>
          <w:sz w:val="20"/>
        </w:rPr>
        <w:t> </w:t>
      </w:r>
      <w:r>
        <w:rPr>
          <w:sz w:val="20"/>
        </w:rPr>
        <w:t>From</w:t>
      </w:r>
      <w:r>
        <w:rPr>
          <w:spacing w:val="-13"/>
          <w:sz w:val="20"/>
        </w:rPr>
        <w:t> </w:t>
      </w:r>
      <w:r>
        <w:rPr>
          <w:sz w:val="20"/>
        </w:rPr>
        <w:t>2019</w:t>
      </w:r>
      <w:r>
        <w:rPr>
          <w:spacing w:val="-10"/>
          <w:sz w:val="20"/>
        </w:rPr>
        <w:t> </w:t>
      </w:r>
      <w:r>
        <w:rPr>
          <w:sz w:val="20"/>
        </w:rPr>
        <w:t>Novel</w:t>
      </w:r>
      <w:r>
        <w:rPr>
          <w:spacing w:val="-12"/>
          <w:sz w:val="20"/>
        </w:rPr>
        <w:t> </w:t>
      </w:r>
      <w:r>
        <w:rPr>
          <w:sz w:val="20"/>
        </w:rPr>
        <w:t>Coronavirus (COVID-19)</w:t>
      </w:r>
      <w:r>
        <w:rPr>
          <w:spacing w:val="-9"/>
          <w:sz w:val="20"/>
        </w:rPr>
        <w:t> </w:t>
      </w:r>
      <w:r>
        <w:rPr>
          <w:sz w:val="20"/>
        </w:rPr>
        <w:t>Pneumonia</w:t>
      </w:r>
      <w:r>
        <w:rPr>
          <w:spacing w:val="-9"/>
          <w:sz w:val="20"/>
        </w:rPr>
        <w:t> </w:t>
      </w:r>
      <w:r>
        <w:rPr>
          <w:sz w:val="20"/>
        </w:rPr>
        <w:t>[published</w:t>
      </w:r>
      <w:r>
        <w:rPr>
          <w:spacing w:val="-8"/>
          <w:sz w:val="20"/>
        </w:rPr>
        <w:t> </w:t>
      </w:r>
      <w:r>
        <w:rPr>
          <w:sz w:val="20"/>
        </w:rPr>
        <w:t>online</w:t>
      </w:r>
      <w:r>
        <w:rPr>
          <w:spacing w:val="-7"/>
          <w:sz w:val="20"/>
        </w:rPr>
        <w:t> </w:t>
      </w:r>
      <w:r>
        <w:rPr>
          <w:sz w:val="20"/>
        </w:rPr>
        <w:t>ahead</w:t>
      </w:r>
      <w:r>
        <w:rPr>
          <w:spacing w:val="-9"/>
          <w:sz w:val="20"/>
        </w:rPr>
        <w:t> </w:t>
      </w:r>
      <w:r>
        <w:rPr>
          <w:sz w:val="20"/>
        </w:rPr>
        <w:t>of</w:t>
      </w:r>
      <w:r>
        <w:rPr>
          <w:spacing w:val="-8"/>
          <w:sz w:val="20"/>
        </w:rPr>
        <w:t> </w:t>
      </w:r>
      <w:r>
        <w:rPr>
          <w:sz w:val="20"/>
        </w:rPr>
        <w:t>print,</w:t>
      </w:r>
      <w:r>
        <w:rPr>
          <w:spacing w:val="-9"/>
          <w:sz w:val="20"/>
        </w:rPr>
        <w:t> </w:t>
      </w:r>
      <w:r>
        <w:rPr>
          <w:sz w:val="20"/>
        </w:rPr>
        <w:t>2020</w:t>
      </w:r>
      <w:r>
        <w:rPr>
          <w:spacing w:val="-8"/>
          <w:sz w:val="20"/>
        </w:rPr>
        <w:t> </w:t>
      </w:r>
      <w:r>
        <w:rPr>
          <w:sz w:val="20"/>
        </w:rPr>
        <w:t>Feb</w:t>
      </w:r>
      <w:r>
        <w:rPr>
          <w:spacing w:val="-8"/>
          <w:sz w:val="20"/>
        </w:rPr>
        <w:t> </w:t>
      </w:r>
      <w:r>
        <w:rPr>
          <w:sz w:val="20"/>
        </w:rPr>
        <w:t>13]</w:t>
      </w:r>
      <w:r>
        <w:rPr>
          <w:spacing w:val="-9"/>
          <w:sz w:val="20"/>
        </w:rPr>
        <w:t> </w:t>
      </w:r>
      <w:r>
        <w:rPr>
          <w:sz w:val="20"/>
        </w:rPr>
        <w:t>//</w:t>
      </w:r>
      <w:r>
        <w:rPr>
          <w:spacing w:val="-9"/>
          <w:sz w:val="20"/>
        </w:rPr>
        <w:t> </w:t>
      </w:r>
      <w:r>
        <w:rPr>
          <w:sz w:val="20"/>
        </w:rPr>
        <w:t>Radiology.</w:t>
      </w:r>
      <w:r>
        <w:rPr>
          <w:spacing w:val="-9"/>
          <w:sz w:val="20"/>
        </w:rPr>
        <w:t> </w:t>
      </w:r>
      <w:r>
        <w:rPr>
          <w:sz w:val="20"/>
        </w:rPr>
        <w:t>2020.</w:t>
      </w:r>
      <w:r>
        <w:rPr>
          <w:spacing w:val="-11"/>
          <w:sz w:val="20"/>
        </w:rPr>
        <w:t> </w:t>
      </w:r>
      <w:r>
        <w:rPr>
          <w:sz w:val="20"/>
        </w:rPr>
        <w:t>200370.</w:t>
      </w:r>
      <w:r>
        <w:rPr>
          <w:spacing w:val="-9"/>
          <w:sz w:val="20"/>
        </w:rPr>
        <w:t> </w:t>
      </w:r>
      <w:r>
        <w:rPr>
          <w:sz w:val="20"/>
        </w:rPr>
        <w:t>Doi: 10.1148/radiol.2020200370.</w:t>
      </w:r>
    </w:p>
    <w:p>
      <w:pPr>
        <w:pStyle w:val="ListParagraph"/>
        <w:numPr>
          <w:ilvl w:val="0"/>
          <w:numId w:val="42"/>
        </w:numPr>
        <w:tabs>
          <w:tab w:pos="885" w:val="left" w:leader="none"/>
        </w:tabs>
        <w:spacing w:line="240" w:lineRule="auto" w:before="1" w:after="0"/>
        <w:ind w:left="884" w:right="679" w:hanging="567"/>
        <w:jc w:val="both"/>
        <w:rPr>
          <w:sz w:val="20"/>
        </w:rPr>
      </w:pPr>
      <w:r>
        <w:rPr>
          <w:sz w:val="20"/>
        </w:rPr>
        <w:t>Park M.H. et al. Emergency cesarean section in an epidemic of the Middle East respiratory syndrome: a case report Korean J Anesthesiol, 69 (2016), pp. 287-291, doi:</w:t>
      </w:r>
      <w:r>
        <w:rPr>
          <w:spacing w:val="-13"/>
          <w:sz w:val="20"/>
        </w:rPr>
        <w:t> </w:t>
      </w:r>
      <w:r>
        <w:rPr>
          <w:sz w:val="20"/>
        </w:rPr>
        <w:t>10.4097/kjae.2016.69.3.287</w:t>
      </w:r>
    </w:p>
    <w:p>
      <w:pPr>
        <w:pStyle w:val="ListParagraph"/>
        <w:numPr>
          <w:ilvl w:val="0"/>
          <w:numId w:val="42"/>
        </w:numPr>
        <w:tabs>
          <w:tab w:pos="885" w:val="left" w:leader="none"/>
        </w:tabs>
        <w:spacing w:line="240" w:lineRule="auto" w:before="0" w:after="0"/>
        <w:ind w:left="884" w:right="682" w:hanging="567"/>
        <w:jc w:val="both"/>
        <w:rPr>
          <w:sz w:val="20"/>
        </w:rPr>
      </w:pPr>
      <w:r>
        <w:rPr>
          <w:sz w:val="20"/>
        </w:rPr>
        <w:t>Paul La Rosée et al. Recommendations for the management of hemophagocytic lymphohistiocytosis in adults. Blood (2019) 133 (23): 2465–2477.</w:t>
      </w:r>
      <w:r>
        <w:rPr>
          <w:spacing w:val="-7"/>
          <w:sz w:val="20"/>
        </w:rPr>
        <w:t> </w:t>
      </w:r>
      <w:hyperlink r:id="rId38">
        <w:r>
          <w:rPr>
            <w:sz w:val="20"/>
          </w:rPr>
          <w:t>https://doi.org/10.1182/blood.2018894618</w:t>
        </w:r>
      </w:hyperlink>
    </w:p>
    <w:p>
      <w:pPr>
        <w:spacing w:after="0" w:line="240" w:lineRule="auto"/>
        <w:jc w:val="both"/>
        <w:rPr>
          <w:sz w:val="20"/>
        </w:rPr>
        <w:sectPr>
          <w:pgSz w:w="11920" w:h="16850"/>
          <w:pgMar w:header="0" w:footer="620" w:top="1060" w:bottom="880" w:left="1380" w:right="600"/>
        </w:sectPr>
      </w:pPr>
    </w:p>
    <w:p>
      <w:pPr>
        <w:pStyle w:val="ListParagraph"/>
        <w:numPr>
          <w:ilvl w:val="0"/>
          <w:numId w:val="42"/>
        </w:numPr>
        <w:tabs>
          <w:tab w:pos="888" w:val="left" w:leader="none"/>
        </w:tabs>
        <w:spacing w:line="240" w:lineRule="auto" w:before="79" w:after="0"/>
        <w:ind w:left="887" w:right="0" w:hanging="567"/>
        <w:jc w:val="both"/>
        <w:rPr>
          <w:sz w:val="20"/>
        </w:rPr>
      </w:pPr>
      <w:r>
        <w:rPr>
          <w:sz w:val="20"/>
        </w:rPr>
        <w:t>Phan</w:t>
      </w:r>
      <w:r>
        <w:rPr>
          <w:spacing w:val="14"/>
          <w:sz w:val="20"/>
        </w:rPr>
        <w:t> </w:t>
      </w:r>
      <w:r>
        <w:rPr>
          <w:sz w:val="20"/>
        </w:rPr>
        <w:t>L.</w:t>
      </w:r>
      <w:r>
        <w:rPr>
          <w:spacing w:val="15"/>
          <w:sz w:val="20"/>
        </w:rPr>
        <w:t> </w:t>
      </w:r>
      <w:r>
        <w:rPr>
          <w:sz w:val="20"/>
        </w:rPr>
        <w:t>T.</w:t>
      </w:r>
      <w:r>
        <w:rPr>
          <w:spacing w:val="16"/>
          <w:sz w:val="20"/>
        </w:rPr>
        <w:t> </w:t>
      </w:r>
      <w:r>
        <w:rPr>
          <w:sz w:val="20"/>
        </w:rPr>
        <w:t>et</w:t>
      </w:r>
      <w:r>
        <w:rPr>
          <w:spacing w:val="15"/>
          <w:sz w:val="20"/>
        </w:rPr>
        <w:t> </w:t>
      </w:r>
      <w:r>
        <w:rPr>
          <w:sz w:val="20"/>
        </w:rPr>
        <w:t>al.</w:t>
      </w:r>
      <w:r>
        <w:rPr>
          <w:spacing w:val="13"/>
          <w:sz w:val="20"/>
        </w:rPr>
        <w:t> </w:t>
      </w:r>
      <w:r>
        <w:rPr>
          <w:sz w:val="20"/>
        </w:rPr>
        <w:t>Importation</w:t>
      </w:r>
      <w:r>
        <w:rPr>
          <w:spacing w:val="15"/>
          <w:sz w:val="20"/>
        </w:rPr>
        <w:t> </w:t>
      </w:r>
      <w:r>
        <w:rPr>
          <w:sz w:val="20"/>
        </w:rPr>
        <w:t>and</w:t>
      </w:r>
      <w:r>
        <w:rPr>
          <w:spacing w:val="16"/>
          <w:sz w:val="20"/>
        </w:rPr>
        <w:t> </w:t>
      </w:r>
      <w:r>
        <w:rPr>
          <w:sz w:val="20"/>
        </w:rPr>
        <w:t>Human-to-Human</w:t>
      </w:r>
      <w:r>
        <w:rPr>
          <w:spacing w:val="14"/>
          <w:sz w:val="20"/>
        </w:rPr>
        <w:t> </w:t>
      </w:r>
      <w:r>
        <w:rPr>
          <w:sz w:val="20"/>
        </w:rPr>
        <w:t>Transmission</w:t>
      </w:r>
      <w:r>
        <w:rPr>
          <w:spacing w:val="15"/>
          <w:sz w:val="20"/>
        </w:rPr>
        <w:t> </w:t>
      </w:r>
      <w:r>
        <w:rPr>
          <w:sz w:val="20"/>
        </w:rPr>
        <w:t>of</w:t>
      </w:r>
      <w:r>
        <w:rPr>
          <w:spacing w:val="13"/>
          <w:sz w:val="20"/>
        </w:rPr>
        <w:t> </w:t>
      </w:r>
      <w:r>
        <w:rPr>
          <w:sz w:val="20"/>
        </w:rPr>
        <w:t>a</w:t>
      </w:r>
      <w:r>
        <w:rPr>
          <w:spacing w:val="16"/>
          <w:sz w:val="20"/>
        </w:rPr>
        <w:t> </w:t>
      </w:r>
      <w:r>
        <w:rPr>
          <w:sz w:val="20"/>
        </w:rPr>
        <w:t>Novel</w:t>
      </w:r>
      <w:r>
        <w:rPr>
          <w:spacing w:val="15"/>
          <w:sz w:val="20"/>
        </w:rPr>
        <w:t> </w:t>
      </w:r>
      <w:r>
        <w:rPr>
          <w:sz w:val="20"/>
        </w:rPr>
        <w:t>Coronavirus</w:t>
      </w:r>
      <w:r>
        <w:rPr>
          <w:spacing w:val="14"/>
          <w:sz w:val="20"/>
        </w:rPr>
        <w:t> </w:t>
      </w:r>
      <w:r>
        <w:rPr>
          <w:sz w:val="20"/>
        </w:rPr>
        <w:t>in</w:t>
      </w:r>
      <w:r>
        <w:rPr>
          <w:spacing w:val="15"/>
          <w:sz w:val="20"/>
        </w:rPr>
        <w:t> </w:t>
      </w:r>
      <w:r>
        <w:rPr>
          <w:sz w:val="20"/>
        </w:rPr>
        <w:t>Vietnam</w:t>
      </w:r>
    </w:p>
    <w:p>
      <w:pPr>
        <w:spacing w:line="229" w:lineRule="exact" w:before="1"/>
        <w:ind w:left="887" w:right="0" w:firstLine="0"/>
        <w:jc w:val="both"/>
        <w:rPr>
          <w:sz w:val="20"/>
        </w:rPr>
      </w:pPr>
      <w:r>
        <w:rPr>
          <w:sz w:val="20"/>
        </w:rPr>
        <w:t>//New England Journal of Medicine. – 2020.</w:t>
      </w:r>
    </w:p>
    <w:p>
      <w:pPr>
        <w:pStyle w:val="ListParagraph"/>
        <w:numPr>
          <w:ilvl w:val="0"/>
          <w:numId w:val="42"/>
        </w:numPr>
        <w:tabs>
          <w:tab w:pos="888" w:val="left" w:leader="none"/>
        </w:tabs>
        <w:spacing w:line="240" w:lineRule="auto" w:before="0" w:after="0"/>
        <w:ind w:left="887" w:right="677" w:hanging="567"/>
        <w:jc w:val="both"/>
        <w:rPr>
          <w:sz w:val="20"/>
        </w:rPr>
      </w:pPr>
      <w:r>
        <w:rPr>
          <w:sz w:val="20"/>
        </w:rPr>
        <w:t>Phylogeny of SARS-like betacoronaviruses including novel coronavirus (nCoV). URL: https://nextstrain.org/groups/blab/sars-like-cov</w:t>
      </w:r>
    </w:p>
    <w:p>
      <w:pPr>
        <w:pStyle w:val="ListParagraph"/>
        <w:numPr>
          <w:ilvl w:val="0"/>
          <w:numId w:val="42"/>
        </w:numPr>
        <w:tabs>
          <w:tab w:pos="888" w:val="left" w:leader="none"/>
        </w:tabs>
        <w:spacing w:line="240" w:lineRule="auto" w:before="0" w:after="0"/>
        <w:ind w:left="887" w:right="675" w:hanging="567"/>
        <w:jc w:val="both"/>
        <w:rPr>
          <w:sz w:val="20"/>
        </w:rPr>
      </w:pPr>
      <w:r>
        <w:rPr>
          <w:sz w:val="20"/>
        </w:rPr>
        <w:t>Pogue</w:t>
      </w:r>
      <w:r>
        <w:rPr>
          <w:spacing w:val="-6"/>
          <w:sz w:val="20"/>
        </w:rPr>
        <w:t> </w:t>
      </w:r>
      <w:r>
        <w:rPr>
          <w:sz w:val="20"/>
        </w:rPr>
        <w:t>J.,</w:t>
      </w:r>
      <w:r>
        <w:rPr>
          <w:spacing w:val="-5"/>
          <w:sz w:val="20"/>
        </w:rPr>
        <w:t> </w:t>
      </w:r>
      <w:r>
        <w:rPr>
          <w:sz w:val="20"/>
        </w:rPr>
        <w:t>Kaye</w:t>
      </w:r>
      <w:r>
        <w:rPr>
          <w:spacing w:val="-5"/>
          <w:sz w:val="20"/>
        </w:rPr>
        <w:t> </w:t>
      </w:r>
      <w:r>
        <w:rPr>
          <w:sz w:val="20"/>
        </w:rPr>
        <w:t>K.,</w:t>
      </w:r>
      <w:r>
        <w:rPr>
          <w:spacing w:val="-5"/>
          <w:sz w:val="20"/>
        </w:rPr>
        <w:t> </w:t>
      </w:r>
      <w:r>
        <w:rPr>
          <w:sz w:val="20"/>
        </w:rPr>
        <w:t>Veve</w:t>
      </w:r>
      <w:r>
        <w:rPr>
          <w:spacing w:val="-5"/>
          <w:sz w:val="20"/>
        </w:rPr>
        <w:t> </w:t>
      </w:r>
      <w:r>
        <w:rPr>
          <w:sz w:val="20"/>
        </w:rPr>
        <w:t>M.,</w:t>
      </w:r>
      <w:r>
        <w:rPr>
          <w:spacing w:val="-5"/>
          <w:sz w:val="20"/>
        </w:rPr>
        <w:t> </w:t>
      </w:r>
      <w:r>
        <w:rPr>
          <w:sz w:val="20"/>
        </w:rPr>
        <w:t>et</w:t>
      </w:r>
      <w:r>
        <w:rPr>
          <w:spacing w:val="-6"/>
          <w:sz w:val="20"/>
        </w:rPr>
        <w:t> </w:t>
      </w:r>
      <w:r>
        <w:rPr>
          <w:sz w:val="20"/>
        </w:rPr>
        <w:t>al.</w:t>
      </w:r>
      <w:r>
        <w:rPr>
          <w:spacing w:val="-5"/>
          <w:sz w:val="20"/>
        </w:rPr>
        <w:t> </w:t>
      </w:r>
      <w:r>
        <w:rPr>
          <w:sz w:val="20"/>
        </w:rPr>
        <w:t>"Real</w:t>
      </w:r>
      <w:r>
        <w:rPr>
          <w:spacing w:val="-6"/>
          <w:sz w:val="20"/>
        </w:rPr>
        <w:t> </w:t>
      </w:r>
      <w:r>
        <w:rPr>
          <w:sz w:val="20"/>
        </w:rPr>
        <w:t>World"</w:t>
      </w:r>
      <w:r>
        <w:rPr>
          <w:spacing w:val="-3"/>
          <w:sz w:val="20"/>
        </w:rPr>
        <w:t> </w:t>
      </w:r>
      <w:r>
        <w:rPr>
          <w:sz w:val="20"/>
        </w:rPr>
        <w:t>treatment</w:t>
      </w:r>
      <w:r>
        <w:rPr>
          <w:spacing w:val="-6"/>
          <w:sz w:val="20"/>
        </w:rPr>
        <w:t> </w:t>
      </w:r>
      <w:r>
        <w:rPr>
          <w:sz w:val="20"/>
        </w:rPr>
        <w:t>of</w:t>
      </w:r>
      <w:r>
        <w:rPr>
          <w:spacing w:val="-2"/>
          <w:sz w:val="20"/>
        </w:rPr>
        <w:t> </w:t>
      </w:r>
      <w:r>
        <w:rPr>
          <w:sz w:val="20"/>
        </w:rPr>
        <w:t>multi-drug</w:t>
      </w:r>
      <w:r>
        <w:rPr>
          <w:spacing w:val="-7"/>
          <w:sz w:val="20"/>
        </w:rPr>
        <w:t> </w:t>
      </w:r>
      <w:r>
        <w:rPr>
          <w:sz w:val="20"/>
        </w:rPr>
        <w:t>resistant</w:t>
      </w:r>
      <w:r>
        <w:rPr>
          <w:spacing w:val="-6"/>
          <w:sz w:val="20"/>
        </w:rPr>
        <w:t> </w:t>
      </w:r>
      <w:r>
        <w:rPr>
          <w:sz w:val="20"/>
        </w:rPr>
        <w:t>(MDR)</w:t>
      </w:r>
      <w:r>
        <w:rPr>
          <w:spacing w:val="-5"/>
          <w:sz w:val="20"/>
        </w:rPr>
        <w:t> </w:t>
      </w:r>
      <w:r>
        <w:rPr>
          <w:sz w:val="20"/>
        </w:rPr>
        <w:t>or</w:t>
      </w:r>
      <w:r>
        <w:rPr>
          <w:spacing w:val="-5"/>
          <w:sz w:val="20"/>
        </w:rPr>
        <w:t> </w:t>
      </w:r>
      <w:r>
        <w:rPr>
          <w:sz w:val="20"/>
        </w:rPr>
        <w:t>extensively- drug resistant (XDR) P. aeruginosa infections with ceftolozane/tazobactam (C/T) versus a polymyxin or aminoglycoside</w:t>
      </w:r>
      <w:r>
        <w:rPr>
          <w:spacing w:val="-12"/>
          <w:sz w:val="20"/>
        </w:rPr>
        <w:t> </w:t>
      </w:r>
      <w:r>
        <w:rPr>
          <w:sz w:val="20"/>
        </w:rPr>
        <w:t>(Poly/AG)</w:t>
      </w:r>
      <w:r>
        <w:rPr>
          <w:spacing w:val="-11"/>
          <w:sz w:val="20"/>
        </w:rPr>
        <w:t> </w:t>
      </w:r>
      <w:r>
        <w:rPr>
          <w:sz w:val="20"/>
        </w:rPr>
        <w:t>based</w:t>
      </w:r>
      <w:r>
        <w:rPr>
          <w:spacing w:val="-10"/>
          <w:sz w:val="20"/>
        </w:rPr>
        <w:t> </w:t>
      </w:r>
      <w:r>
        <w:rPr>
          <w:sz w:val="20"/>
        </w:rPr>
        <w:t>regimen:</w:t>
      </w:r>
      <w:r>
        <w:rPr>
          <w:spacing w:val="-12"/>
          <w:sz w:val="20"/>
        </w:rPr>
        <w:t> </w:t>
      </w:r>
      <w:r>
        <w:rPr>
          <w:sz w:val="20"/>
        </w:rPr>
        <w:t>a</w:t>
      </w:r>
      <w:r>
        <w:rPr>
          <w:spacing w:val="-9"/>
          <w:sz w:val="20"/>
        </w:rPr>
        <w:t> </w:t>
      </w:r>
      <w:r>
        <w:rPr>
          <w:sz w:val="20"/>
        </w:rPr>
        <w:t>multicenter</w:t>
      </w:r>
      <w:r>
        <w:rPr>
          <w:spacing w:val="-11"/>
          <w:sz w:val="20"/>
        </w:rPr>
        <w:t> </w:t>
      </w:r>
      <w:r>
        <w:rPr>
          <w:sz w:val="20"/>
        </w:rPr>
        <w:t>comparative</w:t>
      </w:r>
      <w:r>
        <w:rPr>
          <w:spacing w:val="-12"/>
          <w:sz w:val="20"/>
        </w:rPr>
        <w:t> </w:t>
      </w:r>
      <w:r>
        <w:rPr>
          <w:sz w:val="20"/>
        </w:rPr>
        <w:t>effectiveness</w:t>
      </w:r>
      <w:r>
        <w:rPr>
          <w:spacing w:val="-12"/>
          <w:sz w:val="20"/>
        </w:rPr>
        <w:t> </w:t>
      </w:r>
      <w:r>
        <w:rPr>
          <w:sz w:val="20"/>
        </w:rPr>
        <w:t>study.</w:t>
      </w:r>
      <w:r>
        <w:rPr>
          <w:spacing w:val="-9"/>
          <w:sz w:val="20"/>
        </w:rPr>
        <w:t> </w:t>
      </w:r>
      <w:r>
        <w:rPr>
          <w:sz w:val="20"/>
        </w:rPr>
        <w:t>Proceedings</w:t>
      </w:r>
      <w:r>
        <w:rPr>
          <w:spacing w:val="-12"/>
          <w:sz w:val="20"/>
        </w:rPr>
        <w:t> </w:t>
      </w:r>
      <w:r>
        <w:rPr>
          <w:sz w:val="20"/>
        </w:rPr>
        <w:t>of the IDweek 2018, October 3-7, San Francisco, USA. Poster/Abstract</w:t>
      </w:r>
      <w:r>
        <w:rPr>
          <w:spacing w:val="-2"/>
          <w:sz w:val="20"/>
        </w:rPr>
        <w:t> </w:t>
      </w:r>
      <w:r>
        <w:rPr>
          <w:sz w:val="20"/>
        </w:rPr>
        <w:t>2406.</w:t>
      </w:r>
    </w:p>
    <w:p>
      <w:pPr>
        <w:pStyle w:val="ListParagraph"/>
        <w:numPr>
          <w:ilvl w:val="0"/>
          <w:numId w:val="42"/>
        </w:numPr>
        <w:tabs>
          <w:tab w:pos="887" w:val="left" w:leader="none"/>
          <w:tab w:pos="888" w:val="left" w:leader="none"/>
          <w:tab w:pos="2050" w:val="left" w:leader="none"/>
          <w:tab w:pos="3353" w:val="left" w:leader="none"/>
          <w:tab w:pos="4285" w:val="left" w:leader="none"/>
          <w:tab w:pos="4961" w:val="left" w:leader="none"/>
        </w:tabs>
        <w:spacing w:line="240" w:lineRule="auto" w:before="0" w:after="0"/>
        <w:ind w:left="886" w:right="678" w:hanging="566"/>
        <w:jc w:val="left"/>
        <w:rPr>
          <w:sz w:val="20"/>
        </w:rPr>
      </w:pPr>
      <w:r>
        <w:rPr>
          <w:sz w:val="20"/>
        </w:rPr>
        <w:t>Public Health England. Investigation and initial clinical management of possible cases of novel coronavirus</w:t>
        <w:tab/>
        <w:t>(2019-nCoV)</w:t>
        <w:tab/>
        <w:t>infection</w:t>
        <w:tab/>
        <w:t>URL:</w:t>
        <w:tab/>
      </w:r>
      <w:r>
        <w:rPr>
          <w:w w:val="95"/>
          <w:sz w:val="20"/>
        </w:rPr>
        <w:t>https://</w:t>
      </w:r>
      <w:hyperlink r:id="rId39">
        <w:r>
          <w:rPr>
            <w:w w:val="95"/>
            <w:sz w:val="20"/>
          </w:rPr>
          <w:t>www.gov.uk/government/publications/wuhan-</w:t>
        </w:r>
      </w:hyperlink>
      <w:r>
        <w:rPr>
          <w:w w:val="95"/>
          <w:sz w:val="20"/>
        </w:rPr>
        <w:t> </w:t>
      </w:r>
      <w:r>
        <w:rPr>
          <w:sz w:val="20"/>
        </w:rPr>
        <w:t>novelcoronavirus-initial-investigation-of-possible-cases/investigation-and-initial-clinical-management- ofpossible-cases-of-wuhan-novel-coronavirus-wn-cov-infection</w:t>
      </w:r>
    </w:p>
    <w:p>
      <w:pPr>
        <w:pStyle w:val="ListParagraph"/>
        <w:numPr>
          <w:ilvl w:val="0"/>
          <w:numId w:val="42"/>
        </w:numPr>
        <w:tabs>
          <w:tab w:pos="887" w:val="left" w:leader="none"/>
        </w:tabs>
        <w:spacing w:line="240" w:lineRule="auto" w:before="1" w:after="0"/>
        <w:ind w:left="885" w:right="678" w:hanging="567"/>
        <w:jc w:val="both"/>
        <w:rPr>
          <w:sz w:val="20"/>
        </w:rPr>
      </w:pPr>
      <w:r>
        <w:rPr>
          <w:sz w:val="20"/>
        </w:rPr>
        <w:t>Revel M.-P., Parkar A.P., Prosch H. et al. COVID-19 patients and the Radiology department – advice from the European Society of Radiology (ESR) and the European Society of Thoracic Imaging (ESTI) // Eur. Radio. Accepted on April 2,</w:t>
      </w:r>
      <w:r>
        <w:rPr>
          <w:spacing w:val="4"/>
          <w:sz w:val="20"/>
        </w:rPr>
        <w:t> </w:t>
      </w:r>
      <w:r>
        <w:rPr>
          <w:sz w:val="20"/>
        </w:rPr>
        <w:t>2020.</w:t>
      </w:r>
    </w:p>
    <w:p>
      <w:pPr>
        <w:pStyle w:val="ListParagraph"/>
        <w:numPr>
          <w:ilvl w:val="0"/>
          <w:numId w:val="42"/>
        </w:numPr>
        <w:tabs>
          <w:tab w:pos="885" w:val="left" w:leader="none"/>
          <w:tab w:pos="886" w:val="left" w:leader="none"/>
        </w:tabs>
        <w:spacing w:line="240" w:lineRule="auto" w:before="0" w:after="0"/>
        <w:ind w:left="885" w:right="991" w:hanging="567"/>
        <w:jc w:val="left"/>
        <w:rPr>
          <w:sz w:val="20"/>
        </w:rPr>
      </w:pPr>
      <w:r>
        <w:rPr>
          <w:sz w:val="20"/>
        </w:rPr>
        <w:t>Richardson P, Griffin I, Tucker C, Smith D, Oechsle O, Phelan A, Stebbing J.Baricitinib as potential treatment for 2019-nCoV acute respiratory disease. Lancet. 2020 Feb 15;395(10223):e30-e31. doi: 10.1016/S0140-6736(20)30304-4.</w:t>
      </w:r>
    </w:p>
    <w:p>
      <w:pPr>
        <w:pStyle w:val="ListParagraph"/>
        <w:numPr>
          <w:ilvl w:val="0"/>
          <w:numId w:val="42"/>
        </w:numPr>
        <w:tabs>
          <w:tab w:pos="886" w:val="left" w:leader="none"/>
        </w:tabs>
        <w:spacing w:line="240" w:lineRule="auto" w:before="1" w:after="0"/>
        <w:ind w:left="885" w:right="678" w:hanging="567"/>
        <w:jc w:val="both"/>
        <w:rPr>
          <w:sz w:val="20"/>
        </w:rPr>
      </w:pPr>
      <w:hyperlink r:id="rId40">
        <w:r>
          <w:rPr>
            <w:sz w:val="20"/>
          </w:rPr>
          <w:t>Rodriguez-Morales</w:t>
        </w:r>
        <w:r>
          <w:rPr>
            <w:spacing w:val="-11"/>
            <w:sz w:val="20"/>
          </w:rPr>
          <w:t> </w:t>
        </w:r>
      </w:hyperlink>
      <w:r>
        <w:rPr>
          <w:sz w:val="20"/>
        </w:rPr>
        <w:t>A.</w:t>
      </w:r>
      <w:r>
        <w:rPr>
          <w:spacing w:val="-11"/>
          <w:sz w:val="20"/>
        </w:rPr>
        <w:t> </w:t>
      </w:r>
      <w:r>
        <w:rPr>
          <w:sz w:val="20"/>
        </w:rPr>
        <w:t>et</w:t>
      </w:r>
      <w:r>
        <w:rPr>
          <w:spacing w:val="-12"/>
          <w:sz w:val="20"/>
        </w:rPr>
        <w:t> </w:t>
      </w:r>
      <w:r>
        <w:rPr>
          <w:sz w:val="20"/>
        </w:rPr>
        <w:t>al.</w:t>
      </w:r>
      <w:r>
        <w:rPr>
          <w:spacing w:val="-10"/>
          <w:sz w:val="20"/>
        </w:rPr>
        <w:t> </w:t>
      </w:r>
      <w:r>
        <w:rPr>
          <w:sz w:val="20"/>
        </w:rPr>
        <w:t>Clinical,</w:t>
      </w:r>
      <w:r>
        <w:rPr>
          <w:spacing w:val="-12"/>
          <w:sz w:val="20"/>
        </w:rPr>
        <w:t> </w:t>
      </w:r>
      <w:r>
        <w:rPr>
          <w:sz w:val="20"/>
        </w:rPr>
        <w:t>laboratory</w:t>
      </w:r>
      <w:r>
        <w:rPr>
          <w:spacing w:val="-16"/>
          <w:sz w:val="20"/>
        </w:rPr>
        <w:t> </w:t>
      </w:r>
      <w:r>
        <w:rPr>
          <w:sz w:val="20"/>
        </w:rPr>
        <w:t>and</w:t>
      </w:r>
      <w:r>
        <w:rPr>
          <w:spacing w:val="-11"/>
          <w:sz w:val="20"/>
        </w:rPr>
        <w:t> </w:t>
      </w:r>
      <w:r>
        <w:rPr>
          <w:sz w:val="20"/>
        </w:rPr>
        <w:t>imaging</w:t>
      </w:r>
      <w:r>
        <w:rPr>
          <w:spacing w:val="-11"/>
          <w:sz w:val="20"/>
        </w:rPr>
        <w:t> </w:t>
      </w:r>
      <w:r>
        <w:rPr>
          <w:sz w:val="20"/>
        </w:rPr>
        <w:t>features</w:t>
      </w:r>
      <w:r>
        <w:rPr>
          <w:spacing w:val="-13"/>
          <w:sz w:val="20"/>
        </w:rPr>
        <w:t> </w:t>
      </w:r>
      <w:r>
        <w:rPr>
          <w:sz w:val="20"/>
        </w:rPr>
        <w:t>of</w:t>
      </w:r>
      <w:r>
        <w:rPr>
          <w:spacing w:val="-12"/>
          <w:sz w:val="20"/>
        </w:rPr>
        <w:t> </w:t>
      </w:r>
      <w:r>
        <w:rPr>
          <w:sz w:val="20"/>
        </w:rPr>
        <w:t>COVID-19:</w:t>
      </w:r>
      <w:r>
        <w:rPr>
          <w:spacing w:val="-10"/>
          <w:sz w:val="20"/>
        </w:rPr>
        <w:t> </w:t>
      </w:r>
      <w:r>
        <w:rPr>
          <w:sz w:val="20"/>
        </w:rPr>
        <w:t>A</w:t>
      </w:r>
      <w:r>
        <w:rPr>
          <w:spacing w:val="-13"/>
          <w:sz w:val="20"/>
        </w:rPr>
        <w:t> </w:t>
      </w:r>
      <w:r>
        <w:rPr>
          <w:sz w:val="20"/>
        </w:rPr>
        <w:t>systematic</w:t>
      </w:r>
      <w:r>
        <w:rPr>
          <w:spacing w:val="-12"/>
          <w:sz w:val="20"/>
        </w:rPr>
        <w:t> </w:t>
      </w:r>
      <w:r>
        <w:rPr>
          <w:sz w:val="20"/>
        </w:rPr>
        <w:t>review and meta-analysis. </w:t>
      </w:r>
      <w:hyperlink r:id="rId41">
        <w:r>
          <w:rPr>
            <w:sz w:val="20"/>
          </w:rPr>
          <w:t>Travel Medicine and Infectious Disease,</w:t>
        </w:r>
      </w:hyperlink>
      <w:r>
        <w:rPr>
          <w:sz w:val="20"/>
        </w:rPr>
        <w:t> </w:t>
      </w:r>
      <w:hyperlink r:id="rId42">
        <w:r>
          <w:rPr>
            <w:sz w:val="20"/>
          </w:rPr>
          <w:t>Volume 34, </w:t>
        </w:r>
      </w:hyperlink>
      <w:r>
        <w:rPr>
          <w:sz w:val="20"/>
        </w:rPr>
        <w:t>March–April 2020, 101623</w:t>
      </w:r>
      <w:hyperlink r:id="rId43">
        <w:r>
          <w:rPr>
            <w:sz w:val="20"/>
          </w:rPr>
          <w:t> https://doi.org/10.1016/j.tmaid.2020.101623</w:t>
        </w:r>
      </w:hyperlink>
    </w:p>
    <w:p>
      <w:pPr>
        <w:pStyle w:val="ListParagraph"/>
        <w:numPr>
          <w:ilvl w:val="0"/>
          <w:numId w:val="42"/>
        </w:numPr>
        <w:tabs>
          <w:tab w:pos="886" w:val="left" w:leader="none"/>
        </w:tabs>
        <w:spacing w:line="240" w:lineRule="auto" w:before="0" w:after="0"/>
        <w:ind w:left="885" w:right="680" w:hanging="567"/>
        <w:jc w:val="both"/>
        <w:rPr>
          <w:sz w:val="20"/>
        </w:rPr>
      </w:pPr>
      <w:r>
        <w:rPr>
          <w:sz w:val="20"/>
        </w:rPr>
        <w:t>Royal Pharmaceutical Society of Great Britain Trading as Royal Pharmaceutical Society. Wuhan novel coronavirus URL:</w:t>
      </w:r>
      <w:r>
        <w:rPr>
          <w:spacing w:val="-8"/>
          <w:sz w:val="20"/>
        </w:rPr>
        <w:t> </w:t>
      </w:r>
      <w:r>
        <w:rPr>
          <w:sz w:val="20"/>
        </w:rPr>
        <w:t>https://</w:t>
      </w:r>
      <w:hyperlink r:id="rId44">
        <w:r>
          <w:rPr>
            <w:sz w:val="20"/>
          </w:rPr>
          <w:t>www.rpharms.com/resources/pharmacy-guides/wuhan-novel-coronavirus</w:t>
        </w:r>
      </w:hyperlink>
    </w:p>
    <w:p>
      <w:pPr>
        <w:pStyle w:val="ListParagraph"/>
        <w:numPr>
          <w:ilvl w:val="0"/>
          <w:numId w:val="42"/>
        </w:numPr>
        <w:tabs>
          <w:tab w:pos="886" w:val="left" w:leader="none"/>
        </w:tabs>
        <w:spacing w:line="240" w:lineRule="auto" w:before="0" w:after="0"/>
        <w:ind w:left="885" w:right="681" w:hanging="567"/>
        <w:jc w:val="both"/>
        <w:rPr>
          <w:sz w:val="20"/>
        </w:rPr>
      </w:pPr>
      <w:r>
        <w:rPr>
          <w:sz w:val="20"/>
        </w:rPr>
        <w:t>Rubin</w:t>
      </w:r>
      <w:r>
        <w:rPr>
          <w:spacing w:val="-9"/>
          <w:sz w:val="20"/>
        </w:rPr>
        <w:t> </w:t>
      </w:r>
      <w:r>
        <w:rPr>
          <w:sz w:val="20"/>
        </w:rPr>
        <w:t>G.D.,</w:t>
      </w:r>
      <w:r>
        <w:rPr>
          <w:spacing w:val="-7"/>
          <w:sz w:val="20"/>
        </w:rPr>
        <w:t> </w:t>
      </w:r>
      <w:r>
        <w:rPr>
          <w:sz w:val="20"/>
        </w:rPr>
        <w:t>Ryerson</w:t>
      </w:r>
      <w:r>
        <w:rPr>
          <w:spacing w:val="-8"/>
          <w:sz w:val="20"/>
        </w:rPr>
        <w:t> </w:t>
      </w:r>
      <w:r>
        <w:rPr>
          <w:sz w:val="20"/>
        </w:rPr>
        <w:t>C.J.,</w:t>
      </w:r>
      <w:r>
        <w:rPr>
          <w:spacing w:val="-7"/>
          <w:sz w:val="20"/>
        </w:rPr>
        <w:t> </w:t>
      </w:r>
      <w:r>
        <w:rPr>
          <w:sz w:val="20"/>
        </w:rPr>
        <w:t>Haramati</w:t>
      </w:r>
      <w:r>
        <w:rPr>
          <w:spacing w:val="-5"/>
          <w:sz w:val="20"/>
        </w:rPr>
        <w:t> </w:t>
      </w:r>
      <w:r>
        <w:rPr>
          <w:sz w:val="20"/>
        </w:rPr>
        <w:t>L.B.</w:t>
      </w:r>
      <w:r>
        <w:rPr>
          <w:spacing w:val="-7"/>
          <w:sz w:val="20"/>
        </w:rPr>
        <w:t> </w:t>
      </w:r>
      <w:r>
        <w:rPr>
          <w:sz w:val="20"/>
        </w:rPr>
        <w:t>et</w:t>
      </w:r>
      <w:r>
        <w:rPr>
          <w:spacing w:val="-8"/>
          <w:sz w:val="20"/>
        </w:rPr>
        <w:t> </w:t>
      </w:r>
      <w:r>
        <w:rPr>
          <w:sz w:val="20"/>
        </w:rPr>
        <w:t>al.</w:t>
      </w:r>
      <w:r>
        <w:rPr>
          <w:spacing w:val="-9"/>
          <w:sz w:val="20"/>
        </w:rPr>
        <w:t> </w:t>
      </w:r>
      <w:r>
        <w:rPr>
          <w:sz w:val="20"/>
        </w:rPr>
        <w:t>The</w:t>
      </w:r>
      <w:r>
        <w:rPr>
          <w:spacing w:val="-7"/>
          <w:sz w:val="20"/>
        </w:rPr>
        <w:t> </w:t>
      </w:r>
      <w:r>
        <w:rPr>
          <w:sz w:val="20"/>
        </w:rPr>
        <w:t>Role</w:t>
      </w:r>
      <w:r>
        <w:rPr>
          <w:spacing w:val="-6"/>
          <w:sz w:val="20"/>
        </w:rPr>
        <w:t> </w:t>
      </w:r>
      <w:r>
        <w:rPr>
          <w:sz w:val="20"/>
        </w:rPr>
        <w:t>of</w:t>
      </w:r>
      <w:r>
        <w:rPr>
          <w:spacing w:val="-9"/>
          <w:sz w:val="20"/>
        </w:rPr>
        <w:t> </w:t>
      </w:r>
      <w:r>
        <w:rPr>
          <w:sz w:val="20"/>
        </w:rPr>
        <w:t>Chest</w:t>
      </w:r>
      <w:r>
        <w:rPr>
          <w:spacing w:val="-7"/>
          <w:sz w:val="20"/>
        </w:rPr>
        <w:t> </w:t>
      </w:r>
      <w:r>
        <w:rPr>
          <w:sz w:val="20"/>
        </w:rPr>
        <w:t>Imaging</w:t>
      </w:r>
      <w:r>
        <w:rPr>
          <w:spacing w:val="-9"/>
          <w:sz w:val="20"/>
        </w:rPr>
        <w:t> </w:t>
      </w:r>
      <w:r>
        <w:rPr>
          <w:sz w:val="20"/>
        </w:rPr>
        <w:t>in</w:t>
      </w:r>
      <w:r>
        <w:rPr>
          <w:spacing w:val="-8"/>
          <w:sz w:val="20"/>
        </w:rPr>
        <w:t> </w:t>
      </w:r>
      <w:r>
        <w:rPr>
          <w:sz w:val="20"/>
        </w:rPr>
        <w:t>Patient</w:t>
      </w:r>
      <w:r>
        <w:rPr>
          <w:spacing w:val="-8"/>
          <w:sz w:val="20"/>
        </w:rPr>
        <w:t> </w:t>
      </w:r>
      <w:r>
        <w:rPr>
          <w:sz w:val="20"/>
        </w:rPr>
        <w:t>Management</w:t>
      </w:r>
      <w:r>
        <w:rPr>
          <w:spacing w:val="-7"/>
          <w:sz w:val="20"/>
        </w:rPr>
        <w:t> </w:t>
      </w:r>
      <w:r>
        <w:rPr>
          <w:sz w:val="20"/>
        </w:rPr>
        <w:t>during the COVID-19 Pandemic: A Multinational Consensus Statement from the Fleischner Society [published online ahead of print, 2020 Apr 7] // Radiology. 2020;201365. Doi:</w:t>
      </w:r>
      <w:r>
        <w:rPr>
          <w:spacing w:val="-11"/>
          <w:sz w:val="20"/>
        </w:rPr>
        <w:t> </w:t>
      </w:r>
      <w:r>
        <w:rPr>
          <w:sz w:val="20"/>
        </w:rPr>
        <w:t>10.1148/radiol.2020201365.</w:t>
      </w:r>
    </w:p>
    <w:p>
      <w:pPr>
        <w:pStyle w:val="ListParagraph"/>
        <w:numPr>
          <w:ilvl w:val="0"/>
          <w:numId w:val="42"/>
        </w:numPr>
        <w:tabs>
          <w:tab w:pos="885" w:val="left" w:leader="none"/>
          <w:tab w:pos="886" w:val="left" w:leader="none"/>
        </w:tabs>
        <w:spacing w:line="240" w:lineRule="auto" w:before="0" w:after="0"/>
        <w:ind w:left="885" w:right="843" w:hanging="567"/>
        <w:jc w:val="left"/>
        <w:rPr>
          <w:sz w:val="20"/>
        </w:rPr>
      </w:pPr>
      <w:r>
        <w:rPr>
          <w:sz w:val="20"/>
        </w:rPr>
        <w:t>Seif F, Aazami H, Khoshmirsafa M, Kamali M, Mohsenzadegan M, Pornour M,Mansouri D. JAK Inhibition as a New Treatment Strategy for Patients with COVID-19. Int Arch Allergy Immunol. 2020 May 11:1-9. doi:</w:t>
      </w:r>
      <w:r>
        <w:rPr>
          <w:spacing w:val="-4"/>
          <w:sz w:val="20"/>
        </w:rPr>
        <w:t> </w:t>
      </w:r>
      <w:r>
        <w:rPr>
          <w:sz w:val="20"/>
        </w:rPr>
        <w:t>10.1159/000508247.</w:t>
      </w:r>
    </w:p>
    <w:p>
      <w:pPr>
        <w:pStyle w:val="ListParagraph"/>
        <w:numPr>
          <w:ilvl w:val="0"/>
          <w:numId w:val="42"/>
        </w:numPr>
        <w:tabs>
          <w:tab w:pos="885" w:val="left" w:leader="none"/>
          <w:tab w:pos="886" w:val="left" w:leader="none"/>
        </w:tabs>
        <w:spacing w:line="240" w:lineRule="auto" w:before="1" w:after="0"/>
        <w:ind w:left="885" w:right="681" w:hanging="567"/>
        <w:jc w:val="left"/>
        <w:rPr>
          <w:sz w:val="20"/>
        </w:rPr>
      </w:pPr>
      <w:r>
        <w:rPr>
          <w:sz w:val="20"/>
        </w:rPr>
        <w:t>Shannon L. Maude et al. Chimeric Antigen Receptor T Cells for Sustained Remissions in Leukemia. N Engl J Med 2014;371:1507-17. DOI:</w:t>
      </w:r>
      <w:r>
        <w:rPr>
          <w:spacing w:val="2"/>
          <w:sz w:val="20"/>
        </w:rPr>
        <w:t> </w:t>
      </w:r>
      <w:r>
        <w:rPr>
          <w:sz w:val="20"/>
        </w:rPr>
        <w:t>10.1056/NEJMoa1407222</w:t>
      </w:r>
    </w:p>
    <w:p>
      <w:pPr>
        <w:pStyle w:val="ListParagraph"/>
        <w:numPr>
          <w:ilvl w:val="0"/>
          <w:numId w:val="42"/>
        </w:numPr>
        <w:tabs>
          <w:tab w:pos="886" w:val="left" w:leader="none"/>
        </w:tabs>
        <w:spacing w:line="240" w:lineRule="auto" w:before="0" w:after="0"/>
        <w:ind w:left="884" w:right="679" w:hanging="567"/>
        <w:jc w:val="both"/>
        <w:rPr>
          <w:sz w:val="20"/>
        </w:rPr>
      </w:pPr>
      <w:r>
        <w:rPr>
          <w:sz w:val="20"/>
        </w:rPr>
        <w:t>Simone</w:t>
      </w:r>
      <w:r>
        <w:rPr>
          <w:spacing w:val="-10"/>
          <w:sz w:val="20"/>
        </w:rPr>
        <w:t> </w:t>
      </w:r>
      <w:r>
        <w:rPr>
          <w:sz w:val="20"/>
        </w:rPr>
        <w:t>S.</w:t>
      </w:r>
      <w:r>
        <w:rPr>
          <w:spacing w:val="-10"/>
          <w:sz w:val="20"/>
        </w:rPr>
        <w:t> </w:t>
      </w:r>
      <w:r>
        <w:rPr>
          <w:sz w:val="20"/>
        </w:rPr>
        <w:t>et</w:t>
      </w:r>
      <w:r>
        <w:rPr>
          <w:spacing w:val="-10"/>
          <w:sz w:val="20"/>
        </w:rPr>
        <w:t> </w:t>
      </w:r>
      <w:r>
        <w:rPr>
          <w:sz w:val="20"/>
        </w:rPr>
        <w:t>al.</w:t>
      </w:r>
      <w:r>
        <w:rPr>
          <w:spacing w:val="-6"/>
          <w:sz w:val="20"/>
        </w:rPr>
        <w:t> </w:t>
      </w:r>
      <w:r>
        <w:rPr>
          <w:sz w:val="20"/>
        </w:rPr>
        <w:t>Acute</w:t>
      </w:r>
      <w:r>
        <w:rPr>
          <w:spacing w:val="-7"/>
          <w:sz w:val="20"/>
        </w:rPr>
        <w:t> </w:t>
      </w:r>
      <w:r>
        <w:rPr>
          <w:sz w:val="20"/>
        </w:rPr>
        <w:t>myocarditis</w:t>
      </w:r>
      <w:r>
        <w:rPr>
          <w:spacing w:val="-11"/>
          <w:sz w:val="20"/>
        </w:rPr>
        <w:t> </w:t>
      </w:r>
      <w:r>
        <w:rPr>
          <w:sz w:val="20"/>
        </w:rPr>
        <w:t>presenting</w:t>
      </w:r>
      <w:r>
        <w:rPr>
          <w:spacing w:val="-11"/>
          <w:sz w:val="20"/>
        </w:rPr>
        <w:t> </w:t>
      </w:r>
      <w:r>
        <w:rPr>
          <w:sz w:val="20"/>
        </w:rPr>
        <w:t>as</w:t>
      </w:r>
      <w:r>
        <w:rPr>
          <w:spacing w:val="-10"/>
          <w:sz w:val="20"/>
        </w:rPr>
        <w:t> </w:t>
      </w:r>
      <w:r>
        <w:rPr>
          <w:sz w:val="20"/>
        </w:rPr>
        <w:t>a</w:t>
      </w:r>
      <w:r>
        <w:rPr>
          <w:spacing w:val="-10"/>
          <w:sz w:val="20"/>
        </w:rPr>
        <w:t> </w:t>
      </w:r>
      <w:r>
        <w:rPr>
          <w:sz w:val="20"/>
        </w:rPr>
        <w:t>reverse</w:t>
      </w:r>
      <w:r>
        <w:rPr>
          <w:spacing w:val="-10"/>
          <w:sz w:val="20"/>
        </w:rPr>
        <w:t> </w:t>
      </w:r>
      <w:r>
        <w:rPr>
          <w:sz w:val="20"/>
        </w:rPr>
        <w:t>Tako-Tsubo</w:t>
      </w:r>
      <w:r>
        <w:rPr>
          <w:spacing w:val="-8"/>
          <w:sz w:val="20"/>
        </w:rPr>
        <w:t> </w:t>
      </w:r>
      <w:r>
        <w:rPr>
          <w:sz w:val="20"/>
        </w:rPr>
        <w:t>syndrome</w:t>
      </w:r>
      <w:r>
        <w:rPr>
          <w:spacing w:val="-10"/>
          <w:sz w:val="20"/>
        </w:rPr>
        <w:t> </w:t>
      </w:r>
      <w:r>
        <w:rPr>
          <w:sz w:val="20"/>
        </w:rPr>
        <w:t>in</w:t>
      </w:r>
      <w:r>
        <w:rPr>
          <w:spacing w:val="-11"/>
          <w:sz w:val="20"/>
        </w:rPr>
        <w:t> </w:t>
      </w:r>
      <w:r>
        <w:rPr>
          <w:sz w:val="20"/>
        </w:rPr>
        <w:t>a</w:t>
      </w:r>
      <w:r>
        <w:rPr>
          <w:spacing w:val="-9"/>
          <w:sz w:val="20"/>
        </w:rPr>
        <w:t> </w:t>
      </w:r>
      <w:r>
        <w:rPr>
          <w:sz w:val="20"/>
        </w:rPr>
        <w:t>patient</w:t>
      </w:r>
      <w:r>
        <w:rPr>
          <w:spacing w:val="-8"/>
          <w:sz w:val="20"/>
        </w:rPr>
        <w:t> </w:t>
      </w:r>
      <w:r>
        <w:rPr>
          <w:sz w:val="20"/>
        </w:rPr>
        <w:t>with</w:t>
      </w:r>
      <w:r>
        <w:rPr>
          <w:spacing w:val="-11"/>
          <w:sz w:val="20"/>
        </w:rPr>
        <w:t> </w:t>
      </w:r>
      <w:r>
        <w:rPr>
          <w:sz w:val="20"/>
        </w:rPr>
        <w:t>SARS- CoV-2 respiratory infection. European Heart Journal, Volume 41, Issue 19, 14 May 2020, Pages 1861– 1862,</w:t>
      </w:r>
      <w:r>
        <w:rPr>
          <w:spacing w:val="-3"/>
          <w:sz w:val="20"/>
        </w:rPr>
        <w:t> </w:t>
      </w:r>
      <w:hyperlink r:id="rId45">
        <w:r>
          <w:rPr>
            <w:sz w:val="20"/>
          </w:rPr>
          <w:t>https://doi.org/10.1093/eurheartj/ehaa286</w:t>
        </w:r>
      </w:hyperlink>
    </w:p>
    <w:p>
      <w:pPr>
        <w:pStyle w:val="ListParagraph"/>
        <w:numPr>
          <w:ilvl w:val="0"/>
          <w:numId w:val="42"/>
        </w:numPr>
        <w:tabs>
          <w:tab w:pos="885" w:val="left" w:leader="none"/>
        </w:tabs>
        <w:spacing w:line="240" w:lineRule="auto" w:before="0" w:after="0"/>
        <w:ind w:left="884" w:right="680" w:hanging="567"/>
        <w:jc w:val="both"/>
        <w:rPr>
          <w:sz w:val="20"/>
        </w:rPr>
      </w:pPr>
      <w:r>
        <w:rPr>
          <w:sz w:val="20"/>
        </w:rPr>
        <w:t>Soldati G., Smargiassi A., Inchingolo R. et al. Proposal for International Standardization of the Use of Lung</w:t>
      </w:r>
      <w:r>
        <w:rPr>
          <w:spacing w:val="-11"/>
          <w:sz w:val="20"/>
        </w:rPr>
        <w:t> </w:t>
      </w:r>
      <w:r>
        <w:rPr>
          <w:sz w:val="20"/>
        </w:rPr>
        <w:t>Ultrasound</w:t>
      </w:r>
      <w:r>
        <w:rPr>
          <w:spacing w:val="-8"/>
          <w:sz w:val="20"/>
        </w:rPr>
        <w:t> </w:t>
      </w:r>
      <w:r>
        <w:rPr>
          <w:sz w:val="20"/>
        </w:rPr>
        <w:t>for</w:t>
      </w:r>
      <w:r>
        <w:rPr>
          <w:spacing w:val="-9"/>
          <w:sz w:val="20"/>
        </w:rPr>
        <w:t> </w:t>
      </w:r>
      <w:r>
        <w:rPr>
          <w:sz w:val="20"/>
        </w:rPr>
        <w:t>Patients</w:t>
      </w:r>
      <w:r>
        <w:rPr>
          <w:spacing w:val="-10"/>
          <w:sz w:val="20"/>
        </w:rPr>
        <w:t> </w:t>
      </w:r>
      <w:r>
        <w:rPr>
          <w:sz w:val="20"/>
        </w:rPr>
        <w:t>With</w:t>
      </w:r>
      <w:r>
        <w:rPr>
          <w:spacing w:val="-10"/>
          <w:sz w:val="20"/>
        </w:rPr>
        <w:t> </w:t>
      </w:r>
      <w:r>
        <w:rPr>
          <w:sz w:val="20"/>
        </w:rPr>
        <w:t>COVID-19:</w:t>
      </w:r>
      <w:r>
        <w:rPr>
          <w:spacing w:val="-10"/>
          <w:sz w:val="20"/>
        </w:rPr>
        <w:t> </w:t>
      </w:r>
      <w:r>
        <w:rPr>
          <w:sz w:val="20"/>
        </w:rPr>
        <w:t>A</w:t>
      </w:r>
      <w:r>
        <w:rPr>
          <w:spacing w:val="-11"/>
          <w:sz w:val="20"/>
        </w:rPr>
        <w:t> </w:t>
      </w:r>
      <w:r>
        <w:rPr>
          <w:sz w:val="20"/>
        </w:rPr>
        <w:t>Simple,</w:t>
      </w:r>
      <w:r>
        <w:rPr>
          <w:spacing w:val="-8"/>
          <w:sz w:val="20"/>
        </w:rPr>
        <w:t> </w:t>
      </w:r>
      <w:r>
        <w:rPr>
          <w:sz w:val="20"/>
        </w:rPr>
        <w:t>Quantitative,</w:t>
      </w:r>
      <w:r>
        <w:rPr>
          <w:spacing w:val="-9"/>
          <w:sz w:val="20"/>
        </w:rPr>
        <w:t> </w:t>
      </w:r>
      <w:r>
        <w:rPr>
          <w:sz w:val="20"/>
        </w:rPr>
        <w:t>Reproducible</w:t>
      </w:r>
      <w:r>
        <w:rPr>
          <w:spacing w:val="-8"/>
          <w:sz w:val="20"/>
        </w:rPr>
        <w:t> </w:t>
      </w:r>
      <w:r>
        <w:rPr>
          <w:sz w:val="20"/>
        </w:rPr>
        <w:t>Method</w:t>
      </w:r>
      <w:r>
        <w:rPr>
          <w:spacing w:val="-8"/>
          <w:sz w:val="20"/>
        </w:rPr>
        <w:t> </w:t>
      </w:r>
      <w:r>
        <w:rPr>
          <w:sz w:val="20"/>
        </w:rPr>
        <w:t>[published online ahead of print, 2020 Mar 30] // J. Ultrasound Med. 2020;10.1002/jum.15285. Doi: 10.1002/jum.15285.</w:t>
      </w:r>
    </w:p>
    <w:p>
      <w:pPr>
        <w:pStyle w:val="ListParagraph"/>
        <w:numPr>
          <w:ilvl w:val="0"/>
          <w:numId w:val="42"/>
        </w:numPr>
        <w:tabs>
          <w:tab w:pos="884" w:val="left" w:leader="none"/>
          <w:tab w:pos="885" w:val="left" w:leader="none"/>
        </w:tabs>
        <w:spacing w:line="240" w:lineRule="auto" w:before="0" w:after="0"/>
        <w:ind w:left="884" w:right="925" w:hanging="567"/>
        <w:jc w:val="left"/>
        <w:rPr>
          <w:sz w:val="20"/>
        </w:rPr>
      </w:pPr>
      <w:r>
        <w:rPr>
          <w:sz w:val="20"/>
        </w:rPr>
        <w:t>Spinelli FR, Conti F, Gadina M. HiJAKing SARS-CoV-2? The potential role of JAK inhibitors in the management of COVID-19. Sci Immunol. 2020 May 8;5(47). piieabc5367. doi: 10.1126/sciimmunol.abc5367.</w:t>
      </w:r>
    </w:p>
    <w:p>
      <w:pPr>
        <w:pStyle w:val="ListParagraph"/>
        <w:numPr>
          <w:ilvl w:val="0"/>
          <w:numId w:val="42"/>
        </w:numPr>
        <w:tabs>
          <w:tab w:pos="885" w:val="left" w:leader="none"/>
        </w:tabs>
        <w:spacing w:line="240" w:lineRule="auto" w:before="1" w:after="0"/>
        <w:ind w:left="884" w:right="679" w:hanging="567"/>
        <w:jc w:val="both"/>
        <w:rPr>
          <w:sz w:val="20"/>
        </w:rPr>
      </w:pPr>
      <w:r>
        <w:rPr>
          <w:sz w:val="20"/>
        </w:rPr>
        <w:t>Tang N, Bai H, Chen X, Gong J, Li D, Sun Z. Anticoagulant treatment is associated with decreased mortality in severe coronavirus disease 2019 patients with coagulopathy. J Thromb Haemost. 2020 Mar 27. doi: 10.1111/jth.14817.</w:t>
      </w:r>
    </w:p>
    <w:p>
      <w:pPr>
        <w:pStyle w:val="ListParagraph"/>
        <w:numPr>
          <w:ilvl w:val="0"/>
          <w:numId w:val="42"/>
        </w:numPr>
        <w:tabs>
          <w:tab w:pos="885" w:val="left" w:leader="none"/>
        </w:tabs>
        <w:spacing w:line="240" w:lineRule="auto" w:before="0" w:after="0"/>
        <w:ind w:left="884" w:right="680" w:hanging="567"/>
        <w:jc w:val="both"/>
        <w:rPr>
          <w:sz w:val="20"/>
        </w:rPr>
      </w:pPr>
      <w:r>
        <w:rPr>
          <w:sz w:val="20"/>
        </w:rPr>
        <w:t>The</w:t>
      </w:r>
      <w:r>
        <w:rPr>
          <w:spacing w:val="-6"/>
          <w:sz w:val="20"/>
        </w:rPr>
        <w:t> </w:t>
      </w:r>
      <w:r>
        <w:rPr>
          <w:sz w:val="20"/>
        </w:rPr>
        <w:t>Centers</w:t>
      </w:r>
      <w:r>
        <w:rPr>
          <w:spacing w:val="-7"/>
          <w:sz w:val="20"/>
        </w:rPr>
        <w:t> </w:t>
      </w:r>
      <w:r>
        <w:rPr>
          <w:sz w:val="20"/>
        </w:rPr>
        <w:t>for</w:t>
      </w:r>
      <w:r>
        <w:rPr>
          <w:spacing w:val="-6"/>
          <w:sz w:val="20"/>
        </w:rPr>
        <w:t> </w:t>
      </w:r>
      <w:r>
        <w:rPr>
          <w:sz w:val="20"/>
        </w:rPr>
        <w:t>Disease</w:t>
      </w:r>
      <w:r>
        <w:rPr>
          <w:spacing w:val="-6"/>
          <w:sz w:val="20"/>
        </w:rPr>
        <w:t> </w:t>
      </w:r>
      <w:r>
        <w:rPr>
          <w:sz w:val="20"/>
        </w:rPr>
        <w:t>Control</w:t>
      </w:r>
      <w:r>
        <w:rPr>
          <w:spacing w:val="-7"/>
          <w:sz w:val="20"/>
        </w:rPr>
        <w:t> </w:t>
      </w:r>
      <w:r>
        <w:rPr>
          <w:sz w:val="20"/>
        </w:rPr>
        <w:t>and</w:t>
      </w:r>
      <w:r>
        <w:rPr>
          <w:spacing w:val="-7"/>
          <w:sz w:val="20"/>
        </w:rPr>
        <w:t> </w:t>
      </w:r>
      <w:r>
        <w:rPr>
          <w:sz w:val="20"/>
        </w:rPr>
        <w:t>Prevention</w:t>
      </w:r>
      <w:r>
        <w:rPr>
          <w:spacing w:val="-8"/>
          <w:sz w:val="20"/>
        </w:rPr>
        <w:t> </w:t>
      </w:r>
      <w:r>
        <w:rPr>
          <w:sz w:val="20"/>
        </w:rPr>
        <w:t>(CDC).</w:t>
      </w:r>
      <w:r>
        <w:rPr>
          <w:spacing w:val="-6"/>
          <w:sz w:val="20"/>
        </w:rPr>
        <w:t> </w:t>
      </w:r>
      <w:r>
        <w:rPr>
          <w:sz w:val="20"/>
        </w:rPr>
        <w:t>Interim</w:t>
      </w:r>
      <w:r>
        <w:rPr>
          <w:spacing w:val="-9"/>
          <w:sz w:val="20"/>
        </w:rPr>
        <w:t> </w:t>
      </w:r>
      <w:r>
        <w:rPr>
          <w:sz w:val="20"/>
        </w:rPr>
        <w:t>guidance</w:t>
      </w:r>
      <w:r>
        <w:rPr>
          <w:spacing w:val="-6"/>
          <w:sz w:val="20"/>
        </w:rPr>
        <w:t> </w:t>
      </w:r>
      <w:r>
        <w:rPr>
          <w:sz w:val="20"/>
        </w:rPr>
        <w:t>for</w:t>
      </w:r>
      <w:r>
        <w:rPr>
          <w:spacing w:val="-6"/>
          <w:sz w:val="20"/>
        </w:rPr>
        <w:t> </w:t>
      </w:r>
      <w:r>
        <w:rPr>
          <w:sz w:val="20"/>
        </w:rPr>
        <w:t>healthcare</w:t>
      </w:r>
      <w:r>
        <w:rPr>
          <w:spacing w:val="-6"/>
          <w:sz w:val="20"/>
        </w:rPr>
        <w:t> </w:t>
      </w:r>
      <w:r>
        <w:rPr>
          <w:sz w:val="20"/>
        </w:rPr>
        <w:t>professionals</w:t>
      </w:r>
      <w:r>
        <w:rPr>
          <w:spacing w:val="-7"/>
          <w:sz w:val="20"/>
        </w:rPr>
        <w:t> </w:t>
      </w:r>
      <w:r>
        <w:rPr>
          <w:sz w:val="20"/>
        </w:rPr>
        <w:t>on human infections with 2019 novel coronavirus (2019-nCoV). URL:</w:t>
      </w:r>
      <w:hyperlink r:id="rId46">
        <w:r>
          <w:rPr>
            <w:sz w:val="20"/>
          </w:rPr>
          <w:t> https://www.cdc.gov/coronavirus/2019</w:t>
        </w:r>
      </w:hyperlink>
      <w:hyperlink r:id="rId46">
        <w:r>
          <w:rPr>
            <w:sz w:val="20"/>
          </w:rPr>
          <w:t>-</w:t>
        </w:r>
      </w:hyperlink>
      <w:hyperlink r:id="rId46">
        <w:r>
          <w:rPr>
            <w:sz w:val="20"/>
          </w:rPr>
          <w:t>nCoV/hcp/index.html</w:t>
        </w:r>
      </w:hyperlink>
    </w:p>
    <w:p>
      <w:pPr>
        <w:pStyle w:val="ListParagraph"/>
        <w:numPr>
          <w:ilvl w:val="0"/>
          <w:numId w:val="42"/>
        </w:numPr>
        <w:tabs>
          <w:tab w:pos="885" w:val="left" w:leader="none"/>
        </w:tabs>
        <w:spacing w:line="229" w:lineRule="exact" w:before="0" w:after="0"/>
        <w:ind w:left="884" w:right="0" w:hanging="568"/>
        <w:jc w:val="both"/>
        <w:rPr>
          <w:sz w:val="20"/>
        </w:rPr>
      </w:pPr>
      <w:r>
        <w:rPr>
          <w:sz w:val="20"/>
        </w:rPr>
        <w:t>The State Council The People's Republic Of China URL:</w:t>
      </w:r>
      <w:r>
        <w:rPr>
          <w:spacing w:val="-10"/>
          <w:sz w:val="20"/>
        </w:rPr>
        <w:t> </w:t>
      </w:r>
      <w:hyperlink r:id="rId47">
        <w:r>
          <w:rPr>
            <w:sz w:val="20"/>
          </w:rPr>
          <w:t>http://english.www.gov.cn/</w:t>
        </w:r>
      </w:hyperlink>
    </w:p>
    <w:p>
      <w:pPr>
        <w:pStyle w:val="ListParagraph"/>
        <w:numPr>
          <w:ilvl w:val="0"/>
          <w:numId w:val="42"/>
        </w:numPr>
        <w:tabs>
          <w:tab w:pos="885" w:val="left" w:leader="none"/>
        </w:tabs>
        <w:spacing w:line="229" w:lineRule="exact" w:before="0" w:after="0"/>
        <w:ind w:left="884" w:right="0" w:hanging="568"/>
        <w:jc w:val="both"/>
        <w:rPr>
          <w:sz w:val="20"/>
        </w:rPr>
      </w:pPr>
      <w:r>
        <w:rPr>
          <w:sz w:val="20"/>
        </w:rPr>
        <w:t>Touret, F., de Lamballerie, X. Of chloroquine and COVID-19. Antiviral Research,</w:t>
      </w:r>
      <w:r>
        <w:rPr>
          <w:spacing w:val="-5"/>
          <w:sz w:val="20"/>
        </w:rPr>
        <w:t> </w:t>
      </w:r>
      <w:r>
        <w:rPr>
          <w:sz w:val="20"/>
        </w:rPr>
        <w:t>104762.</w:t>
      </w:r>
    </w:p>
    <w:p>
      <w:pPr>
        <w:pStyle w:val="ListParagraph"/>
        <w:numPr>
          <w:ilvl w:val="0"/>
          <w:numId w:val="42"/>
        </w:numPr>
        <w:tabs>
          <w:tab w:pos="884" w:val="left" w:leader="none"/>
        </w:tabs>
        <w:spacing w:line="240" w:lineRule="auto" w:before="1" w:after="0"/>
        <w:ind w:left="883" w:right="681" w:hanging="567"/>
        <w:jc w:val="both"/>
        <w:rPr>
          <w:sz w:val="20"/>
        </w:rPr>
      </w:pPr>
      <w:r>
        <w:rPr>
          <w:sz w:val="20"/>
        </w:rPr>
        <w:t>Upchurch C.P. et al. Community-acquired pneumonia visualized on CT scans but not chest radiographs: pathogens, severity, and clinical outcomes //Chest. – 2018. – Т. 153. – №. 3. – pp.</w:t>
      </w:r>
      <w:r>
        <w:rPr>
          <w:spacing w:val="-17"/>
          <w:sz w:val="20"/>
        </w:rPr>
        <w:t> </w:t>
      </w:r>
      <w:r>
        <w:rPr>
          <w:sz w:val="20"/>
        </w:rPr>
        <w:t>601-610.</w:t>
      </w:r>
    </w:p>
    <w:p>
      <w:pPr>
        <w:pStyle w:val="ListParagraph"/>
        <w:numPr>
          <w:ilvl w:val="0"/>
          <w:numId w:val="42"/>
        </w:numPr>
        <w:tabs>
          <w:tab w:pos="884" w:val="left" w:leader="none"/>
        </w:tabs>
        <w:spacing w:line="240" w:lineRule="auto" w:before="1" w:after="0"/>
        <w:ind w:left="883" w:right="680" w:hanging="567"/>
        <w:jc w:val="both"/>
        <w:rPr>
          <w:sz w:val="20"/>
        </w:rPr>
      </w:pPr>
      <w:r>
        <w:rPr>
          <w:sz w:val="20"/>
        </w:rPr>
        <w:t>Villar J,,et al.; Dexamethasone treatment for the acute respiratory distress syndrome: a multicentre, randomised controlled trial. Lancet Respir Med. 2020 Feb</w:t>
      </w:r>
      <w:r>
        <w:rPr>
          <w:spacing w:val="3"/>
          <w:sz w:val="20"/>
        </w:rPr>
        <w:t> </w:t>
      </w:r>
      <w:r>
        <w:rPr>
          <w:sz w:val="20"/>
        </w:rPr>
        <w:t>7.</w:t>
      </w:r>
    </w:p>
    <w:p>
      <w:pPr>
        <w:pStyle w:val="ListParagraph"/>
        <w:numPr>
          <w:ilvl w:val="0"/>
          <w:numId w:val="42"/>
        </w:numPr>
        <w:tabs>
          <w:tab w:pos="884" w:val="left" w:leader="none"/>
        </w:tabs>
        <w:spacing w:line="240" w:lineRule="auto" w:before="1" w:after="0"/>
        <w:ind w:left="882" w:right="678" w:hanging="567"/>
        <w:jc w:val="both"/>
        <w:rPr>
          <w:sz w:val="20"/>
        </w:rPr>
      </w:pPr>
      <w:r>
        <w:rPr>
          <w:sz w:val="20"/>
        </w:rPr>
        <w:t>Wang</w:t>
      </w:r>
      <w:r>
        <w:rPr>
          <w:spacing w:val="-9"/>
          <w:sz w:val="20"/>
        </w:rPr>
        <w:t> </w:t>
      </w:r>
      <w:r>
        <w:rPr>
          <w:sz w:val="20"/>
        </w:rPr>
        <w:t>L</w:t>
      </w:r>
      <w:r>
        <w:rPr>
          <w:spacing w:val="-10"/>
          <w:sz w:val="20"/>
        </w:rPr>
        <w:t> </w:t>
      </w:r>
      <w:r>
        <w:rPr>
          <w:sz w:val="20"/>
        </w:rPr>
        <w:t>C-reactive</w:t>
      </w:r>
      <w:r>
        <w:rPr>
          <w:spacing w:val="-6"/>
          <w:sz w:val="20"/>
        </w:rPr>
        <w:t> </w:t>
      </w:r>
      <w:r>
        <w:rPr>
          <w:sz w:val="20"/>
        </w:rPr>
        <w:t>Protein</w:t>
      </w:r>
      <w:r>
        <w:rPr>
          <w:spacing w:val="-9"/>
          <w:sz w:val="20"/>
        </w:rPr>
        <w:t> </w:t>
      </w:r>
      <w:r>
        <w:rPr>
          <w:sz w:val="20"/>
        </w:rPr>
        <w:t>Levels</w:t>
      </w:r>
      <w:r>
        <w:rPr>
          <w:spacing w:val="-9"/>
          <w:sz w:val="20"/>
        </w:rPr>
        <w:t> </w:t>
      </w:r>
      <w:r>
        <w:rPr>
          <w:sz w:val="20"/>
        </w:rPr>
        <w:t>in</w:t>
      </w:r>
      <w:r>
        <w:rPr>
          <w:spacing w:val="-8"/>
          <w:sz w:val="20"/>
        </w:rPr>
        <w:t> </w:t>
      </w:r>
      <w:r>
        <w:rPr>
          <w:sz w:val="20"/>
        </w:rPr>
        <w:t>the</w:t>
      </w:r>
      <w:r>
        <w:rPr>
          <w:spacing w:val="-7"/>
          <w:sz w:val="20"/>
        </w:rPr>
        <w:t> </w:t>
      </w:r>
      <w:r>
        <w:rPr>
          <w:sz w:val="20"/>
        </w:rPr>
        <w:t>Early</w:t>
      </w:r>
      <w:r>
        <w:rPr>
          <w:spacing w:val="-11"/>
          <w:sz w:val="20"/>
        </w:rPr>
        <w:t> </w:t>
      </w:r>
      <w:r>
        <w:rPr>
          <w:sz w:val="20"/>
        </w:rPr>
        <w:t>Stage</w:t>
      </w:r>
      <w:r>
        <w:rPr>
          <w:spacing w:val="-6"/>
          <w:sz w:val="20"/>
        </w:rPr>
        <w:t> </w:t>
      </w:r>
      <w:r>
        <w:rPr>
          <w:sz w:val="20"/>
        </w:rPr>
        <w:t>of</w:t>
      </w:r>
      <w:r>
        <w:rPr>
          <w:spacing w:val="-9"/>
          <w:sz w:val="20"/>
        </w:rPr>
        <w:t> </w:t>
      </w:r>
      <w:r>
        <w:rPr>
          <w:sz w:val="20"/>
        </w:rPr>
        <w:t>COVID-19</w:t>
      </w:r>
      <w:r>
        <w:rPr>
          <w:spacing w:val="-7"/>
          <w:sz w:val="20"/>
        </w:rPr>
        <w:t> </w:t>
      </w:r>
      <w:r>
        <w:rPr>
          <w:sz w:val="20"/>
        </w:rPr>
        <w:t>Med</w:t>
      </w:r>
      <w:r>
        <w:rPr>
          <w:spacing w:val="-6"/>
          <w:sz w:val="20"/>
        </w:rPr>
        <w:t> </w:t>
      </w:r>
      <w:r>
        <w:rPr>
          <w:sz w:val="20"/>
        </w:rPr>
        <w:t>Mal</w:t>
      </w:r>
      <w:r>
        <w:rPr>
          <w:spacing w:val="-10"/>
          <w:sz w:val="20"/>
        </w:rPr>
        <w:t> </w:t>
      </w:r>
      <w:r>
        <w:rPr>
          <w:sz w:val="20"/>
        </w:rPr>
        <w:t>Infect.</w:t>
      </w:r>
      <w:r>
        <w:rPr>
          <w:spacing w:val="-7"/>
          <w:sz w:val="20"/>
        </w:rPr>
        <w:t> </w:t>
      </w:r>
      <w:r>
        <w:rPr>
          <w:sz w:val="20"/>
        </w:rPr>
        <w:t>2020</w:t>
      </w:r>
      <w:r>
        <w:rPr>
          <w:spacing w:val="-8"/>
          <w:sz w:val="20"/>
        </w:rPr>
        <w:t> </w:t>
      </w:r>
      <w:r>
        <w:rPr>
          <w:sz w:val="20"/>
        </w:rPr>
        <w:t>Mar</w:t>
      </w:r>
      <w:r>
        <w:rPr>
          <w:spacing w:val="-7"/>
          <w:sz w:val="20"/>
        </w:rPr>
        <w:t> </w:t>
      </w:r>
      <w:r>
        <w:rPr>
          <w:sz w:val="20"/>
        </w:rPr>
        <w:t>31;S0399- 077X(20)30086-X. doi: 10.1016/j.medmal.2020.03.007. Online ahead of</w:t>
      </w:r>
      <w:r>
        <w:rPr>
          <w:spacing w:val="-4"/>
          <w:sz w:val="20"/>
        </w:rPr>
        <w:t> </w:t>
      </w:r>
      <w:r>
        <w:rPr>
          <w:sz w:val="20"/>
        </w:rPr>
        <w:t>print</w:t>
      </w:r>
    </w:p>
    <w:p>
      <w:pPr>
        <w:pStyle w:val="ListParagraph"/>
        <w:numPr>
          <w:ilvl w:val="0"/>
          <w:numId w:val="42"/>
        </w:numPr>
        <w:tabs>
          <w:tab w:pos="883" w:val="left" w:leader="none"/>
        </w:tabs>
        <w:spacing w:line="240" w:lineRule="auto" w:before="0" w:after="0"/>
        <w:ind w:left="882" w:right="677" w:hanging="567"/>
        <w:jc w:val="both"/>
        <w:rPr>
          <w:sz w:val="20"/>
        </w:rPr>
      </w:pPr>
      <w:r>
        <w:rPr>
          <w:sz w:val="20"/>
        </w:rPr>
        <w:t>Wang Z. et al. Clinical characteristics and therapeutic procedure for four cases with 2019 novel coronavirus pneumonia receiving combined Chinese and Western medicine treatment. Biosci Trends 2020.</w:t>
      </w:r>
      <w:r>
        <w:rPr>
          <w:spacing w:val="-3"/>
          <w:sz w:val="20"/>
        </w:rPr>
        <w:t> </w:t>
      </w:r>
      <w:r>
        <w:rPr>
          <w:sz w:val="20"/>
        </w:rPr>
        <w:t>doi:10.5582/bst.2020.01030.</w:t>
      </w:r>
    </w:p>
    <w:p>
      <w:pPr>
        <w:pStyle w:val="ListParagraph"/>
        <w:numPr>
          <w:ilvl w:val="0"/>
          <w:numId w:val="42"/>
        </w:numPr>
        <w:tabs>
          <w:tab w:pos="883" w:val="left" w:leader="none"/>
        </w:tabs>
        <w:spacing w:line="240" w:lineRule="auto" w:before="0" w:after="0"/>
        <w:ind w:left="882" w:right="684" w:hanging="567"/>
        <w:jc w:val="both"/>
        <w:rPr>
          <w:sz w:val="20"/>
        </w:rPr>
      </w:pPr>
      <w:r>
        <w:rPr>
          <w:sz w:val="20"/>
        </w:rPr>
        <w:t>World Health Organization. Clinical management of severe acute respiratory infection when Novel coronavirus (2019-nCoV) infection is suspected: Interim Guidance. 28 January</w:t>
      </w:r>
      <w:r>
        <w:rPr>
          <w:spacing w:val="-12"/>
          <w:sz w:val="20"/>
        </w:rPr>
        <w:t> </w:t>
      </w:r>
      <w:r>
        <w:rPr>
          <w:sz w:val="20"/>
        </w:rPr>
        <w:t>2020.</w:t>
      </w:r>
    </w:p>
    <w:p>
      <w:pPr>
        <w:pStyle w:val="ListParagraph"/>
        <w:numPr>
          <w:ilvl w:val="0"/>
          <w:numId w:val="42"/>
        </w:numPr>
        <w:tabs>
          <w:tab w:pos="888" w:val="left" w:leader="none"/>
        </w:tabs>
        <w:spacing w:line="240" w:lineRule="auto" w:before="0" w:after="0"/>
        <w:ind w:left="887" w:right="677" w:hanging="567"/>
        <w:jc w:val="both"/>
        <w:rPr>
          <w:sz w:val="20"/>
        </w:rPr>
      </w:pPr>
      <w:r>
        <w:rPr>
          <w:sz w:val="20"/>
        </w:rPr>
        <w:t>World</w:t>
      </w:r>
      <w:r>
        <w:rPr>
          <w:spacing w:val="-5"/>
          <w:sz w:val="20"/>
        </w:rPr>
        <w:t> </w:t>
      </w:r>
      <w:r>
        <w:rPr>
          <w:sz w:val="20"/>
        </w:rPr>
        <w:t>Health</w:t>
      </w:r>
      <w:r>
        <w:rPr>
          <w:spacing w:val="-7"/>
          <w:sz w:val="20"/>
        </w:rPr>
        <w:t> </w:t>
      </w:r>
      <w:r>
        <w:rPr>
          <w:sz w:val="20"/>
        </w:rPr>
        <w:t>Organization.</w:t>
      </w:r>
      <w:r>
        <w:rPr>
          <w:spacing w:val="-5"/>
          <w:sz w:val="20"/>
        </w:rPr>
        <w:t> </w:t>
      </w:r>
      <w:r>
        <w:rPr>
          <w:sz w:val="20"/>
        </w:rPr>
        <w:t>Infection</w:t>
      </w:r>
      <w:r>
        <w:rPr>
          <w:spacing w:val="-5"/>
          <w:sz w:val="20"/>
        </w:rPr>
        <w:t> </w:t>
      </w:r>
      <w:r>
        <w:rPr>
          <w:sz w:val="20"/>
        </w:rPr>
        <w:t>prevention</w:t>
      </w:r>
      <w:r>
        <w:rPr>
          <w:spacing w:val="-7"/>
          <w:sz w:val="20"/>
        </w:rPr>
        <w:t> </w:t>
      </w:r>
      <w:r>
        <w:rPr>
          <w:sz w:val="20"/>
        </w:rPr>
        <w:t>and</w:t>
      </w:r>
      <w:r>
        <w:rPr>
          <w:spacing w:val="-4"/>
          <w:sz w:val="20"/>
        </w:rPr>
        <w:t> </w:t>
      </w:r>
      <w:r>
        <w:rPr>
          <w:sz w:val="20"/>
        </w:rPr>
        <w:t>control</w:t>
      </w:r>
      <w:r>
        <w:rPr>
          <w:spacing w:val="-4"/>
          <w:sz w:val="20"/>
        </w:rPr>
        <w:t> </w:t>
      </w:r>
      <w:r>
        <w:rPr>
          <w:sz w:val="20"/>
        </w:rPr>
        <w:t>guidance</w:t>
      </w:r>
      <w:r>
        <w:rPr>
          <w:spacing w:val="-3"/>
          <w:sz w:val="20"/>
        </w:rPr>
        <w:t> </w:t>
      </w:r>
      <w:r>
        <w:rPr>
          <w:sz w:val="20"/>
        </w:rPr>
        <w:t>for</w:t>
      </w:r>
      <w:r>
        <w:rPr>
          <w:spacing w:val="-5"/>
          <w:sz w:val="20"/>
        </w:rPr>
        <w:t> </w:t>
      </w:r>
      <w:r>
        <w:rPr>
          <w:sz w:val="20"/>
        </w:rPr>
        <w:t>long-term</w:t>
      </w:r>
      <w:r>
        <w:rPr>
          <w:spacing w:val="-7"/>
          <w:sz w:val="20"/>
        </w:rPr>
        <w:t> </w:t>
      </w:r>
      <w:r>
        <w:rPr>
          <w:sz w:val="20"/>
        </w:rPr>
        <w:t>care</w:t>
      </w:r>
      <w:r>
        <w:rPr>
          <w:spacing w:val="-4"/>
          <w:sz w:val="20"/>
        </w:rPr>
        <w:t> </w:t>
      </w:r>
      <w:r>
        <w:rPr>
          <w:sz w:val="20"/>
        </w:rPr>
        <w:t>facilities</w:t>
      </w:r>
      <w:r>
        <w:rPr>
          <w:spacing w:val="-6"/>
          <w:sz w:val="20"/>
        </w:rPr>
        <w:t> </w:t>
      </w:r>
      <w:r>
        <w:rPr>
          <w:sz w:val="20"/>
        </w:rPr>
        <w:t>in</w:t>
      </w:r>
      <w:r>
        <w:rPr>
          <w:spacing w:val="-7"/>
          <w:sz w:val="20"/>
        </w:rPr>
        <w:t> </w:t>
      </w:r>
      <w:r>
        <w:rPr>
          <w:sz w:val="20"/>
        </w:rPr>
        <w:t>the context of COVID-19: interim guidance, 21 March 2020. World Health Organization;</w:t>
      </w:r>
      <w:r>
        <w:rPr>
          <w:spacing w:val="-12"/>
          <w:sz w:val="20"/>
        </w:rPr>
        <w:t> </w:t>
      </w:r>
      <w:r>
        <w:rPr>
          <w:sz w:val="20"/>
        </w:rPr>
        <w:t>2020.</w:t>
      </w:r>
    </w:p>
    <w:p>
      <w:pPr>
        <w:spacing w:after="0" w:line="240" w:lineRule="auto"/>
        <w:jc w:val="both"/>
        <w:rPr>
          <w:sz w:val="20"/>
        </w:rPr>
        <w:sectPr>
          <w:pgSz w:w="11920" w:h="16850"/>
          <w:pgMar w:header="0" w:footer="620" w:top="1060" w:bottom="880" w:left="1380" w:right="600"/>
        </w:sectPr>
      </w:pPr>
    </w:p>
    <w:p>
      <w:pPr>
        <w:pStyle w:val="ListParagraph"/>
        <w:numPr>
          <w:ilvl w:val="0"/>
          <w:numId w:val="42"/>
        </w:numPr>
        <w:tabs>
          <w:tab w:pos="888" w:val="left" w:leader="none"/>
        </w:tabs>
        <w:spacing w:line="240" w:lineRule="auto" w:before="79" w:after="0"/>
        <w:ind w:left="887" w:right="675" w:hanging="567"/>
        <w:jc w:val="both"/>
        <w:rPr>
          <w:sz w:val="20"/>
        </w:rPr>
      </w:pPr>
      <w:r>
        <w:rPr>
          <w:sz w:val="20"/>
        </w:rPr>
        <w:t>World Health Organization. Managing Ethical Issues in Infectious Disease Outbreaks. Publication date: 2016. URL:</w:t>
      </w:r>
      <w:r>
        <w:rPr>
          <w:spacing w:val="-3"/>
          <w:sz w:val="20"/>
        </w:rPr>
        <w:t> </w:t>
      </w:r>
      <w:r>
        <w:rPr>
          <w:sz w:val="20"/>
        </w:rPr>
        <w:t>ht</w:t>
      </w:r>
      <w:hyperlink r:id="rId48">
        <w:r>
          <w:rPr>
            <w:sz w:val="20"/>
          </w:rPr>
          <w:t>tps://www.who.int/</w:t>
        </w:r>
      </w:hyperlink>
      <w:hyperlink r:id="rId48">
        <w:r>
          <w:rPr>
            <w:sz w:val="20"/>
          </w:rPr>
          <w:t>ethics/publications/infectious</w:t>
        </w:r>
      </w:hyperlink>
      <w:hyperlink r:id="rId48">
        <w:r>
          <w:rPr>
            <w:sz w:val="20"/>
          </w:rPr>
          <w:t>-</w:t>
        </w:r>
      </w:hyperlink>
      <w:hyperlink r:id="rId48">
        <w:r>
          <w:rPr>
            <w:sz w:val="20"/>
          </w:rPr>
          <w:t>disease</w:t>
        </w:r>
      </w:hyperlink>
      <w:hyperlink r:id="rId48">
        <w:r>
          <w:rPr>
            <w:sz w:val="20"/>
          </w:rPr>
          <w:t>-</w:t>
        </w:r>
      </w:hyperlink>
      <w:hyperlink r:id="rId48">
        <w:r>
          <w:rPr>
            <w:sz w:val="20"/>
          </w:rPr>
          <w:t>outbreaks/en/</w:t>
        </w:r>
      </w:hyperlink>
    </w:p>
    <w:p>
      <w:pPr>
        <w:pStyle w:val="ListParagraph"/>
        <w:numPr>
          <w:ilvl w:val="0"/>
          <w:numId w:val="42"/>
        </w:numPr>
        <w:tabs>
          <w:tab w:pos="888" w:val="left" w:leader="none"/>
          <w:tab w:pos="3602" w:val="left" w:leader="none"/>
          <w:tab w:pos="6069" w:val="left" w:leader="none"/>
          <w:tab w:pos="9254" w:val="right" w:leader="none"/>
        </w:tabs>
        <w:spacing w:line="240" w:lineRule="auto" w:before="0" w:after="0"/>
        <w:ind w:left="887" w:right="674" w:hanging="567"/>
        <w:jc w:val="both"/>
        <w:rPr>
          <w:sz w:val="20"/>
        </w:rPr>
      </w:pPr>
      <w:r>
        <w:rPr>
          <w:sz w:val="20"/>
        </w:rPr>
        <w:t>World Health Organization. WHO Blood Regulators Network (BRN) Position Paper on Use of Convalescent Plasma, Serum or Immune Globulin Concentrates as an Element in Response to an Emerging</w:t>
        <w:tab/>
        <w:t>Virus*</w:t>
        <w:tab/>
        <w:t>September</w:t>
        <w:tab/>
        <w:t>2017</w:t>
      </w:r>
    </w:p>
    <w:p>
      <w:pPr>
        <w:spacing w:before="0"/>
        <w:ind w:left="887" w:right="0" w:firstLine="0"/>
        <w:jc w:val="left"/>
        <w:rPr>
          <w:sz w:val="20"/>
        </w:rPr>
      </w:pPr>
      <w:hyperlink r:id="rId49">
        <w:r>
          <w:rPr>
            <w:color w:val="0562C1"/>
            <w:sz w:val="20"/>
            <w:u w:val="single" w:color="0562C1"/>
          </w:rPr>
          <w:t>https://www.who.int/bloodproducts/brn/2017_BRN_PositionPaper_ConvalescentPlasma.pdf</w:t>
        </w:r>
      </w:hyperlink>
    </w:p>
    <w:p>
      <w:pPr>
        <w:pStyle w:val="ListParagraph"/>
        <w:numPr>
          <w:ilvl w:val="0"/>
          <w:numId w:val="42"/>
        </w:numPr>
        <w:tabs>
          <w:tab w:pos="888" w:val="left" w:leader="none"/>
        </w:tabs>
        <w:spacing w:line="240" w:lineRule="auto" w:before="0" w:after="0"/>
        <w:ind w:left="887" w:right="675" w:hanging="566"/>
        <w:jc w:val="both"/>
        <w:rPr>
          <w:sz w:val="20"/>
        </w:rPr>
      </w:pPr>
      <w:r>
        <w:rPr>
          <w:sz w:val="20"/>
        </w:rPr>
        <w:t>Wu P. et al. Real-time tentative assessment of the epidemiological characteristics of novel coronavirus infections in Wuhan, China, as at 22 January 2020 //Eurosurveillance. 2020. Т. 25. №.3. doi: 10.2807/1560-7917.ES.2020.25.3.2000044</w:t>
      </w:r>
    </w:p>
    <w:p>
      <w:pPr>
        <w:pStyle w:val="ListParagraph"/>
        <w:numPr>
          <w:ilvl w:val="0"/>
          <w:numId w:val="42"/>
        </w:numPr>
        <w:tabs>
          <w:tab w:pos="888" w:val="left" w:leader="none"/>
        </w:tabs>
        <w:spacing w:line="240" w:lineRule="auto" w:before="0" w:after="0"/>
        <w:ind w:left="887" w:right="673" w:hanging="567"/>
        <w:jc w:val="both"/>
        <w:rPr>
          <w:sz w:val="20"/>
        </w:rPr>
      </w:pPr>
      <w:r>
        <w:rPr>
          <w:sz w:val="20"/>
        </w:rPr>
        <w:t>Xiao A., et al J Clin Pharm. 2016; 56(1): 56-66; Luzelena Caro, David P. Nicolau, Jan J. De Waele et al. Lung penetration, bronchopulmonary pharmacokinetic/ pharmacodynamic proﬁle and safety of 3 g of ceftolozane/tazobactam administered to ventilated, critically ill patients with pneumonia. Journal of Antimicrobial Chemotherapy, dkaa049, https://doi.org/10.1093/jac/dkaa049 Published: 24 March</w:t>
      </w:r>
      <w:r>
        <w:rPr>
          <w:spacing w:val="-24"/>
          <w:sz w:val="20"/>
        </w:rPr>
        <w:t> </w:t>
      </w:r>
      <w:r>
        <w:rPr>
          <w:sz w:val="20"/>
        </w:rPr>
        <w:t>2020</w:t>
      </w:r>
    </w:p>
    <w:p>
      <w:pPr>
        <w:pStyle w:val="ListParagraph"/>
        <w:numPr>
          <w:ilvl w:val="0"/>
          <w:numId w:val="42"/>
        </w:numPr>
        <w:tabs>
          <w:tab w:pos="888" w:val="left" w:leader="none"/>
        </w:tabs>
        <w:spacing w:line="240" w:lineRule="auto" w:before="2" w:after="0"/>
        <w:ind w:left="887" w:right="677" w:hanging="567"/>
        <w:jc w:val="both"/>
        <w:rPr>
          <w:sz w:val="20"/>
        </w:rPr>
      </w:pPr>
      <w:r>
        <w:rPr>
          <w:sz w:val="20"/>
        </w:rPr>
        <w:t>Xu L, Liu J, Lu M, Yang D, Zheng X. Liver injury during highly pathogenic human coronavirus infections. Liver Int. 2020 May;40(5):998-1004. doi: 10.1111/liv.14435. Epub 2020 Mar 30. Review. PubMed PMID: 32170806</w:t>
      </w:r>
    </w:p>
    <w:p>
      <w:pPr>
        <w:pStyle w:val="ListParagraph"/>
        <w:numPr>
          <w:ilvl w:val="0"/>
          <w:numId w:val="42"/>
        </w:numPr>
        <w:tabs>
          <w:tab w:pos="887" w:val="left" w:leader="none"/>
          <w:tab w:pos="888" w:val="left" w:leader="none"/>
        </w:tabs>
        <w:spacing w:line="240" w:lineRule="auto" w:before="0" w:after="0"/>
        <w:ind w:left="887" w:right="675" w:hanging="567"/>
        <w:jc w:val="left"/>
        <w:rPr>
          <w:sz w:val="20"/>
        </w:rPr>
      </w:pPr>
      <w:r>
        <w:rPr>
          <w:sz w:val="20"/>
        </w:rPr>
        <w:t>Yuan M. et al. Association of radiologic findings with mortality of patients infected with 2019 novel coronavirus in Wuhan, China. PLoS ONE. 2020;15:e0230548.</w:t>
      </w:r>
      <w:r>
        <w:rPr>
          <w:spacing w:val="-13"/>
          <w:sz w:val="20"/>
        </w:rPr>
        <w:t> </w:t>
      </w:r>
      <w:r>
        <w:rPr>
          <w:sz w:val="20"/>
        </w:rPr>
        <w:t>doi:10.1371/journal.pone.0230548.</w:t>
      </w:r>
    </w:p>
    <w:p>
      <w:pPr>
        <w:pStyle w:val="ListParagraph"/>
        <w:numPr>
          <w:ilvl w:val="0"/>
          <w:numId w:val="42"/>
        </w:numPr>
        <w:tabs>
          <w:tab w:pos="887" w:val="left" w:leader="none"/>
          <w:tab w:pos="888" w:val="left" w:leader="none"/>
        </w:tabs>
        <w:spacing w:line="240" w:lineRule="auto" w:before="0" w:after="0"/>
        <w:ind w:left="887" w:right="678" w:hanging="567"/>
        <w:jc w:val="left"/>
        <w:rPr>
          <w:sz w:val="20"/>
        </w:rPr>
      </w:pPr>
      <w:r>
        <w:rPr>
          <w:sz w:val="20"/>
        </w:rPr>
        <w:t>Zhang</w:t>
      </w:r>
      <w:r>
        <w:rPr>
          <w:spacing w:val="-14"/>
          <w:sz w:val="20"/>
        </w:rPr>
        <w:t> </w:t>
      </w:r>
      <w:r>
        <w:rPr>
          <w:sz w:val="20"/>
        </w:rPr>
        <w:t>J.</w:t>
      </w:r>
      <w:r>
        <w:rPr>
          <w:spacing w:val="-13"/>
          <w:sz w:val="20"/>
        </w:rPr>
        <w:t> </w:t>
      </w:r>
      <w:r>
        <w:rPr>
          <w:sz w:val="20"/>
        </w:rPr>
        <w:t>et</w:t>
      </w:r>
      <w:r>
        <w:rPr>
          <w:spacing w:val="-13"/>
          <w:sz w:val="20"/>
        </w:rPr>
        <w:t> </w:t>
      </w:r>
      <w:r>
        <w:rPr>
          <w:sz w:val="20"/>
        </w:rPr>
        <w:t>al.</w:t>
      </w:r>
      <w:r>
        <w:rPr>
          <w:spacing w:val="-12"/>
          <w:sz w:val="20"/>
        </w:rPr>
        <w:t> </w:t>
      </w:r>
      <w:r>
        <w:rPr>
          <w:sz w:val="20"/>
        </w:rPr>
        <w:t>Therapeutic</w:t>
      </w:r>
      <w:r>
        <w:rPr>
          <w:spacing w:val="-12"/>
          <w:sz w:val="20"/>
        </w:rPr>
        <w:t> </w:t>
      </w:r>
      <w:r>
        <w:rPr>
          <w:sz w:val="20"/>
        </w:rPr>
        <w:t>and</w:t>
      </w:r>
      <w:r>
        <w:rPr>
          <w:spacing w:val="-11"/>
          <w:sz w:val="20"/>
        </w:rPr>
        <w:t> </w:t>
      </w:r>
      <w:r>
        <w:rPr>
          <w:sz w:val="20"/>
        </w:rPr>
        <w:t>triage</w:t>
      </w:r>
      <w:r>
        <w:rPr>
          <w:spacing w:val="-12"/>
          <w:sz w:val="20"/>
        </w:rPr>
        <w:t> </w:t>
      </w:r>
      <w:r>
        <w:rPr>
          <w:sz w:val="20"/>
        </w:rPr>
        <w:t>strategies</w:t>
      </w:r>
      <w:r>
        <w:rPr>
          <w:spacing w:val="-12"/>
          <w:sz w:val="20"/>
        </w:rPr>
        <w:t> </w:t>
      </w:r>
      <w:r>
        <w:rPr>
          <w:sz w:val="20"/>
        </w:rPr>
        <w:t>for</w:t>
      </w:r>
      <w:r>
        <w:rPr>
          <w:spacing w:val="-12"/>
          <w:sz w:val="20"/>
        </w:rPr>
        <w:t> </w:t>
      </w:r>
      <w:r>
        <w:rPr>
          <w:sz w:val="20"/>
        </w:rPr>
        <w:t>2019</w:t>
      </w:r>
      <w:r>
        <w:rPr>
          <w:spacing w:val="-11"/>
          <w:sz w:val="20"/>
        </w:rPr>
        <w:t> </w:t>
      </w:r>
      <w:r>
        <w:rPr>
          <w:sz w:val="20"/>
        </w:rPr>
        <w:t>novel</w:t>
      </w:r>
      <w:r>
        <w:rPr>
          <w:spacing w:val="-13"/>
          <w:sz w:val="20"/>
        </w:rPr>
        <w:t> </w:t>
      </w:r>
      <w:r>
        <w:rPr>
          <w:sz w:val="20"/>
        </w:rPr>
        <w:t>coronavirus</w:t>
      </w:r>
      <w:r>
        <w:rPr>
          <w:spacing w:val="-13"/>
          <w:sz w:val="20"/>
        </w:rPr>
        <w:t> </w:t>
      </w:r>
      <w:r>
        <w:rPr>
          <w:sz w:val="20"/>
        </w:rPr>
        <w:t>disease</w:t>
      </w:r>
      <w:r>
        <w:rPr>
          <w:spacing w:val="-12"/>
          <w:sz w:val="20"/>
        </w:rPr>
        <w:t> </w:t>
      </w:r>
      <w:r>
        <w:rPr>
          <w:sz w:val="20"/>
        </w:rPr>
        <w:t>in</w:t>
      </w:r>
      <w:r>
        <w:rPr>
          <w:spacing w:val="-11"/>
          <w:sz w:val="20"/>
        </w:rPr>
        <w:t> </w:t>
      </w:r>
      <w:r>
        <w:rPr>
          <w:sz w:val="20"/>
        </w:rPr>
        <w:t>fever</w:t>
      </w:r>
      <w:r>
        <w:rPr>
          <w:spacing w:val="-12"/>
          <w:sz w:val="20"/>
        </w:rPr>
        <w:t> </w:t>
      </w:r>
      <w:r>
        <w:rPr>
          <w:sz w:val="20"/>
        </w:rPr>
        <w:t>clinics.</w:t>
      </w:r>
      <w:r>
        <w:rPr>
          <w:spacing w:val="-13"/>
          <w:sz w:val="20"/>
        </w:rPr>
        <w:t> </w:t>
      </w:r>
      <w:r>
        <w:rPr>
          <w:sz w:val="20"/>
        </w:rPr>
        <w:t>Lancet Respir Med 2020.</w:t>
      </w:r>
      <w:r>
        <w:rPr>
          <w:spacing w:val="-1"/>
          <w:sz w:val="20"/>
        </w:rPr>
        <w:t> </w:t>
      </w:r>
      <w:r>
        <w:rPr>
          <w:sz w:val="20"/>
        </w:rPr>
        <w:t>doi:10.1016/S2213-2600(20)30071-0.</w:t>
      </w:r>
    </w:p>
    <w:p>
      <w:pPr>
        <w:pStyle w:val="ListParagraph"/>
        <w:numPr>
          <w:ilvl w:val="0"/>
          <w:numId w:val="42"/>
        </w:numPr>
        <w:tabs>
          <w:tab w:pos="887" w:val="left" w:leader="none"/>
          <w:tab w:pos="888" w:val="left" w:leader="none"/>
        </w:tabs>
        <w:spacing w:line="240" w:lineRule="auto" w:before="0" w:after="0"/>
        <w:ind w:left="887" w:right="677" w:hanging="567"/>
        <w:jc w:val="left"/>
        <w:rPr>
          <w:sz w:val="20"/>
        </w:rPr>
      </w:pPr>
      <w:r>
        <w:rPr>
          <w:sz w:val="20"/>
        </w:rPr>
        <w:t>Zhang L, Liu Y. Potential Interventions for Novel Coronavirus in China: J Med Virol 2020. doi:10.1002/jmv.25707.</w:t>
      </w:r>
    </w:p>
    <w:p>
      <w:pPr>
        <w:pStyle w:val="ListParagraph"/>
        <w:numPr>
          <w:ilvl w:val="0"/>
          <w:numId w:val="42"/>
        </w:numPr>
        <w:tabs>
          <w:tab w:pos="888" w:val="left" w:leader="none"/>
        </w:tabs>
        <w:spacing w:line="240" w:lineRule="auto" w:before="0" w:after="0"/>
        <w:ind w:left="887" w:right="675" w:hanging="567"/>
        <w:jc w:val="both"/>
        <w:rPr>
          <w:sz w:val="20"/>
        </w:rPr>
      </w:pPr>
      <w:r>
        <w:rPr>
          <w:sz w:val="20"/>
        </w:rPr>
        <w:t>Zhang W, Zhao Y, Zhang F, Wang Q, Li T, Liu Z, Wang J, Qin Y, Zhang X, Yan X, Zeng X, Zhang S. The use of anti-inflammatory drugs in the treatment of people with severe coronavirus disease 2019 (COVID-19): The experience of clinical immunologists from</w:t>
      </w:r>
      <w:r>
        <w:rPr>
          <w:spacing w:val="-5"/>
          <w:sz w:val="20"/>
        </w:rPr>
        <w:t> </w:t>
      </w:r>
      <w:r>
        <w:rPr>
          <w:sz w:val="20"/>
        </w:rPr>
        <w:t>China.</w:t>
      </w:r>
    </w:p>
    <w:p>
      <w:pPr>
        <w:pStyle w:val="ListParagraph"/>
        <w:numPr>
          <w:ilvl w:val="0"/>
          <w:numId w:val="42"/>
        </w:numPr>
        <w:tabs>
          <w:tab w:pos="888" w:val="left" w:leader="none"/>
        </w:tabs>
        <w:spacing w:line="240" w:lineRule="auto" w:before="0" w:after="0"/>
        <w:ind w:left="886" w:right="676" w:hanging="567"/>
        <w:jc w:val="both"/>
        <w:rPr>
          <w:sz w:val="20"/>
        </w:rPr>
      </w:pPr>
      <w:r>
        <w:rPr>
          <w:sz w:val="20"/>
        </w:rPr>
        <w:t>Zhang W. et al. The use of anti-inflammatory drugs in the treatment of people with severe coronavirus disease 2019 (COVID-19): The Perspectives of clinical immunologists from China. Clin Immunol. 2020 Mar 25;214:108393. doi: 10.1016/j.clim.2020.108393. [Epub ahead of</w:t>
      </w:r>
      <w:r>
        <w:rPr>
          <w:spacing w:val="-2"/>
          <w:sz w:val="20"/>
        </w:rPr>
        <w:t> </w:t>
      </w:r>
      <w:r>
        <w:rPr>
          <w:sz w:val="20"/>
        </w:rPr>
        <w:t>print]</w:t>
      </w:r>
    </w:p>
    <w:p>
      <w:pPr>
        <w:pStyle w:val="ListParagraph"/>
        <w:numPr>
          <w:ilvl w:val="0"/>
          <w:numId w:val="42"/>
        </w:numPr>
        <w:tabs>
          <w:tab w:pos="887" w:val="left" w:leader="none"/>
        </w:tabs>
        <w:spacing w:line="240" w:lineRule="auto" w:before="0" w:after="0"/>
        <w:ind w:left="886" w:right="679" w:hanging="567"/>
        <w:jc w:val="both"/>
        <w:rPr>
          <w:sz w:val="20"/>
        </w:rPr>
      </w:pPr>
      <w:r>
        <w:rPr>
          <w:sz w:val="20"/>
        </w:rPr>
        <w:t>Zumla</w:t>
      </w:r>
      <w:r>
        <w:rPr>
          <w:spacing w:val="-10"/>
          <w:sz w:val="20"/>
        </w:rPr>
        <w:t> </w:t>
      </w:r>
      <w:r>
        <w:rPr>
          <w:sz w:val="20"/>
        </w:rPr>
        <w:t>A.</w:t>
      </w:r>
      <w:r>
        <w:rPr>
          <w:spacing w:val="-12"/>
          <w:sz w:val="20"/>
        </w:rPr>
        <w:t> </w:t>
      </w:r>
      <w:r>
        <w:rPr>
          <w:sz w:val="20"/>
        </w:rPr>
        <w:t>et</w:t>
      </w:r>
      <w:r>
        <w:rPr>
          <w:spacing w:val="-13"/>
          <w:sz w:val="20"/>
        </w:rPr>
        <w:t> </w:t>
      </w:r>
      <w:r>
        <w:rPr>
          <w:sz w:val="20"/>
        </w:rPr>
        <w:t>al.</w:t>
      </w:r>
      <w:r>
        <w:rPr>
          <w:spacing w:val="-11"/>
          <w:sz w:val="20"/>
        </w:rPr>
        <w:t> </w:t>
      </w:r>
      <w:r>
        <w:rPr>
          <w:sz w:val="20"/>
        </w:rPr>
        <w:t>Coronaviruses</w:t>
      </w:r>
      <w:r>
        <w:rPr>
          <w:spacing w:val="-11"/>
          <w:sz w:val="20"/>
        </w:rPr>
        <w:t> </w:t>
      </w:r>
      <w:r>
        <w:rPr>
          <w:sz w:val="20"/>
        </w:rPr>
        <w:t>-</w:t>
      </w:r>
      <w:r>
        <w:rPr>
          <w:spacing w:val="-14"/>
          <w:sz w:val="20"/>
        </w:rPr>
        <w:t> </w:t>
      </w:r>
      <w:r>
        <w:rPr>
          <w:sz w:val="20"/>
        </w:rPr>
        <w:t>drug</w:t>
      </w:r>
      <w:r>
        <w:rPr>
          <w:spacing w:val="-13"/>
          <w:sz w:val="20"/>
        </w:rPr>
        <w:t> </w:t>
      </w:r>
      <w:r>
        <w:rPr>
          <w:sz w:val="20"/>
        </w:rPr>
        <w:t>discovery</w:t>
      </w:r>
      <w:r>
        <w:rPr>
          <w:spacing w:val="-16"/>
          <w:sz w:val="20"/>
        </w:rPr>
        <w:t> </w:t>
      </w:r>
      <w:r>
        <w:rPr>
          <w:sz w:val="20"/>
        </w:rPr>
        <w:t>and</w:t>
      </w:r>
      <w:r>
        <w:rPr>
          <w:spacing w:val="-11"/>
          <w:sz w:val="20"/>
        </w:rPr>
        <w:t> </w:t>
      </w:r>
      <w:r>
        <w:rPr>
          <w:sz w:val="20"/>
        </w:rPr>
        <w:t>therapeutic</w:t>
      </w:r>
      <w:r>
        <w:rPr>
          <w:spacing w:val="-11"/>
          <w:sz w:val="20"/>
        </w:rPr>
        <w:t> </w:t>
      </w:r>
      <w:r>
        <w:rPr>
          <w:sz w:val="20"/>
        </w:rPr>
        <w:t>options</w:t>
      </w:r>
      <w:r>
        <w:rPr>
          <w:spacing w:val="-13"/>
          <w:sz w:val="20"/>
        </w:rPr>
        <w:t> </w:t>
      </w:r>
      <w:r>
        <w:rPr>
          <w:sz w:val="20"/>
        </w:rPr>
        <w:t>//</w:t>
      </w:r>
      <w:r>
        <w:rPr>
          <w:spacing w:val="-13"/>
          <w:sz w:val="20"/>
        </w:rPr>
        <w:t> </w:t>
      </w:r>
      <w:r>
        <w:rPr>
          <w:sz w:val="20"/>
        </w:rPr>
        <w:t>Nature</w:t>
      </w:r>
      <w:r>
        <w:rPr>
          <w:spacing w:val="-11"/>
          <w:sz w:val="20"/>
        </w:rPr>
        <w:t> </w:t>
      </w:r>
      <w:r>
        <w:rPr>
          <w:sz w:val="20"/>
        </w:rPr>
        <w:t>reviews.</w:t>
      </w:r>
      <w:r>
        <w:rPr>
          <w:spacing w:val="-10"/>
          <w:sz w:val="20"/>
        </w:rPr>
        <w:t> </w:t>
      </w:r>
      <w:r>
        <w:rPr>
          <w:sz w:val="20"/>
        </w:rPr>
        <w:t>Drug</w:t>
      </w:r>
      <w:r>
        <w:rPr>
          <w:spacing w:val="-14"/>
          <w:sz w:val="20"/>
        </w:rPr>
        <w:t> </w:t>
      </w:r>
      <w:r>
        <w:rPr>
          <w:sz w:val="20"/>
        </w:rPr>
        <w:t>discovery. 2016. 15. № 5. С.</w:t>
      </w:r>
      <w:r>
        <w:rPr>
          <w:spacing w:val="-3"/>
          <w:sz w:val="20"/>
        </w:rPr>
        <w:t> </w:t>
      </w:r>
      <w:r>
        <w:rPr>
          <w:sz w:val="20"/>
        </w:rPr>
        <w:t>327–347.</w:t>
      </w:r>
    </w:p>
    <w:p>
      <w:pPr>
        <w:pStyle w:val="ListParagraph"/>
        <w:numPr>
          <w:ilvl w:val="0"/>
          <w:numId w:val="42"/>
        </w:numPr>
        <w:tabs>
          <w:tab w:pos="887" w:val="left" w:leader="none"/>
        </w:tabs>
        <w:spacing w:line="240" w:lineRule="auto" w:before="1" w:after="0"/>
        <w:ind w:left="886" w:right="676" w:hanging="567"/>
        <w:jc w:val="both"/>
        <w:rPr>
          <w:sz w:val="20"/>
        </w:rPr>
      </w:pPr>
      <w:r>
        <w:rPr>
          <w:sz w:val="20"/>
        </w:rPr>
        <w:t>Всемирная организация здравоохранения. Временное руководство по рациональному использованию средств индивидуальной защиты от коронавирусной болезни (COVID-19): 19 марта 2020 г. URL:</w:t>
      </w:r>
      <w:r>
        <w:rPr>
          <w:spacing w:val="-1"/>
          <w:sz w:val="20"/>
        </w:rPr>
        <w:t> </w:t>
      </w:r>
      <w:hyperlink r:id="rId50">
        <w:r>
          <w:rPr>
            <w:sz w:val="20"/>
          </w:rPr>
          <w:t>https://apps.who.int/iris/handle/10665/331498</w:t>
        </w:r>
      </w:hyperlink>
      <w:hyperlink r:id="rId50">
        <w:r>
          <w:rPr>
            <w:sz w:val="20"/>
          </w:rPr>
          <w:t>.</w:t>
        </w:r>
      </w:hyperlink>
    </w:p>
    <w:p>
      <w:pPr>
        <w:pStyle w:val="ListParagraph"/>
        <w:numPr>
          <w:ilvl w:val="0"/>
          <w:numId w:val="42"/>
        </w:numPr>
        <w:tabs>
          <w:tab w:pos="886" w:val="left" w:leader="none"/>
          <w:tab w:pos="887" w:val="left" w:leader="none"/>
        </w:tabs>
        <w:spacing w:line="240" w:lineRule="auto" w:before="0" w:after="0"/>
        <w:ind w:left="886" w:right="679" w:hanging="567"/>
        <w:jc w:val="left"/>
        <w:rPr>
          <w:sz w:val="20"/>
        </w:rPr>
      </w:pPr>
      <w:r>
        <w:rPr>
          <w:sz w:val="20"/>
        </w:rPr>
        <w:t>Всемирная организация здравоохранения. Клиническое руководство по ведению пациентов с тяжелой острой респираторной инфекцией при подозрении на инфицирование новым коронавирусом</w:t>
      </w:r>
      <w:r>
        <w:rPr>
          <w:spacing w:val="-9"/>
          <w:sz w:val="20"/>
        </w:rPr>
        <w:t> </w:t>
      </w:r>
      <w:r>
        <w:rPr>
          <w:sz w:val="20"/>
        </w:rPr>
        <w:t>(2019-nCoV).</w:t>
      </w:r>
      <w:r>
        <w:rPr>
          <w:spacing w:val="-8"/>
          <w:sz w:val="20"/>
        </w:rPr>
        <w:t> </w:t>
      </w:r>
      <w:r>
        <w:rPr>
          <w:sz w:val="20"/>
        </w:rPr>
        <w:t>Временные</w:t>
      </w:r>
      <w:r>
        <w:rPr>
          <w:spacing w:val="-10"/>
          <w:sz w:val="20"/>
        </w:rPr>
        <w:t> </w:t>
      </w:r>
      <w:r>
        <w:rPr>
          <w:sz w:val="20"/>
        </w:rPr>
        <w:t>рекомендации.</w:t>
      </w:r>
      <w:r>
        <w:rPr>
          <w:spacing w:val="-8"/>
          <w:sz w:val="20"/>
        </w:rPr>
        <w:t> </w:t>
      </w:r>
      <w:r>
        <w:rPr>
          <w:sz w:val="20"/>
        </w:rPr>
        <w:t>Дата</w:t>
      </w:r>
      <w:r>
        <w:rPr>
          <w:spacing w:val="-9"/>
          <w:sz w:val="20"/>
        </w:rPr>
        <w:t> </w:t>
      </w:r>
      <w:r>
        <w:rPr>
          <w:sz w:val="20"/>
        </w:rPr>
        <w:t>публикации:</w:t>
      </w:r>
      <w:r>
        <w:rPr>
          <w:spacing w:val="-10"/>
          <w:sz w:val="20"/>
        </w:rPr>
        <w:t> </w:t>
      </w:r>
      <w:r>
        <w:rPr>
          <w:sz w:val="20"/>
        </w:rPr>
        <w:t>25</w:t>
      </w:r>
      <w:r>
        <w:rPr>
          <w:spacing w:val="-8"/>
          <w:sz w:val="20"/>
        </w:rPr>
        <w:t> </w:t>
      </w:r>
      <w:r>
        <w:rPr>
          <w:sz w:val="20"/>
        </w:rPr>
        <w:t>января</w:t>
      </w:r>
      <w:r>
        <w:rPr>
          <w:spacing w:val="-9"/>
          <w:sz w:val="20"/>
        </w:rPr>
        <w:t> </w:t>
      </w:r>
      <w:r>
        <w:rPr>
          <w:sz w:val="20"/>
        </w:rPr>
        <w:t>2020</w:t>
      </w:r>
      <w:r>
        <w:rPr>
          <w:spacing w:val="-10"/>
          <w:sz w:val="20"/>
        </w:rPr>
        <w:t> </w:t>
      </w:r>
      <w:r>
        <w:rPr>
          <w:sz w:val="20"/>
        </w:rPr>
        <w:t>г.</w:t>
      </w:r>
      <w:r>
        <w:rPr>
          <w:spacing w:val="-12"/>
          <w:sz w:val="20"/>
        </w:rPr>
        <w:t> </w:t>
      </w:r>
      <w:r>
        <w:rPr>
          <w:sz w:val="20"/>
        </w:rPr>
        <w:t>URL:</w:t>
      </w:r>
      <w:hyperlink r:id="rId51">
        <w:r>
          <w:rPr>
            <w:sz w:val="20"/>
          </w:rPr>
          <w:t> http://www.euro.who.int/</w:t>
        </w:r>
      </w:hyperlink>
      <w:r>
        <w:rPr>
          <w:sz w:val="20"/>
        </w:rPr>
        <w:t> data/assets/pdf_file/0020/426206/RUS-Clinical-Management- ofNovel_CoV_Final_without-watermark.pdf?ua=1.</w:t>
      </w:r>
    </w:p>
    <w:p>
      <w:pPr>
        <w:pStyle w:val="ListParagraph"/>
        <w:numPr>
          <w:ilvl w:val="0"/>
          <w:numId w:val="42"/>
        </w:numPr>
        <w:tabs>
          <w:tab w:pos="887" w:val="left" w:leader="none"/>
          <w:tab w:pos="8794" w:val="left" w:leader="none"/>
        </w:tabs>
        <w:spacing w:line="240" w:lineRule="auto" w:before="0" w:after="0"/>
        <w:ind w:left="886" w:right="679" w:hanging="567"/>
        <w:jc w:val="both"/>
        <w:rPr>
          <w:sz w:val="20"/>
        </w:rPr>
      </w:pPr>
      <w:r>
        <w:rPr>
          <w:sz w:val="20"/>
        </w:rPr>
        <w:t>Всемирная организация здравоохранения. Клиническое руководство по ведению пациентов с тяжелыми острыми респираторными инфекциями при подозрении на инфицирование БВРС-КоВ. Временные рекомендации. Дата публикации: Июль</w:t>
      </w:r>
      <w:r>
        <w:rPr>
          <w:spacing w:val="-9"/>
          <w:sz w:val="20"/>
        </w:rPr>
        <w:t> </w:t>
      </w:r>
      <w:r>
        <w:rPr>
          <w:sz w:val="20"/>
        </w:rPr>
        <w:t>2015   </w:t>
      </w:r>
      <w:r>
        <w:rPr>
          <w:spacing w:val="28"/>
          <w:sz w:val="20"/>
        </w:rPr>
        <w:t> </w:t>
      </w:r>
      <w:r>
        <w:rPr>
          <w:sz w:val="20"/>
        </w:rPr>
        <w:t>г.</w:t>
        <w:tab/>
      </w:r>
      <w:r>
        <w:rPr>
          <w:spacing w:val="-5"/>
          <w:sz w:val="20"/>
        </w:rPr>
        <w:t>URL: </w:t>
      </w:r>
      <w:r>
        <w:rPr>
          <w:sz w:val="20"/>
        </w:rPr>
        <w:t>https://</w:t>
      </w:r>
      <w:hyperlink r:id="rId52">
        <w:r>
          <w:rPr>
            <w:sz w:val="20"/>
          </w:rPr>
          <w:t>www.who.int/csr/disease/coronavirus_infections/case-management-ipc/ru/</w:t>
        </w:r>
      </w:hyperlink>
    </w:p>
    <w:p>
      <w:pPr>
        <w:pStyle w:val="ListParagraph"/>
        <w:numPr>
          <w:ilvl w:val="0"/>
          <w:numId w:val="42"/>
        </w:numPr>
        <w:tabs>
          <w:tab w:pos="886" w:val="left" w:leader="none"/>
        </w:tabs>
        <w:spacing w:line="240" w:lineRule="auto" w:before="0" w:after="0"/>
        <w:ind w:left="885" w:right="677" w:hanging="567"/>
        <w:jc w:val="both"/>
        <w:rPr>
          <w:sz w:val="20"/>
        </w:rPr>
      </w:pPr>
      <w:r>
        <w:rPr>
          <w:sz w:val="20"/>
        </w:rPr>
        <w:t>Кузьменков А.Ю., Трушин И.В., Авраменко А.А., Эйдельштейн М.В., Дехнич А.В., Козлов Р.С. AMRmap: Интернет-платформа мониторинга антибиотикорезистентности. Клиническая микробиология и антимикробная химиотерапия.</w:t>
      </w:r>
      <w:r>
        <w:rPr>
          <w:spacing w:val="2"/>
          <w:sz w:val="20"/>
        </w:rPr>
        <w:t> </w:t>
      </w:r>
      <w:r>
        <w:rPr>
          <w:sz w:val="20"/>
        </w:rPr>
        <w:t>2017;19(2):84-90.</w:t>
      </w:r>
    </w:p>
    <w:p>
      <w:pPr>
        <w:pStyle w:val="ListParagraph"/>
        <w:numPr>
          <w:ilvl w:val="0"/>
          <w:numId w:val="42"/>
        </w:numPr>
        <w:tabs>
          <w:tab w:pos="886" w:val="left" w:leader="none"/>
        </w:tabs>
        <w:spacing w:line="240" w:lineRule="auto" w:before="0" w:after="0"/>
        <w:ind w:left="885" w:right="682" w:hanging="567"/>
        <w:jc w:val="both"/>
        <w:rPr>
          <w:sz w:val="20"/>
        </w:rPr>
      </w:pPr>
      <w:r>
        <w:rPr>
          <w:sz w:val="20"/>
        </w:rPr>
        <w:t>Левшин Н.Ю., Баранов А.А., Аршинов А.В. Низкомолекулярный гепарин второго поколения: эффективность, безопасность, мотивация приоритетного применения в клинической практике. Трудный пациент. 2014. - № 6. С.</w:t>
      </w:r>
      <w:r>
        <w:rPr>
          <w:spacing w:val="2"/>
          <w:sz w:val="20"/>
        </w:rPr>
        <w:t> </w:t>
      </w:r>
      <w:r>
        <w:rPr>
          <w:sz w:val="20"/>
        </w:rPr>
        <w:t>7-14</w:t>
      </w:r>
    </w:p>
    <w:p>
      <w:pPr>
        <w:pStyle w:val="ListParagraph"/>
        <w:numPr>
          <w:ilvl w:val="0"/>
          <w:numId w:val="42"/>
        </w:numPr>
        <w:tabs>
          <w:tab w:pos="885" w:val="left" w:leader="none"/>
          <w:tab w:pos="886" w:val="left" w:leader="none"/>
        </w:tabs>
        <w:spacing w:line="240" w:lineRule="auto" w:before="0" w:after="0"/>
        <w:ind w:left="885" w:right="1093" w:hanging="567"/>
        <w:jc w:val="left"/>
        <w:rPr>
          <w:sz w:val="20"/>
        </w:rPr>
      </w:pPr>
      <w:r>
        <w:rPr>
          <w:sz w:val="20"/>
        </w:rPr>
        <w:t>Лучевая диагностика коронавирусной болезни (COVID-19): организация, методология, интерпретация результатов : препринт № ЦДТ – 2020 – I. Версия 2 от 17.04.2020 / сост. С. П. Морозов, Д. Н. Проценко, С. В. Сметанина [и др.] // Серия «Лучшие практики лучевой и инструментальной диагностики». – Вып. 65. – М. : ГБУЗ «НПКЦ ДиТ ДЗМ», 2020. – 78</w:t>
      </w:r>
      <w:r>
        <w:rPr>
          <w:spacing w:val="-16"/>
          <w:sz w:val="20"/>
        </w:rPr>
        <w:t> </w:t>
      </w:r>
      <w:r>
        <w:rPr>
          <w:sz w:val="20"/>
        </w:rPr>
        <w:t>с.</w:t>
      </w:r>
    </w:p>
    <w:p>
      <w:pPr>
        <w:pStyle w:val="ListParagraph"/>
        <w:numPr>
          <w:ilvl w:val="0"/>
          <w:numId w:val="42"/>
        </w:numPr>
        <w:tabs>
          <w:tab w:pos="885" w:val="left" w:leader="none"/>
          <w:tab w:pos="886" w:val="left" w:leader="none"/>
        </w:tabs>
        <w:spacing w:line="240" w:lineRule="auto" w:before="1" w:after="0"/>
        <w:ind w:left="885" w:right="0" w:hanging="568"/>
        <w:jc w:val="left"/>
        <w:rPr>
          <w:sz w:val="20"/>
        </w:rPr>
      </w:pPr>
      <w:r>
        <w:rPr>
          <w:sz w:val="20"/>
        </w:rPr>
        <w:t>Материалы анализа телеконсультаций НМИЦ ФПИ Минздрава</w:t>
      </w:r>
      <w:r>
        <w:rPr>
          <w:spacing w:val="-3"/>
          <w:sz w:val="20"/>
        </w:rPr>
        <w:t> </w:t>
      </w:r>
      <w:r>
        <w:rPr>
          <w:sz w:val="20"/>
        </w:rPr>
        <w:t>России.</w:t>
      </w:r>
    </w:p>
    <w:p>
      <w:pPr>
        <w:pStyle w:val="ListParagraph"/>
        <w:numPr>
          <w:ilvl w:val="0"/>
          <w:numId w:val="42"/>
        </w:numPr>
        <w:tabs>
          <w:tab w:pos="885" w:val="left" w:leader="none"/>
        </w:tabs>
        <w:spacing w:line="240" w:lineRule="auto" w:before="1" w:after="0"/>
        <w:ind w:left="884" w:right="677" w:hanging="567"/>
        <w:jc w:val="both"/>
        <w:rPr>
          <w:sz w:val="20"/>
        </w:rPr>
      </w:pPr>
      <w:r>
        <w:rPr>
          <w:sz w:val="20"/>
        </w:rPr>
        <w:t>Митьков В.В., и соавт. Консенсусное заявление РАСУДМ об ультразвуковом исследовании легких</w:t>
      </w:r>
      <w:r>
        <w:rPr>
          <w:spacing w:val="5"/>
          <w:sz w:val="20"/>
        </w:rPr>
        <w:t> </w:t>
      </w:r>
      <w:r>
        <w:rPr>
          <w:sz w:val="20"/>
        </w:rPr>
        <w:t>в</w:t>
      </w:r>
      <w:r>
        <w:rPr>
          <w:spacing w:val="8"/>
          <w:sz w:val="20"/>
        </w:rPr>
        <w:t> </w:t>
      </w:r>
      <w:r>
        <w:rPr>
          <w:sz w:val="20"/>
        </w:rPr>
        <w:t>условиях</w:t>
      </w:r>
      <w:r>
        <w:rPr>
          <w:spacing w:val="6"/>
          <w:sz w:val="20"/>
        </w:rPr>
        <w:t> </w:t>
      </w:r>
      <w:r>
        <w:rPr>
          <w:sz w:val="20"/>
        </w:rPr>
        <w:t>COVID-19</w:t>
      </w:r>
      <w:r>
        <w:rPr>
          <w:spacing w:val="8"/>
          <w:sz w:val="20"/>
        </w:rPr>
        <w:t> </w:t>
      </w:r>
      <w:r>
        <w:rPr>
          <w:sz w:val="20"/>
        </w:rPr>
        <w:t>(версия</w:t>
      </w:r>
      <w:r>
        <w:rPr>
          <w:spacing w:val="7"/>
          <w:sz w:val="20"/>
        </w:rPr>
        <w:t> </w:t>
      </w:r>
      <w:r>
        <w:rPr>
          <w:sz w:val="20"/>
        </w:rPr>
        <w:t>1)</w:t>
      </w:r>
      <w:r>
        <w:rPr>
          <w:spacing w:val="7"/>
          <w:sz w:val="20"/>
        </w:rPr>
        <w:t> </w:t>
      </w:r>
      <w:r>
        <w:rPr>
          <w:sz w:val="20"/>
        </w:rPr>
        <w:t>//</w:t>
      </w:r>
      <w:r>
        <w:rPr>
          <w:spacing w:val="7"/>
          <w:sz w:val="20"/>
        </w:rPr>
        <w:t> </w:t>
      </w:r>
      <w:r>
        <w:rPr>
          <w:sz w:val="20"/>
        </w:rPr>
        <w:t>Ультразвуковая</w:t>
      </w:r>
      <w:r>
        <w:rPr>
          <w:spacing w:val="6"/>
          <w:sz w:val="20"/>
        </w:rPr>
        <w:t> </w:t>
      </w:r>
      <w:r>
        <w:rPr>
          <w:sz w:val="20"/>
        </w:rPr>
        <w:t>и</w:t>
      </w:r>
      <w:r>
        <w:rPr>
          <w:spacing w:val="7"/>
          <w:sz w:val="20"/>
        </w:rPr>
        <w:t> </w:t>
      </w:r>
      <w:r>
        <w:rPr>
          <w:sz w:val="20"/>
        </w:rPr>
        <w:t>функциональная</w:t>
      </w:r>
      <w:r>
        <w:rPr>
          <w:spacing w:val="8"/>
          <w:sz w:val="20"/>
        </w:rPr>
        <w:t> </w:t>
      </w:r>
      <w:r>
        <w:rPr>
          <w:sz w:val="20"/>
        </w:rPr>
        <w:t>диагностика.</w:t>
      </w:r>
      <w:r>
        <w:rPr>
          <w:spacing w:val="8"/>
          <w:sz w:val="20"/>
        </w:rPr>
        <w:t> </w:t>
      </w:r>
      <w:r>
        <w:rPr>
          <w:sz w:val="20"/>
        </w:rPr>
        <w:t>2020.</w:t>
      </w:r>
    </w:p>
    <w:p>
      <w:pPr>
        <w:spacing w:line="237" w:lineRule="auto" w:before="0"/>
        <w:ind w:left="884" w:right="679" w:firstLine="0"/>
        <w:jc w:val="both"/>
        <w:rPr>
          <w:sz w:val="20"/>
        </w:rPr>
      </w:pPr>
      <w:r>
        <w:rPr>
          <w:sz w:val="20"/>
        </w:rPr>
        <w:t>№ 1. С. 24–45. Doi: 10.24835/1607-0771-2020-1-24-45. Опубликовано до печати. Режим доступа: //</w:t>
      </w:r>
      <w:hyperlink r:id="rId53">
        <w:r>
          <w:rPr>
            <w:sz w:val="20"/>
          </w:rPr>
          <w:t> http://www.rasudm.org/files/RASUDM-Consensus-Statement-COVID.pdf, </w:t>
        </w:r>
      </w:hyperlink>
      <w:r>
        <w:rPr>
          <w:sz w:val="20"/>
        </w:rPr>
        <w:t>свободный. Загл. с экрана. 16.04.2020.</w:t>
      </w:r>
    </w:p>
    <w:p>
      <w:pPr>
        <w:pStyle w:val="ListParagraph"/>
        <w:numPr>
          <w:ilvl w:val="0"/>
          <w:numId w:val="42"/>
        </w:numPr>
        <w:tabs>
          <w:tab w:pos="888" w:val="left" w:leader="none"/>
        </w:tabs>
        <w:spacing w:line="240" w:lineRule="auto" w:before="3" w:after="0"/>
        <w:ind w:left="887" w:right="677" w:hanging="567"/>
        <w:jc w:val="both"/>
        <w:rPr>
          <w:sz w:val="20"/>
        </w:rPr>
      </w:pPr>
      <w:r>
        <w:rPr>
          <w:sz w:val="20"/>
        </w:rPr>
        <w:t>Портал непрерывного медицинского и фармацевтического образования Минздрава России URL:</w:t>
      </w:r>
      <w:hyperlink r:id="rId54">
        <w:r>
          <w:rPr>
            <w:color w:val="0562C1"/>
            <w:sz w:val="20"/>
            <w:u w:val="single" w:color="0562C1"/>
          </w:rPr>
          <w:t> https://nmfo</w:t>
        </w:r>
      </w:hyperlink>
      <w:hyperlink r:id="rId55">
        <w:r>
          <w:rPr>
            <w:sz w:val="20"/>
          </w:rPr>
          <w:t>-</w:t>
        </w:r>
      </w:hyperlink>
      <w:hyperlink r:id="rId55">
        <w:r>
          <w:rPr>
            <w:sz w:val="20"/>
          </w:rPr>
          <w:t>vo.edu.rosminzdrav.ru/#/user</w:t>
        </w:r>
      </w:hyperlink>
      <w:hyperlink r:id="rId55">
        <w:r>
          <w:rPr>
            <w:sz w:val="20"/>
          </w:rPr>
          <w:t>-</w:t>
        </w:r>
      </w:hyperlink>
      <w:hyperlink r:id="rId55">
        <w:r>
          <w:rPr>
            <w:sz w:val="20"/>
          </w:rPr>
          <w:t>account/view</w:t>
        </w:r>
      </w:hyperlink>
      <w:hyperlink r:id="rId55">
        <w:r>
          <w:rPr>
            <w:sz w:val="20"/>
          </w:rPr>
          <w:t>-</w:t>
        </w:r>
      </w:hyperlink>
      <w:hyperlink r:id="rId55">
        <w:r>
          <w:rPr>
            <w:sz w:val="20"/>
          </w:rPr>
          <w:t>iom/e8b1f2ca</w:t>
        </w:r>
      </w:hyperlink>
      <w:hyperlink r:id="rId55">
        <w:r>
          <w:rPr>
            <w:sz w:val="20"/>
          </w:rPr>
          <w:t>-</w:t>
        </w:r>
      </w:hyperlink>
      <w:hyperlink r:id="rId55">
        <w:r>
          <w:rPr>
            <w:sz w:val="20"/>
          </w:rPr>
          <w:t>6be5</w:t>
        </w:r>
      </w:hyperlink>
      <w:hyperlink r:id="rId55">
        <w:r>
          <w:rPr>
            <w:sz w:val="20"/>
          </w:rPr>
          <w:t>-</w:t>
        </w:r>
      </w:hyperlink>
      <w:hyperlink r:id="rId55">
        <w:r>
          <w:rPr>
            <w:sz w:val="20"/>
          </w:rPr>
          <w:t>9125</w:t>
        </w:r>
      </w:hyperlink>
      <w:hyperlink r:id="rId55">
        <w:r>
          <w:rPr>
            <w:sz w:val="20"/>
          </w:rPr>
          <w:t>-</w:t>
        </w:r>
      </w:hyperlink>
      <w:hyperlink r:id="rId55">
        <w:r>
          <w:rPr>
            <w:sz w:val="20"/>
          </w:rPr>
          <w:t>4a1e</w:t>
        </w:r>
      </w:hyperlink>
    </w:p>
    <w:p>
      <w:pPr>
        <w:spacing w:after="0" w:line="240" w:lineRule="auto"/>
        <w:jc w:val="both"/>
        <w:rPr>
          <w:sz w:val="20"/>
        </w:rPr>
        <w:sectPr>
          <w:pgSz w:w="11920" w:h="16850"/>
          <w:pgMar w:header="0" w:footer="620" w:top="1060" w:bottom="880" w:left="1380" w:right="600"/>
        </w:sectPr>
      </w:pPr>
    </w:p>
    <w:p>
      <w:pPr>
        <w:pStyle w:val="ListParagraph"/>
        <w:numPr>
          <w:ilvl w:val="0"/>
          <w:numId w:val="42"/>
        </w:numPr>
        <w:tabs>
          <w:tab w:pos="888" w:val="left" w:leader="none"/>
        </w:tabs>
        <w:spacing w:line="240" w:lineRule="auto" w:before="79" w:after="0"/>
        <w:ind w:left="887" w:right="678" w:hanging="567"/>
        <w:jc w:val="both"/>
        <w:rPr>
          <w:sz w:val="20"/>
        </w:rPr>
      </w:pPr>
      <w:r>
        <w:rPr>
          <w:sz w:val="20"/>
        </w:rPr>
        <w:t>Распоряжение Правительства РФ от 12 октября 2019 г. № 2406-р </w:t>
      </w:r>
      <w:r>
        <w:rPr>
          <w:spacing w:val="-3"/>
          <w:sz w:val="20"/>
        </w:rPr>
        <w:t>«Об </w:t>
      </w:r>
      <w:r>
        <w:rPr>
          <w:sz w:val="20"/>
        </w:rPr>
        <w:t>утверждении перечня жизненно необходимых и важнейших лекарственных препаратов для медицинского применения на 2020 год…»</w:t>
      </w:r>
    </w:p>
    <w:p>
      <w:pPr>
        <w:pStyle w:val="ListParagraph"/>
        <w:numPr>
          <w:ilvl w:val="0"/>
          <w:numId w:val="42"/>
        </w:numPr>
        <w:tabs>
          <w:tab w:pos="888" w:val="left" w:leader="none"/>
        </w:tabs>
        <w:spacing w:line="240" w:lineRule="auto" w:before="0" w:after="0"/>
        <w:ind w:left="887" w:right="676" w:hanging="567"/>
        <w:jc w:val="both"/>
        <w:rPr>
          <w:sz w:val="20"/>
        </w:rPr>
      </w:pPr>
      <w:r>
        <w:rPr>
          <w:sz w:val="20"/>
        </w:rPr>
        <w:t>Федеральная служба по надзору в сфере защиты прав потребителей и благополучия человека. Методические рекомендации МР 3.1.0140-18 «Неспецифическая профилактика гриппа и других острых респираторных</w:t>
      </w:r>
      <w:r>
        <w:rPr>
          <w:spacing w:val="-3"/>
          <w:sz w:val="20"/>
        </w:rPr>
        <w:t> </w:t>
      </w:r>
      <w:r>
        <w:rPr>
          <w:sz w:val="20"/>
        </w:rPr>
        <w:t>инфекций».</w:t>
      </w:r>
    </w:p>
    <w:p>
      <w:pPr>
        <w:pStyle w:val="ListParagraph"/>
        <w:numPr>
          <w:ilvl w:val="0"/>
          <w:numId w:val="42"/>
        </w:numPr>
        <w:tabs>
          <w:tab w:pos="901" w:val="left" w:leader="none"/>
        </w:tabs>
        <w:spacing w:line="259" w:lineRule="auto" w:before="1" w:after="0"/>
        <w:ind w:left="887" w:right="677" w:hanging="567"/>
        <w:jc w:val="both"/>
        <w:rPr>
          <w:sz w:val="20"/>
        </w:rPr>
      </w:pPr>
      <w:r>
        <w:rPr>
          <w:sz w:val="20"/>
        </w:rPr>
        <w:t>Христенко Е.А. и соавт. КТ-паттерны при COVID-19 ассоциированных пневмониях – стандартизация описаний исследований на основе глоссария общества Флейшнера // REJR. 2020. Т. 10. № 1. С.</w:t>
      </w:r>
      <w:r>
        <w:rPr>
          <w:spacing w:val="-1"/>
          <w:sz w:val="20"/>
        </w:rPr>
        <w:t> </w:t>
      </w:r>
      <w:r>
        <w:rPr>
          <w:sz w:val="20"/>
        </w:rPr>
        <w:t>16–26.</w:t>
      </w:r>
    </w:p>
    <w:p>
      <w:pPr>
        <w:pStyle w:val="ListParagraph"/>
        <w:numPr>
          <w:ilvl w:val="0"/>
          <w:numId w:val="42"/>
        </w:numPr>
        <w:tabs>
          <w:tab w:pos="889" w:val="left" w:leader="none"/>
        </w:tabs>
        <w:spacing w:line="259" w:lineRule="auto" w:before="0" w:after="0"/>
        <w:ind w:left="887" w:right="677" w:hanging="567"/>
        <w:jc w:val="both"/>
        <w:rPr>
          <w:sz w:val="20"/>
        </w:rPr>
      </w:pPr>
      <w:r>
        <w:rPr>
          <w:sz w:val="20"/>
        </w:rPr>
        <w:t>Синицын В.Е., Тюрин И.Е., Митьков В.В. Временные согласительные методические рекомендации Российского общества рентгенологов и радиологов (РОРР) и Российской ассоциации специалистов ультразвуковой диагностики в медицине (РАСУДМ) «Методы лучевой диагностики пневмонии при новой коронавирусной инфекции COVID-19» (версия 2). Вестник рентгенологии и радиологии. 2020; 101 (2): 72–89.</w:t>
      </w:r>
      <w:r>
        <w:rPr>
          <w:color w:val="0562C1"/>
          <w:spacing w:val="-25"/>
          <w:sz w:val="20"/>
        </w:rPr>
        <w:t> </w:t>
      </w:r>
      <w:hyperlink r:id="rId56">
        <w:r>
          <w:rPr>
            <w:color w:val="0562C1"/>
            <w:sz w:val="20"/>
            <w:u w:val="single" w:color="0562C1"/>
          </w:rPr>
          <w:t>https://doi.org/10.20862/0042-4676-2020-101-2-</w:t>
        </w:r>
      </w:hyperlink>
    </w:p>
    <w:p>
      <w:pPr>
        <w:pStyle w:val="ListParagraph"/>
        <w:numPr>
          <w:ilvl w:val="0"/>
          <w:numId w:val="42"/>
        </w:numPr>
        <w:tabs>
          <w:tab w:pos="888" w:val="left" w:leader="none"/>
        </w:tabs>
        <w:spacing w:line="261" w:lineRule="auto" w:before="0" w:after="0"/>
        <w:ind w:left="887" w:right="675" w:hanging="567"/>
        <w:jc w:val="both"/>
        <w:rPr>
          <w:sz w:val="20"/>
        </w:rPr>
      </w:pPr>
      <w:r>
        <w:rPr>
          <w:sz w:val="20"/>
        </w:rPr>
        <w:t>Приказ Министерства здравоохранения Российской Федерации от 29 декабря 2012 г. № 1705н "О Порядке организации медицинской</w:t>
      </w:r>
      <w:r>
        <w:rPr>
          <w:spacing w:val="-3"/>
          <w:sz w:val="20"/>
        </w:rPr>
        <w:t> </w:t>
      </w:r>
      <w:r>
        <w:rPr>
          <w:sz w:val="20"/>
        </w:rPr>
        <w:t>реабилитации".</w:t>
      </w:r>
    </w:p>
    <w:p>
      <w:pPr>
        <w:pStyle w:val="ListParagraph"/>
        <w:numPr>
          <w:ilvl w:val="0"/>
          <w:numId w:val="42"/>
        </w:numPr>
        <w:tabs>
          <w:tab w:pos="888" w:val="left" w:leader="none"/>
        </w:tabs>
        <w:spacing w:line="225" w:lineRule="exact" w:before="0" w:after="0"/>
        <w:ind w:left="887" w:right="0" w:hanging="567"/>
        <w:jc w:val="both"/>
        <w:rPr>
          <w:sz w:val="20"/>
        </w:rPr>
      </w:pPr>
      <w:r>
        <w:rPr>
          <w:sz w:val="20"/>
        </w:rPr>
        <w:t>Julie K. Silver: Prehabilitation could save lives in a pandemic March 19,</w:t>
      </w:r>
      <w:r>
        <w:rPr>
          <w:spacing w:val="-6"/>
          <w:sz w:val="20"/>
        </w:rPr>
        <w:t> </w:t>
      </w:r>
      <w:r>
        <w:rPr>
          <w:sz w:val="20"/>
        </w:rPr>
        <w:t>2020</w:t>
      </w:r>
    </w:p>
    <w:p>
      <w:pPr>
        <w:pStyle w:val="ListParagraph"/>
        <w:numPr>
          <w:ilvl w:val="0"/>
          <w:numId w:val="42"/>
        </w:numPr>
        <w:tabs>
          <w:tab w:pos="888" w:val="left" w:leader="none"/>
        </w:tabs>
        <w:spacing w:line="261" w:lineRule="auto" w:before="14" w:after="0"/>
        <w:ind w:left="887" w:right="675" w:hanging="567"/>
        <w:jc w:val="both"/>
        <w:rPr>
          <w:sz w:val="20"/>
        </w:rPr>
      </w:pPr>
      <w:r>
        <w:rPr>
          <w:sz w:val="20"/>
        </w:rPr>
        <w:t>Robert Simpson et al. Rehabilitation Following Critical Illness in People With COVID-19 Infection Am J Phys Med Rehabil2020 Apr 10. doi: 10.1097/PHM.0000000000001443.Online ahead of</w:t>
      </w:r>
      <w:r>
        <w:rPr>
          <w:spacing w:val="-9"/>
          <w:sz w:val="20"/>
        </w:rPr>
        <w:t> </w:t>
      </w:r>
      <w:r>
        <w:rPr>
          <w:sz w:val="20"/>
        </w:rPr>
        <w:t>print</w:t>
      </w:r>
    </w:p>
    <w:p>
      <w:pPr>
        <w:pStyle w:val="ListParagraph"/>
        <w:numPr>
          <w:ilvl w:val="0"/>
          <w:numId w:val="42"/>
        </w:numPr>
        <w:tabs>
          <w:tab w:pos="888" w:val="left" w:leader="none"/>
        </w:tabs>
        <w:spacing w:line="261" w:lineRule="auto" w:before="0" w:after="0"/>
        <w:ind w:left="887" w:right="677" w:hanging="567"/>
        <w:jc w:val="both"/>
        <w:rPr>
          <w:sz w:val="20"/>
        </w:rPr>
      </w:pPr>
      <w:r>
        <w:rPr>
          <w:sz w:val="20"/>
        </w:rPr>
        <w:t>Thomas P et al. Physiotherapy management for COVID-19 in the acute hospital setting: clinical practice recommendations, Journal of Physiotherapy (2020), doi:</w:t>
      </w:r>
      <w:r>
        <w:rPr>
          <w:spacing w:val="-22"/>
          <w:sz w:val="20"/>
        </w:rPr>
        <w:t> </w:t>
      </w:r>
      <w:r>
        <w:rPr>
          <w:sz w:val="20"/>
        </w:rPr>
        <w:t>https://doi.org/10.1016/j.jphys.2020.03.011.</w:t>
      </w:r>
    </w:p>
    <w:p>
      <w:pPr>
        <w:pStyle w:val="ListParagraph"/>
        <w:numPr>
          <w:ilvl w:val="0"/>
          <w:numId w:val="42"/>
        </w:numPr>
        <w:tabs>
          <w:tab w:pos="888" w:val="left" w:leader="none"/>
        </w:tabs>
        <w:spacing w:line="261" w:lineRule="auto" w:before="0" w:after="0"/>
        <w:ind w:left="887" w:right="674" w:hanging="567"/>
        <w:jc w:val="both"/>
        <w:rPr>
          <w:sz w:val="20"/>
        </w:rPr>
      </w:pPr>
      <w:r>
        <w:rPr>
          <w:sz w:val="20"/>
        </w:rPr>
        <w:t>Kress,</w:t>
      </w:r>
      <w:r>
        <w:rPr>
          <w:spacing w:val="-5"/>
          <w:sz w:val="20"/>
        </w:rPr>
        <w:t> </w:t>
      </w:r>
      <w:r>
        <w:rPr>
          <w:sz w:val="20"/>
        </w:rPr>
        <w:t>J.P.</w:t>
      </w:r>
      <w:r>
        <w:rPr>
          <w:spacing w:val="-7"/>
          <w:sz w:val="20"/>
        </w:rPr>
        <w:t> </w:t>
      </w:r>
      <w:r>
        <w:rPr>
          <w:sz w:val="20"/>
        </w:rPr>
        <w:t>and</w:t>
      </w:r>
      <w:r>
        <w:rPr>
          <w:spacing w:val="-7"/>
          <w:sz w:val="20"/>
        </w:rPr>
        <w:t> </w:t>
      </w:r>
      <w:r>
        <w:rPr>
          <w:sz w:val="20"/>
        </w:rPr>
        <w:t>J.B.</w:t>
      </w:r>
      <w:r>
        <w:rPr>
          <w:spacing w:val="-7"/>
          <w:sz w:val="20"/>
        </w:rPr>
        <w:t> </w:t>
      </w:r>
      <w:r>
        <w:rPr>
          <w:sz w:val="20"/>
        </w:rPr>
        <w:t>Hall,</w:t>
      </w:r>
      <w:r>
        <w:rPr>
          <w:spacing w:val="-5"/>
          <w:sz w:val="20"/>
        </w:rPr>
        <w:t> </w:t>
      </w:r>
      <w:r>
        <w:rPr>
          <w:sz w:val="20"/>
        </w:rPr>
        <w:t>ICU-acquired</w:t>
      </w:r>
      <w:r>
        <w:rPr>
          <w:spacing w:val="-2"/>
          <w:sz w:val="20"/>
        </w:rPr>
        <w:t> </w:t>
      </w:r>
      <w:r>
        <w:rPr>
          <w:sz w:val="20"/>
        </w:rPr>
        <w:t>weakness</w:t>
      </w:r>
      <w:r>
        <w:rPr>
          <w:spacing w:val="-6"/>
          <w:sz w:val="20"/>
        </w:rPr>
        <w:t> </w:t>
      </w:r>
      <w:r>
        <w:rPr>
          <w:sz w:val="20"/>
        </w:rPr>
        <w:t>and</w:t>
      </w:r>
      <w:r>
        <w:rPr>
          <w:spacing w:val="-4"/>
          <w:sz w:val="20"/>
        </w:rPr>
        <w:t> </w:t>
      </w:r>
      <w:r>
        <w:rPr>
          <w:sz w:val="20"/>
        </w:rPr>
        <w:t>recovery</w:t>
      </w:r>
      <w:r>
        <w:rPr>
          <w:spacing w:val="-6"/>
          <w:sz w:val="20"/>
        </w:rPr>
        <w:t> </w:t>
      </w:r>
      <w:r>
        <w:rPr>
          <w:sz w:val="20"/>
        </w:rPr>
        <w:t>from</w:t>
      </w:r>
      <w:r>
        <w:rPr>
          <w:spacing w:val="-9"/>
          <w:sz w:val="20"/>
        </w:rPr>
        <w:t> </w:t>
      </w:r>
      <w:r>
        <w:rPr>
          <w:sz w:val="20"/>
        </w:rPr>
        <w:t>critical</w:t>
      </w:r>
      <w:r>
        <w:rPr>
          <w:spacing w:val="-6"/>
          <w:sz w:val="20"/>
        </w:rPr>
        <w:t> </w:t>
      </w:r>
      <w:r>
        <w:rPr>
          <w:sz w:val="20"/>
        </w:rPr>
        <w:t>illness.</w:t>
      </w:r>
      <w:r>
        <w:rPr>
          <w:spacing w:val="-6"/>
          <w:sz w:val="20"/>
        </w:rPr>
        <w:t> </w:t>
      </w:r>
      <w:r>
        <w:rPr>
          <w:sz w:val="20"/>
        </w:rPr>
        <w:t>N</w:t>
      </w:r>
      <w:r>
        <w:rPr>
          <w:spacing w:val="-5"/>
          <w:sz w:val="20"/>
        </w:rPr>
        <w:t> </w:t>
      </w:r>
      <w:r>
        <w:rPr>
          <w:sz w:val="20"/>
        </w:rPr>
        <w:t>Engl</w:t>
      </w:r>
      <w:r>
        <w:rPr>
          <w:spacing w:val="-3"/>
          <w:sz w:val="20"/>
        </w:rPr>
        <w:t> </w:t>
      </w:r>
      <w:r>
        <w:rPr>
          <w:sz w:val="20"/>
        </w:rPr>
        <w:t>J</w:t>
      </w:r>
      <w:r>
        <w:rPr>
          <w:spacing w:val="-6"/>
          <w:sz w:val="20"/>
        </w:rPr>
        <w:t> </w:t>
      </w:r>
      <w:r>
        <w:rPr>
          <w:sz w:val="20"/>
        </w:rPr>
        <w:t>Med,</w:t>
      </w:r>
      <w:r>
        <w:rPr>
          <w:spacing w:val="-6"/>
          <w:sz w:val="20"/>
        </w:rPr>
        <w:t> </w:t>
      </w:r>
      <w:r>
        <w:rPr>
          <w:sz w:val="20"/>
        </w:rPr>
        <w:t>2014. 370(17): p. 1626-35.</w:t>
      </w:r>
    </w:p>
    <w:p>
      <w:pPr>
        <w:pStyle w:val="ListParagraph"/>
        <w:numPr>
          <w:ilvl w:val="0"/>
          <w:numId w:val="42"/>
        </w:numPr>
        <w:tabs>
          <w:tab w:pos="888" w:val="left" w:leader="none"/>
        </w:tabs>
        <w:spacing w:line="256" w:lineRule="auto" w:before="0" w:after="0"/>
        <w:ind w:left="887" w:right="677" w:hanging="567"/>
        <w:jc w:val="both"/>
        <w:rPr>
          <w:sz w:val="20"/>
        </w:rPr>
      </w:pPr>
      <w:r>
        <w:rPr>
          <w:sz w:val="20"/>
        </w:rPr>
        <w:t>Белкин А.А. и соавт. Реабилитация в интенсивной терапии. Клинические рекомендации, 2017, 56 с.</w:t>
      </w:r>
    </w:p>
    <w:p>
      <w:pPr>
        <w:pStyle w:val="ListParagraph"/>
        <w:numPr>
          <w:ilvl w:val="0"/>
          <w:numId w:val="42"/>
        </w:numPr>
        <w:tabs>
          <w:tab w:pos="888" w:val="left" w:leader="none"/>
        </w:tabs>
        <w:spacing w:line="256" w:lineRule="auto" w:before="0" w:after="0"/>
        <w:ind w:left="887" w:right="680" w:hanging="567"/>
        <w:jc w:val="both"/>
        <w:rPr>
          <w:sz w:val="20"/>
        </w:rPr>
      </w:pPr>
      <w:r>
        <w:rPr>
          <w:sz w:val="20"/>
        </w:rPr>
        <w:t>David C et al. Postacute Care Preparedness for COVID-19Thinking Ahead Author Affiliations Article Information JAMA. Published online March 25, 2020.</w:t>
      </w:r>
      <w:r>
        <w:rPr>
          <w:spacing w:val="-7"/>
          <w:sz w:val="20"/>
        </w:rPr>
        <w:t> </w:t>
      </w:r>
      <w:r>
        <w:rPr>
          <w:sz w:val="20"/>
        </w:rPr>
        <w:t>doi:10.1001/jama.2020.4686</w:t>
      </w:r>
    </w:p>
    <w:p>
      <w:pPr>
        <w:pStyle w:val="ListParagraph"/>
        <w:numPr>
          <w:ilvl w:val="0"/>
          <w:numId w:val="42"/>
        </w:numPr>
        <w:tabs>
          <w:tab w:pos="888" w:val="left" w:leader="none"/>
        </w:tabs>
        <w:spacing w:line="256" w:lineRule="auto" w:before="0" w:after="0"/>
        <w:ind w:left="887" w:right="680" w:hanging="566"/>
        <w:jc w:val="both"/>
        <w:rPr>
          <w:sz w:val="20"/>
        </w:rPr>
      </w:pPr>
      <w:r>
        <w:rPr>
          <w:sz w:val="20"/>
        </w:rPr>
        <w:t>Michele</w:t>
      </w:r>
      <w:r>
        <w:rPr>
          <w:spacing w:val="-8"/>
          <w:sz w:val="20"/>
        </w:rPr>
        <w:t> </w:t>
      </w:r>
      <w:r>
        <w:rPr>
          <w:sz w:val="20"/>
        </w:rPr>
        <w:t>Vitacca</w:t>
      </w:r>
      <w:r>
        <w:rPr>
          <w:spacing w:val="-8"/>
          <w:sz w:val="20"/>
        </w:rPr>
        <w:t> </w:t>
      </w:r>
      <w:r>
        <w:rPr>
          <w:sz w:val="20"/>
        </w:rPr>
        <w:t>et</w:t>
      </w:r>
      <w:r>
        <w:rPr>
          <w:spacing w:val="-8"/>
          <w:sz w:val="20"/>
        </w:rPr>
        <w:t> </w:t>
      </w:r>
      <w:r>
        <w:rPr>
          <w:sz w:val="20"/>
        </w:rPr>
        <w:t>al.</w:t>
      </w:r>
      <w:r>
        <w:rPr>
          <w:spacing w:val="-7"/>
          <w:sz w:val="20"/>
        </w:rPr>
        <w:t> </w:t>
      </w:r>
      <w:r>
        <w:rPr>
          <w:sz w:val="20"/>
        </w:rPr>
        <w:t>Joint</w:t>
      </w:r>
      <w:r>
        <w:rPr>
          <w:spacing w:val="-7"/>
          <w:sz w:val="20"/>
        </w:rPr>
        <w:t> </w:t>
      </w:r>
      <w:r>
        <w:rPr>
          <w:sz w:val="20"/>
        </w:rPr>
        <w:t>statement</w:t>
      </w:r>
      <w:r>
        <w:rPr>
          <w:spacing w:val="-8"/>
          <w:sz w:val="20"/>
        </w:rPr>
        <w:t> </w:t>
      </w:r>
      <w:r>
        <w:rPr>
          <w:sz w:val="20"/>
        </w:rPr>
        <w:t>on</w:t>
      </w:r>
      <w:r>
        <w:rPr>
          <w:spacing w:val="-9"/>
          <w:sz w:val="20"/>
        </w:rPr>
        <w:t> </w:t>
      </w:r>
      <w:r>
        <w:rPr>
          <w:sz w:val="20"/>
        </w:rPr>
        <w:t>the</w:t>
      </w:r>
      <w:r>
        <w:rPr>
          <w:spacing w:val="-8"/>
          <w:sz w:val="20"/>
        </w:rPr>
        <w:t> </w:t>
      </w:r>
      <w:r>
        <w:rPr>
          <w:sz w:val="20"/>
        </w:rPr>
        <w:t>role</w:t>
      </w:r>
      <w:r>
        <w:rPr>
          <w:spacing w:val="-8"/>
          <w:sz w:val="20"/>
        </w:rPr>
        <w:t> </w:t>
      </w:r>
      <w:r>
        <w:rPr>
          <w:sz w:val="20"/>
        </w:rPr>
        <w:t>of</w:t>
      </w:r>
      <w:r>
        <w:rPr>
          <w:spacing w:val="-8"/>
          <w:sz w:val="20"/>
        </w:rPr>
        <w:t> </w:t>
      </w:r>
      <w:r>
        <w:rPr>
          <w:sz w:val="20"/>
        </w:rPr>
        <w:t>respiratory</w:t>
      </w:r>
      <w:r>
        <w:rPr>
          <w:spacing w:val="-11"/>
          <w:sz w:val="20"/>
        </w:rPr>
        <w:t> </w:t>
      </w:r>
      <w:r>
        <w:rPr>
          <w:sz w:val="20"/>
        </w:rPr>
        <w:t>rehabilitation</w:t>
      </w:r>
      <w:r>
        <w:rPr>
          <w:spacing w:val="-9"/>
          <w:sz w:val="20"/>
        </w:rPr>
        <w:t> </w:t>
      </w:r>
      <w:r>
        <w:rPr>
          <w:sz w:val="20"/>
        </w:rPr>
        <w:t>in</w:t>
      </w:r>
      <w:r>
        <w:rPr>
          <w:spacing w:val="-6"/>
          <w:sz w:val="20"/>
        </w:rPr>
        <w:t> </w:t>
      </w:r>
      <w:r>
        <w:rPr>
          <w:sz w:val="20"/>
        </w:rPr>
        <w:t>the</w:t>
      </w:r>
      <w:r>
        <w:rPr>
          <w:spacing w:val="-5"/>
          <w:sz w:val="20"/>
        </w:rPr>
        <w:t> </w:t>
      </w:r>
      <w:r>
        <w:rPr>
          <w:sz w:val="20"/>
        </w:rPr>
        <w:t>COVID-19</w:t>
      </w:r>
      <w:r>
        <w:rPr>
          <w:spacing w:val="-7"/>
          <w:sz w:val="20"/>
        </w:rPr>
        <w:t> </w:t>
      </w:r>
      <w:r>
        <w:rPr>
          <w:sz w:val="20"/>
        </w:rPr>
        <w:t>crisis:</w:t>
      </w:r>
      <w:r>
        <w:rPr>
          <w:spacing w:val="-8"/>
          <w:sz w:val="20"/>
        </w:rPr>
        <w:t> </w:t>
      </w:r>
      <w:r>
        <w:rPr>
          <w:sz w:val="20"/>
        </w:rPr>
        <w:t>the Italian position paper Version - March 08, 2020. Graphics and publishing AIPO Ricerche Ed. - Milano</w:t>
      </w:r>
      <w:hyperlink r:id="rId57">
        <w:r>
          <w:rPr>
            <w:sz w:val="20"/>
          </w:rPr>
          <w:t> edizioni@aiporicerche.it</w:t>
        </w:r>
      </w:hyperlink>
    </w:p>
    <w:p>
      <w:pPr>
        <w:pStyle w:val="ListParagraph"/>
        <w:numPr>
          <w:ilvl w:val="0"/>
          <w:numId w:val="42"/>
        </w:numPr>
        <w:tabs>
          <w:tab w:pos="888" w:val="left" w:leader="none"/>
        </w:tabs>
        <w:spacing w:line="256" w:lineRule="auto" w:before="2" w:after="0"/>
        <w:ind w:left="887" w:right="676" w:hanging="567"/>
        <w:jc w:val="both"/>
        <w:rPr>
          <w:sz w:val="20"/>
        </w:rPr>
      </w:pPr>
      <w:r>
        <w:rPr>
          <w:sz w:val="20"/>
        </w:rPr>
        <w:t>Вертикализация пациентов в процессе реабилитации. Клинические рекомендации. Москва, 2014, 63</w:t>
      </w:r>
      <w:r>
        <w:rPr>
          <w:spacing w:val="1"/>
          <w:sz w:val="20"/>
        </w:rPr>
        <w:t> </w:t>
      </w:r>
      <w:r>
        <w:rPr>
          <w:sz w:val="20"/>
        </w:rPr>
        <w:t>с.</w:t>
      </w:r>
    </w:p>
    <w:p>
      <w:pPr>
        <w:pStyle w:val="ListParagraph"/>
        <w:numPr>
          <w:ilvl w:val="0"/>
          <w:numId w:val="42"/>
        </w:numPr>
        <w:tabs>
          <w:tab w:pos="888" w:val="left" w:leader="none"/>
        </w:tabs>
        <w:spacing w:line="256" w:lineRule="auto" w:before="5" w:after="0"/>
        <w:ind w:left="887" w:right="677" w:hanging="567"/>
        <w:jc w:val="both"/>
        <w:rPr>
          <w:sz w:val="20"/>
        </w:rPr>
      </w:pPr>
      <w:r>
        <w:rPr>
          <w:sz w:val="20"/>
        </w:rPr>
        <w:t>Medrinal C et al. Comparison of exercise intensity during four early rehabilitation techniques in sedated and ventilated patients in ICU: A randomised cross-over trial. Crit Care. 2018; 22</w:t>
      </w:r>
      <w:r>
        <w:rPr>
          <w:spacing w:val="-11"/>
          <w:sz w:val="20"/>
        </w:rPr>
        <w:t> </w:t>
      </w:r>
      <w:r>
        <w:rPr>
          <w:sz w:val="20"/>
        </w:rPr>
        <w:t>(1):110.</w:t>
      </w:r>
    </w:p>
    <w:p>
      <w:pPr>
        <w:pStyle w:val="ListParagraph"/>
        <w:numPr>
          <w:ilvl w:val="0"/>
          <w:numId w:val="42"/>
        </w:numPr>
        <w:tabs>
          <w:tab w:pos="888" w:val="left" w:leader="none"/>
        </w:tabs>
        <w:spacing w:line="261" w:lineRule="auto" w:before="2" w:after="0"/>
        <w:ind w:left="887" w:right="677" w:hanging="567"/>
        <w:jc w:val="both"/>
        <w:rPr>
          <w:sz w:val="20"/>
        </w:rPr>
      </w:pPr>
      <w:r>
        <w:rPr>
          <w:sz w:val="20"/>
        </w:rPr>
        <w:t>Karatzanos</w:t>
      </w:r>
      <w:r>
        <w:rPr>
          <w:spacing w:val="-7"/>
          <w:sz w:val="20"/>
        </w:rPr>
        <w:t> </w:t>
      </w:r>
      <w:r>
        <w:rPr>
          <w:sz w:val="20"/>
        </w:rPr>
        <w:t>E</w:t>
      </w:r>
      <w:r>
        <w:rPr>
          <w:spacing w:val="-5"/>
          <w:sz w:val="20"/>
        </w:rPr>
        <w:t> </w:t>
      </w:r>
      <w:r>
        <w:rPr>
          <w:sz w:val="20"/>
        </w:rPr>
        <w:t>et</w:t>
      </w:r>
      <w:r>
        <w:rPr>
          <w:spacing w:val="-6"/>
          <w:sz w:val="20"/>
        </w:rPr>
        <w:t> </w:t>
      </w:r>
      <w:r>
        <w:rPr>
          <w:sz w:val="20"/>
        </w:rPr>
        <w:t>al.</w:t>
      </w:r>
      <w:r>
        <w:rPr>
          <w:spacing w:val="-5"/>
          <w:sz w:val="20"/>
        </w:rPr>
        <w:t> </w:t>
      </w:r>
      <w:r>
        <w:rPr>
          <w:sz w:val="20"/>
        </w:rPr>
        <w:t>Electrical</w:t>
      </w:r>
      <w:r>
        <w:rPr>
          <w:spacing w:val="-8"/>
          <w:sz w:val="20"/>
        </w:rPr>
        <w:t> </w:t>
      </w:r>
      <w:r>
        <w:rPr>
          <w:sz w:val="20"/>
        </w:rPr>
        <w:t>muscle</w:t>
      </w:r>
      <w:r>
        <w:rPr>
          <w:spacing w:val="-5"/>
          <w:sz w:val="20"/>
        </w:rPr>
        <w:t> </w:t>
      </w:r>
      <w:r>
        <w:rPr>
          <w:sz w:val="20"/>
        </w:rPr>
        <w:t>stimulation:</w:t>
      </w:r>
      <w:r>
        <w:rPr>
          <w:spacing w:val="-3"/>
          <w:sz w:val="20"/>
        </w:rPr>
        <w:t> </w:t>
      </w:r>
      <w:r>
        <w:rPr>
          <w:sz w:val="20"/>
        </w:rPr>
        <w:t>An</w:t>
      </w:r>
      <w:r>
        <w:rPr>
          <w:spacing w:val="-7"/>
          <w:sz w:val="20"/>
        </w:rPr>
        <w:t> </w:t>
      </w:r>
      <w:r>
        <w:rPr>
          <w:sz w:val="20"/>
        </w:rPr>
        <w:t>effective</w:t>
      </w:r>
      <w:r>
        <w:rPr>
          <w:spacing w:val="-5"/>
          <w:sz w:val="20"/>
        </w:rPr>
        <w:t> </w:t>
      </w:r>
      <w:r>
        <w:rPr>
          <w:sz w:val="20"/>
        </w:rPr>
        <w:t>form</w:t>
      </w:r>
      <w:r>
        <w:rPr>
          <w:spacing w:val="-9"/>
          <w:sz w:val="20"/>
        </w:rPr>
        <w:t> </w:t>
      </w:r>
      <w:r>
        <w:rPr>
          <w:sz w:val="20"/>
        </w:rPr>
        <w:t>of</w:t>
      </w:r>
      <w:r>
        <w:rPr>
          <w:spacing w:val="-7"/>
          <w:sz w:val="20"/>
        </w:rPr>
        <w:t> </w:t>
      </w:r>
      <w:r>
        <w:rPr>
          <w:sz w:val="20"/>
        </w:rPr>
        <w:t>exercise</w:t>
      </w:r>
      <w:r>
        <w:rPr>
          <w:spacing w:val="-5"/>
          <w:sz w:val="20"/>
        </w:rPr>
        <w:t> </w:t>
      </w:r>
      <w:r>
        <w:rPr>
          <w:sz w:val="20"/>
        </w:rPr>
        <w:t>and</w:t>
      </w:r>
      <w:r>
        <w:rPr>
          <w:spacing w:val="-4"/>
          <w:sz w:val="20"/>
        </w:rPr>
        <w:t> </w:t>
      </w:r>
      <w:r>
        <w:rPr>
          <w:sz w:val="20"/>
        </w:rPr>
        <w:t>early</w:t>
      </w:r>
      <w:r>
        <w:rPr>
          <w:spacing w:val="-7"/>
          <w:sz w:val="20"/>
        </w:rPr>
        <w:t> </w:t>
      </w:r>
      <w:r>
        <w:rPr>
          <w:sz w:val="20"/>
        </w:rPr>
        <w:t>mobilization</w:t>
      </w:r>
      <w:r>
        <w:rPr>
          <w:spacing w:val="-7"/>
          <w:sz w:val="20"/>
        </w:rPr>
        <w:t> </w:t>
      </w:r>
      <w:r>
        <w:rPr>
          <w:sz w:val="20"/>
        </w:rPr>
        <w:t>to preserve muscle strength in critically ill patients. Crit Care Res Pract. 2012; 2012:</w:t>
      </w:r>
      <w:r>
        <w:rPr>
          <w:spacing w:val="-14"/>
          <w:sz w:val="20"/>
        </w:rPr>
        <w:t> </w:t>
      </w:r>
      <w:r>
        <w:rPr>
          <w:sz w:val="20"/>
        </w:rPr>
        <w:t>432752.</w:t>
      </w:r>
    </w:p>
    <w:p>
      <w:pPr>
        <w:pStyle w:val="ListParagraph"/>
        <w:numPr>
          <w:ilvl w:val="0"/>
          <w:numId w:val="42"/>
        </w:numPr>
        <w:tabs>
          <w:tab w:pos="888" w:val="left" w:leader="none"/>
        </w:tabs>
        <w:spacing w:line="261" w:lineRule="auto" w:before="0" w:after="0"/>
        <w:ind w:left="887" w:right="678" w:hanging="567"/>
        <w:jc w:val="both"/>
        <w:rPr>
          <w:sz w:val="20"/>
        </w:rPr>
      </w:pPr>
      <w:r>
        <w:rPr>
          <w:sz w:val="20"/>
        </w:rPr>
        <w:t>Fossat G et al. Effect of in-bed leg cycling and electrical stimulation of the quadriceps on global muscle strength in critically ill adults: A Randomized Clinical Trial. JAMA. 2018; 320 (4):</w:t>
      </w:r>
      <w:r>
        <w:rPr>
          <w:spacing w:val="-18"/>
          <w:sz w:val="20"/>
        </w:rPr>
        <w:t> </w:t>
      </w:r>
      <w:r>
        <w:rPr>
          <w:sz w:val="20"/>
        </w:rPr>
        <w:t>368–378.</w:t>
      </w:r>
    </w:p>
    <w:p>
      <w:pPr>
        <w:pStyle w:val="ListParagraph"/>
        <w:numPr>
          <w:ilvl w:val="0"/>
          <w:numId w:val="42"/>
        </w:numPr>
        <w:tabs>
          <w:tab w:pos="888" w:val="left" w:leader="none"/>
        </w:tabs>
        <w:spacing w:line="261" w:lineRule="auto" w:before="0" w:after="0"/>
        <w:ind w:left="886" w:right="673" w:hanging="567"/>
        <w:jc w:val="both"/>
        <w:rPr>
          <w:sz w:val="20"/>
        </w:rPr>
      </w:pPr>
      <w:r>
        <w:rPr>
          <w:sz w:val="20"/>
        </w:rPr>
        <w:t>Henk J Stam et al. Covid-19 and Post Intensive Care Syndrome: A Call for Action. J Rehabil Med 2020 Apr 15;52(4):jrm00044 doi:</w:t>
      </w:r>
      <w:r>
        <w:rPr>
          <w:spacing w:val="-1"/>
          <w:sz w:val="20"/>
        </w:rPr>
        <w:t> </w:t>
      </w:r>
      <w:r>
        <w:rPr>
          <w:sz w:val="20"/>
        </w:rPr>
        <w:t>10.2340/16501977-2677.</w:t>
      </w:r>
    </w:p>
    <w:p>
      <w:pPr>
        <w:pStyle w:val="ListParagraph"/>
        <w:numPr>
          <w:ilvl w:val="0"/>
          <w:numId w:val="42"/>
        </w:numPr>
        <w:tabs>
          <w:tab w:pos="887" w:val="left" w:leader="none"/>
        </w:tabs>
        <w:spacing w:line="225" w:lineRule="exact" w:before="0" w:after="0"/>
        <w:ind w:left="886" w:right="0" w:hanging="567"/>
        <w:jc w:val="both"/>
        <w:rPr>
          <w:sz w:val="20"/>
        </w:rPr>
      </w:pPr>
      <w:r>
        <w:rPr>
          <w:sz w:val="20"/>
        </w:rPr>
        <w:t>Анестезиолого-реанимационное</w:t>
      </w:r>
      <w:r>
        <w:rPr>
          <w:spacing w:val="16"/>
          <w:sz w:val="20"/>
        </w:rPr>
        <w:t> </w:t>
      </w:r>
      <w:r>
        <w:rPr>
          <w:sz w:val="20"/>
        </w:rPr>
        <w:t>обеспечение</w:t>
      </w:r>
      <w:r>
        <w:rPr>
          <w:spacing w:val="16"/>
          <w:sz w:val="20"/>
        </w:rPr>
        <w:t> </w:t>
      </w:r>
      <w:r>
        <w:rPr>
          <w:sz w:val="20"/>
        </w:rPr>
        <w:t>пациентов</w:t>
      </w:r>
      <w:r>
        <w:rPr>
          <w:spacing w:val="15"/>
          <w:sz w:val="20"/>
        </w:rPr>
        <w:t> </w:t>
      </w:r>
      <w:r>
        <w:rPr>
          <w:sz w:val="20"/>
        </w:rPr>
        <w:t>с</w:t>
      </w:r>
      <w:r>
        <w:rPr>
          <w:spacing w:val="16"/>
          <w:sz w:val="20"/>
        </w:rPr>
        <w:t> </w:t>
      </w:r>
      <w:r>
        <w:rPr>
          <w:sz w:val="20"/>
        </w:rPr>
        <w:t>новой</w:t>
      </w:r>
      <w:r>
        <w:rPr>
          <w:spacing w:val="15"/>
          <w:sz w:val="20"/>
        </w:rPr>
        <w:t> </w:t>
      </w:r>
      <w:r>
        <w:rPr>
          <w:sz w:val="20"/>
        </w:rPr>
        <w:t>коронавирусной</w:t>
      </w:r>
      <w:r>
        <w:rPr>
          <w:spacing w:val="14"/>
          <w:sz w:val="20"/>
        </w:rPr>
        <w:t> </w:t>
      </w:r>
      <w:r>
        <w:rPr>
          <w:sz w:val="20"/>
        </w:rPr>
        <w:t>инфекцией</w:t>
      </w:r>
    </w:p>
    <w:p>
      <w:pPr>
        <w:spacing w:before="8"/>
        <w:ind w:left="886" w:right="0" w:firstLine="0"/>
        <w:jc w:val="both"/>
        <w:rPr>
          <w:sz w:val="20"/>
        </w:rPr>
      </w:pPr>
      <w:r>
        <w:rPr>
          <w:sz w:val="20"/>
        </w:rPr>
        <w:t>COVID-19, пересмотр 30.04.2020</w:t>
      </w:r>
    </w:p>
    <w:p>
      <w:pPr>
        <w:pStyle w:val="ListParagraph"/>
        <w:numPr>
          <w:ilvl w:val="0"/>
          <w:numId w:val="42"/>
        </w:numPr>
        <w:tabs>
          <w:tab w:pos="887" w:val="left" w:leader="none"/>
        </w:tabs>
        <w:spacing w:line="256" w:lineRule="auto" w:before="20" w:after="0"/>
        <w:ind w:left="886" w:right="677" w:hanging="567"/>
        <w:jc w:val="both"/>
        <w:rPr>
          <w:sz w:val="20"/>
        </w:rPr>
      </w:pPr>
      <w:r>
        <w:rPr>
          <w:sz w:val="20"/>
        </w:rPr>
        <w:t>Bein T et al. S2e guideline: positioning and early mobilisation in prophylaxis or therapy of pulmonary disorders Revision. Anaesthesist. 2015;64(September):1-26.</w:t>
      </w:r>
      <w:r>
        <w:rPr>
          <w:spacing w:val="-4"/>
          <w:sz w:val="20"/>
        </w:rPr>
        <w:t> </w:t>
      </w:r>
      <w:r>
        <w:rPr>
          <w:sz w:val="20"/>
        </w:rPr>
        <w:t>doi:10.1007/s00101-015-0071-1.</w:t>
      </w:r>
    </w:p>
    <w:p>
      <w:pPr>
        <w:pStyle w:val="ListParagraph"/>
        <w:numPr>
          <w:ilvl w:val="0"/>
          <w:numId w:val="42"/>
        </w:numPr>
        <w:tabs>
          <w:tab w:pos="887" w:val="left" w:leader="none"/>
        </w:tabs>
        <w:spacing w:line="256" w:lineRule="auto" w:before="4" w:after="0"/>
        <w:ind w:left="886" w:right="682" w:hanging="567"/>
        <w:jc w:val="both"/>
        <w:rPr>
          <w:sz w:val="20"/>
        </w:rPr>
      </w:pPr>
      <w:r>
        <w:rPr>
          <w:sz w:val="20"/>
        </w:rPr>
        <w:t>Taito</w:t>
      </w:r>
      <w:r>
        <w:rPr>
          <w:spacing w:val="-4"/>
          <w:sz w:val="20"/>
        </w:rPr>
        <w:t> </w:t>
      </w:r>
      <w:r>
        <w:rPr>
          <w:sz w:val="20"/>
        </w:rPr>
        <w:t>S</w:t>
      </w:r>
      <w:r>
        <w:rPr>
          <w:spacing w:val="-6"/>
          <w:sz w:val="20"/>
        </w:rPr>
        <w:t> </w:t>
      </w:r>
      <w:r>
        <w:rPr>
          <w:sz w:val="20"/>
        </w:rPr>
        <w:t>et</w:t>
      </w:r>
      <w:r>
        <w:rPr>
          <w:spacing w:val="-6"/>
          <w:sz w:val="20"/>
        </w:rPr>
        <w:t> </w:t>
      </w:r>
      <w:r>
        <w:rPr>
          <w:sz w:val="20"/>
        </w:rPr>
        <w:t>al.</w:t>
      </w:r>
      <w:r>
        <w:rPr>
          <w:spacing w:val="-5"/>
          <w:sz w:val="20"/>
        </w:rPr>
        <w:t> </w:t>
      </w:r>
      <w:r>
        <w:rPr>
          <w:sz w:val="20"/>
        </w:rPr>
        <w:t>Early</w:t>
      </w:r>
      <w:r>
        <w:rPr>
          <w:spacing w:val="-7"/>
          <w:sz w:val="20"/>
        </w:rPr>
        <w:t> </w:t>
      </w:r>
      <w:r>
        <w:rPr>
          <w:sz w:val="20"/>
        </w:rPr>
        <w:t>mobilization</w:t>
      </w:r>
      <w:r>
        <w:rPr>
          <w:spacing w:val="-7"/>
          <w:sz w:val="20"/>
        </w:rPr>
        <w:t> </w:t>
      </w:r>
      <w:r>
        <w:rPr>
          <w:sz w:val="20"/>
        </w:rPr>
        <w:t>of</w:t>
      </w:r>
      <w:r>
        <w:rPr>
          <w:spacing w:val="-5"/>
          <w:sz w:val="20"/>
        </w:rPr>
        <w:t> </w:t>
      </w:r>
      <w:r>
        <w:rPr>
          <w:sz w:val="20"/>
        </w:rPr>
        <w:t>mechanically</w:t>
      </w:r>
      <w:r>
        <w:rPr>
          <w:spacing w:val="-7"/>
          <w:sz w:val="20"/>
        </w:rPr>
        <w:t> </w:t>
      </w:r>
      <w:r>
        <w:rPr>
          <w:sz w:val="20"/>
        </w:rPr>
        <w:t>ventilated</w:t>
      </w:r>
      <w:r>
        <w:rPr>
          <w:spacing w:val="-2"/>
          <w:sz w:val="20"/>
        </w:rPr>
        <w:t> </w:t>
      </w:r>
      <w:r>
        <w:rPr>
          <w:sz w:val="20"/>
        </w:rPr>
        <w:t>patients</w:t>
      </w:r>
      <w:r>
        <w:rPr>
          <w:spacing w:val="-4"/>
          <w:sz w:val="20"/>
        </w:rPr>
        <w:t> </w:t>
      </w:r>
      <w:r>
        <w:rPr>
          <w:sz w:val="20"/>
        </w:rPr>
        <w:t>in</w:t>
      </w:r>
      <w:r>
        <w:rPr>
          <w:spacing w:val="-4"/>
          <w:sz w:val="20"/>
        </w:rPr>
        <w:t> </w:t>
      </w:r>
      <w:r>
        <w:rPr>
          <w:sz w:val="20"/>
        </w:rPr>
        <w:t>the</w:t>
      </w:r>
      <w:r>
        <w:rPr>
          <w:spacing w:val="-3"/>
          <w:sz w:val="20"/>
        </w:rPr>
        <w:t> </w:t>
      </w:r>
      <w:r>
        <w:rPr>
          <w:sz w:val="20"/>
        </w:rPr>
        <w:t>intensive</w:t>
      </w:r>
      <w:r>
        <w:rPr>
          <w:spacing w:val="-5"/>
          <w:sz w:val="20"/>
        </w:rPr>
        <w:t> </w:t>
      </w:r>
      <w:r>
        <w:rPr>
          <w:sz w:val="20"/>
        </w:rPr>
        <w:t>care</w:t>
      </w:r>
      <w:r>
        <w:rPr>
          <w:spacing w:val="-5"/>
          <w:sz w:val="20"/>
        </w:rPr>
        <w:t> </w:t>
      </w:r>
      <w:r>
        <w:rPr>
          <w:sz w:val="20"/>
        </w:rPr>
        <w:t>unit.</w:t>
      </w:r>
      <w:r>
        <w:rPr>
          <w:spacing w:val="-5"/>
          <w:sz w:val="20"/>
        </w:rPr>
        <w:t> </w:t>
      </w:r>
      <w:r>
        <w:rPr>
          <w:sz w:val="20"/>
        </w:rPr>
        <w:t>J</w:t>
      </w:r>
      <w:r>
        <w:rPr>
          <w:spacing w:val="-4"/>
          <w:sz w:val="20"/>
        </w:rPr>
        <w:t> </w:t>
      </w:r>
      <w:r>
        <w:rPr>
          <w:sz w:val="20"/>
        </w:rPr>
        <w:t>Intensive Care. 2016;4(1):50.</w:t>
      </w:r>
      <w:r>
        <w:rPr>
          <w:spacing w:val="1"/>
          <w:sz w:val="20"/>
        </w:rPr>
        <w:t> </w:t>
      </w:r>
      <w:r>
        <w:rPr>
          <w:sz w:val="20"/>
        </w:rPr>
        <w:t>doi:10.1186/s40560-016-0179-7.</w:t>
      </w:r>
    </w:p>
    <w:p>
      <w:pPr>
        <w:pStyle w:val="ListParagraph"/>
        <w:numPr>
          <w:ilvl w:val="0"/>
          <w:numId w:val="42"/>
        </w:numPr>
        <w:tabs>
          <w:tab w:pos="887" w:val="left" w:leader="none"/>
        </w:tabs>
        <w:spacing w:line="259" w:lineRule="auto" w:before="2" w:after="0"/>
        <w:ind w:left="886" w:right="676" w:hanging="567"/>
        <w:jc w:val="both"/>
        <w:rPr>
          <w:sz w:val="20"/>
        </w:rPr>
      </w:pPr>
      <w:r>
        <w:rPr>
          <w:sz w:val="20"/>
        </w:rPr>
        <w:t>Eggmann</w:t>
      </w:r>
      <w:r>
        <w:rPr>
          <w:spacing w:val="-9"/>
          <w:sz w:val="20"/>
        </w:rPr>
        <w:t> </w:t>
      </w:r>
      <w:r>
        <w:rPr>
          <w:sz w:val="20"/>
        </w:rPr>
        <w:t>S</w:t>
      </w:r>
      <w:r>
        <w:rPr>
          <w:spacing w:val="-11"/>
          <w:sz w:val="20"/>
        </w:rPr>
        <w:t> </w:t>
      </w:r>
      <w:r>
        <w:rPr>
          <w:sz w:val="20"/>
        </w:rPr>
        <w:t>et</w:t>
      </w:r>
      <w:r>
        <w:rPr>
          <w:spacing w:val="-10"/>
          <w:sz w:val="20"/>
        </w:rPr>
        <w:t> </w:t>
      </w:r>
      <w:r>
        <w:rPr>
          <w:sz w:val="20"/>
        </w:rPr>
        <w:t>al.</w:t>
      </w:r>
      <w:r>
        <w:rPr>
          <w:spacing w:val="-10"/>
          <w:sz w:val="20"/>
        </w:rPr>
        <w:t> </w:t>
      </w:r>
      <w:r>
        <w:rPr>
          <w:sz w:val="20"/>
        </w:rPr>
        <w:t>Physiological</w:t>
      </w:r>
      <w:r>
        <w:rPr>
          <w:spacing w:val="-9"/>
          <w:sz w:val="20"/>
        </w:rPr>
        <w:t> </w:t>
      </w:r>
      <w:r>
        <w:rPr>
          <w:sz w:val="20"/>
        </w:rPr>
        <w:t>effects</w:t>
      </w:r>
      <w:r>
        <w:rPr>
          <w:spacing w:val="-11"/>
          <w:sz w:val="20"/>
        </w:rPr>
        <w:t> </w:t>
      </w:r>
      <w:r>
        <w:rPr>
          <w:sz w:val="20"/>
        </w:rPr>
        <w:t>and</w:t>
      </w:r>
      <w:r>
        <w:rPr>
          <w:spacing w:val="-9"/>
          <w:sz w:val="20"/>
        </w:rPr>
        <w:t> </w:t>
      </w:r>
      <w:r>
        <w:rPr>
          <w:sz w:val="20"/>
        </w:rPr>
        <w:t>safety</w:t>
      </w:r>
      <w:r>
        <w:rPr>
          <w:spacing w:val="-14"/>
          <w:sz w:val="20"/>
        </w:rPr>
        <w:t> </w:t>
      </w:r>
      <w:r>
        <w:rPr>
          <w:sz w:val="20"/>
        </w:rPr>
        <w:t>of</w:t>
      </w:r>
      <w:r>
        <w:rPr>
          <w:spacing w:val="-11"/>
          <w:sz w:val="20"/>
        </w:rPr>
        <w:t> </w:t>
      </w:r>
      <w:r>
        <w:rPr>
          <w:sz w:val="20"/>
        </w:rPr>
        <w:t>an</w:t>
      </w:r>
      <w:r>
        <w:rPr>
          <w:spacing w:val="-11"/>
          <w:sz w:val="20"/>
        </w:rPr>
        <w:t> </w:t>
      </w:r>
      <w:r>
        <w:rPr>
          <w:sz w:val="20"/>
        </w:rPr>
        <w:t>early,</w:t>
      </w:r>
      <w:r>
        <w:rPr>
          <w:spacing w:val="-7"/>
          <w:sz w:val="20"/>
        </w:rPr>
        <w:t> </w:t>
      </w:r>
      <w:r>
        <w:rPr>
          <w:sz w:val="20"/>
        </w:rPr>
        <w:t>combined</w:t>
      </w:r>
      <w:r>
        <w:rPr>
          <w:spacing w:val="-9"/>
          <w:sz w:val="20"/>
        </w:rPr>
        <w:t> </w:t>
      </w:r>
      <w:r>
        <w:rPr>
          <w:sz w:val="20"/>
        </w:rPr>
        <w:t>endurance</w:t>
      </w:r>
      <w:r>
        <w:rPr>
          <w:spacing w:val="-10"/>
          <w:sz w:val="20"/>
        </w:rPr>
        <w:t> </w:t>
      </w:r>
      <w:r>
        <w:rPr>
          <w:sz w:val="20"/>
        </w:rPr>
        <w:t>and</w:t>
      </w:r>
      <w:r>
        <w:rPr>
          <w:spacing w:val="-9"/>
          <w:sz w:val="20"/>
        </w:rPr>
        <w:t> </w:t>
      </w:r>
      <w:r>
        <w:rPr>
          <w:sz w:val="20"/>
        </w:rPr>
        <w:t>resistance</w:t>
      </w:r>
      <w:r>
        <w:rPr>
          <w:spacing w:val="-9"/>
          <w:sz w:val="20"/>
        </w:rPr>
        <w:t> </w:t>
      </w:r>
      <w:r>
        <w:rPr>
          <w:sz w:val="20"/>
        </w:rPr>
        <w:t>training in mechanically ventilated, critically ill patients. Physiotherapy. 2015;101:e344-e345. doi:10.1016/j.physio.2015.03.553</w:t>
      </w:r>
    </w:p>
    <w:p>
      <w:pPr>
        <w:pStyle w:val="ListParagraph"/>
        <w:numPr>
          <w:ilvl w:val="0"/>
          <w:numId w:val="42"/>
        </w:numPr>
        <w:tabs>
          <w:tab w:pos="887" w:val="left" w:leader="none"/>
        </w:tabs>
        <w:spacing w:line="240" w:lineRule="auto" w:before="2" w:after="0"/>
        <w:ind w:left="886" w:right="0" w:hanging="567"/>
        <w:jc w:val="both"/>
        <w:rPr>
          <w:sz w:val="20"/>
        </w:rPr>
      </w:pPr>
      <w:r>
        <w:rPr>
          <w:sz w:val="20"/>
        </w:rPr>
        <w:t>Оленская</w:t>
      </w:r>
      <w:r>
        <w:rPr>
          <w:spacing w:val="-7"/>
          <w:sz w:val="20"/>
        </w:rPr>
        <w:t> </w:t>
      </w:r>
      <w:r>
        <w:rPr>
          <w:sz w:val="20"/>
        </w:rPr>
        <w:t>Т.Л.</w:t>
      </w:r>
      <w:r>
        <w:rPr>
          <w:spacing w:val="-6"/>
          <w:sz w:val="20"/>
        </w:rPr>
        <w:t> </w:t>
      </w:r>
      <w:r>
        <w:rPr>
          <w:sz w:val="20"/>
        </w:rPr>
        <w:t>и</w:t>
      </w:r>
      <w:r>
        <w:rPr>
          <w:spacing w:val="-8"/>
          <w:sz w:val="20"/>
        </w:rPr>
        <w:t> </w:t>
      </w:r>
      <w:r>
        <w:rPr>
          <w:sz w:val="20"/>
        </w:rPr>
        <w:t>соавт.</w:t>
      </w:r>
      <w:r>
        <w:rPr>
          <w:spacing w:val="-5"/>
          <w:sz w:val="20"/>
        </w:rPr>
        <w:t> </w:t>
      </w:r>
      <w:r>
        <w:rPr>
          <w:sz w:val="20"/>
        </w:rPr>
        <w:t>Реабилитация</w:t>
      </w:r>
      <w:r>
        <w:rPr>
          <w:spacing w:val="-7"/>
          <w:sz w:val="20"/>
        </w:rPr>
        <w:t> </w:t>
      </w:r>
      <w:r>
        <w:rPr>
          <w:sz w:val="20"/>
        </w:rPr>
        <w:t>в</w:t>
      </w:r>
      <w:r>
        <w:rPr>
          <w:spacing w:val="-7"/>
          <w:sz w:val="20"/>
        </w:rPr>
        <w:t> </w:t>
      </w:r>
      <w:r>
        <w:rPr>
          <w:sz w:val="20"/>
        </w:rPr>
        <w:t>пульмонологии.</w:t>
      </w:r>
      <w:r>
        <w:rPr>
          <w:spacing w:val="-4"/>
          <w:sz w:val="20"/>
        </w:rPr>
        <w:t> </w:t>
      </w:r>
      <w:r>
        <w:rPr>
          <w:sz w:val="20"/>
        </w:rPr>
        <w:t>Учебно-методическое</w:t>
      </w:r>
      <w:r>
        <w:rPr>
          <w:spacing w:val="-5"/>
          <w:sz w:val="20"/>
        </w:rPr>
        <w:t> </w:t>
      </w:r>
      <w:r>
        <w:rPr>
          <w:sz w:val="20"/>
        </w:rPr>
        <w:t>пособие.</w:t>
      </w:r>
      <w:r>
        <w:rPr>
          <w:spacing w:val="-7"/>
          <w:sz w:val="20"/>
        </w:rPr>
        <w:t> </w:t>
      </w:r>
      <w:r>
        <w:rPr>
          <w:sz w:val="20"/>
        </w:rPr>
        <w:t>–</w:t>
      </w:r>
      <w:r>
        <w:rPr>
          <w:spacing w:val="-6"/>
          <w:sz w:val="20"/>
        </w:rPr>
        <w:t> </w:t>
      </w:r>
      <w:r>
        <w:rPr>
          <w:sz w:val="20"/>
        </w:rPr>
        <w:t>Витебск,</w:t>
      </w:r>
    </w:p>
    <w:p>
      <w:pPr>
        <w:spacing w:before="17"/>
        <w:ind w:left="886" w:right="0" w:firstLine="0"/>
        <w:jc w:val="both"/>
        <w:rPr>
          <w:sz w:val="20"/>
        </w:rPr>
      </w:pPr>
      <w:r>
        <w:rPr>
          <w:sz w:val="20"/>
        </w:rPr>
        <w:t>2016. – с. 90-104.</w:t>
      </w:r>
    </w:p>
    <w:p>
      <w:pPr>
        <w:pStyle w:val="ListParagraph"/>
        <w:numPr>
          <w:ilvl w:val="0"/>
          <w:numId w:val="42"/>
        </w:numPr>
        <w:tabs>
          <w:tab w:pos="886" w:val="left" w:leader="none"/>
        </w:tabs>
        <w:spacing w:line="259" w:lineRule="auto" w:before="17" w:after="0"/>
        <w:ind w:left="885" w:right="676" w:hanging="567"/>
        <w:jc w:val="both"/>
        <w:rPr>
          <w:sz w:val="20"/>
        </w:rPr>
      </w:pPr>
      <w:r>
        <w:rPr>
          <w:sz w:val="20"/>
        </w:rPr>
        <w:t>Yang</w:t>
      </w:r>
      <w:r>
        <w:rPr>
          <w:spacing w:val="-11"/>
          <w:sz w:val="20"/>
        </w:rPr>
        <w:t> </w:t>
      </w:r>
      <w:r>
        <w:rPr>
          <w:sz w:val="20"/>
        </w:rPr>
        <w:t>Feng</w:t>
      </w:r>
      <w:r>
        <w:rPr>
          <w:spacing w:val="-10"/>
          <w:sz w:val="20"/>
        </w:rPr>
        <w:t> </w:t>
      </w:r>
      <w:r>
        <w:rPr>
          <w:sz w:val="20"/>
        </w:rPr>
        <w:t>et</w:t>
      </w:r>
      <w:r>
        <w:rPr>
          <w:spacing w:val="-9"/>
          <w:sz w:val="20"/>
        </w:rPr>
        <w:t> </w:t>
      </w:r>
      <w:r>
        <w:rPr>
          <w:sz w:val="20"/>
        </w:rPr>
        <w:t>al.</w:t>
      </w:r>
      <w:r>
        <w:rPr>
          <w:spacing w:val="-10"/>
          <w:sz w:val="20"/>
        </w:rPr>
        <w:t> </w:t>
      </w:r>
      <w:r>
        <w:rPr>
          <w:sz w:val="20"/>
        </w:rPr>
        <w:t>Pulmonary</w:t>
      </w:r>
      <w:r>
        <w:rPr>
          <w:spacing w:val="-13"/>
          <w:sz w:val="20"/>
        </w:rPr>
        <w:t> </w:t>
      </w:r>
      <w:r>
        <w:rPr>
          <w:sz w:val="20"/>
        </w:rPr>
        <w:t>rehabilitation</w:t>
      </w:r>
      <w:r>
        <w:rPr>
          <w:spacing w:val="-10"/>
          <w:sz w:val="20"/>
        </w:rPr>
        <w:t> </w:t>
      </w:r>
      <w:r>
        <w:rPr>
          <w:sz w:val="20"/>
        </w:rPr>
        <w:t>guidelines</w:t>
      </w:r>
      <w:r>
        <w:rPr>
          <w:spacing w:val="-11"/>
          <w:sz w:val="20"/>
        </w:rPr>
        <w:t> </w:t>
      </w:r>
      <w:r>
        <w:rPr>
          <w:sz w:val="20"/>
        </w:rPr>
        <w:t>in</w:t>
      </w:r>
      <w:r>
        <w:rPr>
          <w:spacing w:val="-10"/>
          <w:sz w:val="20"/>
        </w:rPr>
        <w:t> </w:t>
      </w:r>
      <w:r>
        <w:rPr>
          <w:sz w:val="20"/>
        </w:rPr>
        <w:t>the</w:t>
      </w:r>
      <w:r>
        <w:rPr>
          <w:spacing w:val="-9"/>
          <w:sz w:val="20"/>
        </w:rPr>
        <w:t> </w:t>
      </w:r>
      <w:r>
        <w:rPr>
          <w:sz w:val="20"/>
        </w:rPr>
        <w:t>principle</w:t>
      </w:r>
      <w:r>
        <w:rPr>
          <w:spacing w:val="-10"/>
          <w:sz w:val="20"/>
        </w:rPr>
        <w:t> </w:t>
      </w:r>
      <w:r>
        <w:rPr>
          <w:sz w:val="20"/>
        </w:rPr>
        <w:t>of</w:t>
      </w:r>
      <w:r>
        <w:rPr>
          <w:spacing w:val="-11"/>
          <w:sz w:val="20"/>
        </w:rPr>
        <w:t> </w:t>
      </w:r>
      <w:r>
        <w:rPr>
          <w:sz w:val="20"/>
        </w:rPr>
        <w:t>4S</w:t>
      </w:r>
      <w:r>
        <w:rPr>
          <w:spacing w:val="-10"/>
          <w:sz w:val="20"/>
        </w:rPr>
        <w:t> </w:t>
      </w:r>
      <w:r>
        <w:rPr>
          <w:sz w:val="20"/>
        </w:rPr>
        <w:t>for</w:t>
      </w:r>
      <w:r>
        <w:rPr>
          <w:spacing w:val="-9"/>
          <w:sz w:val="20"/>
        </w:rPr>
        <w:t> </w:t>
      </w:r>
      <w:r>
        <w:rPr>
          <w:sz w:val="20"/>
        </w:rPr>
        <w:t>patients</w:t>
      </w:r>
      <w:r>
        <w:rPr>
          <w:spacing w:val="-10"/>
          <w:sz w:val="20"/>
        </w:rPr>
        <w:t> </w:t>
      </w:r>
      <w:r>
        <w:rPr>
          <w:sz w:val="20"/>
        </w:rPr>
        <w:t>infected</w:t>
      </w:r>
      <w:r>
        <w:rPr>
          <w:spacing w:val="-7"/>
          <w:sz w:val="20"/>
        </w:rPr>
        <w:t> </w:t>
      </w:r>
      <w:r>
        <w:rPr>
          <w:sz w:val="20"/>
        </w:rPr>
        <w:t>with</w:t>
      </w:r>
      <w:r>
        <w:rPr>
          <w:spacing w:val="-10"/>
          <w:sz w:val="20"/>
        </w:rPr>
        <w:t> </w:t>
      </w:r>
      <w:r>
        <w:rPr>
          <w:sz w:val="20"/>
        </w:rPr>
        <w:t>2019 novel coronavirus (2019-nCoV). Cite as Chin J TubercRespir Dis. 2020: 43 (03): 180-182. DOI: 10.3760/cma.j.issn.1001-0939.2020.03.007.</w:t>
      </w:r>
    </w:p>
    <w:p>
      <w:pPr>
        <w:pStyle w:val="ListParagraph"/>
        <w:numPr>
          <w:ilvl w:val="0"/>
          <w:numId w:val="42"/>
        </w:numPr>
        <w:tabs>
          <w:tab w:pos="886" w:val="left" w:leader="none"/>
        </w:tabs>
        <w:spacing w:line="256" w:lineRule="auto" w:before="1" w:after="0"/>
        <w:ind w:left="885" w:right="678" w:hanging="567"/>
        <w:jc w:val="both"/>
        <w:rPr>
          <w:sz w:val="20"/>
        </w:rPr>
      </w:pPr>
      <w:r>
        <w:rPr>
          <w:sz w:val="20"/>
        </w:rPr>
        <w:t>Robert Simpson et al. Rehabilitation Following Critical Illness in People With COVID-19 Infection Am J Phys Med Rehabil2020 Apr 10. doi: 10.1097/PHM.0000000000001443.Online ahead of</w:t>
      </w:r>
      <w:r>
        <w:rPr>
          <w:spacing w:val="-9"/>
          <w:sz w:val="20"/>
        </w:rPr>
        <w:t> </w:t>
      </w:r>
      <w:r>
        <w:rPr>
          <w:sz w:val="20"/>
        </w:rPr>
        <w:t>print</w:t>
      </w:r>
    </w:p>
    <w:p>
      <w:pPr>
        <w:spacing w:after="0" w:line="256" w:lineRule="auto"/>
        <w:jc w:val="both"/>
        <w:rPr>
          <w:sz w:val="20"/>
        </w:rPr>
        <w:sectPr>
          <w:pgSz w:w="11920" w:h="16850"/>
          <w:pgMar w:header="0" w:footer="620" w:top="1060" w:bottom="880" w:left="1380" w:right="600"/>
        </w:sectPr>
      </w:pPr>
    </w:p>
    <w:p>
      <w:pPr>
        <w:pStyle w:val="ListParagraph"/>
        <w:numPr>
          <w:ilvl w:val="0"/>
          <w:numId w:val="42"/>
        </w:numPr>
        <w:tabs>
          <w:tab w:pos="888" w:val="left" w:leader="none"/>
        </w:tabs>
        <w:spacing w:line="256" w:lineRule="auto" w:before="79" w:after="0"/>
        <w:ind w:left="887" w:right="675" w:hanging="567"/>
        <w:jc w:val="both"/>
        <w:rPr>
          <w:sz w:val="20"/>
        </w:rPr>
      </w:pPr>
      <w:r>
        <w:rPr>
          <w:sz w:val="20"/>
        </w:rPr>
        <w:t>Spruit MA et al. An official american thoracic society/european respiratory society statement: key concepts and advances in pulmonary rehabilitation. Am J RespirCrit Care Med.</w:t>
      </w:r>
      <w:r>
        <w:rPr>
          <w:spacing w:val="-27"/>
          <w:sz w:val="20"/>
        </w:rPr>
        <w:t> </w:t>
      </w:r>
      <w:r>
        <w:rPr>
          <w:sz w:val="20"/>
        </w:rPr>
        <w:t>2013;188(8):e13–64.</w:t>
      </w:r>
    </w:p>
    <w:p>
      <w:pPr>
        <w:pStyle w:val="ListParagraph"/>
        <w:numPr>
          <w:ilvl w:val="0"/>
          <w:numId w:val="42"/>
        </w:numPr>
        <w:tabs>
          <w:tab w:pos="888" w:val="left" w:leader="none"/>
        </w:tabs>
        <w:spacing w:line="240" w:lineRule="auto" w:before="5" w:after="0"/>
        <w:ind w:left="887" w:right="0" w:hanging="567"/>
        <w:jc w:val="both"/>
        <w:rPr>
          <w:sz w:val="20"/>
        </w:rPr>
      </w:pPr>
      <w:r>
        <w:rPr>
          <w:sz w:val="20"/>
        </w:rPr>
        <w:t>Насонов</w:t>
      </w:r>
      <w:r>
        <w:rPr>
          <w:spacing w:val="11"/>
          <w:sz w:val="20"/>
        </w:rPr>
        <w:t> </w:t>
      </w:r>
      <w:r>
        <w:rPr>
          <w:sz w:val="20"/>
        </w:rPr>
        <w:t>ЕЛ</w:t>
      </w:r>
      <w:r>
        <w:rPr>
          <w:spacing w:val="11"/>
          <w:sz w:val="20"/>
        </w:rPr>
        <w:t> </w:t>
      </w:r>
      <w:r>
        <w:rPr>
          <w:sz w:val="20"/>
        </w:rPr>
        <w:t>и</w:t>
      </w:r>
      <w:r>
        <w:rPr>
          <w:spacing w:val="11"/>
          <w:sz w:val="20"/>
        </w:rPr>
        <w:t> </w:t>
      </w:r>
      <w:r>
        <w:rPr>
          <w:sz w:val="20"/>
        </w:rPr>
        <w:t>др.;</w:t>
      </w:r>
      <w:r>
        <w:rPr>
          <w:spacing w:val="12"/>
          <w:sz w:val="20"/>
        </w:rPr>
        <w:t> </w:t>
      </w:r>
      <w:r>
        <w:rPr>
          <w:sz w:val="20"/>
        </w:rPr>
        <w:t>по</w:t>
      </w:r>
      <w:r>
        <w:rPr>
          <w:spacing w:val="13"/>
          <w:sz w:val="20"/>
        </w:rPr>
        <w:t> </w:t>
      </w:r>
      <w:r>
        <w:rPr>
          <w:sz w:val="20"/>
        </w:rPr>
        <w:t>поручению</w:t>
      </w:r>
      <w:r>
        <w:rPr>
          <w:spacing w:val="12"/>
          <w:sz w:val="20"/>
        </w:rPr>
        <w:t> </w:t>
      </w:r>
      <w:r>
        <w:rPr>
          <w:sz w:val="20"/>
        </w:rPr>
        <w:t>президиума</w:t>
      </w:r>
      <w:r>
        <w:rPr>
          <w:spacing w:val="12"/>
          <w:sz w:val="20"/>
        </w:rPr>
        <w:t> </w:t>
      </w:r>
      <w:r>
        <w:rPr>
          <w:sz w:val="20"/>
        </w:rPr>
        <w:t>Общероссийской</w:t>
      </w:r>
      <w:r>
        <w:rPr>
          <w:spacing w:val="11"/>
          <w:sz w:val="20"/>
        </w:rPr>
        <w:t> </w:t>
      </w:r>
      <w:r>
        <w:rPr>
          <w:sz w:val="20"/>
        </w:rPr>
        <w:t>общественной</w:t>
      </w:r>
      <w:r>
        <w:rPr>
          <w:spacing w:val="13"/>
          <w:sz w:val="20"/>
        </w:rPr>
        <w:t> </w:t>
      </w:r>
      <w:r>
        <w:rPr>
          <w:sz w:val="20"/>
        </w:rPr>
        <w:t>организации</w:t>
      </w:r>
    </w:p>
    <w:p>
      <w:pPr>
        <w:spacing w:line="259" w:lineRule="auto" w:before="17"/>
        <w:ind w:left="887" w:right="675" w:firstLine="0"/>
        <w:jc w:val="both"/>
        <w:rPr>
          <w:sz w:val="20"/>
        </w:rPr>
      </w:pPr>
      <w:r>
        <w:rPr>
          <w:sz w:val="20"/>
        </w:rPr>
        <w:t>«Ассоциация ревматологов России». Проект рекомендаций Общероссийской общественной организации «Ассоциация ревматологов России». Коронавирусная болезнь 2019 (COVID-19) и иммуновоспалительные (аутоиммунные) ревматические заболевания. Доступно по ссылке: https://rheumatolog.ru</w:t>
      </w:r>
    </w:p>
    <w:p>
      <w:pPr>
        <w:pStyle w:val="ListParagraph"/>
        <w:numPr>
          <w:ilvl w:val="0"/>
          <w:numId w:val="42"/>
        </w:numPr>
        <w:tabs>
          <w:tab w:pos="888" w:val="left" w:leader="none"/>
        </w:tabs>
        <w:spacing w:line="259" w:lineRule="auto" w:before="0" w:after="0"/>
        <w:ind w:left="887" w:right="675" w:hanging="567"/>
        <w:jc w:val="both"/>
        <w:rPr>
          <w:sz w:val="20"/>
        </w:rPr>
      </w:pPr>
      <w:r>
        <w:rPr>
          <w:sz w:val="20"/>
        </w:rPr>
        <w:t>Schulze-Koops H, et al. Preliminary recommendations of the German Society of Rheumatology (DGRh eV) for the management of patients with inflammatory rheumatic diseases during the SARS-CoV- 2/Covid-19 pandemic. Ann Rheum Dis. 2020 Apr 28. pii: annrheumdis-2020-217628. doi: 10.1136/annrheumdis-2020-217628</w:t>
      </w:r>
    </w:p>
    <w:p>
      <w:pPr>
        <w:pStyle w:val="ListParagraph"/>
        <w:numPr>
          <w:ilvl w:val="0"/>
          <w:numId w:val="42"/>
        </w:numPr>
        <w:tabs>
          <w:tab w:pos="888" w:val="left" w:leader="none"/>
        </w:tabs>
        <w:spacing w:line="256" w:lineRule="auto" w:before="0" w:after="0"/>
        <w:ind w:left="887" w:right="680" w:hanging="567"/>
        <w:jc w:val="both"/>
        <w:rPr>
          <w:sz w:val="20"/>
        </w:rPr>
      </w:pPr>
      <w:r>
        <w:rPr>
          <w:sz w:val="20"/>
        </w:rPr>
        <w:t>Ceribelli</w:t>
      </w:r>
      <w:r>
        <w:rPr>
          <w:spacing w:val="-8"/>
          <w:sz w:val="20"/>
        </w:rPr>
        <w:t> </w:t>
      </w:r>
      <w:r>
        <w:rPr>
          <w:sz w:val="20"/>
        </w:rPr>
        <w:t>A,</w:t>
      </w:r>
      <w:r>
        <w:rPr>
          <w:spacing w:val="-8"/>
          <w:sz w:val="20"/>
        </w:rPr>
        <w:t> </w:t>
      </w:r>
      <w:r>
        <w:rPr>
          <w:sz w:val="20"/>
        </w:rPr>
        <w:t>et</w:t>
      </w:r>
      <w:r>
        <w:rPr>
          <w:spacing w:val="-9"/>
          <w:sz w:val="20"/>
        </w:rPr>
        <w:t> </w:t>
      </w:r>
      <w:r>
        <w:rPr>
          <w:sz w:val="20"/>
        </w:rPr>
        <w:t>al.</w:t>
      </w:r>
      <w:r>
        <w:rPr>
          <w:spacing w:val="-8"/>
          <w:sz w:val="20"/>
        </w:rPr>
        <w:t> </w:t>
      </w:r>
      <w:r>
        <w:rPr>
          <w:sz w:val="20"/>
        </w:rPr>
        <w:t>Recommendations</w:t>
      </w:r>
      <w:r>
        <w:rPr>
          <w:spacing w:val="-7"/>
          <w:sz w:val="20"/>
        </w:rPr>
        <w:t> </w:t>
      </w:r>
      <w:r>
        <w:rPr>
          <w:sz w:val="20"/>
        </w:rPr>
        <w:t>for</w:t>
      </w:r>
      <w:r>
        <w:rPr>
          <w:spacing w:val="-8"/>
          <w:sz w:val="20"/>
        </w:rPr>
        <w:t> </w:t>
      </w:r>
      <w:r>
        <w:rPr>
          <w:sz w:val="20"/>
        </w:rPr>
        <w:t>coronavirus</w:t>
      </w:r>
      <w:r>
        <w:rPr>
          <w:spacing w:val="-9"/>
          <w:sz w:val="20"/>
        </w:rPr>
        <w:t> </w:t>
      </w:r>
      <w:r>
        <w:rPr>
          <w:sz w:val="20"/>
        </w:rPr>
        <w:t>infection</w:t>
      </w:r>
      <w:r>
        <w:rPr>
          <w:spacing w:val="-10"/>
          <w:sz w:val="20"/>
        </w:rPr>
        <w:t> </w:t>
      </w:r>
      <w:r>
        <w:rPr>
          <w:sz w:val="20"/>
        </w:rPr>
        <w:t>in</w:t>
      </w:r>
      <w:r>
        <w:rPr>
          <w:spacing w:val="-10"/>
          <w:sz w:val="20"/>
        </w:rPr>
        <w:t> </w:t>
      </w:r>
      <w:r>
        <w:rPr>
          <w:sz w:val="20"/>
        </w:rPr>
        <w:t>rheumatic</w:t>
      </w:r>
      <w:r>
        <w:rPr>
          <w:spacing w:val="-9"/>
          <w:sz w:val="20"/>
        </w:rPr>
        <w:t> </w:t>
      </w:r>
      <w:r>
        <w:rPr>
          <w:sz w:val="20"/>
        </w:rPr>
        <w:t>diseases</w:t>
      </w:r>
      <w:r>
        <w:rPr>
          <w:spacing w:val="-10"/>
          <w:sz w:val="20"/>
        </w:rPr>
        <w:t> </w:t>
      </w:r>
      <w:r>
        <w:rPr>
          <w:sz w:val="20"/>
        </w:rPr>
        <w:t>treated</w:t>
      </w:r>
      <w:r>
        <w:rPr>
          <w:spacing w:val="-3"/>
          <w:sz w:val="20"/>
        </w:rPr>
        <w:t> </w:t>
      </w:r>
      <w:r>
        <w:rPr>
          <w:sz w:val="20"/>
        </w:rPr>
        <w:t>with</w:t>
      </w:r>
      <w:r>
        <w:rPr>
          <w:spacing w:val="-10"/>
          <w:sz w:val="20"/>
        </w:rPr>
        <w:t> </w:t>
      </w:r>
      <w:r>
        <w:rPr>
          <w:sz w:val="20"/>
        </w:rPr>
        <w:t>biologic therapy. J Autoimmun. 2020 May; 109:102442. doi:</w:t>
      </w:r>
      <w:r>
        <w:rPr>
          <w:spacing w:val="-2"/>
          <w:sz w:val="20"/>
        </w:rPr>
        <w:t> </w:t>
      </w:r>
      <w:r>
        <w:rPr>
          <w:sz w:val="20"/>
        </w:rPr>
        <w:t>10.1016/j.jaut.2020.102442</w:t>
      </w:r>
    </w:p>
    <w:p>
      <w:pPr>
        <w:pStyle w:val="ListParagraph"/>
        <w:numPr>
          <w:ilvl w:val="0"/>
          <w:numId w:val="42"/>
        </w:numPr>
        <w:tabs>
          <w:tab w:pos="888" w:val="left" w:leader="none"/>
        </w:tabs>
        <w:spacing w:line="259" w:lineRule="auto" w:before="3" w:after="0"/>
        <w:ind w:left="887" w:right="676" w:hanging="567"/>
        <w:jc w:val="both"/>
        <w:rPr>
          <w:sz w:val="20"/>
        </w:rPr>
      </w:pPr>
      <w:r>
        <w:rPr>
          <w:sz w:val="20"/>
        </w:rPr>
        <w:t>Mikuls</w:t>
      </w:r>
      <w:r>
        <w:rPr>
          <w:spacing w:val="-12"/>
          <w:sz w:val="20"/>
        </w:rPr>
        <w:t> </w:t>
      </w:r>
      <w:r>
        <w:rPr>
          <w:sz w:val="20"/>
        </w:rPr>
        <w:t>TR,</w:t>
      </w:r>
      <w:r>
        <w:rPr>
          <w:spacing w:val="-10"/>
          <w:sz w:val="20"/>
        </w:rPr>
        <w:t> </w:t>
      </w:r>
      <w:r>
        <w:rPr>
          <w:sz w:val="20"/>
        </w:rPr>
        <w:t>et</w:t>
      </w:r>
      <w:r>
        <w:rPr>
          <w:spacing w:val="-11"/>
          <w:sz w:val="20"/>
        </w:rPr>
        <w:t> </w:t>
      </w:r>
      <w:r>
        <w:rPr>
          <w:sz w:val="20"/>
        </w:rPr>
        <w:t>al.</w:t>
      </w:r>
      <w:r>
        <w:rPr>
          <w:spacing w:val="-10"/>
          <w:sz w:val="20"/>
        </w:rPr>
        <w:t> </w:t>
      </w:r>
      <w:r>
        <w:rPr>
          <w:sz w:val="20"/>
        </w:rPr>
        <w:t>American</w:t>
      </w:r>
      <w:r>
        <w:rPr>
          <w:spacing w:val="-11"/>
          <w:sz w:val="20"/>
        </w:rPr>
        <w:t> </w:t>
      </w:r>
      <w:r>
        <w:rPr>
          <w:sz w:val="20"/>
        </w:rPr>
        <w:t>College</w:t>
      </w:r>
      <w:r>
        <w:rPr>
          <w:spacing w:val="-11"/>
          <w:sz w:val="20"/>
        </w:rPr>
        <w:t> </w:t>
      </w:r>
      <w:r>
        <w:rPr>
          <w:sz w:val="20"/>
        </w:rPr>
        <w:t>of</w:t>
      </w:r>
      <w:r>
        <w:rPr>
          <w:spacing w:val="-12"/>
          <w:sz w:val="20"/>
        </w:rPr>
        <w:t> </w:t>
      </w:r>
      <w:r>
        <w:rPr>
          <w:sz w:val="20"/>
        </w:rPr>
        <w:t>Rheumatology</w:t>
      </w:r>
      <w:r>
        <w:rPr>
          <w:spacing w:val="-11"/>
          <w:sz w:val="20"/>
        </w:rPr>
        <w:t> </w:t>
      </w:r>
      <w:r>
        <w:rPr>
          <w:sz w:val="20"/>
        </w:rPr>
        <w:t>guidance</w:t>
      </w:r>
      <w:r>
        <w:rPr>
          <w:spacing w:val="-10"/>
          <w:sz w:val="20"/>
        </w:rPr>
        <w:t> </w:t>
      </w:r>
      <w:r>
        <w:rPr>
          <w:sz w:val="20"/>
        </w:rPr>
        <w:t>for</w:t>
      </w:r>
      <w:r>
        <w:rPr>
          <w:spacing w:val="-10"/>
          <w:sz w:val="20"/>
        </w:rPr>
        <w:t> </w:t>
      </w:r>
      <w:r>
        <w:rPr>
          <w:sz w:val="20"/>
        </w:rPr>
        <w:t>the</w:t>
      </w:r>
      <w:r>
        <w:rPr>
          <w:spacing w:val="-8"/>
          <w:sz w:val="20"/>
        </w:rPr>
        <w:t> </w:t>
      </w:r>
      <w:r>
        <w:rPr>
          <w:sz w:val="20"/>
        </w:rPr>
        <w:t>management</w:t>
      </w:r>
      <w:r>
        <w:rPr>
          <w:spacing w:val="-11"/>
          <w:sz w:val="20"/>
        </w:rPr>
        <w:t> </w:t>
      </w:r>
      <w:r>
        <w:rPr>
          <w:sz w:val="20"/>
        </w:rPr>
        <w:t>of</w:t>
      </w:r>
      <w:r>
        <w:rPr>
          <w:spacing w:val="-12"/>
          <w:sz w:val="20"/>
        </w:rPr>
        <w:t> </w:t>
      </w:r>
      <w:r>
        <w:rPr>
          <w:sz w:val="20"/>
        </w:rPr>
        <w:t>adult</w:t>
      </w:r>
      <w:r>
        <w:rPr>
          <w:spacing w:val="-9"/>
          <w:sz w:val="20"/>
        </w:rPr>
        <w:t> </w:t>
      </w:r>
      <w:r>
        <w:rPr>
          <w:sz w:val="20"/>
        </w:rPr>
        <w:t>patients</w:t>
      </w:r>
      <w:r>
        <w:rPr>
          <w:spacing w:val="-9"/>
          <w:sz w:val="20"/>
        </w:rPr>
        <w:t> </w:t>
      </w:r>
      <w:r>
        <w:rPr>
          <w:sz w:val="20"/>
        </w:rPr>
        <w:t>with rheumatic disease during the COVID-19 pandemic. Arthritis Rheumatol doi: https://onlinelibrary.wiley.com/doi/abs/10.1002/art.41301.</w:t>
      </w:r>
    </w:p>
    <w:p>
      <w:pPr>
        <w:pStyle w:val="ListParagraph"/>
        <w:numPr>
          <w:ilvl w:val="0"/>
          <w:numId w:val="42"/>
        </w:numPr>
        <w:tabs>
          <w:tab w:pos="888" w:val="left" w:leader="none"/>
        </w:tabs>
        <w:spacing w:line="256" w:lineRule="auto" w:before="1" w:after="0"/>
        <w:ind w:left="887" w:right="678" w:hanging="567"/>
        <w:jc w:val="both"/>
        <w:rPr>
          <w:sz w:val="20"/>
        </w:rPr>
      </w:pPr>
      <w:r>
        <w:rPr>
          <w:sz w:val="20"/>
        </w:rPr>
        <w:t>COVID-19 rapid guideline: rheumatological autoimmune, inflammatory and metabolic bone diseases. NICE guideline, published 3 april 2020. </w:t>
      </w:r>
      <w:hyperlink r:id="rId58">
        <w:r>
          <w:rPr>
            <w:sz w:val="20"/>
          </w:rPr>
          <w:t>www.nice.org./uk/guidancr/ng167</w:t>
        </w:r>
      </w:hyperlink>
    </w:p>
    <w:p>
      <w:pPr>
        <w:pStyle w:val="ListParagraph"/>
        <w:numPr>
          <w:ilvl w:val="0"/>
          <w:numId w:val="42"/>
        </w:numPr>
        <w:tabs>
          <w:tab w:pos="888" w:val="left" w:leader="none"/>
        </w:tabs>
        <w:spacing w:line="240" w:lineRule="auto" w:before="2" w:after="0"/>
        <w:ind w:left="887" w:right="0" w:hanging="567"/>
        <w:jc w:val="both"/>
        <w:rPr>
          <w:sz w:val="20"/>
        </w:rPr>
      </w:pPr>
      <w:r>
        <w:rPr>
          <w:sz w:val="20"/>
        </w:rPr>
        <w:t>Kimberly</w:t>
      </w:r>
      <w:r>
        <w:rPr>
          <w:spacing w:val="33"/>
          <w:sz w:val="20"/>
        </w:rPr>
        <w:t> </w:t>
      </w:r>
      <w:r>
        <w:rPr>
          <w:sz w:val="20"/>
        </w:rPr>
        <w:t>Showalter,</w:t>
      </w:r>
      <w:r>
        <w:rPr>
          <w:spacing w:val="34"/>
          <w:sz w:val="20"/>
        </w:rPr>
        <w:t> </w:t>
      </w:r>
      <w:r>
        <w:rPr>
          <w:sz w:val="20"/>
        </w:rPr>
        <w:t>et</w:t>
      </w:r>
      <w:r>
        <w:rPr>
          <w:spacing w:val="34"/>
          <w:sz w:val="20"/>
        </w:rPr>
        <w:t> </w:t>
      </w:r>
      <w:r>
        <w:rPr>
          <w:sz w:val="20"/>
        </w:rPr>
        <w:t>al.</w:t>
      </w:r>
      <w:r>
        <w:rPr>
          <w:spacing w:val="35"/>
          <w:sz w:val="20"/>
        </w:rPr>
        <w:t> </w:t>
      </w:r>
      <w:r>
        <w:rPr>
          <w:sz w:val="20"/>
        </w:rPr>
        <w:t>Advice</w:t>
      </w:r>
      <w:r>
        <w:rPr>
          <w:spacing w:val="34"/>
          <w:sz w:val="20"/>
        </w:rPr>
        <w:t> </w:t>
      </w:r>
      <w:r>
        <w:rPr>
          <w:sz w:val="20"/>
        </w:rPr>
        <w:t>on</w:t>
      </w:r>
      <w:r>
        <w:rPr>
          <w:spacing w:val="34"/>
          <w:sz w:val="20"/>
        </w:rPr>
        <w:t> </w:t>
      </w:r>
      <w:r>
        <w:rPr>
          <w:sz w:val="20"/>
        </w:rPr>
        <w:t>Treating</w:t>
      </w:r>
      <w:r>
        <w:rPr>
          <w:spacing w:val="35"/>
          <w:sz w:val="20"/>
        </w:rPr>
        <w:t> </w:t>
      </w:r>
      <w:r>
        <w:rPr>
          <w:sz w:val="20"/>
        </w:rPr>
        <w:t>Rheumatic</w:t>
      </w:r>
      <w:r>
        <w:rPr>
          <w:spacing w:val="37"/>
          <w:sz w:val="20"/>
        </w:rPr>
        <w:t> </w:t>
      </w:r>
      <w:r>
        <w:rPr>
          <w:sz w:val="20"/>
        </w:rPr>
        <w:t>Diseases</w:t>
      </w:r>
      <w:r>
        <w:rPr>
          <w:spacing w:val="33"/>
          <w:sz w:val="20"/>
        </w:rPr>
        <w:t> </w:t>
      </w:r>
      <w:r>
        <w:rPr>
          <w:sz w:val="20"/>
        </w:rPr>
        <w:t>From</w:t>
      </w:r>
      <w:r>
        <w:rPr>
          <w:spacing w:val="30"/>
          <w:sz w:val="20"/>
        </w:rPr>
        <w:t> </w:t>
      </w:r>
      <w:r>
        <w:rPr>
          <w:sz w:val="20"/>
        </w:rPr>
        <w:t>a</w:t>
      </w:r>
      <w:r>
        <w:rPr>
          <w:spacing w:val="38"/>
          <w:sz w:val="20"/>
        </w:rPr>
        <w:t> </w:t>
      </w:r>
      <w:r>
        <w:rPr>
          <w:sz w:val="20"/>
        </w:rPr>
        <w:t>COVID-19</w:t>
      </w:r>
      <w:r>
        <w:rPr>
          <w:spacing w:val="35"/>
          <w:sz w:val="20"/>
        </w:rPr>
        <w:t> </w:t>
      </w:r>
      <w:r>
        <w:rPr>
          <w:sz w:val="20"/>
        </w:rPr>
        <w:t>Epicenter</w:t>
      </w:r>
      <w:r>
        <w:rPr>
          <w:spacing w:val="35"/>
          <w:sz w:val="20"/>
        </w:rPr>
        <w:t> </w:t>
      </w:r>
      <w:r>
        <w:rPr>
          <w:sz w:val="20"/>
        </w:rPr>
        <w:t>-</w:t>
      </w:r>
    </w:p>
    <w:p>
      <w:pPr>
        <w:spacing w:before="20"/>
        <w:ind w:left="887" w:right="0" w:firstLine="0"/>
        <w:jc w:val="both"/>
        <w:rPr>
          <w:sz w:val="20"/>
        </w:rPr>
      </w:pPr>
      <w:r>
        <w:rPr>
          <w:sz w:val="20"/>
        </w:rPr>
        <w:t>Medscape - May 11, 2020.</w:t>
      </w:r>
    </w:p>
    <w:p>
      <w:pPr>
        <w:pStyle w:val="ListParagraph"/>
        <w:numPr>
          <w:ilvl w:val="0"/>
          <w:numId w:val="42"/>
        </w:numPr>
        <w:tabs>
          <w:tab w:pos="887" w:val="left" w:leader="none"/>
          <w:tab w:pos="888" w:val="left" w:leader="none"/>
          <w:tab w:pos="2211" w:val="left" w:leader="none"/>
          <w:tab w:pos="3303" w:val="left" w:leader="none"/>
          <w:tab w:pos="3906" w:val="left" w:leader="none"/>
          <w:tab w:pos="5603" w:val="left" w:leader="none"/>
          <w:tab w:pos="6517" w:val="left" w:leader="none"/>
          <w:tab w:pos="7484" w:val="left" w:leader="none"/>
          <w:tab w:pos="8022" w:val="left" w:leader="none"/>
        </w:tabs>
        <w:spacing w:line="261" w:lineRule="auto" w:before="17" w:after="0"/>
        <w:ind w:left="887" w:right="681" w:hanging="567"/>
        <w:jc w:val="left"/>
        <w:rPr>
          <w:sz w:val="20"/>
        </w:rPr>
      </w:pPr>
      <w:r>
        <w:rPr>
          <w:sz w:val="20"/>
        </w:rPr>
        <w:t>COVID-19:</w:t>
        <w:tab/>
        <w:t>guidance</w:t>
        <w:tab/>
        <w:t>for</w:t>
        <w:tab/>
        <w:t>rheumatologists.</w:t>
        <w:tab/>
        <w:t>British</w:t>
        <w:tab/>
        <w:t>Society</w:t>
        <w:tab/>
        <w:t>of</w:t>
        <w:tab/>
      </w:r>
      <w:r>
        <w:rPr>
          <w:w w:val="95"/>
          <w:sz w:val="20"/>
        </w:rPr>
        <w:t>Rheumatology. </w:t>
      </w:r>
      <w:r>
        <w:rPr>
          <w:sz w:val="20"/>
        </w:rPr>
        <w:t>htpps//</w:t>
      </w:r>
      <w:hyperlink r:id="rId59">
        <w:r>
          <w:rPr>
            <w:sz w:val="20"/>
          </w:rPr>
          <w:t>www.rheumatology.org.uk</w:t>
        </w:r>
      </w:hyperlink>
    </w:p>
    <w:p>
      <w:pPr>
        <w:pStyle w:val="ListParagraph"/>
        <w:numPr>
          <w:ilvl w:val="0"/>
          <w:numId w:val="42"/>
        </w:numPr>
        <w:tabs>
          <w:tab w:pos="887" w:val="left" w:leader="none"/>
          <w:tab w:pos="888" w:val="left" w:leader="none"/>
        </w:tabs>
        <w:spacing w:line="256" w:lineRule="auto" w:before="0" w:after="0"/>
        <w:ind w:left="887" w:right="677" w:hanging="567"/>
        <w:jc w:val="left"/>
        <w:rPr>
          <w:sz w:val="20"/>
        </w:rPr>
      </w:pPr>
      <w:r>
        <w:rPr>
          <w:sz w:val="20"/>
        </w:rPr>
        <w:t>Кузьков В.В., Киров М.Ю. Инвазивный мониторинг гемодинамики в интенсивной терапии и анестезиологии. Архангельск, 2015. — 392</w:t>
      </w:r>
      <w:r>
        <w:rPr>
          <w:spacing w:val="3"/>
          <w:sz w:val="20"/>
        </w:rPr>
        <w:t> </w:t>
      </w:r>
      <w:r>
        <w:rPr>
          <w:sz w:val="20"/>
        </w:rPr>
        <w:t>с.</w:t>
      </w:r>
    </w:p>
    <w:p>
      <w:pPr>
        <w:pStyle w:val="ListParagraph"/>
        <w:numPr>
          <w:ilvl w:val="0"/>
          <w:numId w:val="42"/>
        </w:numPr>
        <w:tabs>
          <w:tab w:pos="887" w:val="left" w:leader="none"/>
          <w:tab w:pos="888" w:val="left" w:leader="none"/>
        </w:tabs>
        <w:spacing w:line="240" w:lineRule="auto" w:before="0" w:after="0"/>
        <w:ind w:left="887" w:right="0" w:hanging="567"/>
        <w:jc w:val="left"/>
        <w:rPr>
          <w:sz w:val="20"/>
        </w:rPr>
      </w:pPr>
      <w:r>
        <w:rPr>
          <w:sz w:val="20"/>
        </w:rPr>
        <w:t>MR Mehra, et al. Hydroxychloroquine or chloroquine with or without a macrolide for treatment</w:t>
      </w:r>
      <w:r>
        <w:rPr>
          <w:spacing w:val="2"/>
          <w:sz w:val="20"/>
        </w:rPr>
        <w:t> </w:t>
      </w:r>
      <w:r>
        <w:rPr>
          <w:sz w:val="20"/>
        </w:rPr>
        <w:t>of</w:t>
      </w:r>
    </w:p>
    <w:p>
      <w:pPr>
        <w:spacing w:before="17"/>
        <w:ind w:left="887" w:right="0" w:firstLine="0"/>
        <w:jc w:val="left"/>
        <w:rPr>
          <w:sz w:val="20"/>
        </w:rPr>
      </w:pPr>
      <w:r>
        <w:rPr>
          <w:sz w:val="20"/>
        </w:rPr>
        <w:t>COVID-19: a multinational registry analysis,Lancet, 2020</w:t>
      </w:r>
    </w:p>
    <w:p>
      <w:pPr>
        <w:pStyle w:val="ListParagraph"/>
        <w:numPr>
          <w:ilvl w:val="0"/>
          <w:numId w:val="42"/>
        </w:numPr>
        <w:tabs>
          <w:tab w:pos="888" w:val="left" w:leader="none"/>
        </w:tabs>
        <w:spacing w:line="256" w:lineRule="auto" w:before="20" w:after="0"/>
        <w:ind w:left="887" w:right="676" w:hanging="567"/>
        <w:jc w:val="both"/>
        <w:rPr>
          <w:sz w:val="20"/>
        </w:rPr>
      </w:pPr>
      <w:r>
        <w:rPr>
          <w:sz w:val="20"/>
        </w:rPr>
        <w:t>Favipiravir versus Arbidol for COVID-19: A Randomized Clinical Trial. https://doi.org/10.1101/2020.03.17.20037432</w:t>
      </w:r>
    </w:p>
    <w:p>
      <w:pPr>
        <w:pStyle w:val="ListParagraph"/>
        <w:numPr>
          <w:ilvl w:val="0"/>
          <w:numId w:val="42"/>
        </w:numPr>
        <w:tabs>
          <w:tab w:pos="888" w:val="left" w:leader="none"/>
        </w:tabs>
        <w:spacing w:line="256" w:lineRule="auto" w:before="5" w:after="0"/>
        <w:ind w:left="887" w:right="673" w:hanging="567"/>
        <w:jc w:val="both"/>
        <w:rPr>
          <w:sz w:val="20"/>
        </w:rPr>
      </w:pPr>
      <w:r>
        <w:rPr>
          <w:sz w:val="20"/>
        </w:rPr>
        <w:t>Furuta Y, et al. : Favipiravir (T-705), a broad spectrum inhibitor of viral RNA polymerase. Proc Jpn Acad Ser B Phys Biol Sci. 2017;93(7):449-463. doi:</w:t>
      </w:r>
      <w:r>
        <w:rPr>
          <w:spacing w:val="-3"/>
          <w:sz w:val="20"/>
        </w:rPr>
        <w:t> </w:t>
      </w:r>
      <w:r>
        <w:rPr>
          <w:sz w:val="20"/>
        </w:rPr>
        <w:t>10.2183/pjab.93.027.</w:t>
      </w:r>
    </w:p>
    <w:p>
      <w:pPr>
        <w:pStyle w:val="ListParagraph"/>
        <w:numPr>
          <w:ilvl w:val="0"/>
          <w:numId w:val="42"/>
        </w:numPr>
        <w:tabs>
          <w:tab w:pos="887" w:val="left" w:leader="none"/>
        </w:tabs>
        <w:spacing w:line="261" w:lineRule="auto" w:before="2" w:after="0"/>
        <w:ind w:left="886" w:right="681" w:hanging="567"/>
        <w:jc w:val="both"/>
        <w:rPr>
          <w:sz w:val="20"/>
        </w:rPr>
      </w:pPr>
      <w:r>
        <w:rPr>
          <w:sz w:val="20"/>
        </w:rPr>
        <w:t>Q. Cai, et al. Experimental Treatment with Favipiravir for COVID-19: An Open-Label Control Study, Engineering (2020), doi:</w:t>
      </w:r>
      <w:r>
        <w:rPr>
          <w:spacing w:val="-2"/>
          <w:sz w:val="20"/>
        </w:rPr>
        <w:t> </w:t>
      </w:r>
      <w:r>
        <w:rPr>
          <w:sz w:val="20"/>
        </w:rPr>
        <w:t>https://doi.org/10.1016/j.eng.2020.03.007</w:t>
      </w:r>
    </w:p>
    <w:p>
      <w:pPr>
        <w:pStyle w:val="ListParagraph"/>
        <w:numPr>
          <w:ilvl w:val="0"/>
          <w:numId w:val="42"/>
        </w:numPr>
        <w:tabs>
          <w:tab w:pos="887" w:val="left" w:leader="none"/>
        </w:tabs>
        <w:spacing w:line="259" w:lineRule="auto" w:before="0" w:after="0"/>
        <w:ind w:left="886" w:right="679" w:hanging="567"/>
        <w:jc w:val="both"/>
        <w:rPr>
          <w:sz w:val="20"/>
        </w:rPr>
      </w:pPr>
      <w:r>
        <w:rPr>
          <w:sz w:val="20"/>
        </w:rPr>
        <w:t>Патологическая</w:t>
      </w:r>
      <w:r>
        <w:rPr>
          <w:spacing w:val="-8"/>
          <w:sz w:val="20"/>
        </w:rPr>
        <w:t> </w:t>
      </w:r>
      <w:r>
        <w:rPr>
          <w:sz w:val="20"/>
        </w:rPr>
        <w:t>анатомия</w:t>
      </w:r>
      <w:r>
        <w:rPr>
          <w:spacing w:val="-8"/>
          <w:sz w:val="20"/>
        </w:rPr>
        <w:t> </w:t>
      </w:r>
      <w:r>
        <w:rPr>
          <w:sz w:val="20"/>
        </w:rPr>
        <w:t>COVID-19:</w:t>
      </w:r>
      <w:r>
        <w:rPr>
          <w:spacing w:val="-6"/>
          <w:sz w:val="20"/>
        </w:rPr>
        <w:t> </w:t>
      </w:r>
      <w:r>
        <w:rPr>
          <w:sz w:val="20"/>
        </w:rPr>
        <w:t>Атлас</w:t>
      </w:r>
      <w:r>
        <w:rPr>
          <w:spacing w:val="-7"/>
          <w:sz w:val="20"/>
        </w:rPr>
        <w:t> </w:t>
      </w:r>
      <w:r>
        <w:rPr>
          <w:sz w:val="20"/>
        </w:rPr>
        <w:t>/</w:t>
      </w:r>
      <w:r>
        <w:rPr>
          <w:spacing w:val="-8"/>
          <w:sz w:val="20"/>
        </w:rPr>
        <w:t> </w:t>
      </w:r>
      <w:r>
        <w:rPr>
          <w:sz w:val="20"/>
        </w:rPr>
        <w:t>Зайратьянц</w:t>
      </w:r>
      <w:r>
        <w:rPr>
          <w:spacing w:val="-8"/>
          <w:sz w:val="20"/>
        </w:rPr>
        <w:t> </w:t>
      </w:r>
      <w:r>
        <w:rPr>
          <w:sz w:val="20"/>
        </w:rPr>
        <w:t>О.</w:t>
      </w:r>
      <w:r>
        <w:rPr>
          <w:spacing w:val="-7"/>
          <w:sz w:val="20"/>
        </w:rPr>
        <w:t> </w:t>
      </w:r>
      <w:r>
        <w:rPr>
          <w:sz w:val="20"/>
        </w:rPr>
        <w:t>В.,</w:t>
      </w:r>
      <w:r>
        <w:rPr>
          <w:spacing w:val="-7"/>
          <w:sz w:val="20"/>
        </w:rPr>
        <w:t> </w:t>
      </w:r>
      <w:r>
        <w:rPr>
          <w:sz w:val="20"/>
        </w:rPr>
        <w:t>Cамсонова</w:t>
      </w:r>
      <w:r>
        <w:rPr>
          <w:spacing w:val="-7"/>
          <w:sz w:val="20"/>
        </w:rPr>
        <w:t> </w:t>
      </w:r>
      <w:r>
        <w:rPr>
          <w:sz w:val="20"/>
        </w:rPr>
        <w:t>М.</w:t>
      </w:r>
      <w:r>
        <w:rPr>
          <w:spacing w:val="-7"/>
          <w:sz w:val="20"/>
        </w:rPr>
        <w:t> </w:t>
      </w:r>
      <w:r>
        <w:rPr>
          <w:sz w:val="20"/>
        </w:rPr>
        <w:t>В.,</w:t>
      </w:r>
      <w:r>
        <w:rPr>
          <w:spacing w:val="-9"/>
          <w:sz w:val="20"/>
        </w:rPr>
        <w:t> </w:t>
      </w:r>
      <w:r>
        <w:rPr>
          <w:sz w:val="20"/>
        </w:rPr>
        <w:t>Михалева</w:t>
      </w:r>
      <w:r>
        <w:rPr>
          <w:spacing w:val="-7"/>
          <w:sz w:val="20"/>
        </w:rPr>
        <w:t> </w:t>
      </w:r>
      <w:r>
        <w:rPr>
          <w:sz w:val="20"/>
        </w:rPr>
        <w:t>Л.</w:t>
      </w:r>
      <w:r>
        <w:rPr>
          <w:spacing w:val="-7"/>
          <w:sz w:val="20"/>
        </w:rPr>
        <w:t> </w:t>
      </w:r>
      <w:r>
        <w:rPr>
          <w:sz w:val="20"/>
        </w:rPr>
        <w:t>М., Черняев А. Л., Мишнев О. Д., Крупнов Н. М., Калинин Д. В. Под общей ред. О. В. Зайратьянца. – Москва, ГБУ «НИИОЗММ ДЗМ», 2020. – 140 с.,</w:t>
      </w:r>
      <w:r>
        <w:rPr>
          <w:spacing w:val="6"/>
          <w:sz w:val="20"/>
        </w:rPr>
        <w:t> </w:t>
      </w:r>
      <w:r>
        <w:rPr>
          <w:sz w:val="20"/>
        </w:rPr>
        <w:t>ил.</w:t>
      </w:r>
    </w:p>
    <w:p>
      <w:pPr>
        <w:pStyle w:val="ListParagraph"/>
        <w:numPr>
          <w:ilvl w:val="0"/>
          <w:numId w:val="42"/>
        </w:numPr>
        <w:tabs>
          <w:tab w:pos="887" w:val="left" w:leader="none"/>
        </w:tabs>
        <w:spacing w:line="261" w:lineRule="auto" w:before="0" w:after="0"/>
        <w:ind w:left="886" w:right="678" w:hanging="567"/>
        <w:jc w:val="both"/>
        <w:rPr>
          <w:sz w:val="20"/>
        </w:rPr>
      </w:pPr>
      <w:r>
        <w:rPr>
          <w:sz w:val="20"/>
        </w:rPr>
        <w:t>M.Ackermann, S. Verleden, M.Kuehnel, et al. Pulmonary Vascular Endothelialitis, Thrombosis, and Angiogenesis in Covid-19 DOI: 10.1056/NEJMoa2015432</w:t>
      </w:r>
    </w:p>
    <w:p>
      <w:pPr>
        <w:pStyle w:val="ListParagraph"/>
        <w:numPr>
          <w:ilvl w:val="0"/>
          <w:numId w:val="42"/>
        </w:numPr>
        <w:tabs>
          <w:tab w:pos="887" w:val="left" w:leader="none"/>
        </w:tabs>
        <w:spacing w:line="259" w:lineRule="auto" w:before="0" w:after="0"/>
        <w:ind w:left="886" w:right="676" w:hanging="567"/>
        <w:jc w:val="both"/>
        <w:rPr>
          <w:sz w:val="20"/>
        </w:rPr>
      </w:pPr>
      <w:r>
        <w:rPr>
          <w:sz w:val="20"/>
        </w:rPr>
        <w:t>S.E. Fox, A. Akmatbekov, J.L Harbert, et al. Pulmonary and cardiac pathology in African American patients with COVID-19: an autopsy series from New Orleans. Lancet Respir Med 2020 doi:10.1016/S2213-2600(20)30244-7</w:t>
      </w:r>
    </w:p>
    <w:p>
      <w:pPr>
        <w:pStyle w:val="ListParagraph"/>
        <w:numPr>
          <w:ilvl w:val="0"/>
          <w:numId w:val="42"/>
        </w:numPr>
        <w:tabs>
          <w:tab w:pos="887" w:val="left" w:leader="none"/>
        </w:tabs>
        <w:spacing w:line="259" w:lineRule="auto" w:before="0" w:after="0"/>
        <w:ind w:left="886" w:right="679" w:hanging="567"/>
        <w:jc w:val="both"/>
        <w:rPr>
          <w:sz w:val="20"/>
        </w:rPr>
      </w:pPr>
      <w:r>
        <w:rPr>
          <w:sz w:val="20"/>
        </w:rPr>
        <w:t>P.Masi, G.Hékimian, M.Lejeune, et al. Systemic Inflammatory Response Syndrome is a Major Contributor to COVID-19-Associated Coagulopathy: Insights from a Prospective Single- Center Cohort Study. DOI: 10.1161/CIRCULATIONAHA.120.048925</w:t>
      </w:r>
    </w:p>
    <w:p>
      <w:pPr>
        <w:pStyle w:val="ListParagraph"/>
        <w:numPr>
          <w:ilvl w:val="0"/>
          <w:numId w:val="42"/>
        </w:numPr>
        <w:tabs>
          <w:tab w:pos="887" w:val="left" w:leader="none"/>
        </w:tabs>
        <w:spacing w:line="256" w:lineRule="auto" w:before="0" w:after="0"/>
        <w:ind w:left="886" w:right="680" w:hanging="567"/>
        <w:jc w:val="both"/>
        <w:rPr>
          <w:sz w:val="20"/>
        </w:rPr>
      </w:pPr>
      <w:r>
        <w:rPr>
          <w:sz w:val="20"/>
        </w:rPr>
        <w:t>Tang</w:t>
      </w:r>
      <w:r>
        <w:rPr>
          <w:spacing w:val="-8"/>
          <w:sz w:val="20"/>
        </w:rPr>
        <w:t> </w:t>
      </w:r>
      <w:r>
        <w:rPr>
          <w:sz w:val="20"/>
        </w:rPr>
        <w:t>N.,</w:t>
      </w:r>
      <w:r>
        <w:rPr>
          <w:spacing w:val="-6"/>
          <w:sz w:val="20"/>
        </w:rPr>
        <w:t> </w:t>
      </w:r>
      <w:r>
        <w:rPr>
          <w:sz w:val="20"/>
        </w:rPr>
        <w:t>Li</w:t>
      </w:r>
      <w:r>
        <w:rPr>
          <w:spacing w:val="-7"/>
          <w:sz w:val="20"/>
        </w:rPr>
        <w:t> </w:t>
      </w:r>
      <w:r>
        <w:rPr>
          <w:sz w:val="20"/>
        </w:rPr>
        <w:t>D.,</w:t>
      </w:r>
      <w:r>
        <w:rPr>
          <w:spacing w:val="-6"/>
          <w:sz w:val="20"/>
        </w:rPr>
        <w:t> </w:t>
      </w:r>
      <w:r>
        <w:rPr>
          <w:sz w:val="20"/>
        </w:rPr>
        <w:t>Wang</w:t>
      </w:r>
      <w:r>
        <w:rPr>
          <w:spacing w:val="-8"/>
          <w:sz w:val="20"/>
        </w:rPr>
        <w:t> </w:t>
      </w:r>
      <w:r>
        <w:rPr>
          <w:sz w:val="20"/>
        </w:rPr>
        <w:t>X.,</w:t>
      </w:r>
      <w:r>
        <w:rPr>
          <w:spacing w:val="-4"/>
          <w:sz w:val="20"/>
        </w:rPr>
        <w:t> </w:t>
      </w:r>
      <w:r>
        <w:rPr>
          <w:sz w:val="20"/>
        </w:rPr>
        <w:t>Sun</w:t>
      </w:r>
      <w:r>
        <w:rPr>
          <w:spacing w:val="-5"/>
          <w:sz w:val="20"/>
        </w:rPr>
        <w:t> </w:t>
      </w:r>
      <w:r>
        <w:rPr>
          <w:sz w:val="20"/>
        </w:rPr>
        <w:t>Z.</w:t>
      </w:r>
      <w:r>
        <w:rPr>
          <w:spacing w:val="-4"/>
          <w:sz w:val="20"/>
        </w:rPr>
        <w:t> </w:t>
      </w:r>
      <w:r>
        <w:rPr>
          <w:sz w:val="20"/>
        </w:rPr>
        <w:t>Abnormal</w:t>
      </w:r>
      <w:r>
        <w:rPr>
          <w:spacing w:val="-7"/>
          <w:sz w:val="20"/>
        </w:rPr>
        <w:t> </w:t>
      </w:r>
      <w:r>
        <w:rPr>
          <w:sz w:val="20"/>
        </w:rPr>
        <w:t>coagulation</w:t>
      </w:r>
      <w:r>
        <w:rPr>
          <w:spacing w:val="-8"/>
          <w:sz w:val="20"/>
        </w:rPr>
        <w:t> </w:t>
      </w:r>
      <w:r>
        <w:rPr>
          <w:sz w:val="20"/>
        </w:rPr>
        <w:t>parameters</w:t>
      </w:r>
      <w:r>
        <w:rPr>
          <w:spacing w:val="-8"/>
          <w:sz w:val="20"/>
        </w:rPr>
        <w:t> </w:t>
      </w:r>
      <w:r>
        <w:rPr>
          <w:sz w:val="20"/>
        </w:rPr>
        <w:t>are</w:t>
      </w:r>
      <w:r>
        <w:rPr>
          <w:spacing w:val="-7"/>
          <w:sz w:val="20"/>
        </w:rPr>
        <w:t> </w:t>
      </w:r>
      <w:r>
        <w:rPr>
          <w:sz w:val="20"/>
        </w:rPr>
        <w:t>associated</w:t>
      </w:r>
      <w:r>
        <w:rPr>
          <w:spacing w:val="-2"/>
          <w:sz w:val="20"/>
        </w:rPr>
        <w:t> </w:t>
      </w:r>
      <w:r>
        <w:rPr>
          <w:sz w:val="20"/>
        </w:rPr>
        <w:t>with</w:t>
      </w:r>
      <w:r>
        <w:rPr>
          <w:spacing w:val="-8"/>
          <w:sz w:val="20"/>
        </w:rPr>
        <w:t> </w:t>
      </w:r>
      <w:r>
        <w:rPr>
          <w:sz w:val="20"/>
        </w:rPr>
        <w:t>poor</w:t>
      </w:r>
      <w:r>
        <w:rPr>
          <w:spacing w:val="-6"/>
          <w:sz w:val="20"/>
        </w:rPr>
        <w:t> </w:t>
      </w:r>
      <w:r>
        <w:rPr>
          <w:sz w:val="20"/>
        </w:rPr>
        <w:t>prognosis</w:t>
      </w:r>
      <w:r>
        <w:rPr>
          <w:spacing w:val="-8"/>
          <w:sz w:val="20"/>
        </w:rPr>
        <w:t> </w:t>
      </w:r>
      <w:r>
        <w:rPr>
          <w:sz w:val="20"/>
        </w:rPr>
        <w:t>in patients with novel coronavirus pneumonia. J Thromb Haemost 2020; 18:</w:t>
      </w:r>
      <w:r>
        <w:rPr>
          <w:spacing w:val="-6"/>
          <w:sz w:val="20"/>
        </w:rPr>
        <w:t> </w:t>
      </w:r>
      <w:r>
        <w:rPr>
          <w:sz w:val="20"/>
        </w:rPr>
        <w:t>844–47.</w:t>
      </w:r>
    </w:p>
    <w:p>
      <w:pPr>
        <w:pStyle w:val="ListParagraph"/>
        <w:numPr>
          <w:ilvl w:val="0"/>
          <w:numId w:val="42"/>
        </w:numPr>
        <w:tabs>
          <w:tab w:pos="887" w:val="left" w:leader="none"/>
        </w:tabs>
        <w:spacing w:line="256" w:lineRule="auto" w:before="0" w:after="0"/>
        <w:ind w:left="886" w:right="678" w:hanging="567"/>
        <w:jc w:val="both"/>
        <w:rPr>
          <w:sz w:val="20"/>
        </w:rPr>
      </w:pPr>
      <w:r>
        <w:rPr>
          <w:sz w:val="20"/>
        </w:rPr>
        <w:t>Thachil J., Wada H., Gando S., et al. ISTH interim guidance on recognition and management of coagulopathy in COVID-19. J Thromb Haemost 2020;</w:t>
      </w:r>
      <w:r>
        <w:rPr>
          <w:spacing w:val="-2"/>
          <w:sz w:val="20"/>
        </w:rPr>
        <w:t> </w:t>
      </w:r>
      <w:r>
        <w:rPr>
          <w:sz w:val="20"/>
        </w:rPr>
        <w:t>DOI:10.1111/jth.14810.</w:t>
      </w:r>
    </w:p>
    <w:p>
      <w:pPr>
        <w:pStyle w:val="ListParagraph"/>
        <w:numPr>
          <w:ilvl w:val="0"/>
          <w:numId w:val="42"/>
        </w:numPr>
        <w:tabs>
          <w:tab w:pos="886" w:val="left" w:leader="none"/>
        </w:tabs>
        <w:spacing w:line="259" w:lineRule="auto" w:before="0" w:after="0"/>
        <w:ind w:left="885" w:right="676" w:hanging="567"/>
        <w:jc w:val="both"/>
        <w:rPr>
          <w:sz w:val="20"/>
        </w:rPr>
      </w:pPr>
      <w:r>
        <w:rPr>
          <w:sz w:val="20"/>
        </w:rPr>
        <w:t>Spyropoulos A.C., Levy J.H., Ageno W., et al. Scientific and Standardization Committee Communication: Clinical Guidance on the Diagnosis, Prevention and Treatment of Venous Thromboembolism in Hospitalized Patients with COVID-19. J Thromb Haemost 2020; DOI: 10.1111/jth.14929.</w:t>
      </w:r>
    </w:p>
    <w:p>
      <w:pPr>
        <w:pStyle w:val="ListParagraph"/>
        <w:numPr>
          <w:ilvl w:val="0"/>
          <w:numId w:val="42"/>
        </w:numPr>
        <w:tabs>
          <w:tab w:pos="886" w:val="left" w:leader="none"/>
        </w:tabs>
        <w:spacing w:line="259" w:lineRule="auto" w:before="0" w:after="0"/>
        <w:ind w:left="885" w:right="677" w:hanging="567"/>
        <w:jc w:val="both"/>
        <w:rPr>
          <w:sz w:val="20"/>
        </w:rPr>
      </w:pPr>
      <w:r>
        <w:rPr>
          <w:sz w:val="20"/>
        </w:rPr>
        <w:t>Moores</w:t>
      </w:r>
      <w:r>
        <w:rPr>
          <w:spacing w:val="-7"/>
          <w:sz w:val="20"/>
        </w:rPr>
        <w:t> </w:t>
      </w:r>
      <w:r>
        <w:rPr>
          <w:sz w:val="20"/>
        </w:rPr>
        <w:t>L.K.,</w:t>
      </w:r>
      <w:r>
        <w:rPr>
          <w:spacing w:val="-5"/>
          <w:sz w:val="20"/>
        </w:rPr>
        <w:t> </w:t>
      </w:r>
      <w:r>
        <w:rPr>
          <w:sz w:val="20"/>
        </w:rPr>
        <w:t>Tritschler</w:t>
      </w:r>
      <w:r>
        <w:rPr>
          <w:spacing w:val="-5"/>
          <w:sz w:val="20"/>
        </w:rPr>
        <w:t> </w:t>
      </w:r>
      <w:r>
        <w:rPr>
          <w:sz w:val="20"/>
        </w:rPr>
        <w:t>T.,</w:t>
      </w:r>
      <w:r>
        <w:rPr>
          <w:spacing w:val="-7"/>
          <w:sz w:val="20"/>
        </w:rPr>
        <w:t> </w:t>
      </w:r>
      <w:r>
        <w:rPr>
          <w:sz w:val="20"/>
        </w:rPr>
        <w:t>Brosnahan</w:t>
      </w:r>
      <w:r>
        <w:rPr>
          <w:spacing w:val="-7"/>
          <w:sz w:val="20"/>
        </w:rPr>
        <w:t> </w:t>
      </w:r>
      <w:r>
        <w:rPr>
          <w:sz w:val="20"/>
        </w:rPr>
        <w:t>S.,</w:t>
      </w:r>
      <w:r>
        <w:rPr>
          <w:spacing w:val="-5"/>
          <w:sz w:val="20"/>
        </w:rPr>
        <w:t> </w:t>
      </w:r>
      <w:r>
        <w:rPr>
          <w:sz w:val="20"/>
        </w:rPr>
        <w:t>et</w:t>
      </w:r>
      <w:r>
        <w:rPr>
          <w:spacing w:val="-6"/>
          <w:sz w:val="20"/>
        </w:rPr>
        <w:t> </w:t>
      </w:r>
      <w:r>
        <w:rPr>
          <w:sz w:val="20"/>
        </w:rPr>
        <w:t>al.</w:t>
      </w:r>
      <w:r>
        <w:rPr>
          <w:spacing w:val="-5"/>
          <w:sz w:val="20"/>
        </w:rPr>
        <w:t> </w:t>
      </w:r>
      <w:r>
        <w:rPr>
          <w:sz w:val="20"/>
        </w:rPr>
        <w:t>Prevention,</w:t>
      </w:r>
      <w:r>
        <w:rPr>
          <w:spacing w:val="-3"/>
          <w:sz w:val="20"/>
        </w:rPr>
        <w:t> </w:t>
      </w:r>
      <w:r>
        <w:rPr>
          <w:sz w:val="20"/>
        </w:rPr>
        <w:t>Diagnosis,</w:t>
      </w:r>
      <w:r>
        <w:rPr>
          <w:spacing w:val="-5"/>
          <w:sz w:val="20"/>
        </w:rPr>
        <w:t> </w:t>
      </w:r>
      <w:r>
        <w:rPr>
          <w:sz w:val="20"/>
        </w:rPr>
        <w:t>and</w:t>
      </w:r>
      <w:r>
        <w:rPr>
          <w:spacing w:val="-4"/>
          <w:sz w:val="20"/>
        </w:rPr>
        <w:t> </w:t>
      </w:r>
      <w:r>
        <w:rPr>
          <w:sz w:val="20"/>
        </w:rPr>
        <w:t>Treatment</w:t>
      </w:r>
      <w:r>
        <w:rPr>
          <w:spacing w:val="-6"/>
          <w:sz w:val="20"/>
        </w:rPr>
        <w:t> </w:t>
      </w:r>
      <w:r>
        <w:rPr>
          <w:sz w:val="20"/>
        </w:rPr>
        <w:t>of</w:t>
      </w:r>
      <w:r>
        <w:rPr>
          <w:spacing w:val="-7"/>
          <w:sz w:val="20"/>
        </w:rPr>
        <w:t> </w:t>
      </w:r>
      <w:r>
        <w:rPr>
          <w:sz w:val="20"/>
        </w:rPr>
        <w:t>VTE</w:t>
      </w:r>
      <w:r>
        <w:rPr>
          <w:spacing w:val="-5"/>
          <w:sz w:val="20"/>
        </w:rPr>
        <w:t> </w:t>
      </w:r>
      <w:r>
        <w:rPr>
          <w:sz w:val="20"/>
        </w:rPr>
        <w:t>in</w:t>
      </w:r>
      <w:r>
        <w:rPr>
          <w:spacing w:val="-7"/>
          <w:sz w:val="20"/>
        </w:rPr>
        <w:t> </w:t>
      </w:r>
      <w:r>
        <w:rPr>
          <w:sz w:val="20"/>
        </w:rPr>
        <w:t>Patients With COVID-19. CHEST Guideline and Expert Panel Report. Chest 2020; DOI: 10.1016/j.chest.2020.05.559.</w:t>
      </w:r>
    </w:p>
    <w:p>
      <w:pPr>
        <w:pStyle w:val="ListParagraph"/>
        <w:numPr>
          <w:ilvl w:val="0"/>
          <w:numId w:val="42"/>
        </w:numPr>
        <w:tabs>
          <w:tab w:pos="886" w:val="left" w:leader="none"/>
        </w:tabs>
        <w:spacing w:line="261" w:lineRule="auto" w:before="0" w:after="0"/>
        <w:ind w:left="885" w:right="680" w:hanging="567"/>
        <w:jc w:val="both"/>
        <w:rPr>
          <w:sz w:val="20"/>
        </w:rPr>
      </w:pPr>
      <w:r>
        <w:rPr>
          <w:sz w:val="20"/>
        </w:rPr>
        <w:t>COVID-19 Treatment Guidelines Panel. Coronavirus Disease 2019 (COVID-19) Treatment Guidelines. National Institutes of Health. Available at</w:t>
      </w:r>
      <w:r>
        <w:rPr>
          <w:color w:val="0562C1"/>
          <w:spacing w:val="-13"/>
          <w:sz w:val="20"/>
        </w:rPr>
        <w:t> </w:t>
      </w:r>
      <w:hyperlink r:id="rId60">
        <w:r>
          <w:rPr>
            <w:color w:val="0562C1"/>
            <w:sz w:val="20"/>
            <w:u w:val="single" w:color="0562C1"/>
          </w:rPr>
          <w:t>https://www.covid19treatmentguidelines.nih.gov/</w:t>
        </w:r>
      </w:hyperlink>
    </w:p>
    <w:p>
      <w:pPr>
        <w:spacing w:after="0" w:line="261" w:lineRule="auto"/>
        <w:jc w:val="both"/>
        <w:rPr>
          <w:sz w:val="20"/>
        </w:rPr>
        <w:sectPr>
          <w:pgSz w:w="11920" w:h="16850"/>
          <w:pgMar w:header="0" w:footer="620" w:top="1060" w:bottom="880" w:left="1380" w:right="600"/>
        </w:sectPr>
      </w:pPr>
    </w:p>
    <w:p>
      <w:pPr>
        <w:pStyle w:val="ListParagraph"/>
        <w:numPr>
          <w:ilvl w:val="0"/>
          <w:numId w:val="42"/>
        </w:numPr>
        <w:tabs>
          <w:tab w:pos="888" w:val="left" w:leader="none"/>
        </w:tabs>
        <w:spacing w:line="259" w:lineRule="auto" w:before="79" w:after="0"/>
        <w:ind w:left="887" w:right="675" w:hanging="567"/>
        <w:jc w:val="both"/>
        <w:rPr>
          <w:sz w:val="20"/>
        </w:rPr>
      </w:pPr>
      <w:r>
        <w:rPr>
          <w:sz w:val="20"/>
        </w:rPr>
        <w:t>Вашукова</w:t>
      </w:r>
      <w:r>
        <w:rPr>
          <w:spacing w:val="-8"/>
          <w:sz w:val="20"/>
        </w:rPr>
        <w:t> </w:t>
      </w:r>
      <w:r>
        <w:rPr>
          <w:sz w:val="20"/>
        </w:rPr>
        <w:t>М.А,</w:t>
      </w:r>
      <w:r>
        <w:rPr>
          <w:spacing w:val="-8"/>
          <w:sz w:val="20"/>
        </w:rPr>
        <w:t> </w:t>
      </w:r>
      <w:r>
        <w:rPr>
          <w:sz w:val="20"/>
        </w:rPr>
        <w:t>Цинзерлинг</w:t>
      </w:r>
      <w:r>
        <w:rPr>
          <w:spacing w:val="-6"/>
          <w:sz w:val="20"/>
        </w:rPr>
        <w:t> </w:t>
      </w:r>
      <w:r>
        <w:rPr>
          <w:sz w:val="20"/>
        </w:rPr>
        <w:t>В.А.,</w:t>
      </w:r>
      <w:r>
        <w:rPr>
          <w:spacing w:val="-7"/>
          <w:sz w:val="20"/>
        </w:rPr>
        <w:t> </w:t>
      </w:r>
      <w:r>
        <w:rPr>
          <w:sz w:val="20"/>
        </w:rPr>
        <w:t>Семенова</w:t>
      </w:r>
      <w:r>
        <w:rPr>
          <w:spacing w:val="-8"/>
          <w:sz w:val="20"/>
        </w:rPr>
        <w:t> </w:t>
      </w:r>
      <w:r>
        <w:rPr>
          <w:sz w:val="20"/>
        </w:rPr>
        <w:t>Н.Ю.,</w:t>
      </w:r>
      <w:r>
        <w:rPr>
          <w:spacing w:val="-7"/>
          <w:sz w:val="20"/>
        </w:rPr>
        <w:t> </w:t>
      </w:r>
      <w:r>
        <w:rPr>
          <w:sz w:val="20"/>
        </w:rPr>
        <w:t>Луговская</w:t>
      </w:r>
      <w:r>
        <w:rPr>
          <w:spacing w:val="-8"/>
          <w:sz w:val="20"/>
        </w:rPr>
        <w:t> </w:t>
      </w:r>
      <w:r>
        <w:rPr>
          <w:sz w:val="20"/>
        </w:rPr>
        <w:t>Н.А.,</w:t>
      </w:r>
      <w:r>
        <w:rPr>
          <w:spacing w:val="-7"/>
          <w:sz w:val="20"/>
        </w:rPr>
        <w:t> </w:t>
      </w:r>
      <w:r>
        <w:rPr>
          <w:sz w:val="20"/>
        </w:rPr>
        <w:t>Наркевич</w:t>
      </w:r>
      <w:r>
        <w:rPr>
          <w:spacing w:val="-7"/>
          <w:sz w:val="20"/>
        </w:rPr>
        <w:t> </w:t>
      </w:r>
      <w:r>
        <w:rPr>
          <w:sz w:val="20"/>
        </w:rPr>
        <w:t>Т.А.,</w:t>
      </w:r>
      <w:r>
        <w:rPr>
          <w:spacing w:val="-7"/>
          <w:sz w:val="20"/>
        </w:rPr>
        <w:t> </w:t>
      </w:r>
      <w:r>
        <w:rPr>
          <w:sz w:val="20"/>
        </w:rPr>
        <w:t>Суханова</w:t>
      </w:r>
      <w:r>
        <w:rPr>
          <w:spacing w:val="-5"/>
          <w:sz w:val="20"/>
        </w:rPr>
        <w:t> </w:t>
      </w:r>
      <w:r>
        <w:rPr>
          <w:sz w:val="20"/>
        </w:rPr>
        <w:t>Ю.В. Возможна</w:t>
      </w:r>
      <w:r>
        <w:rPr>
          <w:spacing w:val="-13"/>
          <w:sz w:val="20"/>
        </w:rPr>
        <w:t> </w:t>
      </w:r>
      <w:r>
        <w:rPr>
          <w:sz w:val="20"/>
        </w:rPr>
        <w:t>ли</w:t>
      </w:r>
      <w:r>
        <w:rPr>
          <w:spacing w:val="-11"/>
          <w:sz w:val="20"/>
        </w:rPr>
        <w:t> </w:t>
      </w:r>
      <w:r>
        <w:rPr>
          <w:sz w:val="20"/>
        </w:rPr>
        <w:t>перинатальная</w:t>
      </w:r>
      <w:r>
        <w:rPr>
          <w:spacing w:val="-10"/>
          <w:sz w:val="20"/>
        </w:rPr>
        <w:t> </w:t>
      </w:r>
      <w:r>
        <w:rPr>
          <w:sz w:val="20"/>
        </w:rPr>
        <w:t>COVID</w:t>
      </w:r>
      <w:r>
        <w:rPr>
          <w:spacing w:val="-12"/>
          <w:sz w:val="20"/>
        </w:rPr>
        <w:t> </w:t>
      </w:r>
      <w:r>
        <w:rPr>
          <w:sz w:val="20"/>
        </w:rPr>
        <w:t>19:</w:t>
      </w:r>
      <w:r>
        <w:rPr>
          <w:spacing w:val="-11"/>
          <w:sz w:val="20"/>
        </w:rPr>
        <w:t> </w:t>
      </w:r>
      <w:r>
        <w:rPr>
          <w:sz w:val="20"/>
        </w:rPr>
        <w:t>первые</w:t>
      </w:r>
      <w:r>
        <w:rPr>
          <w:spacing w:val="-12"/>
          <w:sz w:val="20"/>
        </w:rPr>
        <w:t> </w:t>
      </w:r>
      <w:r>
        <w:rPr>
          <w:sz w:val="20"/>
        </w:rPr>
        <w:t>результаты.</w:t>
      </w:r>
      <w:r>
        <w:rPr>
          <w:spacing w:val="-12"/>
          <w:sz w:val="20"/>
        </w:rPr>
        <w:t> </w:t>
      </w:r>
      <w:r>
        <w:rPr>
          <w:sz w:val="20"/>
        </w:rPr>
        <w:t>Журнал</w:t>
      </w:r>
      <w:r>
        <w:rPr>
          <w:spacing w:val="-11"/>
          <w:sz w:val="20"/>
        </w:rPr>
        <w:t> </w:t>
      </w:r>
      <w:r>
        <w:rPr>
          <w:sz w:val="20"/>
        </w:rPr>
        <w:t>инфектологии.2020;3</w:t>
      </w:r>
      <w:r>
        <w:rPr>
          <w:spacing w:val="-11"/>
          <w:sz w:val="20"/>
        </w:rPr>
        <w:t> </w:t>
      </w:r>
      <w:r>
        <w:rPr>
          <w:sz w:val="20"/>
        </w:rPr>
        <w:t>(12):51- 55.</w:t>
      </w:r>
    </w:p>
    <w:p>
      <w:pPr>
        <w:pStyle w:val="ListParagraph"/>
        <w:numPr>
          <w:ilvl w:val="0"/>
          <w:numId w:val="42"/>
        </w:numPr>
        <w:tabs>
          <w:tab w:pos="888" w:val="left" w:leader="none"/>
        </w:tabs>
        <w:spacing w:line="259" w:lineRule="auto" w:before="0" w:after="0"/>
        <w:ind w:left="887" w:right="677" w:hanging="567"/>
        <w:jc w:val="both"/>
        <w:rPr>
          <w:sz w:val="20"/>
        </w:rPr>
      </w:pPr>
      <w:r>
        <w:rPr>
          <w:sz w:val="20"/>
        </w:rPr>
        <w:t>Дондурей Е.А., Исанкина Л.Н., Афанасьева О.И., Титева А.В., Вишневская Т.В., Кондратьев В.А. и др. Характеристика COVID-19 у детей: первый опыт работы в стационаре Санкт-Петербурга. Журнал инфектологии.2020;3</w:t>
      </w:r>
      <w:r>
        <w:rPr>
          <w:spacing w:val="1"/>
          <w:sz w:val="20"/>
        </w:rPr>
        <w:t> </w:t>
      </w:r>
      <w:r>
        <w:rPr>
          <w:sz w:val="20"/>
        </w:rPr>
        <w:t>(12):56-63.</w:t>
      </w:r>
    </w:p>
    <w:p>
      <w:pPr>
        <w:pStyle w:val="ListParagraph"/>
        <w:numPr>
          <w:ilvl w:val="0"/>
          <w:numId w:val="42"/>
        </w:numPr>
        <w:tabs>
          <w:tab w:pos="888" w:val="left" w:leader="none"/>
        </w:tabs>
        <w:spacing w:line="229" w:lineRule="exact" w:before="0" w:after="0"/>
        <w:ind w:left="887" w:right="0" w:hanging="567"/>
        <w:jc w:val="both"/>
        <w:rPr>
          <w:sz w:val="20"/>
        </w:rPr>
      </w:pPr>
      <w:r>
        <w:rPr>
          <w:sz w:val="20"/>
        </w:rPr>
        <w:t>Лобзин</w:t>
      </w:r>
      <w:r>
        <w:rPr>
          <w:spacing w:val="21"/>
          <w:sz w:val="20"/>
        </w:rPr>
        <w:t> </w:t>
      </w:r>
      <w:r>
        <w:rPr>
          <w:sz w:val="20"/>
        </w:rPr>
        <w:t>Ю.В.,</w:t>
      </w:r>
      <w:r>
        <w:rPr>
          <w:spacing w:val="23"/>
          <w:sz w:val="20"/>
        </w:rPr>
        <w:t> </w:t>
      </w:r>
      <w:r>
        <w:rPr>
          <w:sz w:val="20"/>
        </w:rPr>
        <w:t>Черкашина</w:t>
      </w:r>
      <w:r>
        <w:rPr>
          <w:spacing w:val="23"/>
          <w:sz w:val="20"/>
        </w:rPr>
        <w:t> </w:t>
      </w:r>
      <w:r>
        <w:rPr>
          <w:sz w:val="20"/>
        </w:rPr>
        <w:t>И.В.,</w:t>
      </w:r>
      <w:r>
        <w:rPr>
          <w:spacing w:val="23"/>
          <w:sz w:val="20"/>
        </w:rPr>
        <w:t> </w:t>
      </w:r>
      <w:r>
        <w:rPr>
          <w:sz w:val="20"/>
        </w:rPr>
        <w:t>Самойлова</w:t>
      </w:r>
      <w:r>
        <w:rPr>
          <w:spacing w:val="22"/>
          <w:sz w:val="20"/>
        </w:rPr>
        <w:t> </w:t>
      </w:r>
      <w:r>
        <w:rPr>
          <w:sz w:val="20"/>
        </w:rPr>
        <w:t>И.Г.</w:t>
      </w:r>
      <w:r>
        <w:rPr>
          <w:spacing w:val="24"/>
          <w:sz w:val="20"/>
        </w:rPr>
        <w:t> </w:t>
      </w:r>
      <w:r>
        <w:rPr>
          <w:sz w:val="20"/>
        </w:rPr>
        <w:t>Медицинская</w:t>
      </w:r>
      <w:r>
        <w:rPr>
          <w:spacing w:val="22"/>
          <w:sz w:val="20"/>
        </w:rPr>
        <w:t> </w:t>
      </w:r>
      <w:r>
        <w:rPr>
          <w:sz w:val="20"/>
        </w:rPr>
        <w:t>реабилитация</w:t>
      </w:r>
      <w:r>
        <w:rPr>
          <w:spacing w:val="22"/>
          <w:sz w:val="20"/>
        </w:rPr>
        <w:t> </w:t>
      </w:r>
      <w:r>
        <w:rPr>
          <w:sz w:val="20"/>
        </w:rPr>
        <w:t>детей,</w:t>
      </w:r>
      <w:r>
        <w:rPr>
          <w:spacing w:val="26"/>
          <w:sz w:val="20"/>
        </w:rPr>
        <w:t> </w:t>
      </w:r>
      <w:r>
        <w:rPr>
          <w:sz w:val="20"/>
        </w:rPr>
        <w:t>перенесших</w:t>
      </w:r>
    </w:p>
    <w:p>
      <w:pPr>
        <w:spacing w:before="19"/>
        <w:ind w:left="887" w:right="0" w:firstLine="0"/>
        <w:jc w:val="both"/>
        <w:rPr>
          <w:sz w:val="20"/>
        </w:rPr>
      </w:pPr>
      <w:r>
        <w:rPr>
          <w:sz w:val="20"/>
        </w:rPr>
        <w:t>COVID -19. Журнал инфектологии.2020;3 (12):64-74.</w:t>
      </w:r>
    </w:p>
    <w:p>
      <w:pPr>
        <w:pStyle w:val="ListParagraph"/>
        <w:numPr>
          <w:ilvl w:val="0"/>
          <w:numId w:val="42"/>
        </w:numPr>
        <w:tabs>
          <w:tab w:pos="888" w:val="left" w:leader="none"/>
        </w:tabs>
        <w:spacing w:line="259" w:lineRule="auto" w:before="17" w:after="0"/>
        <w:ind w:left="887" w:right="679" w:hanging="567"/>
        <w:jc w:val="both"/>
        <w:rPr>
          <w:sz w:val="20"/>
        </w:rPr>
      </w:pPr>
      <w:r>
        <w:rPr>
          <w:sz w:val="20"/>
        </w:rPr>
        <w:t>Пшенисов К.В., Александрович Ю.С., Казиахмедов В.А., Костик М.М., Кондрашов И.А. Новая коронавирусная инфекция у детей с сопутствующими заболеваниями: шанс на выздоровление есть всегда (клинические случаи) Журнал инфектологии. 2020; 3</w:t>
      </w:r>
      <w:r>
        <w:rPr>
          <w:spacing w:val="-3"/>
          <w:sz w:val="20"/>
        </w:rPr>
        <w:t> </w:t>
      </w:r>
      <w:r>
        <w:rPr>
          <w:sz w:val="20"/>
        </w:rPr>
        <w:t>(12):80-89.</w:t>
      </w:r>
    </w:p>
    <w:p>
      <w:pPr>
        <w:pStyle w:val="ListParagraph"/>
        <w:numPr>
          <w:ilvl w:val="0"/>
          <w:numId w:val="42"/>
        </w:numPr>
        <w:tabs>
          <w:tab w:pos="888" w:val="left" w:leader="none"/>
        </w:tabs>
        <w:spacing w:line="256" w:lineRule="auto" w:before="1" w:after="0"/>
        <w:ind w:left="887" w:right="677" w:hanging="567"/>
        <w:jc w:val="both"/>
        <w:rPr>
          <w:sz w:val="20"/>
        </w:rPr>
      </w:pPr>
      <w:r>
        <w:rPr>
          <w:sz w:val="20"/>
        </w:rPr>
        <w:t>Усков А.Н, Лобзин Ю.В., Рычкова С.В., Бабаченко И.В., Федоров В.В., Улуханова Л.У., Починяева Л.М. Течение новой коронавирусной инфекции у детей: некоторые аспекты мониторинга и анализа летальности. Журнал инфектологии. 2020; 3</w:t>
      </w:r>
      <w:r>
        <w:rPr>
          <w:spacing w:val="-6"/>
          <w:sz w:val="20"/>
        </w:rPr>
        <w:t> </w:t>
      </w:r>
      <w:r>
        <w:rPr>
          <w:sz w:val="20"/>
        </w:rPr>
        <w:t>(12):12-21.</w:t>
      </w:r>
    </w:p>
    <w:p>
      <w:pPr>
        <w:pStyle w:val="ListParagraph"/>
        <w:numPr>
          <w:ilvl w:val="0"/>
          <w:numId w:val="42"/>
        </w:numPr>
        <w:tabs>
          <w:tab w:pos="888" w:val="left" w:leader="none"/>
        </w:tabs>
        <w:spacing w:line="259" w:lineRule="auto" w:before="6" w:after="0"/>
        <w:ind w:left="887" w:right="679" w:hanging="567"/>
        <w:jc w:val="both"/>
        <w:rPr>
          <w:sz w:val="20"/>
        </w:rPr>
      </w:pPr>
      <w:r>
        <w:rPr>
          <w:sz w:val="20"/>
        </w:rPr>
        <w:t>Т.А. Руженцова, П.В. Чухляев, Д.А. Хавкина, А.А. и др. Возможности этиотропной терапии коронавирусной инфекции, вызванной SARS-CoV-2, у амбулаторных пациентов. Медицинский оппонент, №1(9), 2020: с.</w:t>
      </w:r>
      <w:r>
        <w:rPr>
          <w:spacing w:val="2"/>
          <w:sz w:val="20"/>
        </w:rPr>
        <w:t> </w:t>
      </w:r>
      <w:r>
        <w:rPr>
          <w:sz w:val="20"/>
        </w:rPr>
        <w:t>48-58.</w:t>
      </w:r>
    </w:p>
    <w:p>
      <w:pPr>
        <w:pStyle w:val="ListParagraph"/>
        <w:numPr>
          <w:ilvl w:val="0"/>
          <w:numId w:val="42"/>
        </w:numPr>
        <w:tabs>
          <w:tab w:pos="888" w:val="left" w:leader="none"/>
        </w:tabs>
        <w:spacing w:line="256" w:lineRule="auto" w:before="0" w:after="0"/>
        <w:ind w:left="887" w:right="680" w:hanging="567"/>
        <w:jc w:val="both"/>
        <w:rPr>
          <w:sz w:val="20"/>
        </w:rPr>
      </w:pPr>
      <w:r>
        <w:rPr>
          <w:sz w:val="20"/>
        </w:rPr>
        <w:t>Beigel J.H. et al. ACTT-1 Study Group Members. Remdesivir for the Treatment of Covid-19 - Final Report. N Engl J Med. 2020 Oct 8: NEJMoa2007764. doi:</w:t>
      </w:r>
      <w:r>
        <w:rPr>
          <w:spacing w:val="-5"/>
          <w:sz w:val="20"/>
        </w:rPr>
        <w:t> </w:t>
      </w:r>
      <w:r>
        <w:rPr>
          <w:sz w:val="20"/>
        </w:rPr>
        <w:t>10.1056/NEJMoa2007764.</w:t>
      </w:r>
    </w:p>
    <w:p>
      <w:pPr>
        <w:spacing w:after="0" w:line="256" w:lineRule="auto"/>
        <w:jc w:val="both"/>
        <w:rPr>
          <w:sz w:val="20"/>
        </w:rPr>
        <w:sectPr>
          <w:pgSz w:w="11920" w:h="16850"/>
          <w:pgMar w:header="0" w:footer="620" w:top="1060" w:bottom="880" w:left="1380" w:right="600"/>
        </w:sectPr>
      </w:pPr>
    </w:p>
    <w:p>
      <w:pPr>
        <w:pStyle w:val="Heading3"/>
        <w:spacing w:before="78"/>
        <w:ind w:left="112" w:right="679"/>
        <w:jc w:val="right"/>
      </w:pPr>
      <w:bookmarkStart w:name="Приложение 1" w:id="198"/>
      <w:bookmarkEnd w:id="198"/>
      <w:r>
        <w:rPr>
          <w:b w:val="0"/>
        </w:rPr>
      </w:r>
      <w:bookmarkStart w:name="_bookmark44" w:id="199"/>
      <w:bookmarkEnd w:id="199"/>
      <w:r>
        <w:rPr>
          <w:b w:val="0"/>
        </w:rPr>
      </w:r>
      <w:r>
        <w:rPr>
          <w:color w:val="1F487C"/>
        </w:rPr>
        <w:t>Приложение 1</w:t>
      </w:r>
    </w:p>
    <w:p>
      <w:pPr>
        <w:pStyle w:val="BodyText"/>
        <w:ind w:left="0"/>
        <w:jc w:val="left"/>
        <w:rPr>
          <w:b/>
          <w:sz w:val="20"/>
        </w:rPr>
      </w:pPr>
    </w:p>
    <w:p>
      <w:pPr>
        <w:spacing w:before="228"/>
        <w:ind w:left="1029" w:right="0" w:firstLine="0"/>
        <w:jc w:val="left"/>
        <w:rPr>
          <w:b/>
          <w:sz w:val="24"/>
        </w:rPr>
      </w:pPr>
      <w:r>
        <w:rPr>
          <w:b/>
          <w:sz w:val="24"/>
        </w:rPr>
        <w:t>А. Рекомендации по описанию данных РГ И КТ ОГК</w:t>
      </w:r>
    </w:p>
    <w:p>
      <w:pPr>
        <w:pStyle w:val="BodyText"/>
        <w:ind w:left="0"/>
        <w:jc w:val="left"/>
        <w:rPr>
          <w:b/>
        </w:rPr>
      </w:pPr>
    </w:p>
    <w:p>
      <w:pPr>
        <w:pStyle w:val="ListParagraph"/>
        <w:numPr>
          <w:ilvl w:val="1"/>
          <w:numId w:val="42"/>
        </w:numPr>
        <w:tabs>
          <w:tab w:pos="1390" w:val="left" w:leader="none"/>
        </w:tabs>
        <w:spacing w:line="240" w:lineRule="auto" w:before="1" w:after="0"/>
        <w:ind w:left="1029" w:right="6186" w:firstLine="0"/>
        <w:jc w:val="both"/>
        <w:rPr>
          <w:b/>
          <w:sz w:val="24"/>
        </w:rPr>
      </w:pPr>
      <w:r>
        <w:rPr>
          <w:b/>
          <w:sz w:val="24"/>
        </w:rPr>
        <w:t>Рентгенография </w:t>
      </w:r>
      <w:r>
        <w:rPr>
          <w:b/>
          <w:spacing w:val="-4"/>
          <w:sz w:val="24"/>
        </w:rPr>
        <w:t>ОГК </w:t>
      </w:r>
      <w:r>
        <w:rPr>
          <w:b/>
          <w:sz w:val="24"/>
        </w:rPr>
        <w:t>Методика</w:t>
      </w:r>
      <w:r>
        <w:rPr>
          <w:b/>
          <w:spacing w:val="-2"/>
          <w:sz w:val="24"/>
        </w:rPr>
        <w:t> </w:t>
      </w:r>
      <w:r>
        <w:rPr>
          <w:b/>
          <w:sz w:val="24"/>
        </w:rPr>
        <w:t>выполнения</w:t>
      </w:r>
    </w:p>
    <w:p>
      <w:pPr>
        <w:pStyle w:val="BodyText"/>
        <w:ind w:right="674" w:firstLine="708"/>
      </w:pPr>
      <w:r>
        <w:rPr/>
        <w:t>Рентгенография в рентгеновском кабинете проводится с использованием стационарного (или передвижного) рентгеновского аппарата в двух стандартных проекциях: прямой передней и правой боковой.</w:t>
      </w:r>
    </w:p>
    <w:p>
      <w:pPr>
        <w:pStyle w:val="BodyText"/>
        <w:ind w:right="673" w:firstLine="708"/>
      </w:pPr>
      <w:r>
        <w:rPr/>
        <w:t>Рентгенография в ОРИТ проводится с использованием передвижного рентгенодиагностического</w:t>
      </w:r>
      <w:r>
        <w:rPr>
          <w:spacing w:val="-12"/>
        </w:rPr>
        <w:t> </w:t>
      </w:r>
      <w:r>
        <w:rPr/>
        <w:t>аппарата</w:t>
      </w:r>
      <w:r>
        <w:rPr>
          <w:spacing w:val="-13"/>
        </w:rPr>
        <w:t> </w:t>
      </w:r>
      <w:r>
        <w:rPr/>
        <w:t>в</w:t>
      </w:r>
      <w:r>
        <w:rPr>
          <w:spacing w:val="-12"/>
        </w:rPr>
        <w:t> </w:t>
      </w:r>
      <w:r>
        <w:rPr/>
        <w:t>одной</w:t>
      </w:r>
      <w:r>
        <w:rPr>
          <w:spacing w:val="-11"/>
        </w:rPr>
        <w:t> </w:t>
      </w:r>
      <w:r>
        <w:rPr/>
        <w:t>стандартной</w:t>
      </w:r>
      <w:r>
        <w:rPr>
          <w:spacing w:val="-13"/>
        </w:rPr>
        <w:t> </w:t>
      </w:r>
      <w:r>
        <w:rPr/>
        <w:t>проекции:</w:t>
      </w:r>
      <w:r>
        <w:rPr>
          <w:spacing w:val="-13"/>
        </w:rPr>
        <w:t> </w:t>
      </w:r>
      <w:r>
        <w:rPr/>
        <w:t>прямой</w:t>
      </w:r>
      <w:r>
        <w:rPr>
          <w:spacing w:val="-11"/>
        </w:rPr>
        <w:t> </w:t>
      </w:r>
      <w:r>
        <w:rPr/>
        <w:t>задней</w:t>
      </w:r>
      <w:r>
        <w:rPr>
          <w:spacing w:val="-12"/>
        </w:rPr>
        <w:t> </w:t>
      </w:r>
      <w:r>
        <w:rPr/>
        <w:t>при положении пациента на спине или в прямой передней при положении пациента на животе. При необходимости может быть выполнен снимок в боковой проекции горизонтально  направленным  пучком  рентгеновского  излучения  (латерограмма). На рентгеновском    снимке    должна     присутствовать     стандартная     маркировка и дополнительная информация (время проведения рентгенографии в часах и минутах; положение пациента в момент рентгенографии – на спине или на</w:t>
      </w:r>
      <w:r>
        <w:rPr>
          <w:spacing w:val="-11"/>
        </w:rPr>
        <w:t> </w:t>
      </w:r>
      <w:r>
        <w:rPr/>
        <w:t>животе).</w:t>
      </w:r>
    </w:p>
    <w:p>
      <w:pPr>
        <w:pStyle w:val="BodyText"/>
        <w:ind w:right="677" w:firstLine="708"/>
      </w:pPr>
      <w:r>
        <w:rPr/>
        <w:t>Для оценки пациентов с предполагаемой/известной пневмонией COVID-19 другие рентгенодиагностические методики  (рентгеноскопия,  линейная  томография  и проч.) не</w:t>
      </w:r>
      <w:r>
        <w:rPr>
          <w:spacing w:val="-2"/>
        </w:rPr>
        <w:t> </w:t>
      </w:r>
      <w:r>
        <w:rPr/>
        <w:t>используются.</w:t>
      </w:r>
    </w:p>
    <w:p>
      <w:pPr>
        <w:pStyle w:val="BodyText"/>
        <w:ind w:left="0"/>
        <w:jc w:val="left"/>
      </w:pPr>
    </w:p>
    <w:p>
      <w:pPr>
        <w:pStyle w:val="Heading3"/>
        <w:jc w:val="left"/>
      </w:pPr>
      <w:r>
        <w:rPr/>
        <w:t>Протокол РГ исследования</w:t>
      </w:r>
    </w:p>
    <w:p>
      <w:pPr>
        <w:pStyle w:val="BodyText"/>
        <w:ind w:right="673" w:firstLine="708"/>
      </w:pPr>
      <w:r>
        <w:rPr/>
        <w:t>Протокол по результатам проведенной РГ формируется по стандартным правилам:</w:t>
      </w:r>
    </w:p>
    <w:p>
      <w:pPr>
        <w:pStyle w:val="BodyText"/>
        <w:spacing w:before="2"/>
        <w:ind w:left="0"/>
        <w:jc w:val="left"/>
      </w:pPr>
    </w:p>
    <w:p>
      <w:pPr>
        <w:pStyle w:val="ListParagraph"/>
        <w:numPr>
          <w:ilvl w:val="0"/>
          <w:numId w:val="43"/>
        </w:numPr>
        <w:tabs>
          <w:tab w:pos="1001" w:val="left" w:leader="none"/>
        </w:tabs>
        <w:spacing w:line="240" w:lineRule="auto" w:before="0" w:after="0"/>
        <w:ind w:left="1000" w:right="0" w:hanging="339"/>
        <w:jc w:val="both"/>
        <w:rPr>
          <w:sz w:val="24"/>
        </w:rPr>
      </w:pPr>
      <w:r>
        <w:rPr>
          <w:sz w:val="24"/>
        </w:rPr>
        <w:t>Вид исследования, проекции, положение пациента в момент</w:t>
      </w:r>
      <w:r>
        <w:rPr>
          <w:spacing w:val="-7"/>
          <w:sz w:val="24"/>
        </w:rPr>
        <w:t> </w:t>
      </w:r>
      <w:r>
        <w:rPr>
          <w:sz w:val="24"/>
        </w:rPr>
        <w:t>РГ.</w:t>
      </w:r>
    </w:p>
    <w:p>
      <w:pPr>
        <w:pStyle w:val="ListParagraph"/>
        <w:numPr>
          <w:ilvl w:val="0"/>
          <w:numId w:val="43"/>
        </w:numPr>
        <w:tabs>
          <w:tab w:pos="1001" w:val="left" w:leader="none"/>
        </w:tabs>
        <w:spacing w:line="309" w:lineRule="auto" w:before="83" w:after="0"/>
        <w:ind w:left="1000" w:right="675" w:hanging="339"/>
        <w:jc w:val="both"/>
        <w:rPr>
          <w:sz w:val="24"/>
        </w:rPr>
      </w:pPr>
      <w:r>
        <w:rPr>
          <w:sz w:val="24"/>
        </w:rPr>
        <w:t>Все медицинские устройства и иные предметы, видимые на снимках (интубационная трубка, катетеры, дренажи, зонды, искусственные водители ритма, инородные тела и проч.), их расположение и правильность</w:t>
      </w:r>
      <w:r>
        <w:rPr>
          <w:spacing w:val="-9"/>
          <w:sz w:val="24"/>
        </w:rPr>
        <w:t> </w:t>
      </w:r>
      <w:r>
        <w:rPr>
          <w:sz w:val="24"/>
        </w:rPr>
        <w:t>установки;</w:t>
      </w:r>
    </w:p>
    <w:p>
      <w:pPr>
        <w:pStyle w:val="ListParagraph"/>
        <w:numPr>
          <w:ilvl w:val="0"/>
          <w:numId w:val="43"/>
        </w:numPr>
        <w:tabs>
          <w:tab w:pos="1001" w:val="left" w:leader="none"/>
        </w:tabs>
        <w:spacing w:line="240" w:lineRule="auto" w:before="0" w:after="0"/>
        <w:ind w:left="1000" w:right="0" w:hanging="339"/>
        <w:jc w:val="both"/>
        <w:rPr>
          <w:sz w:val="24"/>
        </w:rPr>
      </w:pPr>
      <w:r>
        <w:rPr>
          <w:sz w:val="24"/>
        </w:rPr>
        <w:t>Видимые патологические</w:t>
      </w:r>
      <w:r>
        <w:rPr>
          <w:spacing w:val="-3"/>
          <w:sz w:val="24"/>
        </w:rPr>
        <w:t> </w:t>
      </w:r>
      <w:r>
        <w:rPr>
          <w:sz w:val="24"/>
        </w:rPr>
        <w:t>изменения.</w:t>
      </w:r>
    </w:p>
    <w:p>
      <w:pPr>
        <w:pStyle w:val="ListParagraph"/>
        <w:numPr>
          <w:ilvl w:val="0"/>
          <w:numId w:val="43"/>
        </w:numPr>
        <w:tabs>
          <w:tab w:pos="1001" w:val="left" w:leader="none"/>
        </w:tabs>
        <w:spacing w:line="309" w:lineRule="auto" w:before="83" w:after="0"/>
        <w:ind w:left="1000" w:right="673" w:hanging="339"/>
        <w:jc w:val="both"/>
        <w:rPr>
          <w:sz w:val="24"/>
        </w:rPr>
      </w:pPr>
      <w:r>
        <w:rPr>
          <w:sz w:val="24"/>
        </w:rPr>
        <w:t>Наличие участков уплотнения легочной ткани, их расположение (периферическое, центральное, диффузное, нарастание в направлении диафрагмы/верхушек). Локальные изменения соотносятся с отдельными</w:t>
      </w:r>
      <w:r>
        <w:rPr>
          <w:spacing w:val="-36"/>
          <w:sz w:val="24"/>
        </w:rPr>
        <w:t> </w:t>
      </w:r>
      <w:r>
        <w:rPr>
          <w:sz w:val="24"/>
        </w:rPr>
        <w:t>долями и/или сегментами. </w:t>
      </w:r>
      <w:r>
        <w:rPr>
          <w:i/>
          <w:sz w:val="24"/>
        </w:rPr>
        <w:t>Участки уплотнения легочной ткани при РГ обычно не </w:t>
      </w:r>
      <w:r>
        <w:rPr>
          <w:i/>
          <w:sz w:val="24"/>
        </w:rPr>
        <w:t>разделяют на матовое стекло и</w:t>
      </w:r>
      <w:r>
        <w:rPr>
          <w:i/>
          <w:spacing w:val="-3"/>
          <w:sz w:val="24"/>
        </w:rPr>
        <w:t> </w:t>
      </w:r>
      <w:r>
        <w:rPr>
          <w:i/>
          <w:sz w:val="24"/>
        </w:rPr>
        <w:t>консолидацию</w:t>
      </w:r>
      <w:r>
        <w:rPr>
          <w:sz w:val="24"/>
        </w:rPr>
        <w:t>.</w:t>
      </w:r>
    </w:p>
    <w:p>
      <w:pPr>
        <w:pStyle w:val="ListParagraph"/>
        <w:numPr>
          <w:ilvl w:val="0"/>
          <w:numId w:val="43"/>
        </w:numPr>
        <w:tabs>
          <w:tab w:pos="1001" w:val="left" w:leader="none"/>
        </w:tabs>
        <w:spacing w:line="240" w:lineRule="auto" w:before="9" w:after="0"/>
        <w:ind w:left="1000" w:right="0" w:hanging="339"/>
        <w:jc w:val="both"/>
        <w:rPr>
          <w:sz w:val="24"/>
        </w:rPr>
      </w:pPr>
      <w:r>
        <w:rPr>
          <w:sz w:val="24"/>
        </w:rPr>
        <w:t>Форма участков уплотнения: округлая, любая</w:t>
      </w:r>
      <w:r>
        <w:rPr>
          <w:spacing w:val="2"/>
          <w:sz w:val="24"/>
        </w:rPr>
        <w:t> </w:t>
      </w:r>
      <w:r>
        <w:rPr>
          <w:sz w:val="24"/>
        </w:rPr>
        <w:t>другая.</w:t>
      </w:r>
    </w:p>
    <w:p>
      <w:pPr>
        <w:pStyle w:val="ListParagraph"/>
        <w:numPr>
          <w:ilvl w:val="0"/>
          <w:numId w:val="43"/>
        </w:numPr>
        <w:tabs>
          <w:tab w:pos="1001" w:val="left" w:leader="none"/>
        </w:tabs>
        <w:spacing w:line="309" w:lineRule="auto" w:before="80" w:after="0"/>
        <w:ind w:left="1000" w:right="676" w:hanging="339"/>
        <w:jc w:val="both"/>
        <w:rPr>
          <w:sz w:val="24"/>
        </w:rPr>
      </w:pPr>
      <w:r>
        <w:rPr>
          <w:sz w:val="24"/>
        </w:rPr>
        <w:t>Интенсивность тени уплотнений в легких: низкая (обычно соответствует симптому «матового стекла» при КТ), средней интенсивности (обычно соответствует консолидации при КТ), высокая (может наблюдаться при тотальном или субтотальном поражении легких) или их</w:t>
      </w:r>
      <w:r>
        <w:rPr>
          <w:spacing w:val="-3"/>
          <w:sz w:val="24"/>
        </w:rPr>
        <w:t> </w:t>
      </w:r>
      <w:r>
        <w:rPr>
          <w:sz w:val="24"/>
        </w:rPr>
        <w:t>сочетание.</w:t>
      </w:r>
    </w:p>
    <w:p>
      <w:pPr>
        <w:pStyle w:val="ListParagraph"/>
        <w:numPr>
          <w:ilvl w:val="0"/>
          <w:numId w:val="43"/>
        </w:numPr>
        <w:tabs>
          <w:tab w:pos="1001" w:val="left" w:leader="none"/>
        </w:tabs>
        <w:spacing w:line="309" w:lineRule="auto" w:before="5" w:after="0"/>
        <w:ind w:left="1000" w:right="675" w:hanging="339"/>
        <w:jc w:val="both"/>
        <w:rPr>
          <w:sz w:val="24"/>
        </w:rPr>
      </w:pPr>
      <w:r>
        <w:rPr>
          <w:sz w:val="24"/>
        </w:rPr>
        <w:t>Признаки нарушения легочного кровообращения: усиление (в т.ч. перераспределение в верхние доли) легочного рисунка, расширение корней легких, перибронхиальные муфты, линии Керли, расширение камер сердца, расширение сосудистой ножки сердца.</w:t>
      </w:r>
    </w:p>
    <w:p>
      <w:pPr>
        <w:spacing w:after="0" w:line="309" w:lineRule="auto"/>
        <w:jc w:val="both"/>
        <w:rPr>
          <w:sz w:val="24"/>
        </w:rPr>
        <w:sectPr>
          <w:pgSz w:w="11920" w:h="16850"/>
          <w:pgMar w:header="0" w:footer="620" w:top="1060" w:bottom="880" w:left="1380" w:right="600"/>
        </w:sectPr>
      </w:pPr>
    </w:p>
    <w:p>
      <w:pPr>
        <w:pStyle w:val="ListParagraph"/>
        <w:numPr>
          <w:ilvl w:val="0"/>
          <w:numId w:val="43"/>
        </w:numPr>
        <w:tabs>
          <w:tab w:pos="1000" w:val="left" w:leader="none"/>
          <w:tab w:pos="1001" w:val="left" w:leader="none"/>
          <w:tab w:pos="1965" w:val="left" w:leader="none"/>
          <w:tab w:pos="3153" w:val="left" w:leader="none"/>
          <w:tab w:pos="4439" w:val="left" w:leader="none"/>
          <w:tab w:pos="5425" w:val="left" w:leader="none"/>
          <w:tab w:pos="6544" w:val="left" w:leader="none"/>
          <w:tab w:pos="7720" w:val="left" w:leader="none"/>
        </w:tabs>
        <w:spacing w:line="304" w:lineRule="auto" w:before="80" w:after="0"/>
        <w:ind w:left="1000" w:right="675" w:hanging="339"/>
        <w:jc w:val="left"/>
        <w:rPr>
          <w:sz w:val="24"/>
        </w:rPr>
      </w:pPr>
      <w:r>
        <w:rPr>
          <w:sz w:val="24"/>
        </w:rPr>
        <w:t>Другие</w:t>
        <w:tab/>
        <w:t>признаки</w:t>
        <w:tab/>
        <w:t>патологии</w:t>
        <w:tab/>
        <w:t>легких:</w:t>
        <w:tab/>
        <w:t>полости,</w:t>
        <w:tab/>
        <w:t>очаговые</w:t>
        <w:tab/>
        <w:t>диссеминации, локальные долевые и сегментарные уплотнения и</w:t>
      </w:r>
      <w:r>
        <w:rPr>
          <w:spacing w:val="1"/>
          <w:sz w:val="24"/>
        </w:rPr>
        <w:t> </w:t>
      </w:r>
      <w:r>
        <w:rPr>
          <w:sz w:val="24"/>
        </w:rPr>
        <w:t>проч.</w:t>
      </w:r>
    </w:p>
    <w:p>
      <w:pPr>
        <w:pStyle w:val="ListParagraph"/>
        <w:numPr>
          <w:ilvl w:val="0"/>
          <w:numId w:val="43"/>
        </w:numPr>
        <w:tabs>
          <w:tab w:pos="1000" w:val="left" w:leader="none"/>
          <w:tab w:pos="1001" w:val="left" w:leader="none"/>
        </w:tabs>
        <w:spacing w:line="240" w:lineRule="auto" w:before="11" w:after="0"/>
        <w:ind w:left="1000" w:right="0" w:hanging="339"/>
        <w:jc w:val="left"/>
        <w:rPr>
          <w:sz w:val="24"/>
        </w:rPr>
      </w:pPr>
      <w:r>
        <w:rPr>
          <w:sz w:val="24"/>
        </w:rPr>
        <w:t>Плевральные синусы: признаки плеврального</w:t>
      </w:r>
      <w:r>
        <w:rPr>
          <w:spacing w:val="-1"/>
          <w:sz w:val="24"/>
        </w:rPr>
        <w:t> </w:t>
      </w:r>
      <w:r>
        <w:rPr>
          <w:sz w:val="24"/>
        </w:rPr>
        <w:t>выпота.</w:t>
      </w:r>
    </w:p>
    <w:p>
      <w:pPr>
        <w:pStyle w:val="ListParagraph"/>
        <w:numPr>
          <w:ilvl w:val="0"/>
          <w:numId w:val="43"/>
        </w:numPr>
        <w:tabs>
          <w:tab w:pos="1000" w:val="left" w:leader="none"/>
          <w:tab w:pos="1001" w:val="left" w:leader="none"/>
        </w:tabs>
        <w:spacing w:line="240" w:lineRule="auto" w:before="82" w:after="0"/>
        <w:ind w:left="1000" w:right="0" w:hanging="339"/>
        <w:jc w:val="left"/>
        <w:rPr>
          <w:sz w:val="24"/>
        </w:rPr>
      </w:pPr>
      <w:r>
        <w:rPr>
          <w:sz w:val="24"/>
        </w:rPr>
        <w:t>Признаки</w:t>
      </w:r>
      <w:r>
        <w:rPr>
          <w:spacing w:val="-12"/>
          <w:sz w:val="24"/>
        </w:rPr>
        <w:t> </w:t>
      </w:r>
      <w:r>
        <w:rPr>
          <w:sz w:val="24"/>
        </w:rPr>
        <w:t>пневмоторакса</w:t>
      </w:r>
      <w:r>
        <w:rPr>
          <w:spacing w:val="-14"/>
          <w:sz w:val="24"/>
        </w:rPr>
        <w:t> </w:t>
      </w:r>
      <w:r>
        <w:rPr>
          <w:sz w:val="24"/>
        </w:rPr>
        <w:t>и/или</w:t>
      </w:r>
      <w:r>
        <w:rPr>
          <w:spacing w:val="-12"/>
          <w:sz w:val="24"/>
        </w:rPr>
        <w:t> </w:t>
      </w:r>
      <w:r>
        <w:rPr>
          <w:sz w:val="24"/>
        </w:rPr>
        <w:t>пневмомедиастинума</w:t>
      </w:r>
      <w:r>
        <w:rPr>
          <w:spacing w:val="-14"/>
          <w:sz w:val="24"/>
        </w:rPr>
        <w:t> </w:t>
      </w:r>
      <w:r>
        <w:rPr>
          <w:sz w:val="24"/>
        </w:rPr>
        <w:t>и/или</w:t>
      </w:r>
      <w:r>
        <w:rPr>
          <w:spacing w:val="-12"/>
          <w:sz w:val="24"/>
        </w:rPr>
        <w:t> </w:t>
      </w:r>
      <w:r>
        <w:rPr>
          <w:sz w:val="24"/>
        </w:rPr>
        <w:t>пневмоперитонеума.</w:t>
      </w:r>
    </w:p>
    <w:p>
      <w:pPr>
        <w:pStyle w:val="BodyText"/>
        <w:spacing w:before="1"/>
        <w:ind w:left="0"/>
        <w:jc w:val="left"/>
        <w:rPr>
          <w:sz w:val="32"/>
        </w:rPr>
      </w:pPr>
    </w:p>
    <w:p>
      <w:pPr>
        <w:pStyle w:val="BodyText"/>
        <w:ind w:right="678" w:firstLine="708"/>
      </w:pPr>
      <w:r>
        <w:rPr>
          <w:b/>
        </w:rPr>
        <w:t>В заключении </w:t>
      </w:r>
      <w:r>
        <w:rPr/>
        <w:t>необходимо указать наличие патологических изменений и их распространенность.</w:t>
      </w:r>
    </w:p>
    <w:p>
      <w:pPr>
        <w:spacing w:before="0"/>
        <w:ind w:left="321" w:right="674" w:firstLine="708"/>
        <w:jc w:val="both"/>
        <w:rPr>
          <w:i/>
          <w:sz w:val="24"/>
        </w:rPr>
      </w:pPr>
      <w:r>
        <w:rPr>
          <w:sz w:val="24"/>
        </w:rPr>
        <w:t>В случае первичного исследования рекомендуется указать вероятность соответствия выявленных изменений пневмонии COVID-19 – </w:t>
      </w:r>
      <w:r>
        <w:rPr>
          <w:b/>
          <w:sz w:val="24"/>
        </w:rPr>
        <w:t>высокая/типичная картина, средняя/неопределенная картина, низкая/нетипичная картина, норма </w:t>
      </w:r>
      <w:r>
        <w:rPr>
          <w:sz w:val="24"/>
        </w:rPr>
        <w:t>(для оценки степени вероятности можно использовать приводимую ниже таблицу для формулировки заключений КТ). </w:t>
      </w:r>
      <w:r>
        <w:rPr>
          <w:i/>
          <w:sz w:val="24"/>
        </w:rPr>
        <w:t>Например, вероятная рентгенологическая картина </w:t>
      </w:r>
      <w:r>
        <w:rPr>
          <w:i/>
          <w:sz w:val="24"/>
        </w:rPr>
        <w:t>пневмонии COVID-19; или картина усиления легочного рисунка без характерных рентгенографических признаков пневмонии COVID-19; или рентгенологическая картина</w:t>
      </w:r>
      <w:r>
        <w:rPr>
          <w:i/>
          <w:spacing w:val="-14"/>
          <w:sz w:val="24"/>
        </w:rPr>
        <w:t> </w:t>
      </w:r>
      <w:r>
        <w:rPr>
          <w:i/>
          <w:sz w:val="24"/>
        </w:rPr>
        <w:t>отека</w:t>
      </w:r>
      <w:r>
        <w:rPr>
          <w:i/>
          <w:spacing w:val="-14"/>
          <w:sz w:val="24"/>
        </w:rPr>
        <w:t> </w:t>
      </w:r>
      <w:r>
        <w:rPr>
          <w:i/>
          <w:sz w:val="24"/>
        </w:rPr>
        <w:t>легких;</w:t>
      </w:r>
      <w:r>
        <w:rPr>
          <w:i/>
          <w:spacing w:val="-10"/>
          <w:sz w:val="24"/>
        </w:rPr>
        <w:t> </w:t>
      </w:r>
      <w:r>
        <w:rPr>
          <w:i/>
          <w:sz w:val="24"/>
        </w:rPr>
        <w:t>или</w:t>
      </w:r>
      <w:r>
        <w:rPr>
          <w:i/>
          <w:spacing w:val="-13"/>
          <w:sz w:val="24"/>
        </w:rPr>
        <w:t> </w:t>
      </w:r>
      <w:r>
        <w:rPr>
          <w:i/>
          <w:sz w:val="24"/>
        </w:rPr>
        <w:t>рентгенологическая</w:t>
      </w:r>
      <w:r>
        <w:rPr>
          <w:i/>
          <w:spacing w:val="-16"/>
          <w:sz w:val="24"/>
        </w:rPr>
        <w:t> </w:t>
      </w:r>
      <w:r>
        <w:rPr>
          <w:i/>
          <w:sz w:val="24"/>
        </w:rPr>
        <w:t>картина</w:t>
      </w:r>
      <w:r>
        <w:rPr>
          <w:i/>
          <w:spacing w:val="-13"/>
          <w:sz w:val="24"/>
        </w:rPr>
        <w:t> </w:t>
      </w:r>
      <w:r>
        <w:rPr>
          <w:i/>
          <w:sz w:val="24"/>
        </w:rPr>
        <w:t>абсцесса</w:t>
      </w:r>
      <w:r>
        <w:rPr>
          <w:i/>
          <w:spacing w:val="-12"/>
          <w:sz w:val="24"/>
        </w:rPr>
        <w:t> </w:t>
      </w:r>
      <w:r>
        <w:rPr>
          <w:i/>
          <w:sz w:val="24"/>
        </w:rPr>
        <w:t>верхней</w:t>
      </w:r>
      <w:r>
        <w:rPr>
          <w:i/>
          <w:spacing w:val="-14"/>
          <w:sz w:val="24"/>
        </w:rPr>
        <w:t> </w:t>
      </w:r>
      <w:r>
        <w:rPr>
          <w:i/>
          <w:sz w:val="24"/>
        </w:rPr>
        <w:t>доли</w:t>
      </w:r>
      <w:r>
        <w:rPr>
          <w:i/>
          <w:spacing w:val="-13"/>
          <w:sz w:val="24"/>
        </w:rPr>
        <w:t> </w:t>
      </w:r>
      <w:r>
        <w:rPr>
          <w:i/>
          <w:sz w:val="24"/>
        </w:rPr>
        <w:t>правого легкого.</w:t>
      </w:r>
    </w:p>
    <w:p>
      <w:pPr>
        <w:pStyle w:val="BodyText"/>
        <w:ind w:right="676" w:firstLine="708"/>
      </w:pPr>
      <w:r>
        <w:rPr/>
        <w:t>При повторных исследованиях обязательно указывается динамика изменений   в грудной</w:t>
      </w:r>
      <w:r>
        <w:rPr>
          <w:spacing w:val="-1"/>
        </w:rPr>
        <w:t> </w:t>
      </w:r>
      <w:r>
        <w:rPr/>
        <w:t>полости.</w:t>
      </w:r>
    </w:p>
    <w:p>
      <w:pPr>
        <w:pStyle w:val="BodyText"/>
        <w:ind w:right="674" w:firstLine="708"/>
      </w:pPr>
      <w:r>
        <w:rPr/>
        <w:t>При необходимости указываются дополнительные исследования, которые по мнению рентгенолога могут помочь в оценке изменений: КТ, УЗИ, ФБС и др.</w:t>
      </w:r>
    </w:p>
    <w:p>
      <w:pPr>
        <w:pStyle w:val="BodyText"/>
        <w:ind w:left="0"/>
        <w:jc w:val="left"/>
      </w:pPr>
    </w:p>
    <w:p>
      <w:pPr>
        <w:pStyle w:val="Heading3"/>
        <w:numPr>
          <w:ilvl w:val="1"/>
          <w:numId w:val="42"/>
        </w:numPr>
        <w:tabs>
          <w:tab w:pos="1390" w:val="left" w:leader="none"/>
        </w:tabs>
        <w:spacing w:line="240" w:lineRule="auto" w:before="0" w:after="0"/>
        <w:ind w:left="1029" w:right="5114" w:firstLine="0"/>
        <w:jc w:val="both"/>
      </w:pPr>
      <w:r>
        <w:rPr/>
        <w:t>Описание результатов КТ ОГК Методика</w:t>
      </w:r>
      <w:r>
        <w:rPr>
          <w:spacing w:val="-1"/>
        </w:rPr>
        <w:t> </w:t>
      </w:r>
      <w:r>
        <w:rPr/>
        <w:t>выполнения</w:t>
      </w:r>
    </w:p>
    <w:p>
      <w:pPr>
        <w:pStyle w:val="BodyText"/>
        <w:spacing w:before="1"/>
        <w:ind w:right="678" w:firstLine="708"/>
      </w:pPr>
      <w:r>
        <w:rPr/>
        <w:t>Сканирование грудной клетки осуществляется по стандартной программе, установленной  компанией   производителем,   в   положении   пациента   на   спине,   с заведенными за голову руками, по возможности при спокойном задержанном</w:t>
      </w:r>
      <w:r>
        <w:rPr>
          <w:spacing w:val="-13"/>
        </w:rPr>
        <w:t> </w:t>
      </w:r>
      <w:r>
        <w:rPr/>
        <w:t>вдохе.</w:t>
      </w:r>
    </w:p>
    <w:p>
      <w:pPr>
        <w:pStyle w:val="BodyText"/>
        <w:ind w:right="674" w:firstLine="708"/>
      </w:pPr>
      <w:r>
        <w:rPr/>
        <w:t>При исследовании пациентов на ИВЛ задержка дыхания осуществится при короткой остановке дыхательных движений. Проведение КТ пациентам на ИВЛ возможно только при наличии технических условий и возможности доставки</w:t>
      </w:r>
      <w:r>
        <w:rPr>
          <w:spacing w:val="-32"/>
        </w:rPr>
        <w:t> </w:t>
      </w:r>
      <w:r>
        <w:rPr/>
        <w:t>пациента в кабинет или на передвижном</w:t>
      </w:r>
      <w:r>
        <w:rPr>
          <w:spacing w:val="-3"/>
        </w:rPr>
        <w:t> </w:t>
      </w:r>
      <w:r>
        <w:rPr/>
        <w:t>аппарате.</w:t>
      </w:r>
    </w:p>
    <w:p>
      <w:pPr>
        <w:pStyle w:val="BodyText"/>
        <w:ind w:right="675" w:firstLine="708"/>
      </w:pPr>
      <w:r>
        <w:rPr/>
        <w:t>Внутривенное контрастирование не требуется, но может применяться при подозрении на другие патологические состояния, например, ТЭЛА, а также онкологические заболевания и проч.</w:t>
      </w:r>
    </w:p>
    <w:p>
      <w:pPr>
        <w:pStyle w:val="BodyText"/>
        <w:ind w:right="674" w:firstLine="708"/>
      </w:pPr>
      <w:r>
        <w:rPr/>
        <w:t>Протокол КТ формируется по стандартным правилам, аналогичным рентгенографическому исследованию. Однако при этом используется терминология, принятая при описании данных КТ.</w:t>
      </w:r>
    </w:p>
    <w:p>
      <w:pPr>
        <w:pStyle w:val="BodyText"/>
        <w:ind w:right="675" w:firstLine="708"/>
      </w:pPr>
      <w:r>
        <w:rPr/>
        <w:t>Для ускорения получения наиболее важных для врачей результатов КТ ОГК     и определения тактики ведения пациента возможно применение предварительных стандартизованных  экспресс-форм  протоколов,  а   само  заключение  оформляется   в установленные</w:t>
      </w:r>
      <w:r>
        <w:rPr>
          <w:spacing w:val="-1"/>
        </w:rPr>
        <w:t> </w:t>
      </w:r>
      <w:r>
        <w:rPr/>
        <w:t>сроки.</w:t>
      </w:r>
    </w:p>
    <w:p>
      <w:pPr>
        <w:pStyle w:val="BodyText"/>
        <w:ind w:right="676" w:firstLine="708"/>
      </w:pPr>
      <w:r>
        <w:rPr/>
        <w:t>Примерная экспресс-форма приводится ниже, возможна ее модификация или коррекция – согласно потребностям конкретной медицинской организации.</w:t>
      </w:r>
    </w:p>
    <w:p>
      <w:pPr>
        <w:spacing w:after="0"/>
        <w:sectPr>
          <w:pgSz w:w="11920" w:h="16850"/>
          <w:pgMar w:header="0" w:footer="620" w:top="1060" w:bottom="880" w:left="1380" w:right="600"/>
        </w:sectPr>
      </w:pPr>
    </w:p>
    <w:p>
      <w:pPr>
        <w:pStyle w:val="Heading3"/>
        <w:spacing w:before="78"/>
        <w:ind w:left="3408"/>
        <w:jc w:val="left"/>
      </w:pPr>
      <w:r>
        <w:rPr/>
        <w:t>Рекомендуемая экспресс-форма</w:t>
      </w:r>
    </w:p>
    <w:p>
      <w:pPr>
        <w:spacing w:before="0"/>
        <w:ind w:left="3559" w:right="1144" w:hanging="2052"/>
        <w:jc w:val="left"/>
        <w:rPr>
          <w:b/>
          <w:sz w:val="24"/>
        </w:rPr>
      </w:pPr>
      <w:r>
        <w:rPr>
          <w:b/>
          <w:sz w:val="24"/>
        </w:rPr>
        <w:t>описания результатов КТ грудной клетки пациента с подозрением на COVID-пневмонию</w:t>
      </w:r>
    </w:p>
    <w:p>
      <w:pPr>
        <w:pStyle w:val="BodyText"/>
        <w:spacing w:before="1"/>
        <w:ind w:left="0"/>
        <w:jc w:val="left"/>
        <w:rPr>
          <w:b/>
        </w:rPr>
      </w:pPr>
    </w:p>
    <w:tbl>
      <w:tblPr>
        <w:tblW w:w="0" w:type="auto"/>
        <w:jc w:val="left"/>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830"/>
        <w:gridCol w:w="4536"/>
        <w:gridCol w:w="1990"/>
      </w:tblGrid>
      <w:tr>
        <w:trPr>
          <w:trHeight w:val="408" w:hRule="atLeast"/>
        </w:trPr>
        <w:tc>
          <w:tcPr>
            <w:tcW w:w="2830" w:type="dxa"/>
            <w:tcBorders>
              <w:bottom w:val="single" w:sz="6" w:space="0" w:color="000000"/>
            </w:tcBorders>
          </w:tcPr>
          <w:p>
            <w:pPr>
              <w:pStyle w:val="TableParagraph"/>
              <w:spacing w:before="77"/>
              <w:ind w:left="81"/>
              <w:rPr>
                <w:sz w:val="22"/>
              </w:rPr>
            </w:pPr>
            <w:r>
              <w:rPr>
                <w:sz w:val="22"/>
              </w:rPr>
              <w:t>Дата и время исследования</w:t>
            </w:r>
          </w:p>
        </w:tc>
        <w:tc>
          <w:tcPr>
            <w:tcW w:w="6526" w:type="dxa"/>
            <w:gridSpan w:val="2"/>
            <w:tcBorders>
              <w:bottom w:val="single" w:sz="6" w:space="0" w:color="000000"/>
            </w:tcBorders>
          </w:tcPr>
          <w:p>
            <w:pPr>
              <w:pStyle w:val="TableParagraph"/>
              <w:rPr>
                <w:sz w:val="22"/>
              </w:rPr>
            </w:pPr>
          </w:p>
        </w:tc>
      </w:tr>
      <w:tr>
        <w:trPr>
          <w:trHeight w:val="407" w:hRule="atLeast"/>
        </w:trPr>
        <w:tc>
          <w:tcPr>
            <w:tcW w:w="2830" w:type="dxa"/>
            <w:tcBorders>
              <w:top w:val="single" w:sz="6" w:space="0" w:color="000000"/>
              <w:bottom w:val="single" w:sz="6" w:space="0" w:color="000000"/>
            </w:tcBorders>
          </w:tcPr>
          <w:p>
            <w:pPr>
              <w:pStyle w:val="TableParagraph"/>
              <w:spacing w:before="78"/>
              <w:ind w:left="81"/>
              <w:rPr>
                <w:sz w:val="22"/>
              </w:rPr>
            </w:pPr>
            <w:r>
              <w:rPr>
                <w:sz w:val="22"/>
              </w:rPr>
              <w:t>Паспортные данные</w:t>
            </w:r>
          </w:p>
        </w:tc>
        <w:tc>
          <w:tcPr>
            <w:tcW w:w="6526" w:type="dxa"/>
            <w:gridSpan w:val="2"/>
            <w:tcBorders>
              <w:top w:val="single" w:sz="6" w:space="0" w:color="000000"/>
              <w:bottom w:val="single" w:sz="6" w:space="0" w:color="000000"/>
            </w:tcBorders>
          </w:tcPr>
          <w:p>
            <w:pPr>
              <w:pStyle w:val="TableParagraph"/>
              <w:rPr>
                <w:sz w:val="22"/>
              </w:rPr>
            </w:pPr>
          </w:p>
        </w:tc>
      </w:tr>
      <w:tr>
        <w:trPr>
          <w:trHeight w:val="409" w:hRule="atLeast"/>
        </w:trPr>
        <w:tc>
          <w:tcPr>
            <w:tcW w:w="2830" w:type="dxa"/>
            <w:tcBorders>
              <w:top w:val="single" w:sz="6" w:space="0" w:color="000000"/>
              <w:bottom w:val="single" w:sz="6" w:space="0" w:color="000000"/>
            </w:tcBorders>
          </w:tcPr>
          <w:p>
            <w:pPr>
              <w:pStyle w:val="TableParagraph"/>
              <w:spacing w:before="78"/>
              <w:ind w:left="81"/>
              <w:rPr>
                <w:sz w:val="22"/>
              </w:rPr>
            </w:pPr>
            <w:r>
              <w:rPr>
                <w:sz w:val="22"/>
              </w:rPr>
              <w:t>Регистрационные данные</w:t>
            </w:r>
          </w:p>
        </w:tc>
        <w:tc>
          <w:tcPr>
            <w:tcW w:w="6526" w:type="dxa"/>
            <w:gridSpan w:val="2"/>
            <w:tcBorders>
              <w:top w:val="single" w:sz="6" w:space="0" w:color="000000"/>
              <w:bottom w:val="single" w:sz="6" w:space="0" w:color="000000"/>
            </w:tcBorders>
          </w:tcPr>
          <w:p>
            <w:pPr>
              <w:pStyle w:val="TableParagraph"/>
              <w:rPr>
                <w:sz w:val="22"/>
              </w:rPr>
            </w:pPr>
          </w:p>
        </w:tc>
      </w:tr>
      <w:tr>
        <w:trPr>
          <w:trHeight w:val="407" w:hRule="atLeast"/>
        </w:trPr>
        <w:tc>
          <w:tcPr>
            <w:tcW w:w="2830" w:type="dxa"/>
            <w:tcBorders>
              <w:top w:val="single" w:sz="6" w:space="0" w:color="000000"/>
              <w:bottom w:val="single" w:sz="6" w:space="0" w:color="000000"/>
            </w:tcBorders>
          </w:tcPr>
          <w:p>
            <w:pPr>
              <w:pStyle w:val="TableParagraph"/>
              <w:spacing w:before="76"/>
              <w:ind w:left="81"/>
              <w:rPr>
                <w:sz w:val="22"/>
              </w:rPr>
            </w:pPr>
            <w:r>
              <w:rPr>
                <w:sz w:val="22"/>
              </w:rPr>
              <w:t>Вид исследования</w:t>
            </w:r>
          </w:p>
        </w:tc>
        <w:tc>
          <w:tcPr>
            <w:tcW w:w="6526" w:type="dxa"/>
            <w:gridSpan w:val="2"/>
            <w:tcBorders>
              <w:top w:val="single" w:sz="6" w:space="0" w:color="000000"/>
              <w:bottom w:val="single" w:sz="6" w:space="0" w:color="000000"/>
            </w:tcBorders>
          </w:tcPr>
          <w:p>
            <w:pPr>
              <w:pStyle w:val="TableParagraph"/>
              <w:spacing w:before="76"/>
              <w:ind w:left="81"/>
              <w:rPr>
                <w:sz w:val="22"/>
              </w:rPr>
            </w:pPr>
            <w:r>
              <w:rPr>
                <w:sz w:val="22"/>
              </w:rPr>
              <w:t>КТ грудной клетки без внутривенного контрастирования</w:t>
            </w:r>
          </w:p>
        </w:tc>
      </w:tr>
      <w:tr>
        <w:trPr>
          <w:trHeight w:val="407" w:hRule="atLeast"/>
        </w:trPr>
        <w:tc>
          <w:tcPr>
            <w:tcW w:w="2830" w:type="dxa"/>
            <w:tcBorders>
              <w:top w:val="single" w:sz="6" w:space="0" w:color="000000"/>
              <w:bottom w:val="single" w:sz="6" w:space="0" w:color="000000"/>
            </w:tcBorders>
          </w:tcPr>
          <w:p>
            <w:pPr>
              <w:pStyle w:val="TableParagraph"/>
              <w:spacing w:before="76"/>
              <w:ind w:left="81"/>
              <w:rPr>
                <w:sz w:val="22"/>
              </w:rPr>
            </w:pPr>
            <w:r>
              <w:rPr>
                <w:sz w:val="22"/>
              </w:rPr>
              <w:t>Другое исследование</w:t>
            </w:r>
          </w:p>
        </w:tc>
        <w:tc>
          <w:tcPr>
            <w:tcW w:w="6526" w:type="dxa"/>
            <w:gridSpan w:val="2"/>
            <w:tcBorders>
              <w:top w:val="single" w:sz="6" w:space="0" w:color="000000"/>
              <w:bottom w:val="single" w:sz="6" w:space="0" w:color="000000"/>
            </w:tcBorders>
          </w:tcPr>
          <w:p>
            <w:pPr>
              <w:pStyle w:val="TableParagraph"/>
              <w:rPr>
                <w:sz w:val="22"/>
              </w:rPr>
            </w:pPr>
          </w:p>
        </w:tc>
      </w:tr>
      <w:tr>
        <w:trPr>
          <w:trHeight w:val="407" w:hRule="atLeast"/>
        </w:trPr>
        <w:tc>
          <w:tcPr>
            <w:tcW w:w="9356" w:type="dxa"/>
            <w:gridSpan w:val="3"/>
            <w:tcBorders>
              <w:top w:val="single" w:sz="6" w:space="0" w:color="000000"/>
              <w:bottom w:val="single" w:sz="6" w:space="0" w:color="000000"/>
            </w:tcBorders>
            <w:shd w:val="clear" w:color="auto" w:fill="D9D9D9"/>
          </w:tcPr>
          <w:p>
            <w:pPr>
              <w:pStyle w:val="TableParagraph"/>
              <w:spacing w:before="78"/>
              <w:ind w:left="1608" w:right="1596"/>
              <w:jc w:val="center"/>
              <w:rPr>
                <w:b/>
                <w:sz w:val="22"/>
              </w:rPr>
            </w:pPr>
            <w:r>
              <w:rPr>
                <w:b/>
                <w:sz w:val="22"/>
              </w:rPr>
              <w:t>Изменения легочной ткани (матовое стекло </w:t>
            </w:r>
            <w:r>
              <w:rPr>
                <w:sz w:val="22"/>
              </w:rPr>
              <w:t>± </w:t>
            </w:r>
            <w:r>
              <w:rPr>
                <w:b/>
                <w:sz w:val="22"/>
              </w:rPr>
              <w:t>консолидация)</w:t>
            </w:r>
          </w:p>
        </w:tc>
      </w:tr>
      <w:tr>
        <w:trPr>
          <w:trHeight w:val="409" w:hRule="atLeast"/>
        </w:trPr>
        <w:tc>
          <w:tcPr>
            <w:tcW w:w="7366" w:type="dxa"/>
            <w:gridSpan w:val="2"/>
            <w:tcBorders>
              <w:top w:val="single" w:sz="6" w:space="0" w:color="000000"/>
              <w:bottom w:val="single" w:sz="6" w:space="0" w:color="000000"/>
            </w:tcBorders>
          </w:tcPr>
          <w:p>
            <w:pPr>
              <w:pStyle w:val="TableParagraph"/>
              <w:spacing w:before="78"/>
              <w:ind w:left="81"/>
              <w:rPr>
                <w:sz w:val="22"/>
              </w:rPr>
            </w:pPr>
            <w:r>
              <w:rPr>
                <w:sz w:val="22"/>
              </w:rPr>
              <w:t>Левое легкое</w:t>
            </w:r>
          </w:p>
        </w:tc>
        <w:tc>
          <w:tcPr>
            <w:tcW w:w="1990" w:type="dxa"/>
            <w:tcBorders>
              <w:top w:val="single" w:sz="6" w:space="0" w:color="000000"/>
              <w:bottom w:val="single" w:sz="6" w:space="0" w:color="000000"/>
            </w:tcBorders>
          </w:tcPr>
          <w:p>
            <w:pPr>
              <w:pStyle w:val="TableParagraph"/>
              <w:spacing w:before="78"/>
              <w:ind w:left="80"/>
              <w:rPr>
                <w:sz w:val="22"/>
              </w:rPr>
            </w:pPr>
            <w:r>
              <w:rPr>
                <w:sz w:val="22"/>
              </w:rPr>
              <w:t>Есть/нет</w:t>
            </w:r>
          </w:p>
        </w:tc>
      </w:tr>
      <w:tr>
        <w:trPr>
          <w:trHeight w:val="407" w:hRule="atLeast"/>
        </w:trPr>
        <w:tc>
          <w:tcPr>
            <w:tcW w:w="7366" w:type="dxa"/>
            <w:gridSpan w:val="2"/>
            <w:tcBorders>
              <w:top w:val="single" w:sz="6" w:space="0" w:color="000000"/>
              <w:bottom w:val="single" w:sz="6" w:space="0" w:color="000000"/>
            </w:tcBorders>
          </w:tcPr>
          <w:p>
            <w:pPr>
              <w:pStyle w:val="TableParagraph"/>
              <w:spacing w:before="76"/>
              <w:ind w:left="81"/>
              <w:rPr>
                <w:sz w:val="22"/>
              </w:rPr>
            </w:pPr>
            <w:r>
              <w:rPr>
                <w:sz w:val="22"/>
              </w:rPr>
              <w:t>Правое легкое</w:t>
            </w:r>
          </w:p>
        </w:tc>
        <w:tc>
          <w:tcPr>
            <w:tcW w:w="1990" w:type="dxa"/>
            <w:tcBorders>
              <w:top w:val="single" w:sz="6" w:space="0" w:color="000000"/>
              <w:bottom w:val="single" w:sz="6" w:space="0" w:color="000000"/>
            </w:tcBorders>
          </w:tcPr>
          <w:p>
            <w:pPr>
              <w:pStyle w:val="TableParagraph"/>
              <w:spacing w:before="76"/>
              <w:ind w:left="80"/>
              <w:rPr>
                <w:sz w:val="22"/>
              </w:rPr>
            </w:pPr>
            <w:r>
              <w:rPr>
                <w:sz w:val="22"/>
              </w:rPr>
              <w:t>Есть/нет</w:t>
            </w:r>
          </w:p>
        </w:tc>
      </w:tr>
      <w:tr>
        <w:trPr>
          <w:trHeight w:val="407" w:hRule="atLeast"/>
        </w:trPr>
        <w:tc>
          <w:tcPr>
            <w:tcW w:w="2830" w:type="dxa"/>
            <w:vMerge w:val="restart"/>
            <w:tcBorders>
              <w:top w:val="single" w:sz="6" w:space="0" w:color="000000"/>
              <w:bottom w:val="single" w:sz="6" w:space="0" w:color="000000"/>
            </w:tcBorders>
          </w:tcPr>
          <w:p>
            <w:pPr>
              <w:pStyle w:val="TableParagraph"/>
              <w:spacing w:before="76"/>
              <w:ind w:left="81" w:right="496"/>
              <w:rPr>
                <w:sz w:val="22"/>
              </w:rPr>
            </w:pPr>
            <w:r>
              <w:rPr>
                <w:sz w:val="22"/>
              </w:rPr>
              <w:t>Примерный объем выявленных изменений легких (визуально)</w:t>
            </w:r>
          </w:p>
        </w:tc>
        <w:tc>
          <w:tcPr>
            <w:tcW w:w="4536" w:type="dxa"/>
            <w:tcBorders>
              <w:top w:val="single" w:sz="6" w:space="0" w:color="000000"/>
              <w:bottom w:val="single" w:sz="6" w:space="0" w:color="000000"/>
            </w:tcBorders>
          </w:tcPr>
          <w:p>
            <w:pPr>
              <w:pStyle w:val="TableParagraph"/>
              <w:spacing w:before="76"/>
              <w:ind w:left="81"/>
              <w:rPr>
                <w:sz w:val="22"/>
              </w:rPr>
            </w:pPr>
            <w:r>
              <w:rPr>
                <w:sz w:val="22"/>
                <w:shd w:fill="C0C0C0" w:color="auto" w:val="clear"/>
              </w:rPr>
              <w:t>КТ-1</w:t>
            </w:r>
            <w:r>
              <w:rPr>
                <w:sz w:val="22"/>
              </w:rPr>
              <w:t> Минимальный</w:t>
            </w:r>
          </w:p>
        </w:tc>
        <w:tc>
          <w:tcPr>
            <w:tcW w:w="1990" w:type="dxa"/>
            <w:tcBorders>
              <w:top w:val="single" w:sz="6" w:space="0" w:color="000000"/>
              <w:bottom w:val="single" w:sz="6" w:space="0" w:color="000000"/>
            </w:tcBorders>
          </w:tcPr>
          <w:p>
            <w:pPr>
              <w:pStyle w:val="TableParagraph"/>
              <w:spacing w:before="76"/>
              <w:ind w:left="80"/>
              <w:rPr>
                <w:sz w:val="22"/>
              </w:rPr>
            </w:pPr>
            <w:r>
              <w:rPr>
                <w:sz w:val="22"/>
              </w:rPr>
              <w:t>&lt; 25% объема</w:t>
            </w:r>
          </w:p>
        </w:tc>
      </w:tr>
      <w:tr>
        <w:trPr>
          <w:trHeight w:val="407" w:hRule="atLeast"/>
        </w:trPr>
        <w:tc>
          <w:tcPr>
            <w:tcW w:w="2830" w:type="dxa"/>
            <w:vMerge/>
            <w:tcBorders>
              <w:top w:val="nil"/>
              <w:bottom w:val="single" w:sz="6" w:space="0" w:color="000000"/>
            </w:tcBorders>
          </w:tcPr>
          <w:p>
            <w:pPr>
              <w:rPr>
                <w:sz w:val="2"/>
                <w:szCs w:val="2"/>
              </w:rPr>
            </w:pPr>
          </w:p>
        </w:tc>
        <w:tc>
          <w:tcPr>
            <w:tcW w:w="4536" w:type="dxa"/>
            <w:tcBorders>
              <w:top w:val="single" w:sz="6" w:space="0" w:color="000000"/>
              <w:bottom w:val="single" w:sz="6" w:space="0" w:color="000000"/>
            </w:tcBorders>
          </w:tcPr>
          <w:p>
            <w:pPr>
              <w:pStyle w:val="TableParagraph"/>
              <w:spacing w:before="78"/>
              <w:ind w:left="81"/>
              <w:rPr>
                <w:sz w:val="22"/>
              </w:rPr>
            </w:pPr>
            <w:r>
              <w:rPr>
                <w:sz w:val="22"/>
                <w:shd w:fill="C0C0C0" w:color="auto" w:val="clear"/>
              </w:rPr>
              <w:t>КТ-2</w:t>
            </w:r>
            <w:r>
              <w:rPr>
                <w:sz w:val="22"/>
              </w:rPr>
              <w:t> Средний</w:t>
            </w:r>
          </w:p>
        </w:tc>
        <w:tc>
          <w:tcPr>
            <w:tcW w:w="1990" w:type="dxa"/>
            <w:tcBorders>
              <w:top w:val="single" w:sz="6" w:space="0" w:color="000000"/>
              <w:bottom w:val="single" w:sz="6" w:space="0" w:color="000000"/>
            </w:tcBorders>
          </w:tcPr>
          <w:p>
            <w:pPr>
              <w:pStyle w:val="TableParagraph"/>
              <w:spacing w:before="78"/>
              <w:ind w:left="80"/>
              <w:rPr>
                <w:sz w:val="22"/>
              </w:rPr>
            </w:pPr>
            <w:r>
              <w:rPr>
                <w:sz w:val="22"/>
              </w:rPr>
              <w:t>25 – 50% объема</w:t>
            </w:r>
          </w:p>
        </w:tc>
      </w:tr>
      <w:tr>
        <w:trPr>
          <w:trHeight w:val="409" w:hRule="atLeast"/>
        </w:trPr>
        <w:tc>
          <w:tcPr>
            <w:tcW w:w="2830" w:type="dxa"/>
            <w:vMerge/>
            <w:tcBorders>
              <w:top w:val="nil"/>
              <w:bottom w:val="single" w:sz="6" w:space="0" w:color="000000"/>
            </w:tcBorders>
          </w:tcPr>
          <w:p>
            <w:pPr>
              <w:rPr>
                <w:sz w:val="2"/>
                <w:szCs w:val="2"/>
              </w:rPr>
            </w:pPr>
          </w:p>
        </w:tc>
        <w:tc>
          <w:tcPr>
            <w:tcW w:w="4536" w:type="dxa"/>
            <w:tcBorders>
              <w:top w:val="single" w:sz="6" w:space="0" w:color="000000"/>
              <w:bottom w:val="single" w:sz="6" w:space="0" w:color="000000"/>
            </w:tcBorders>
          </w:tcPr>
          <w:p>
            <w:pPr>
              <w:pStyle w:val="TableParagraph"/>
              <w:spacing w:before="78"/>
              <w:ind w:left="81"/>
              <w:rPr>
                <w:sz w:val="22"/>
              </w:rPr>
            </w:pPr>
            <w:r>
              <w:rPr>
                <w:sz w:val="22"/>
                <w:shd w:fill="C0C0C0" w:color="auto" w:val="clear"/>
              </w:rPr>
              <w:t>КТ-3</w:t>
            </w:r>
            <w:r>
              <w:rPr>
                <w:sz w:val="22"/>
              </w:rPr>
              <w:t> Значительный</w:t>
            </w:r>
          </w:p>
        </w:tc>
        <w:tc>
          <w:tcPr>
            <w:tcW w:w="1990" w:type="dxa"/>
            <w:tcBorders>
              <w:top w:val="single" w:sz="6" w:space="0" w:color="000000"/>
              <w:bottom w:val="single" w:sz="6" w:space="0" w:color="000000"/>
            </w:tcBorders>
          </w:tcPr>
          <w:p>
            <w:pPr>
              <w:pStyle w:val="TableParagraph"/>
              <w:spacing w:before="78"/>
              <w:ind w:left="80"/>
              <w:rPr>
                <w:sz w:val="22"/>
              </w:rPr>
            </w:pPr>
            <w:r>
              <w:rPr>
                <w:sz w:val="22"/>
              </w:rPr>
              <w:t>50 – 75% объема</w:t>
            </w:r>
          </w:p>
        </w:tc>
      </w:tr>
      <w:tr>
        <w:trPr>
          <w:trHeight w:val="2430" w:hRule="atLeast"/>
        </w:trPr>
        <w:tc>
          <w:tcPr>
            <w:tcW w:w="2830" w:type="dxa"/>
            <w:vMerge/>
            <w:tcBorders>
              <w:top w:val="nil"/>
              <w:bottom w:val="single" w:sz="6" w:space="0" w:color="000000"/>
            </w:tcBorders>
          </w:tcPr>
          <w:p>
            <w:pPr>
              <w:rPr>
                <w:sz w:val="2"/>
                <w:szCs w:val="2"/>
              </w:rPr>
            </w:pPr>
          </w:p>
        </w:tc>
        <w:tc>
          <w:tcPr>
            <w:tcW w:w="4536" w:type="dxa"/>
            <w:tcBorders>
              <w:top w:val="single" w:sz="6" w:space="0" w:color="000000"/>
              <w:bottom w:val="single" w:sz="6" w:space="0" w:color="000000"/>
            </w:tcBorders>
          </w:tcPr>
          <w:p>
            <w:pPr>
              <w:pStyle w:val="TableParagraph"/>
              <w:spacing w:before="76"/>
              <w:ind w:left="81"/>
              <w:rPr>
                <w:sz w:val="22"/>
              </w:rPr>
            </w:pPr>
            <w:r>
              <w:rPr>
                <w:sz w:val="22"/>
                <w:shd w:fill="C0C0C0" w:color="auto" w:val="clear"/>
              </w:rPr>
              <w:t>КТ-4</w:t>
            </w:r>
            <w:r>
              <w:rPr>
                <w:sz w:val="22"/>
              </w:rPr>
              <w:t> Субтотальный</w:t>
            </w:r>
          </w:p>
        </w:tc>
        <w:tc>
          <w:tcPr>
            <w:tcW w:w="1990" w:type="dxa"/>
            <w:tcBorders>
              <w:top w:val="single" w:sz="6" w:space="0" w:color="000000"/>
              <w:bottom w:val="single" w:sz="6" w:space="0" w:color="000000"/>
            </w:tcBorders>
          </w:tcPr>
          <w:p>
            <w:pPr>
              <w:pStyle w:val="TableParagraph"/>
              <w:rPr>
                <w:sz w:val="22"/>
              </w:rPr>
            </w:pPr>
          </w:p>
        </w:tc>
      </w:tr>
      <w:tr>
        <w:trPr>
          <w:trHeight w:val="661" w:hRule="atLeast"/>
        </w:trPr>
        <w:tc>
          <w:tcPr>
            <w:tcW w:w="2830" w:type="dxa"/>
            <w:tcBorders>
              <w:top w:val="single" w:sz="6" w:space="0" w:color="000000"/>
              <w:bottom w:val="single" w:sz="6" w:space="0" w:color="000000"/>
            </w:tcBorders>
          </w:tcPr>
          <w:p>
            <w:pPr>
              <w:pStyle w:val="TableParagraph"/>
              <w:spacing w:before="78"/>
              <w:ind w:left="81" w:right="444"/>
              <w:rPr>
                <w:sz w:val="22"/>
              </w:rPr>
            </w:pPr>
            <w:r>
              <w:rPr>
                <w:sz w:val="22"/>
              </w:rPr>
              <w:t>Другие важные находки (если есть)</w:t>
            </w:r>
          </w:p>
        </w:tc>
        <w:tc>
          <w:tcPr>
            <w:tcW w:w="6526" w:type="dxa"/>
            <w:gridSpan w:val="2"/>
            <w:tcBorders>
              <w:top w:val="single" w:sz="6" w:space="0" w:color="000000"/>
              <w:bottom w:val="single" w:sz="6" w:space="0" w:color="000000"/>
            </w:tcBorders>
          </w:tcPr>
          <w:p>
            <w:pPr>
              <w:pStyle w:val="TableParagraph"/>
              <w:rPr>
                <w:sz w:val="22"/>
              </w:rPr>
            </w:pPr>
          </w:p>
        </w:tc>
      </w:tr>
      <w:tr>
        <w:trPr>
          <w:trHeight w:val="407" w:hRule="atLeast"/>
        </w:trPr>
        <w:tc>
          <w:tcPr>
            <w:tcW w:w="9356" w:type="dxa"/>
            <w:gridSpan w:val="3"/>
            <w:tcBorders>
              <w:top w:val="single" w:sz="6" w:space="0" w:color="000000"/>
              <w:bottom w:val="single" w:sz="6" w:space="0" w:color="000000"/>
            </w:tcBorders>
            <w:shd w:val="clear" w:color="auto" w:fill="D9D9D9"/>
          </w:tcPr>
          <w:p>
            <w:pPr>
              <w:pStyle w:val="TableParagraph"/>
              <w:spacing w:before="76"/>
              <w:ind w:left="1607" w:right="1596"/>
              <w:jc w:val="center"/>
              <w:rPr>
                <w:b/>
                <w:sz w:val="22"/>
              </w:rPr>
            </w:pPr>
            <w:r>
              <w:rPr>
                <w:b/>
                <w:sz w:val="22"/>
              </w:rPr>
              <w:t>Жидкость в плевральной полости</w:t>
            </w:r>
          </w:p>
        </w:tc>
      </w:tr>
      <w:tr>
        <w:trPr>
          <w:trHeight w:val="407" w:hRule="atLeast"/>
        </w:trPr>
        <w:tc>
          <w:tcPr>
            <w:tcW w:w="7366" w:type="dxa"/>
            <w:gridSpan w:val="2"/>
            <w:tcBorders>
              <w:top w:val="single" w:sz="6" w:space="0" w:color="000000"/>
              <w:bottom w:val="single" w:sz="6" w:space="0" w:color="000000"/>
            </w:tcBorders>
          </w:tcPr>
          <w:p>
            <w:pPr>
              <w:pStyle w:val="TableParagraph"/>
              <w:spacing w:before="78"/>
              <w:ind w:left="81"/>
              <w:rPr>
                <w:sz w:val="22"/>
              </w:rPr>
            </w:pPr>
            <w:r>
              <w:rPr>
                <w:sz w:val="22"/>
              </w:rPr>
              <w:t>Справа</w:t>
            </w:r>
          </w:p>
        </w:tc>
        <w:tc>
          <w:tcPr>
            <w:tcW w:w="1990" w:type="dxa"/>
            <w:tcBorders>
              <w:top w:val="single" w:sz="6" w:space="0" w:color="000000"/>
              <w:bottom w:val="single" w:sz="6" w:space="0" w:color="000000"/>
            </w:tcBorders>
          </w:tcPr>
          <w:p>
            <w:pPr>
              <w:pStyle w:val="TableParagraph"/>
              <w:spacing w:before="78"/>
              <w:ind w:left="594"/>
              <w:rPr>
                <w:sz w:val="22"/>
              </w:rPr>
            </w:pPr>
            <w:r>
              <w:rPr>
                <w:sz w:val="22"/>
              </w:rPr>
              <w:t>Есть/нет</w:t>
            </w:r>
          </w:p>
        </w:tc>
      </w:tr>
      <w:tr>
        <w:trPr>
          <w:trHeight w:val="407" w:hRule="atLeast"/>
        </w:trPr>
        <w:tc>
          <w:tcPr>
            <w:tcW w:w="7366" w:type="dxa"/>
            <w:gridSpan w:val="2"/>
            <w:tcBorders>
              <w:top w:val="single" w:sz="6" w:space="0" w:color="000000"/>
              <w:bottom w:val="single" w:sz="6" w:space="0" w:color="000000"/>
            </w:tcBorders>
          </w:tcPr>
          <w:p>
            <w:pPr>
              <w:pStyle w:val="TableParagraph"/>
              <w:spacing w:before="78"/>
              <w:ind w:left="81"/>
              <w:rPr>
                <w:sz w:val="22"/>
              </w:rPr>
            </w:pPr>
            <w:r>
              <w:rPr>
                <w:sz w:val="22"/>
              </w:rPr>
              <w:t>Слева</w:t>
            </w:r>
          </w:p>
        </w:tc>
        <w:tc>
          <w:tcPr>
            <w:tcW w:w="1990" w:type="dxa"/>
            <w:tcBorders>
              <w:top w:val="single" w:sz="6" w:space="0" w:color="000000"/>
              <w:bottom w:val="single" w:sz="6" w:space="0" w:color="000000"/>
            </w:tcBorders>
          </w:tcPr>
          <w:p>
            <w:pPr>
              <w:pStyle w:val="TableParagraph"/>
              <w:spacing w:before="78"/>
              <w:ind w:left="594"/>
              <w:rPr>
                <w:sz w:val="22"/>
              </w:rPr>
            </w:pPr>
            <w:r>
              <w:rPr>
                <w:sz w:val="22"/>
              </w:rPr>
              <w:t>Есть/нет</w:t>
            </w:r>
          </w:p>
        </w:tc>
      </w:tr>
      <w:tr>
        <w:trPr>
          <w:trHeight w:val="409" w:hRule="atLeast"/>
        </w:trPr>
        <w:tc>
          <w:tcPr>
            <w:tcW w:w="2830" w:type="dxa"/>
            <w:vMerge w:val="restart"/>
            <w:tcBorders>
              <w:top w:val="single" w:sz="6" w:space="0" w:color="000000"/>
              <w:bottom w:val="single" w:sz="6" w:space="0" w:color="000000"/>
            </w:tcBorders>
          </w:tcPr>
          <w:p>
            <w:pPr>
              <w:pStyle w:val="TableParagraph"/>
              <w:spacing w:before="78"/>
              <w:ind w:left="81" w:right="400"/>
              <w:rPr>
                <w:sz w:val="22"/>
              </w:rPr>
            </w:pPr>
            <w:r>
              <w:rPr>
                <w:sz w:val="22"/>
              </w:rPr>
              <w:t>Вероятность связи выявленных в легких изменений с вирусной (в частности, COVID-19) пневмонией по рекомендациям ACR/RSNA/ESR-ESTI</w:t>
            </w:r>
          </w:p>
        </w:tc>
        <w:tc>
          <w:tcPr>
            <w:tcW w:w="4536" w:type="dxa"/>
            <w:tcBorders>
              <w:top w:val="single" w:sz="6" w:space="0" w:color="000000"/>
              <w:bottom w:val="single" w:sz="6" w:space="0" w:color="000000"/>
            </w:tcBorders>
          </w:tcPr>
          <w:p>
            <w:pPr>
              <w:pStyle w:val="TableParagraph"/>
              <w:spacing w:before="78"/>
              <w:ind w:left="81"/>
              <w:rPr>
                <w:sz w:val="22"/>
              </w:rPr>
            </w:pPr>
            <w:r>
              <w:rPr>
                <w:sz w:val="22"/>
              </w:rPr>
              <w:t>Типичная картина / Высокая вероятность</w:t>
            </w:r>
          </w:p>
        </w:tc>
        <w:tc>
          <w:tcPr>
            <w:tcW w:w="1990" w:type="dxa"/>
            <w:tcBorders>
              <w:top w:val="single" w:sz="6" w:space="0" w:color="000000"/>
              <w:bottom w:val="single" w:sz="6" w:space="0" w:color="000000"/>
            </w:tcBorders>
          </w:tcPr>
          <w:p>
            <w:pPr>
              <w:pStyle w:val="TableParagraph"/>
              <w:rPr>
                <w:sz w:val="22"/>
              </w:rPr>
            </w:pPr>
          </w:p>
        </w:tc>
      </w:tr>
      <w:tr>
        <w:trPr>
          <w:trHeight w:val="407" w:hRule="atLeast"/>
        </w:trPr>
        <w:tc>
          <w:tcPr>
            <w:tcW w:w="2830" w:type="dxa"/>
            <w:vMerge/>
            <w:tcBorders>
              <w:top w:val="nil"/>
              <w:bottom w:val="single" w:sz="6" w:space="0" w:color="000000"/>
            </w:tcBorders>
          </w:tcPr>
          <w:p>
            <w:pPr>
              <w:rPr>
                <w:sz w:val="2"/>
                <w:szCs w:val="2"/>
              </w:rPr>
            </w:pPr>
          </w:p>
        </w:tc>
        <w:tc>
          <w:tcPr>
            <w:tcW w:w="4536" w:type="dxa"/>
            <w:tcBorders>
              <w:top w:val="single" w:sz="6" w:space="0" w:color="000000"/>
              <w:bottom w:val="single" w:sz="6" w:space="0" w:color="000000"/>
            </w:tcBorders>
          </w:tcPr>
          <w:p>
            <w:pPr>
              <w:pStyle w:val="TableParagraph"/>
              <w:spacing w:before="76"/>
              <w:ind w:left="81"/>
              <w:rPr>
                <w:sz w:val="22"/>
              </w:rPr>
            </w:pPr>
            <w:r>
              <w:rPr>
                <w:sz w:val="22"/>
              </w:rPr>
              <w:t>Неопределенная картина</w:t>
            </w:r>
          </w:p>
        </w:tc>
        <w:tc>
          <w:tcPr>
            <w:tcW w:w="1990" w:type="dxa"/>
            <w:tcBorders>
              <w:top w:val="single" w:sz="6" w:space="0" w:color="000000"/>
              <w:bottom w:val="single" w:sz="6" w:space="0" w:color="000000"/>
            </w:tcBorders>
          </w:tcPr>
          <w:p>
            <w:pPr>
              <w:pStyle w:val="TableParagraph"/>
              <w:rPr>
                <w:sz w:val="22"/>
              </w:rPr>
            </w:pPr>
          </w:p>
        </w:tc>
      </w:tr>
      <w:tr>
        <w:trPr>
          <w:trHeight w:val="407" w:hRule="atLeast"/>
        </w:trPr>
        <w:tc>
          <w:tcPr>
            <w:tcW w:w="2830" w:type="dxa"/>
            <w:vMerge/>
            <w:tcBorders>
              <w:top w:val="nil"/>
              <w:bottom w:val="single" w:sz="6" w:space="0" w:color="000000"/>
            </w:tcBorders>
          </w:tcPr>
          <w:p>
            <w:pPr>
              <w:rPr>
                <w:sz w:val="2"/>
                <w:szCs w:val="2"/>
              </w:rPr>
            </w:pPr>
          </w:p>
        </w:tc>
        <w:tc>
          <w:tcPr>
            <w:tcW w:w="4536" w:type="dxa"/>
            <w:tcBorders>
              <w:top w:val="single" w:sz="6" w:space="0" w:color="000000"/>
              <w:bottom w:val="single" w:sz="6" w:space="0" w:color="000000"/>
            </w:tcBorders>
          </w:tcPr>
          <w:p>
            <w:pPr>
              <w:pStyle w:val="TableParagraph"/>
              <w:spacing w:before="76"/>
              <w:ind w:left="81"/>
              <w:rPr>
                <w:sz w:val="22"/>
              </w:rPr>
            </w:pPr>
            <w:r>
              <w:rPr>
                <w:sz w:val="22"/>
              </w:rPr>
              <w:t>Другой диагноз</w:t>
            </w:r>
          </w:p>
        </w:tc>
        <w:tc>
          <w:tcPr>
            <w:tcW w:w="1990" w:type="dxa"/>
            <w:tcBorders>
              <w:top w:val="single" w:sz="6" w:space="0" w:color="000000"/>
              <w:bottom w:val="single" w:sz="6" w:space="0" w:color="000000"/>
            </w:tcBorders>
          </w:tcPr>
          <w:p>
            <w:pPr>
              <w:pStyle w:val="TableParagraph"/>
              <w:rPr>
                <w:sz w:val="22"/>
              </w:rPr>
            </w:pPr>
          </w:p>
        </w:tc>
      </w:tr>
      <w:tr>
        <w:trPr>
          <w:trHeight w:val="656" w:hRule="atLeast"/>
        </w:trPr>
        <w:tc>
          <w:tcPr>
            <w:tcW w:w="2830" w:type="dxa"/>
            <w:vMerge/>
            <w:tcBorders>
              <w:top w:val="nil"/>
              <w:bottom w:val="single" w:sz="6" w:space="0" w:color="000000"/>
            </w:tcBorders>
          </w:tcPr>
          <w:p>
            <w:pPr>
              <w:rPr>
                <w:sz w:val="2"/>
                <w:szCs w:val="2"/>
              </w:rPr>
            </w:pPr>
          </w:p>
        </w:tc>
        <w:tc>
          <w:tcPr>
            <w:tcW w:w="4536" w:type="dxa"/>
            <w:tcBorders>
              <w:top w:val="single" w:sz="6" w:space="0" w:color="000000"/>
              <w:bottom w:val="single" w:sz="6" w:space="0" w:color="000000"/>
            </w:tcBorders>
          </w:tcPr>
          <w:p>
            <w:pPr>
              <w:pStyle w:val="TableParagraph"/>
              <w:spacing w:before="78"/>
              <w:ind w:left="81"/>
              <w:rPr>
                <w:sz w:val="22"/>
              </w:rPr>
            </w:pPr>
            <w:r>
              <w:rPr>
                <w:sz w:val="22"/>
              </w:rPr>
              <w:t>Норма / Нет изменений</w:t>
            </w:r>
          </w:p>
        </w:tc>
        <w:tc>
          <w:tcPr>
            <w:tcW w:w="1990" w:type="dxa"/>
            <w:tcBorders>
              <w:top w:val="single" w:sz="6" w:space="0" w:color="000000"/>
              <w:bottom w:val="single" w:sz="6" w:space="0" w:color="000000"/>
            </w:tcBorders>
          </w:tcPr>
          <w:p>
            <w:pPr>
              <w:pStyle w:val="TableParagraph"/>
              <w:rPr>
                <w:sz w:val="22"/>
              </w:rPr>
            </w:pPr>
          </w:p>
        </w:tc>
      </w:tr>
    </w:tbl>
    <w:p>
      <w:pPr>
        <w:pStyle w:val="BodyText"/>
        <w:spacing w:before="10"/>
        <w:ind w:left="0"/>
        <w:jc w:val="left"/>
        <w:rPr>
          <w:b/>
          <w:sz w:val="23"/>
        </w:rPr>
      </w:pPr>
    </w:p>
    <w:p>
      <w:pPr>
        <w:pStyle w:val="ListParagraph"/>
        <w:numPr>
          <w:ilvl w:val="1"/>
          <w:numId w:val="42"/>
        </w:numPr>
        <w:tabs>
          <w:tab w:pos="1390" w:val="left" w:leader="none"/>
        </w:tabs>
        <w:spacing w:line="240" w:lineRule="auto" w:before="0" w:after="0"/>
        <w:ind w:left="1389" w:right="1075" w:hanging="360"/>
        <w:jc w:val="both"/>
        <w:rPr>
          <w:b/>
          <w:sz w:val="24"/>
        </w:rPr>
      </w:pPr>
      <w:r>
        <w:rPr>
          <w:b/>
          <w:sz w:val="24"/>
        </w:rPr>
        <w:t>Общие рекомендации по протоколированию результатов КТ легких у пациентов с предполагаемой пневмонией</w:t>
      </w:r>
      <w:r>
        <w:rPr>
          <w:b/>
          <w:spacing w:val="-3"/>
          <w:sz w:val="24"/>
        </w:rPr>
        <w:t> </w:t>
      </w:r>
      <w:r>
        <w:rPr>
          <w:b/>
          <w:sz w:val="24"/>
        </w:rPr>
        <w:t>COVID-19</w:t>
      </w:r>
    </w:p>
    <w:p>
      <w:pPr>
        <w:pStyle w:val="BodyText"/>
        <w:ind w:right="672" w:firstLine="708"/>
      </w:pPr>
      <w:r>
        <w:rPr/>
        <w:t>Для правильной трактовки полученных данных </w:t>
      </w:r>
      <w:r>
        <w:rPr>
          <w:b/>
        </w:rPr>
        <w:t>до начала описания </w:t>
      </w:r>
      <w:r>
        <w:rPr/>
        <w:t>крайне важно получение лечащим врачом клинической информации об истории заболевания и состоянии пациента (желательно дистанционно, без прямого</w:t>
      </w:r>
      <w:r>
        <w:rPr>
          <w:spacing w:val="-5"/>
        </w:rPr>
        <w:t> </w:t>
      </w:r>
      <w:r>
        <w:rPr/>
        <w:t>контакта).</w:t>
      </w:r>
    </w:p>
    <w:p>
      <w:pPr>
        <w:pStyle w:val="BodyText"/>
        <w:ind w:left="1029"/>
      </w:pPr>
      <w:r>
        <w:rPr/>
        <w:t>В протоколе КТ исследования должны быть указаны:</w:t>
      </w:r>
    </w:p>
    <w:p>
      <w:pPr>
        <w:spacing w:after="0"/>
        <w:sectPr>
          <w:pgSz w:w="11920" w:h="16850"/>
          <w:pgMar w:header="0" w:footer="620" w:top="1060" w:bottom="880" w:left="1380" w:right="600"/>
        </w:sectPr>
      </w:pPr>
    </w:p>
    <w:p>
      <w:pPr>
        <w:pStyle w:val="ListParagraph"/>
        <w:numPr>
          <w:ilvl w:val="0"/>
          <w:numId w:val="43"/>
        </w:numPr>
        <w:tabs>
          <w:tab w:pos="1001" w:val="left" w:leader="none"/>
        </w:tabs>
        <w:spacing w:line="240" w:lineRule="auto" w:before="76" w:after="0"/>
        <w:ind w:left="1000" w:right="0" w:hanging="339"/>
        <w:jc w:val="both"/>
        <w:rPr>
          <w:sz w:val="24"/>
        </w:rPr>
      </w:pPr>
      <w:r>
        <w:rPr>
          <w:sz w:val="24"/>
        </w:rPr>
        <w:t>Дата появления симптомов болезни на день выполнения КТ (если</w:t>
      </w:r>
      <w:r>
        <w:rPr>
          <w:spacing w:val="-10"/>
          <w:sz w:val="24"/>
        </w:rPr>
        <w:t> </w:t>
      </w:r>
      <w:r>
        <w:rPr>
          <w:sz w:val="24"/>
        </w:rPr>
        <w:t>известна);</w:t>
      </w:r>
    </w:p>
    <w:p>
      <w:pPr>
        <w:pStyle w:val="ListParagraph"/>
        <w:numPr>
          <w:ilvl w:val="0"/>
          <w:numId w:val="43"/>
        </w:numPr>
        <w:tabs>
          <w:tab w:pos="1001" w:val="left" w:leader="none"/>
        </w:tabs>
        <w:spacing w:line="240" w:lineRule="auto" w:before="83" w:after="0"/>
        <w:ind w:left="1000" w:right="0" w:hanging="339"/>
        <w:jc w:val="both"/>
        <w:rPr>
          <w:sz w:val="24"/>
        </w:rPr>
      </w:pPr>
      <w:r>
        <w:rPr>
          <w:sz w:val="24"/>
        </w:rPr>
        <w:t>Методика сканирования, использование внутривенного</w:t>
      </w:r>
      <w:r>
        <w:rPr>
          <w:spacing w:val="-4"/>
          <w:sz w:val="24"/>
        </w:rPr>
        <w:t> </w:t>
      </w:r>
      <w:r>
        <w:rPr>
          <w:sz w:val="24"/>
        </w:rPr>
        <w:t>контрастирования;</w:t>
      </w:r>
    </w:p>
    <w:p>
      <w:pPr>
        <w:pStyle w:val="ListParagraph"/>
        <w:numPr>
          <w:ilvl w:val="0"/>
          <w:numId w:val="43"/>
        </w:numPr>
        <w:tabs>
          <w:tab w:pos="1001" w:val="left" w:leader="none"/>
        </w:tabs>
        <w:spacing w:line="309" w:lineRule="auto" w:before="80" w:after="0"/>
        <w:ind w:left="1000" w:right="673" w:hanging="339"/>
        <w:jc w:val="both"/>
        <w:rPr>
          <w:sz w:val="24"/>
        </w:rPr>
      </w:pPr>
      <w:r>
        <w:rPr>
          <w:sz w:val="24"/>
        </w:rPr>
        <w:t>Медицинские</w:t>
      </w:r>
      <w:r>
        <w:rPr>
          <w:spacing w:val="-7"/>
          <w:sz w:val="24"/>
        </w:rPr>
        <w:t> </w:t>
      </w:r>
      <w:r>
        <w:rPr>
          <w:sz w:val="24"/>
        </w:rPr>
        <w:t>устройства</w:t>
      </w:r>
      <w:r>
        <w:rPr>
          <w:spacing w:val="-8"/>
          <w:sz w:val="24"/>
        </w:rPr>
        <w:t> </w:t>
      </w:r>
      <w:r>
        <w:rPr>
          <w:sz w:val="24"/>
        </w:rPr>
        <w:t>и</w:t>
      </w:r>
      <w:r>
        <w:rPr>
          <w:spacing w:val="-7"/>
          <w:sz w:val="24"/>
        </w:rPr>
        <w:t> </w:t>
      </w:r>
      <w:r>
        <w:rPr>
          <w:sz w:val="24"/>
        </w:rPr>
        <w:t>иные</w:t>
      </w:r>
      <w:r>
        <w:rPr>
          <w:spacing w:val="-8"/>
          <w:sz w:val="24"/>
        </w:rPr>
        <w:t> </w:t>
      </w:r>
      <w:r>
        <w:rPr>
          <w:sz w:val="24"/>
        </w:rPr>
        <w:t>предметы</w:t>
      </w:r>
      <w:r>
        <w:rPr>
          <w:spacing w:val="-8"/>
          <w:sz w:val="24"/>
        </w:rPr>
        <w:t> </w:t>
      </w:r>
      <w:r>
        <w:rPr>
          <w:sz w:val="24"/>
        </w:rPr>
        <w:t>в</w:t>
      </w:r>
      <w:r>
        <w:rPr>
          <w:spacing w:val="-8"/>
          <w:sz w:val="24"/>
        </w:rPr>
        <w:t> </w:t>
      </w:r>
      <w:r>
        <w:rPr>
          <w:sz w:val="24"/>
        </w:rPr>
        <w:t>зоне</w:t>
      </w:r>
      <w:r>
        <w:rPr>
          <w:spacing w:val="-9"/>
          <w:sz w:val="24"/>
        </w:rPr>
        <w:t> </w:t>
      </w:r>
      <w:r>
        <w:rPr>
          <w:sz w:val="24"/>
        </w:rPr>
        <w:t>сканирования</w:t>
      </w:r>
      <w:r>
        <w:rPr>
          <w:spacing w:val="-10"/>
          <w:sz w:val="24"/>
        </w:rPr>
        <w:t> </w:t>
      </w:r>
      <w:r>
        <w:rPr>
          <w:sz w:val="24"/>
        </w:rPr>
        <w:t>(интубационная трубка, катетеры, дренажи, зонды, искусственные водители ритма, инородные тела и проч.), их расположение и правильность установки;</w:t>
      </w:r>
    </w:p>
    <w:p>
      <w:pPr>
        <w:pStyle w:val="ListParagraph"/>
        <w:numPr>
          <w:ilvl w:val="0"/>
          <w:numId w:val="43"/>
        </w:numPr>
        <w:tabs>
          <w:tab w:pos="1001" w:val="left" w:leader="none"/>
        </w:tabs>
        <w:spacing w:line="304" w:lineRule="auto" w:before="3" w:after="0"/>
        <w:ind w:left="1000" w:right="674" w:hanging="339"/>
        <w:jc w:val="both"/>
        <w:rPr>
          <w:sz w:val="24"/>
        </w:rPr>
      </w:pPr>
      <w:r>
        <w:rPr>
          <w:sz w:val="24"/>
        </w:rPr>
        <w:t>Наличие изменений в легких по типу «матового стекла», консолидации, симптомов «булыжной мостовой», «воздушной бронхографии»,</w:t>
      </w:r>
      <w:r>
        <w:rPr>
          <w:spacing w:val="59"/>
          <w:sz w:val="24"/>
        </w:rPr>
        <w:t> </w:t>
      </w:r>
      <w:r>
        <w:rPr>
          <w:sz w:val="24"/>
        </w:rPr>
        <w:t>обратного</w:t>
      </w:r>
    </w:p>
    <w:p>
      <w:pPr>
        <w:pStyle w:val="BodyText"/>
        <w:spacing w:before="9"/>
        <w:ind w:left="1000"/>
        <w:jc w:val="left"/>
      </w:pPr>
      <w:r>
        <w:rPr/>
        <w:t>«ореола»;</w:t>
      </w:r>
    </w:p>
    <w:p>
      <w:pPr>
        <w:pStyle w:val="ListParagraph"/>
        <w:numPr>
          <w:ilvl w:val="0"/>
          <w:numId w:val="43"/>
        </w:numPr>
        <w:tabs>
          <w:tab w:pos="1001" w:val="left" w:leader="none"/>
        </w:tabs>
        <w:spacing w:line="309" w:lineRule="auto" w:before="86" w:after="0"/>
        <w:ind w:left="1000" w:right="678" w:hanging="339"/>
        <w:jc w:val="both"/>
        <w:rPr>
          <w:sz w:val="24"/>
        </w:rPr>
      </w:pPr>
      <w:r>
        <w:rPr>
          <w:sz w:val="24"/>
        </w:rPr>
        <w:t>Локализация изменений по долям и сегментам легких, а также преобладающее пространственное распределение (периферическое, центральное, диффузное; преимущественное заднее или переднее, верхнее или</w:t>
      </w:r>
      <w:r>
        <w:rPr>
          <w:spacing w:val="-3"/>
          <w:sz w:val="24"/>
        </w:rPr>
        <w:t> </w:t>
      </w:r>
      <w:r>
        <w:rPr>
          <w:sz w:val="24"/>
        </w:rPr>
        <w:t>нижнее);</w:t>
      </w:r>
    </w:p>
    <w:p>
      <w:pPr>
        <w:pStyle w:val="ListParagraph"/>
        <w:numPr>
          <w:ilvl w:val="0"/>
          <w:numId w:val="43"/>
        </w:numPr>
        <w:tabs>
          <w:tab w:pos="1001" w:val="left" w:leader="none"/>
        </w:tabs>
        <w:spacing w:line="240" w:lineRule="auto" w:before="0" w:after="0"/>
        <w:ind w:left="1000" w:right="0" w:hanging="339"/>
        <w:jc w:val="both"/>
        <w:rPr>
          <w:sz w:val="24"/>
        </w:rPr>
      </w:pPr>
      <w:r>
        <w:rPr>
          <w:sz w:val="24"/>
        </w:rPr>
        <w:t>Наличие и примерный объем жидкости в плевральной полости и/или</w:t>
      </w:r>
      <w:r>
        <w:rPr>
          <w:spacing w:val="-41"/>
          <w:sz w:val="24"/>
        </w:rPr>
        <w:t> </w:t>
      </w:r>
      <w:r>
        <w:rPr>
          <w:sz w:val="24"/>
        </w:rPr>
        <w:t>перикарде;</w:t>
      </w:r>
    </w:p>
    <w:p>
      <w:pPr>
        <w:pStyle w:val="ListParagraph"/>
        <w:numPr>
          <w:ilvl w:val="0"/>
          <w:numId w:val="43"/>
        </w:numPr>
        <w:tabs>
          <w:tab w:pos="1001" w:val="left" w:leader="none"/>
        </w:tabs>
        <w:spacing w:line="309" w:lineRule="auto" w:before="83" w:after="0"/>
        <w:ind w:left="1000" w:right="672" w:hanging="339"/>
        <w:jc w:val="both"/>
        <w:rPr>
          <w:sz w:val="24"/>
        </w:rPr>
      </w:pPr>
      <w:r>
        <w:rPr>
          <w:sz w:val="24"/>
        </w:rPr>
        <w:t>Указываются все другие находки (согласно стандартному протоколу описания КТ</w:t>
      </w:r>
      <w:r>
        <w:rPr>
          <w:spacing w:val="-7"/>
          <w:sz w:val="24"/>
        </w:rPr>
        <w:t> </w:t>
      </w:r>
      <w:r>
        <w:rPr>
          <w:sz w:val="24"/>
        </w:rPr>
        <w:t>ОГК):</w:t>
      </w:r>
      <w:r>
        <w:rPr>
          <w:spacing w:val="-6"/>
          <w:sz w:val="24"/>
        </w:rPr>
        <w:t> </w:t>
      </w:r>
      <w:r>
        <w:rPr>
          <w:sz w:val="24"/>
        </w:rPr>
        <w:t>находки</w:t>
      </w:r>
      <w:r>
        <w:rPr>
          <w:spacing w:val="-6"/>
          <w:sz w:val="24"/>
        </w:rPr>
        <w:t> </w:t>
      </w:r>
      <w:r>
        <w:rPr>
          <w:sz w:val="24"/>
        </w:rPr>
        <w:t>в</w:t>
      </w:r>
      <w:r>
        <w:rPr>
          <w:spacing w:val="-7"/>
          <w:sz w:val="24"/>
        </w:rPr>
        <w:t> </w:t>
      </w:r>
      <w:r>
        <w:rPr>
          <w:sz w:val="24"/>
        </w:rPr>
        <w:t>легочной</w:t>
      </w:r>
      <w:r>
        <w:rPr>
          <w:spacing w:val="-5"/>
          <w:sz w:val="24"/>
        </w:rPr>
        <w:t> </w:t>
      </w:r>
      <w:r>
        <w:rPr>
          <w:sz w:val="24"/>
        </w:rPr>
        <w:t>ткани</w:t>
      </w:r>
      <w:r>
        <w:rPr>
          <w:spacing w:val="-6"/>
          <w:sz w:val="24"/>
        </w:rPr>
        <w:t> </w:t>
      </w:r>
      <w:r>
        <w:rPr>
          <w:sz w:val="24"/>
        </w:rPr>
        <w:t>(очаги,</w:t>
      </w:r>
      <w:r>
        <w:rPr>
          <w:spacing w:val="-6"/>
          <w:sz w:val="24"/>
        </w:rPr>
        <w:t> </w:t>
      </w:r>
      <w:r>
        <w:rPr>
          <w:sz w:val="24"/>
        </w:rPr>
        <w:t>полости,</w:t>
      </w:r>
      <w:r>
        <w:rPr>
          <w:spacing w:val="-7"/>
          <w:sz w:val="24"/>
        </w:rPr>
        <w:t> </w:t>
      </w:r>
      <w:r>
        <w:rPr>
          <w:sz w:val="24"/>
        </w:rPr>
        <w:t>симптом</w:t>
      </w:r>
      <w:r>
        <w:rPr>
          <w:spacing w:val="-5"/>
          <w:sz w:val="24"/>
        </w:rPr>
        <w:t> </w:t>
      </w:r>
      <w:r>
        <w:rPr>
          <w:sz w:val="24"/>
        </w:rPr>
        <w:t>«дерева</w:t>
      </w:r>
      <w:r>
        <w:rPr>
          <w:spacing w:val="-5"/>
          <w:sz w:val="24"/>
        </w:rPr>
        <w:t> </w:t>
      </w:r>
      <w:r>
        <w:rPr>
          <w:sz w:val="24"/>
        </w:rPr>
        <w:t>в</w:t>
      </w:r>
      <w:r>
        <w:rPr>
          <w:spacing w:val="-8"/>
          <w:sz w:val="24"/>
        </w:rPr>
        <w:t> </w:t>
      </w:r>
      <w:r>
        <w:rPr>
          <w:sz w:val="24"/>
        </w:rPr>
        <w:t>почках» и другие), состояние и ход трахеи и бронхов, состояние отдельных групп лимфоузлов, размеры и контуры магистральных сосудов и камер сердца; состояние позвоночника и других костей в пределах зоны</w:t>
      </w:r>
      <w:r>
        <w:rPr>
          <w:spacing w:val="-4"/>
          <w:sz w:val="24"/>
        </w:rPr>
        <w:t> </w:t>
      </w:r>
      <w:r>
        <w:rPr>
          <w:sz w:val="24"/>
        </w:rPr>
        <w:t>сканирования;</w:t>
      </w:r>
    </w:p>
    <w:p>
      <w:pPr>
        <w:pStyle w:val="ListParagraph"/>
        <w:numPr>
          <w:ilvl w:val="0"/>
          <w:numId w:val="43"/>
        </w:numPr>
        <w:tabs>
          <w:tab w:pos="1001" w:val="left" w:leader="none"/>
        </w:tabs>
        <w:spacing w:line="304" w:lineRule="auto" w:before="9" w:after="0"/>
        <w:ind w:left="1000" w:right="676" w:hanging="339"/>
        <w:jc w:val="both"/>
        <w:rPr>
          <w:sz w:val="24"/>
        </w:rPr>
      </w:pPr>
      <w:r>
        <w:rPr>
          <w:sz w:val="24"/>
        </w:rPr>
        <w:t>Обязательным является описание динамики, если имеются данных предыдущих КТ;</w:t>
      </w:r>
    </w:p>
    <w:p>
      <w:pPr>
        <w:pStyle w:val="ListParagraph"/>
        <w:numPr>
          <w:ilvl w:val="0"/>
          <w:numId w:val="43"/>
        </w:numPr>
        <w:tabs>
          <w:tab w:pos="1001" w:val="left" w:leader="none"/>
        </w:tabs>
        <w:spacing w:line="309" w:lineRule="auto" w:before="10" w:after="0"/>
        <w:ind w:left="1000" w:right="676" w:hanging="339"/>
        <w:jc w:val="both"/>
        <w:rPr>
          <w:sz w:val="24"/>
        </w:rPr>
      </w:pPr>
      <w:r>
        <w:rPr>
          <w:sz w:val="24"/>
        </w:rPr>
        <w:t>В </w:t>
      </w:r>
      <w:r>
        <w:rPr>
          <w:b/>
          <w:sz w:val="24"/>
        </w:rPr>
        <w:t>заключении </w:t>
      </w:r>
      <w:r>
        <w:rPr>
          <w:sz w:val="24"/>
        </w:rPr>
        <w:t>приводится вероятностная оценка связи выявленных изменений с COVID-19 согласно международным рекомендациям и примерный объем поражения легких (см.</w:t>
      </w:r>
      <w:r>
        <w:rPr>
          <w:spacing w:val="1"/>
          <w:sz w:val="24"/>
        </w:rPr>
        <w:t> </w:t>
      </w:r>
      <w:r>
        <w:rPr>
          <w:sz w:val="24"/>
        </w:rPr>
        <w:t>ниже).</w:t>
      </w:r>
    </w:p>
    <w:p>
      <w:pPr>
        <w:pStyle w:val="BodyText"/>
        <w:spacing w:before="2"/>
        <w:ind w:left="0"/>
        <w:jc w:val="left"/>
        <w:rPr>
          <w:sz w:val="25"/>
        </w:rPr>
      </w:pPr>
    </w:p>
    <w:p>
      <w:pPr>
        <w:pStyle w:val="Heading3"/>
        <w:ind w:left="321" w:right="674" w:firstLine="708"/>
      </w:pPr>
      <w:r>
        <w:rPr/>
        <w:t>Всегда следует помнить о том, что исследование может быть проведено пациенту с любой патологией легких, сердца, средостения и других органов!</w:t>
      </w:r>
    </w:p>
    <w:p>
      <w:pPr>
        <w:pStyle w:val="BodyText"/>
        <w:ind w:left="0"/>
        <w:jc w:val="left"/>
        <w:rPr>
          <w:b/>
        </w:rPr>
      </w:pPr>
    </w:p>
    <w:p>
      <w:pPr>
        <w:pStyle w:val="BodyText"/>
        <w:ind w:right="671" w:firstLine="708"/>
      </w:pPr>
      <w:r>
        <w:rPr/>
        <w:t>Принципы</w:t>
      </w:r>
      <w:r>
        <w:rPr>
          <w:spacing w:val="-15"/>
        </w:rPr>
        <w:t> </w:t>
      </w:r>
      <w:r>
        <w:rPr/>
        <w:t>оценки</w:t>
      </w:r>
      <w:r>
        <w:rPr>
          <w:spacing w:val="-13"/>
        </w:rPr>
        <w:t> </w:t>
      </w:r>
      <w:r>
        <w:rPr/>
        <w:t>изменений</w:t>
      </w:r>
      <w:r>
        <w:rPr>
          <w:spacing w:val="-12"/>
        </w:rPr>
        <w:t> </w:t>
      </w:r>
      <w:r>
        <w:rPr/>
        <w:t>легочной</w:t>
      </w:r>
      <w:r>
        <w:rPr>
          <w:spacing w:val="-13"/>
        </w:rPr>
        <w:t> </w:t>
      </w:r>
      <w:r>
        <w:rPr/>
        <w:t>ткани</w:t>
      </w:r>
      <w:r>
        <w:rPr>
          <w:spacing w:val="-13"/>
        </w:rPr>
        <w:t> </w:t>
      </w:r>
      <w:r>
        <w:rPr/>
        <w:t>при</w:t>
      </w:r>
      <w:r>
        <w:rPr>
          <w:spacing w:val="-13"/>
        </w:rPr>
        <w:t> </w:t>
      </w:r>
      <w:r>
        <w:rPr/>
        <w:t>COVID-19</w:t>
      </w:r>
      <w:r>
        <w:rPr>
          <w:spacing w:val="-13"/>
        </w:rPr>
        <w:t> </w:t>
      </w:r>
      <w:r>
        <w:rPr/>
        <w:t>по</w:t>
      </w:r>
      <w:r>
        <w:rPr>
          <w:spacing w:val="-14"/>
        </w:rPr>
        <w:t> </w:t>
      </w:r>
      <w:r>
        <w:rPr/>
        <w:t>данным</w:t>
      </w:r>
      <w:r>
        <w:rPr>
          <w:spacing w:val="-15"/>
        </w:rPr>
        <w:t> </w:t>
      </w:r>
      <w:r>
        <w:rPr/>
        <w:t>КТ</w:t>
      </w:r>
      <w:r>
        <w:rPr>
          <w:spacing w:val="-14"/>
        </w:rPr>
        <w:t> </w:t>
      </w:r>
      <w:r>
        <w:rPr/>
        <w:t>ОГК представлены в таблице. Процент поражения оценивается отдельно по каждому легкому. Степень изменений оценивается по легкому с наибольшим поражением (вне зависимости от наличия постоперационных</w:t>
      </w:r>
      <w:r>
        <w:rPr>
          <w:spacing w:val="1"/>
        </w:rPr>
        <w:t> </w:t>
      </w:r>
      <w:r>
        <w:rPr/>
        <w:t>изменений).</w:t>
      </w:r>
    </w:p>
    <w:p>
      <w:pPr>
        <w:pStyle w:val="BodyText"/>
        <w:ind w:left="0"/>
        <w:jc w:val="left"/>
      </w:pPr>
    </w:p>
    <w:p>
      <w:pPr>
        <w:pStyle w:val="Heading3"/>
        <w:ind w:left="1077" w:right="1425" w:firstLine="1000"/>
        <w:jc w:val="left"/>
      </w:pPr>
      <w:r>
        <w:rPr/>
        <w:t>Рекомендации по формулировке заключения КТ: вероятность связи выявленных изменений с пневмонией COVID-19</w:t>
      </w:r>
    </w:p>
    <w:p>
      <w:pPr>
        <w:pStyle w:val="BodyText"/>
        <w:ind w:left="399" w:right="758"/>
        <w:jc w:val="center"/>
      </w:pPr>
      <w:r>
        <w:rPr/>
        <w:t>(рекомендации RSNA/ACR/BSTI/ESR-ESTI)</w:t>
      </w:r>
    </w:p>
    <w:tbl>
      <w:tblPr>
        <w:tblW w:w="0" w:type="auto"/>
        <w:jc w:val="left"/>
        <w:tblInd w:w="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747"/>
        <w:gridCol w:w="4322"/>
      </w:tblGrid>
      <w:tr>
        <w:trPr>
          <w:trHeight w:val="663" w:hRule="atLeast"/>
        </w:trPr>
        <w:tc>
          <w:tcPr>
            <w:tcW w:w="4747" w:type="dxa"/>
            <w:tcBorders>
              <w:bottom w:val="single" w:sz="6" w:space="0" w:color="000000"/>
            </w:tcBorders>
            <w:shd w:val="clear" w:color="auto" w:fill="F1F1F1"/>
          </w:tcPr>
          <w:p>
            <w:pPr>
              <w:pStyle w:val="TableParagraph"/>
              <w:spacing w:before="80"/>
              <w:ind w:left="787"/>
              <w:rPr>
                <w:b/>
                <w:sz w:val="22"/>
              </w:rPr>
            </w:pPr>
            <w:r>
              <w:rPr>
                <w:b/>
                <w:sz w:val="22"/>
              </w:rPr>
              <w:t>Признаки патологии при КТ</w:t>
            </w:r>
          </w:p>
        </w:tc>
        <w:tc>
          <w:tcPr>
            <w:tcW w:w="4322" w:type="dxa"/>
            <w:tcBorders>
              <w:bottom w:val="single" w:sz="6" w:space="0" w:color="000000"/>
            </w:tcBorders>
            <w:shd w:val="clear" w:color="auto" w:fill="F1F1F1"/>
          </w:tcPr>
          <w:p>
            <w:pPr>
              <w:pStyle w:val="TableParagraph"/>
              <w:spacing w:before="80"/>
              <w:ind w:left="79" w:right="1381"/>
              <w:rPr>
                <w:b/>
                <w:sz w:val="22"/>
              </w:rPr>
            </w:pPr>
            <w:r>
              <w:rPr>
                <w:b/>
                <w:sz w:val="22"/>
              </w:rPr>
              <w:t>Возможная формулировка в заключении:</w:t>
            </w:r>
          </w:p>
        </w:tc>
      </w:tr>
      <w:tr>
        <w:trPr>
          <w:trHeight w:val="1684" w:hRule="atLeast"/>
        </w:trPr>
        <w:tc>
          <w:tcPr>
            <w:tcW w:w="4747" w:type="dxa"/>
            <w:tcBorders>
              <w:top w:val="single" w:sz="6" w:space="0" w:color="000000"/>
              <w:bottom w:val="single" w:sz="6" w:space="0" w:color="000000"/>
            </w:tcBorders>
            <w:shd w:val="clear" w:color="auto" w:fill="F1F1F1"/>
          </w:tcPr>
          <w:p>
            <w:pPr>
              <w:pStyle w:val="TableParagraph"/>
              <w:spacing w:before="76"/>
              <w:ind w:left="79"/>
              <w:rPr>
                <w:b/>
                <w:sz w:val="22"/>
              </w:rPr>
            </w:pPr>
            <w:r>
              <w:rPr>
                <w:b/>
                <w:sz w:val="22"/>
              </w:rPr>
              <w:t>Типичная картина</w:t>
            </w:r>
          </w:p>
          <w:p>
            <w:pPr>
              <w:pStyle w:val="TableParagraph"/>
              <w:numPr>
                <w:ilvl w:val="0"/>
                <w:numId w:val="44"/>
              </w:numPr>
              <w:tabs>
                <w:tab w:pos="439" w:val="left" w:leader="none"/>
                <w:tab w:pos="440" w:val="left" w:leader="none"/>
              </w:tabs>
              <w:spacing w:line="240" w:lineRule="auto" w:before="2" w:after="0"/>
              <w:ind w:left="439" w:right="102" w:hanging="360"/>
              <w:jc w:val="left"/>
              <w:rPr>
                <w:sz w:val="22"/>
              </w:rPr>
            </w:pPr>
            <w:r>
              <w:rPr>
                <w:sz w:val="22"/>
              </w:rPr>
              <w:t>Многочисленные двусторонние субплевральные уплотнения легочной ткани по типу «матового</w:t>
            </w:r>
            <w:r>
              <w:rPr>
                <w:spacing w:val="-2"/>
                <w:sz w:val="22"/>
              </w:rPr>
              <w:t> </w:t>
            </w:r>
            <w:r>
              <w:rPr>
                <w:sz w:val="22"/>
              </w:rPr>
              <w:t>стекла»,</w:t>
            </w:r>
          </w:p>
          <w:p>
            <w:pPr>
              <w:pStyle w:val="TableParagraph"/>
              <w:tabs>
                <w:tab w:pos="1159" w:val="left" w:leader="none"/>
              </w:tabs>
              <w:spacing w:line="225" w:lineRule="auto" w:before="8"/>
              <w:ind w:left="1159" w:right="110" w:hanging="360"/>
              <w:rPr>
                <w:sz w:val="22"/>
              </w:rPr>
            </w:pPr>
            <w:r>
              <w:rPr>
                <w:rFonts w:ascii="Courier New" w:hAnsi="Courier New"/>
                <w:sz w:val="22"/>
              </w:rPr>
              <w:t>o</w:t>
              <w:tab/>
            </w:r>
            <w:r>
              <w:rPr>
                <w:sz w:val="22"/>
              </w:rPr>
              <w:t>в том числе с консолидацией и/или с симптомом «булыжной</w:t>
            </w:r>
            <w:r>
              <w:rPr>
                <w:spacing w:val="-7"/>
                <w:sz w:val="22"/>
              </w:rPr>
              <w:t> </w:t>
            </w:r>
            <w:r>
              <w:rPr>
                <w:sz w:val="22"/>
              </w:rPr>
              <w:t>мостовой»;</w:t>
            </w:r>
          </w:p>
        </w:tc>
        <w:tc>
          <w:tcPr>
            <w:tcW w:w="4322" w:type="dxa"/>
            <w:tcBorders>
              <w:top w:val="single" w:sz="6" w:space="0" w:color="000000"/>
              <w:bottom w:val="single" w:sz="6" w:space="0" w:color="000000"/>
            </w:tcBorders>
            <w:shd w:val="clear" w:color="auto" w:fill="F1F1F1"/>
          </w:tcPr>
          <w:p>
            <w:pPr>
              <w:pStyle w:val="TableParagraph"/>
              <w:spacing w:before="76"/>
              <w:ind w:left="79" w:right="105"/>
              <w:rPr>
                <w:sz w:val="22"/>
              </w:rPr>
            </w:pPr>
            <w:r>
              <w:rPr>
                <w:b/>
                <w:sz w:val="22"/>
              </w:rPr>
              <w:t>Высокая вероятность  пневмонии COVID -19, </w:t>
            </w:r>
            <w:r>
              <w:rPr>
                <w:sz w:val="22"/>
              </w:rPr>
              <w:t>с учетом клинической картины имеются типичные КТ-признаки заболевания.</w:t>
            </w:r>
          </w:p>
          <w:p>
            <w:pPr>
              <w:pStyle w:val="TableParagraph"/>
              <w:rPr>
                <w:sz w:val="22"/>
              </w:rPr>
            </w:pPr>
          </w:p>
          <w:p>
            <w:pPr>
              <w:pStyle w:val="TableParagraph"/>
              <w:ind w:left="79"/>
              <w:rPr>
                <w:sz w:val="22"/>
              </w:rPr>
            </w:pPr>
            <w:r>
              <w:rPr>
                <w:sz w:val="22"/>
              </w:rPr>
              <w:t>Схожие изменения могут встречаться при</w:t>
            </w:r>
          </w:p>
        </w:tc>
      </w:tr>
    </w:tbl>
    <w:p>
      <w:pPr>
        <w:spacing w:after="0"/>
        <w:rPr>
          <w:sz w:val="22"/>
        </w:rPr>
        <w:sectPr>
          <w:pgSz w:w="11920" w:h="16850"/>
          <w:pgMar w:header="0" w:footer="620" w:top="1340" w:bottom="880" w:left="1380" w:right="600"/>
        </w:sectPr>
      </w:pPr>
    </w:p>
    <w:tbl>
      <w:tblPr>
        <w:tblW w:w="0" w:type="auto"/>
        <w:jc w:val="left"/>
        <w:tblInd w:w="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747"/>
        <w:gridCol w:w="4322"/>
      </w:tblGrid>
      <w:tr>
        <w:trPr>
          <w:trHeight w:val="2964" w:hRule="atLeast"/>
        </w:trPr>
        <w:tc>
          <w:tcPr>
            <w:tcW w:w="4747" w:type="dxa"/>
            <w:tcBorders>
              <w:bottom w:val="single" w:sz="6" w:space="0" w:color="000000"/>
            </w:tcBorders>
            <w:shd w:val="clear" w:color="auto" w:fill="F1F1F1"/>
          </w:tcPr>
          <w:p>
            <w:pPr>
              <w:pStyle w:val="TableParagraph"/>
              <w:numPr>
                <w:ilvl w:val="0"/>
                <w:numId w:val="45"/>
              </w:numPr>
              <w:tabs>
                <w:tab w:pos="438" w:val="left" w:leader="none"/>
                <w:tab w:pos="439" w:val="left" w:leader="none"/>
              </w:tabs>
              <w:spacing w:line="240" w:lineRule="auto" w:before="78" w:after="0"/>
              <w:ind w:left="439" w:right="362" w:hanging="360"/>
              <w:jc w:val="left"/>
              <w:rPr>
                <w:sz w:val="22"/>
              </w:rPr>
            </w:pPr>
            <w:r>
              <w:rPr>
                <w:sz w:val="22"/>
              </w:rPr>
              <w:t>Многочисленные двусторонние округлые участки уплотнения по типу «матового стекла» в глубине легочной</w:t>
            </w:r>
            <w:r>
              <w:rPr>
                <w:spacing w:val="-8"/>
                <w:sz w:val="22"/>
              </w:rPr>
              <w:t> </w:t>
            </w:r>
            <w:r>
              <w:rPr>
                <w:sz w:val="22"/>
              </w:rPr>
              <w:t>ткани,</w:t>
            </w:r>
          </w:p>
          <w:p>
            <w:pPr>
              <w:pStyle w:val="TableParagraph"/>
              <w:tabs>
                <w:tab w:pos="1159" w:val="left" w:leader="none"/>
              </w:tabs>
              <w:spacing w:line="225" w:lineRule="auto" w:before="10"/>
              <w:ind w:left="1159" w:right="443" w:hanging="360"/>
              <w:rPr>
                <w:sz w:val="22"/>
              </w:rPr>
            </w:pPr>
            <w:r>
              <w:rPr>
                <w:rFonts w:ascii="Courier New" w:hAnsi="Courier New"/>
                <w:sz w:val="22"/>
              </w:rPr>
              <w:t>o</w:t>
              <w:tab/>
            </w:r>
            <w:r>
              <w:rPr>
                <w:sz w:val="22"/>
              </w:rPr>
              <w:t>в том числе в сочетании с консолидацией и/или</w:t>
            </w:r>
            <w:r>
              <w:rPr>
                <w:spacing w:val="-8"/>
                <w:sz w:val="22"/>
              </w:rPr>
              <w:t> </w:t>
            </w:r>
            <w:r>
              <w:rPr>
                <w:sz w:val="22"/>
              </w:rPr>
              <w:t>симптомом</w:t>
            </w:r>
          </w:p>
          <w:p>
            <w:pPr>
              <w:pStyle w:val="TableParagraph"/>
              <w:spacing w:before="1"/>
              <w:ind w:left="1159"/>
              <w:rPr>
                <w:sz w:val="22"/>
              </w:rPr>
            </w:pPr>
            <w:r>
              <w:rPr>
                <w:sz w:val="22"/>
              </w:rPr>
              <w:t>«булыжной мостовой»;</w:t>
            </w:r>
          </w:p>
          <w:p>
            <w:pPr>
              <w:pStyle w:val="TableParagraph"/>
              <w:numPr>
                <w:ilvl w:val="0"/>
                <w:numId w:val="45"/>
              </w:numPr>
              <w:tabs>
                <w:tab w:pos="439" w:val="left" w:leader="none"/>
                <w:tab w:pos="440" w:val="left" w:leader="none"/>
              </w:tabs>
              <w:spacing w:line="240" w:lineRule="auto" w:before="3" w:after="0"/>
              <w:ind w:left="439" w:right="206" w:hanging="360"/>
              <w:jc w:val="left"/>
              <w:rPr>
                <w:sz w:val="22"/>
              </w:rPr>
            </w:pPr>
            <w:r>
              <w:rPr>
                <w:sz w:val="22"/>
              </w:rPr>
              <w:t>Участки уплотнения легочной ткани в виде сочетания «матового стекла» и консолидации с симптом «обратного ореола» как признаки организующейся пневмонии.</w:t>
            </w:r>
          </w:p>
        </w:tc>
        <w:tc>
          <w:tcPr>
            <w:tcW w:w="4322" w:type="dxa"/>
            <w:tcBorders>
              <w:bottom w:val="single" w:sz="6" w:space="0" w:color="000000"/>
            </w:tcBorders>
            <w:shd w:val="clear" w:color="auto" w:fill="F1F1F1"/>
          </w:tcPr>
          <w:p>
            <w:pPr>
              <w:pStyle w:val="TableParagraph"/>
              <w:spacing w:before="80"/>
              <w:ind w:left="79" w:right="191"/>
              <w:rPr>
                <w:sz w:val="22"/>
              </w:rPr>
            </w:pPr>
            <w:r>
              <w:rPr>
                <w:sz w:val="22"/>
              </w:rPr>
              <w:t>других вирусных пневмониях, а также при болезнях соединительной ткани, быть связанными с токсическими действиям лекарств или иметь другую этиологию.</w:t>
            </w:r>
          </w:p>
        </w:tc>
      </w:tr>
      <w:tr>
        <w:trPr>
          <w:trHeight w:val="4460" w:hRule="atLeast"/>
        </w:trPr>
        <w:tc>
          <w:tcPr>
            <w:tcW w:w="4747" w:type="dxa"/>
            <w:tcBorders>
              <w:top w:val="single" w:sz="6" w:space="0" w:color="000000"/>
              <w:bottom w:val="single" w:sz="6" w:space="0" w:color="000000"/>
            </w:tcBorders>
          </w:tcPr>
          <w:p>
            <w:pPr>
              <w:pStyle w:val="TableParagraph"/>
              <w:spacing w:before="83"/>
              <w:ind w:left="79"/>
              <w:rPr>
                <w:b/>
                <w:sz w:val="22"/>
              </w:rPr>
            </w:pPr>
            <w:r>
              <w:rPr>
                <w:b/>
                <w:sz w:val="22"/>
              </w:rPr>
              <w:t>Неопределенная картина</w:t>
            </w:r>
          </w:p>
          <w:p>
            <w:pPr>
              <w:pStyle w:val="TableParagraph"/>
              <w:numPr>
                <w:ilvl w:val="0"/>
                <w:numId w:val="46"/>
              </w:numPr>
              <w:tabs>
                <w:tab w:pos="439" w:val="left" w:leader="none"/>
                <w:tab w:pos="440" w:val="left" w:leader="none"/>
              </w:tabs>
              <w:spacing w:line="240" w:lineRule="auto" w:before="0" w:after="0"/>
              <w:ind w:left="439" w:right="1319" w:hanging="361"/>
              <w:jc w:val="left"/>
              <w:rPr>
                <w:sz w:val="22"/>
              </w:rPr>
            </w:pPr>
            <w:r>
              <w:rPr>
                <w:sz w:val="22"/>
              </w:rPr>
              <w:t>Участки «матового стекла» преимущественно прикорневой локализации;</w:t>
            </w:r>
          </w:p>
          <w:p>
            <w:pPr>
              <w:pStyle w:val="TableParagraph"/>
              <w:numPr>
                <w:ilvl w:val="0"/>
                <w:numId w:val="46"/>
              </w:numPr>
              <w:tabs>
                <w:tab w:pos="439" w:val="left" w:leader="none"/>
                <w:tab w:pos="440" w:val="left" w:leader="none"/>
              </w:tabs>
              <w:spacing w:line="240" w:lineRule="auto" w:before="0" w:after="0"/>
              <w:ind w:left="439" w:right="634" w:hanging="361"/>
              <w:jc w:val="left"/>
              <w:rPr>
                <w:sz w:val="22"/>
              </w:rPr>
            </w:pPr>
            <w:r>
              <w:rPr>
                <w:sz w:val="22"/>
              </w:rPr>
              <w:t>Мелкие участки «матового стекла» без типичного (периферического) распределения, не округлой</w:t>
            </w:r>
            <w:r>
              <w:rPr>
                <w:spacing w:val="-5"/>
                <w:sz w:val="22"/>
              </w:rPr>
              <w:t> </w:t>
            </w:r>
            <w:r>
              <w:rPr>
                <w:sz w:val="22"/>
              </w:rPr>
              <w:t>формы;</w:t>
            </w:r>
          </w:p>
          <w:p>
            <w:pPr>
              <w:pStyle w:val="TableParagraph"/>
              <w:numPr>
                <w:ilvl w:val="0"/>
                <w:numId w:val="46"/>
              </w:numPr>
              <w:tabs>
                <w:tab w:pos="439" w:val="left" w:leader="none"/>
                <w:tab w:pos="440" w:val="left" w:leader="none"/>
              </w:tabs>
              <w:spacing w:line="240" w:lineRule="auto" w:before="0" w:after="0"/>
              <w:ind w:left="439" w:right="77" w:hanging="360"/>
              <w:jc w:val="left"/>
              <w:rPr>
                <w:sz w:val="22"/>
              </w:rPr>
            </w:pPr>
            <w:r>
              <w:rPr>
                <w:sz w:val="22"/>
              </w:rPr>
              <w:t>Односторонние участки «матового стекла» в пределах одной доли, в сочетании с консолидацией или без</w:t>
            </w:r>
            <w:r>
              <w:rPr>
                <w:spacing w:val="-6"/>
                <w:sz w:val="22"/>
              </w:rPr>
              <w:t> </w:t>
            </w:r>
            <w:r>
              <w:rPr>
                <w:sz w:val="22"/>
              </w:rPr>
              <w:t>нее.</w:t>
            </w:r>
          </w:p>
        </w:tc>
        <w:tc>
          <w:tcPr>
            <w:tcW w:w="4322" w:type="dxa"/>
            <w:tcBorders>
              <w:top w:val="single" w:sz="6" w:space="0" w:color="000000"/>
              <w:bottom w:val="single" w:sz="6" w:space="0" w:color="000000"/>
            </w:tcBorders>
          </w:tcPr>
          <w:p>
            <w:pPr>
              <w:pStyle w:val="TableParagraph"/>
              <w:spacing w:before="83"/>
              <w:ind w:left="79" w:right="273"/>
              <w:rPr>
                <w:b/>
                <w:sz w:val="22"/>
              </w:rPr>
            </w:pPr>
            <w:r>
              <w:rPr>
                <w:b/>
                <w:sz w:val="22"/>
              </w:rPr>
              <w:t>Средняя (неопределенная) вероятность пневмонии COVID -19</w:t>
            </w:r>
          </w:p>
          <w:p>
            <w:pPr>
              <w:pStyle w:val="TableParagraph"/>
              <w:spacing w:before="1"/>
              <w:ind w:left="79" w:right="85"/>
              <w:rPr>
                <w:sz w:val="22"/>
              </w:rPr>
            </w:pPr>
            <w:r>
              <w:rPr>
                <w:sz w:val="22"/>
              </w:rPr>
              <w:t>Выявленные изменения могут быть проявлением COVID-19 пневмонии, но они неспецифичны и могут встречаться при других заболеваниях легких (указать каких, если возможно; например, сердечная недостаточность, бактериальная пневмония и др.).</w:t>
            </w:r>
          </w:p>
          <w:p>
            <w:pPr>
              <w:pStyle w:val="TableParagraph"/>
              <w:spacing w:before="10"/>
              <w:rPr>
                <w:sz w:val="21"/>
              </w:rPr>
            </w:pPr>
          </w:p>
          <w:p>
            <w:pPr>
              <w:pStyle w:val="TableParagraph"/>
              <w:spacing w:before="1"/>
              <w:ind w:left="78" w:right="186"/>
              <w:rPr>
                <w:sz w:val="22"/>
              </w:rPr>
            </w:pPr>
            <w:r>
              <w:rPr>
                <w:sz w:val="22"/>
              </w:rPr>
              <w:t>Следует осторожно интерпретировать результаты КТ у пациентов с хроническим сопутствующими заболеваниями, при которых высока вероятность появления изменений в грудной полости (ИБС, онкологические заболевания, патология почек и др.)</w:t>
            </w:r>
          </w:p>
        </w:tc>
      </w:tr>
      <w:tr>
        <w:trPr>
          <w:trHeight w:val="3549" w:hRule="atLeast"/>
        </w:trPr>
        <w:tc>
          <w:tcPr>
            <w:tcW w:w="4747" w:type="dxa"/>
            <w:tcBorders>
              <w:top w:val="single" w:sz="6" w:space="0" w:color="000000"/>
              <w:bottom w:val="single" w:sz="6" w:space="0" w:color="000000"/>
            </w:tcBorders>
            <w:shd w:val="clear" w:color="auto" w:fill="F1F1F1"/>
          </w:tcPr>
          <w:p>
            <w:pPr>
              <w:pStyle w:val="TableParagraph"/>
              <w:spacing w:before="78"/>
              <w:ind w:left="79"/>
              <w:rPr>
                <w:b/>
                <w:sz w:val="22"/>
              </w:rPr>
            </w:pPr>
            <w:r>
              <w:rPr>
                <w:b/>
                <w:sz w:val="22"/>
              </w:rPr>
              <w:t>Нетипичная картина</w:t>
            </w:r>
          </w:p>
          <w:p>
            <w:pPr>
              <w:pStyle w:val="TableParagraph"/>
              <w:numPr>
                <w:ilvl w:val="0"/>
                <w:numId w:val="47"/>
              </w:numPr>
              <w:tabs>
                <w:tab w:pos="439" w:val="left" w:leader="none"/>
                <w:tab w:pos="440" w:val="left" w:leader="none"/>
              </w:tabs>
              <w:spacing w:line="269" w:lineRule="exact" w:before="0" w:after="0"/>
              <w:ind w:left="439" w:right="0" w:hanging="361"/>
              <w:jc w:val="left"/>
              <w:rPr>
                <w:sz w:val="22"/>
              </w:rPr>
            </w:pPr>
            <w:r>
              <w:rPr>
                <w:sz w:val="22"/>
              </w:rPr>
              <w:t>Консолидация доли</w:t>
            </w:r>
            <w:r>
              <w:rPr>
                <w:spacing w:val="-3"/>
                <w:sz w:val="22"/>
              </w:rPr>
              <w:t> </w:t>
            </w:r>
            <w:r>
              <w:rPr>
                <w:sz w:val="22"/>
              </w:rPr>
              <w:t>(сегмента);</w:t>
            </w:r>
          </w:p>
          <w:p>
            <w:pPr>
              <w:pStyle w:val="TableParagraph"/>
              <w:numPr>
                <w:ilvl w:val="0"/>
                <w:numId w:val="47"/>
              </w:numPr>
              <w:tabs>
                <w:tab w:pos="439" w:val="left" w:leader="none"/>
                <w:tab w:pos="440" w:val="left" w:leader="none"/>
              </w:tabs>
              <w:spacing w:line="240" w:lineRule="auto" w:before="0" w:after="0"/>
              <w:ind w:left="439" w:right="670" w:hanging="360"/>
              <w:jc w:val="left"/>
              <w:rPr>
                <w:sz w:val="22"/>
              </w:rPr>
            </w:pPr>
            <w:r>
              <w:rPr>
                <w:sz w:val="22"/>
              </w:rPr>
              <w:t>Очаги (в том числе симптом «дерево в почках»);</w:t>
            </w:r>
          </w:p>
          <w:p>
            <w:pPr>
              <w:pStyle w:val="TableParagraph"/>
              <w:numPr>
                <w:ilvl w:val="0"/>
                <w:numId w:val="47"/>
              </w:numPr>
              <w:tabs>
                <w:tab w:pos="439" w:val="left" w:leader="none"/>
                <w:tab w:pos="440" w:val="left" w:leader="none"/>
              </w:tabs>
              <w:spacing w:line="269" w:lineRule="exact" w:before="1" w:after="0"/>
              <w:ind w:left="439" w:right="0" w:hanging="361"/>
              <w:jc w:val="left"/>
              <w:rPr>
                <w:sz w:val="22"/>
              </w:rPr>
            </w:pPr>
            <w:r>
              <w:rPr>
                <w:sz w:val="22"/>
              </w:rPr>
              <w:t>Объемные</w:t>
            </w:r>
            <w:r>
              <w:rPr>
                <w:spacing w:val="-1"/>
                <w:sz w:val="22"/>
              </w:rPr>
              <w:t> </w:t>
            </w:r>
            <w:r>
              <w:rPr>
                <w:sz w:val="22"/>
              </w:rPr>
              <w:t>образования;</w:t>
            </w:r>
          </w:p>
          <w:p>
            <w:pPr>
              <w:pStyle w:val="TableParagraph"/>
              <w:numPr>
                <w:ilvl w:val="0"/>
                <w:numId w:val="47"/>
              </w:numPr>
              <w:tabs>
                <w:tab w:pos="439" w:val="left" w:leader="none"/>
                <w:tab w:pos="440" w:val="left" w:leader="none"/>
              </w:tabs>
              <w:spacing w:line="240" w:lineRule="auto" w:before="0" w:after="0"/>
              <w:ind w:left="439" w:right="1434" w:hanging="360"/>
              <w:jc w:val="left"/>
              <w:rPr>
                <w:sz w:val="22"/>
              </w:rPr>
            </w:pPr>
            <w:r>
              <w:rPr>
                <w:sz w:val="22"/>
              </w:rPr>
              <w:t>Полости в легких и в участках консолидации;</w:t>
            </w:r>
          </w:p>
          <w:p>
            <w:pPr>
              <w:pStyle w:val="TableParagraph"/>
              <w:numPr>
                <w:ilvl w:val="0"/>
                <w:numId w:val="47"/>
              </w:numPr>
              <w:tabs>
                <w:tab w:pos="439" w:val="left" w:leader="none"/>
                <w:tab w:pos="440" w:val="left" w:leader="none"/>
              </w:tabs>
              <w:spacing w:line="240" w:lineRule="auto" w:before="0" w:after="0"/>
              <w:ind w:left="439" w:right="422" w:hanging="360"/>
              <w:jc w:val="left"/>
              <w:rPr>
                <w:sz w:val="22"/>
              </w:rPr>
            </w:pPr>
            <w:r>
              <w:rPr>
                <w:sz w:val="22"/>
              </w:rPr>
              <w:t>Равномерное утолщение междольковых перегородок с жидкостью в плевральных полостях (картина отека</w:t>
            </w:r>
            <w:r>
              <w:rPr>
                <w:spacing w:val="-4"/>
                <w:sz w:val="22"/>
              </w:rPr>
              <w:t> </w:t>
            </w:r>
            <w:r>
              <w:rPr>
                <w:sz w:val="22"/>
              </w:rPr>
              <w:t>легких);</w:t>
            </w:r>
          </w:p>
          <w:p>
            <w:pPr>
              <w:pStyle w:val="TableParagraph"/>
              <w:numPr>
                <w:ilvl w:val="0"/>
                <w:numId w:val="47"/>
              </w:numPr>
              <w:tabs>
                <w:tab w:pos="439" w:val="left" w:leader="none"/>
                <w:tab w:pos="440" w:val="left" w:leader="none"/>
              </w:tabs>
              <w:spacing w:line="240" w:lineRule="auto" w:before="0" w:after="0"/>
              <w:ind w:left="439" w:right="292" w:hanging="360"/>
              <w:jc w:val="left"/>
              <w:rPr>
                <w:sz w:val="22"/>
              </w:rPr>
            </w:pPr>
            <w:r>
              <w:rPr>
                <w:sz w:val="22"/>
              </w:rPr>
              <w:t>Субплевральные ретикулярные (сетчатые) изменения;</w:t>
            </w:r>
          </w:p>
          <w:p>
            <w:pPr>
              <w:pStyle w:val="TableParagraph"/>
              <w:numPr>
                <w:ilvl w:val="0"/>
                <w:numId w:val="47"/>
              </w:numPr>
              <w:tabs>
                <w:tab w:pos="438" w:val="left" w:leader="none"/>
                <w:tab w:pos="439" w:val="left" w:leader="none"/>
              </w:tabs>
              <w:spacing w:line="268" w:lineRule="exact" w:before="0" w:after="0"/>
              <w:ind w:left="439" w:right="0" w:hanging="360"/>
              <w:jc w:val="left"/>
              <w:rPr>
                <w:sz w:val="22"/>
              </w:rPr>
            </w:pPr>
            <w:r>
              <w:rPr>
                <w:sz w:val="22"/>
              </w:rPr>
              <w:t>Лимфаденопатия без изменений в</w:t>
            </w:r>
            <w:r>
              <w:rPr>
                <w:spacing w:val="-7"/>
                <w:sz w:val="22"/>
              </w:rPr>
              <w:t> </w:t>
            </w:r>
            <w:r>
              <w:rPr>
                <w:sz w:val="22"/>
              </w:rPr>
              <w:t>легких.</w:t>
            </w:r>
          </w:p>
        </w:tc>
        <w:tc>
          <w:tcPr>
            <w:tcW w:w="4322" w:type="dxa"/>
            <w:tcBorders>
              <w:top w:val="single" w:sz="6" w:space="0" w:color="000000"/>
              <w:bottom w:val="single" w:sz="6" w:space="0" w:color="000000"/>
            </w:tcBorders>
            <w:shd w:val="clear" w:color="auto" w:fill="F1F1F1"/>
          </w:tcPr>
          <w:p>
            <w:pPr>
              <w:pStyle w:val="TableParagraph"/>
              <w:spacing w:line="252" w:lineRule="exact" w:before="78"/>
              <w:ind w:left="79"/>
              <w:rPr>
                <w:b/>
                <w:sz w:val="22"/>
              </w:rPr>
            </w:pPr>
            <w:r>
              <w:rPr>
                <w:b/>
                <w:sz w:val="22"/>
              </w:rPr>
              <w:t>Альтернативный диагноз</w:t>
            </w:r>
          </w:p>
          <w:p>
            <w:pPr>
              <w:pStyle w:val="TableParagraph"/>
              <w:ind w:left="79" w:right="195"/>
              <w:rPr>
                <w:sz w:val="22"/>
              </w:rPr>
            </w:pPr>
            <w:r>
              <w:rPr>
                <w:sz w:val="22"/>
              </w:rPr>
              <w:t>Выявленные изменения не характерны для COVID-19 пневмонии. Следует рассмотреть возможность других заболеваний и патологических состояний (указать каких, если возможно; например, туберкулез, рак легкого, бактериальная пневмония и др.).</w:t>
            </w:r>
          </w:p>
        </w:tc>
      </w:tr>
      <w:tr>
        <w:trPr>
          <w:trHeight w:val="666" w:hRule="atLeast"/>
        </w:trPr>
        <w:tc>
          <w:tcPr>
            <w:tcW w:w="4747" w:type="dxa"/>
            <w:tcBorders>
              <w:top w:val="single" w:sz="6" w:space="0" w:color="000000"/>
              <w:bottom w:val="single" w:sz="6" w:space="0" w:color="000000"/>
            </w:tcBorders>
          </w:tcPr>
          <w:p>
            <w:pPr>
              <w:pStyle w:val="TableParagraph"/>
              <w:spacing w:before="83"/>
              <w:ind w:left="79"/>
              <w:rPr>
                <w:b/>
                <w:sz w:val="22"/>
              </w:rPr>
            </w:pPr>
            <w:r>
              <w:rPr>
                <w:b/>
                <w:sz w:val="22"/>
              </w:rPr>
              <w:t>Нормальная картина</w:t>
            </w:r>
          </w:p>
        </w:tc>
        <w:tc>
          <w:tcPr>
            <w:tcW w:w="4322" w:type="dxa"/>
            <w:tcBorders>
              <w:top w:val="single" w:sz="6" w:space="0" w:color="000000"/>
              <w:bottom w:val="single" w:sz="6" w:space="0" w:color="000000"/>
            </w:tcBorders>
          </w:tcPr>
          <w:p>
            <w:pPr>
              <w:pStyle w:val="TableParagraph"/>
              <w:spacing w:before="83"/>
              <w:ind w:left="79" w:right="637"/>
              <w:rPr>
                <w:sz w:val="22"/>
              </w:rPr>
            </w:pPr>
            <w:r>
              <w:rPr>
                <w:sz w:val="22"/>
              </w:rPr>
              <w:t>Нет признаков пневмонии или других патологических изменений*</w:t>
            </w:r>
          </w:p>
        </w:tc>
      </w:tr>
    </w:tbl>
    <w:p>
      <w:pPr>
        <w:spacing w:before="0"/>
        <w:ind w:left="321" w:right="677" w:firstLine="0"/>
        <w:jc w:val="both"/>
        <w:rPr>
          <w:sz w:val="20"/>
        </w:rPr>
      </w:pPr>
      <w:r>
        <w:rPr>
          <w:sz w:val="20"/>
        </w:rPr>
        <w:t>*Следует иметь в виду, что на начальных стадиях болезни (1-5 дни) результаты КТ могут быть негативными.  Нормальная   КТ-картина   не   исключает   COVID-19   и   не   является   ограничением  в проведении иммунологических (ПЦР)</w:t>
      </w:r>
      <w:r>
        <w:rPr>
          <w:spacing w:val="-3"/>
          <w:sz w:val="20"/>
        </w:rPr>
        <w:t> </w:t>
      </w:r>
      <w:r>
        <w:rPr>
          <w:sz w:val="20"/>
        </w:rPr>
        <w:t>тестов</w:t>
      </w:r>
    </w:p>
    <w:p>
      <w:pPr>
        <w:pStyle w:val="BodyText"/>
        <w:spacing w:before="11"/>
        <w:ind w:left="0"/>
        <w:jc w:val="left"/>
        <w:rPr>
          <w:sz w:val="23"/>
        </w:rPr>
      </w:pPr>
    </w:p>
    <w:p>
      <w:pPr>
        <w:pStyle w:val="Heading3"/>
        <w:numPr>
          <w:ilvl w:val="1"/>
          <w:numId w:val="42"/>
        </w:numPr>
        <w:tabs>
          <w:tab w:pos="1390" w:val="left" w:leader="none"/>
        </w:tabs>
        <w:spacing w:line="240" w:lineRule="auto" w:before="0" w:after="0"/>
        <w:ind w:left="1389" w:right="0" w:hanging="361"/>
        <w:jc w:val="both"/>
      </w:pPr>
      <w:r>
        <w:rPr/>
        <w:t>Оценка выраженности изменений в легких при</w:t>
      </w:r>
      <w:r>
        <w:rPr>
          <w:spacing w:val="-8"/>
        </w:rPr>
        <w:t> </w:t>
      </w:r>
      <w:r>
        <w:rPr/>
        <w:t>КТ</w:t>
      </w:r>
    </w:p>
    <w:p>
      <w:pPr>
        <w:pStyle w:val="BodyText"/>
        <w:ind w:right="674" w:firstLine="708"/>
      </w:pPr>
      <w:r>
        <w:rPr/>
        <w:t>Оценка выраженности (объема, площади, протяженности) изменений в легких у пациентов с предполагаемой/известной пневмонией COVID-19 может проводиться несколькими способами:</w:t>
      </w:r>
    </w:p>
    <w:p>
      <w:pPr>
        <w:spacing w:after="0"/>
        <w:sectPr>
          <w:pgSz w:w="11920" w:h="16850"/>
          <w:pgMar w:header="0" w:footer="620" w:top="1140" w:bottom="880" w:left="1380" w:right="600"/>
        </w:sectPr>
      </w:pPr>
    </w:p>
    <w:p>
      <w:pPr>
        <w:pStyle w:val="ListParagraph"/>
        <w:numPr>
          <w:ilvl w:val="0"/>
          <w:numId w:val="43"/>
        </w:numPr>
        <w:tabs>
          <w:tab w:pos="1000" w:val="left" w:leader="none"/>
          <w:tab w:pos="1001" w:val="left" w:leader="none"/>
        </w:tabs>
        <w:spacing w:line="240" w:lineRule="auto" w:before="80" w:after="0"/>
        <w:ind w:left="1000" w:right="0" w:hanging="339"/>
        <w:jc w:val="left"/>
        <w:rPr>
          <w:sz w:val="24"/>
        </w:rPr>
      </w:pPr>
      <w:r>
        <w:rPr>
          <w:sz w:val="24"/>
        </w:rPr>
        <w:t>С помощью визуальной оценки;</w:t>
      </w:r>
    </w:p>
    <w:p>
      <w:pPr>
        <w:pStyle w:val="ListParagraph"/>
        <w:numPr>
          <w:ilvl w:val="0"/>
          <w:numId w:val="43"/>
        </w:numPr>
        <w:tabs>
          <w:tab w:pos="1000" w:val="left" w:leader="none"/>
          <w:tab w:pos="1001" w:val="left" w:leader="none"/>
        </w:tabs>
        <w:spacing w:line="304" w:lineRule="auto" w:before="83" w:after="0"/>
        <w:ind w:left="1000" w:right="674" w:hanging="339"/>
        <w:jc w:val="left"/>
        <w:rPr>
          <w:sz w:val="24"/>
        </w:rPr>
      </w:pPr>
      <w:r>
        <w:rPr>
          <w:sz w:val="24"/>
        </w:rPr>
        <w:t>С помощью применения полуколичественных шкал, предложенных рядом авторов;</w:t>
      </w:r>
    </w:p>
    <w:p>
      <w:pPr>
        <w:pStyle w:val="ListParagraph"/>
        <w:numPr>
          <w:ilvl w:val="0"/>
          <w:numId w:val="43"/>
        </w:numPr>
        <w:tabs>
          <w:tab w:pos="1000" w:val="left" w:leader="none"/>
          <w:tab w:pos="1001" w:val="left" w:leader="none"/>
        </w:tabs>
        <w:spacing w:line="304" w:lineRule="auto" w:before="10" w:after="0"/>
        <w:ind w:left="1000" w:right="676" w:hanging="339"/>
        <w:jc w:val="left"/>
        <w:rPr>
          <w:sz w:val="24"/>
        </w:rPr>
      </w:pPr>
      <w:r>
        <w:rPr>
          <w:sz w:val="24"/>
        </w:rPr>
        <w:t>На основании программ компьютерной оценки плотности легких и составления карт плотности легочной</w:t>
      </w:r>
      <w:r>
        <w:rPr>
          <w:spacing w:val="1"/>
          <w:sz w:val="24"/>
        </w:rPr>
        <w:t> </w:t>
      </w:r>
      <w:r>
        <w:rPr>
          <w:sz w:val="24"/>
        </w:rPr>
        <w:t>паренхимы.</w:t>
      </w:r>
    </w:p>
    <w:p>
      <w:pPr>
        <w:pStyle w:val="BodyText"/>
        <w:spacing w:before="1"/>
        <w:ind w:left="0"/>
        <w:jc w:val="left"/>
        <w:rPr>
          <w:sz w:val="33"/>
        </w:rPr>
      </w:pPr>
    </w:p>
    <w:p>
      <w:pPr>
        <w:pStyle w:val="BodyText"/>
        <w:ind w:right="677" w:firstLine="708"/>
      </w:pPr>
      <w:r>
        <w:rPr/>
        <w:t>В</w:t>
      </w:r>
      <w:r>
        <w:rPr>
          <w:spacing w:val="-14"/>
        </w:rPr>
        <w:t> </w:t>
      </w:r>
      <w:r>
        <w:rPr/>
        <w:t>условиях</w:t>
      </w:r>
      <w:r>
        <w:rPr>
          <w:spacing w:val="-14"/>
        </w:rPr>
        <w:t> </w:t>
      </w:r>
      <w:r>
        <w:rPr/>
        <w:t>большого</w:t>
      </w:r>
      <w:r>
        <w:rPr>
          <w:spacing w:val="-17"/>
        </w:rPr>
        <w:t> </w:t>
      </w:r>
      <w:r>
        <w:rPr/>
        <w:t>потока</w:t>
      </w:r>
      <w:r>
        <w:rPr>
          <w:spacing w:val="-18"/>
        </w:rPr>
        <w:t> </w:t>
      </w:r>
      <w:r>
        <w:rPr/>
        <w:t>пациентов,</w:t>
      </w:r>
      <w:r>
        <w:rPr>
          <w:spacing w:val="-17"/>
        </w:rPr>
        <w:t> </w:t>
      </w:r>
      <w:r>
        <w:rPr/>
        <w:t>для</w:t>
      </w:r>
      <w:r>
        <w:rPr>
          <w:spacing w:val="-17"/>
        </w:rPr>
        <w:t> </w:t>
      </w:r>
      <w:r>
        <w:rPr/>
        <w:t>быстрой</w:t>
      </w:r>
      <w:r>
        <w:rPr>
          <w:spacing w:val="-16"/>
        </w:rPr>
        <w:t> </w:t>
      </w:r>
      <w:r>
        <w:rPr/>
        <w:t>оценки</w:t>
      </w:r>
      <w:r>
        <w:rPr>
          <w:spacing w:val="-15"/>
        </w:rPr>
        <w:t> </w:t>
      </w:r>
      <w:r>
        <w:rPr/>
        <w:t>изменений</w:t>
      </w:r>
      <w:r>
        <w:rPr>
          <w:spacing w:val="-16"/>
        </w:rPr>
        <w:t> </w:t>
      </w:r>
      <w:r>
        <w:rPr/>
        <w:t>в</w:t>
      </w:r>
      <w:r>
        <w:rPr>
          <w:spacing w:val="-17"/>
        </w:rPr>
        <w:t> </w:t>
      </w:r>
      <w:r>
        <w:rPr/>
        <w:t>легких после проведения РГ и КТ, рекомендована так называемая «эмпирическая» визуальная шкала. Она основана на визуальной оценке примерного объема уплотненной легочной ткани в обоих легких в легких.</w:t>
      </w:r>
    </w:p>
    <w:p>
      <w:pPr>
        <w:pStyle w:val="BodyText"/>
        <w:ind w:left="0"/>
        <w:jc w:val="left"/>
      </w:pPr>
    </w:p>
    <w:p>
      <w:pPr>
        <w:pStyle w:val="Heading3"/>
        <w:jc w:val="left"/>
      </w:pPr>
      <w:r>
        <w:rPr/>
        <w:t>«Эмпирическая» визуальная шкала*</w:t>
      </w:r>
    </w:p>
    <w:p>
      <w:pPr>
        <w:pStyle w:val="BodyText"/>
        <w:ind w:right="749"/>
        <w:jc w:val="left"/>
      </w:pPr>
      <w:r>
        <w:rPr/>
        <w:t>Основана на  визуальной  оценке  примерного  объема  уплотненной  легочной  ткани в обоих легких:</w:t>
      </w:r>
    </w:p>
    <w:p>
      <w:pPr>
        <w:pStyle w:val="ListParagraph"/>
        <w:numPr>
          <w:ilvl w:val="0"/>
          <w:numId w:val="48"/>
        </w:numPr>
        <w:tabs>
          <w:tab w:pos="1402" w:val="left" w:leader="none"/>
        </w:tabs>
        <w:spacing w:line="240" w:lineRule="auto" w:before="1" w:after="0"/>
        <w:ind w:left="1401" w:right="0" w:hanging="361"/>
        <w:jc w:val="left"/>
        <w:rPr>
          <w:sz w:val="24"/>
        </w:rPr>
      </w:pPr>
      <w:r>
        <w:rPr>
          <w:sz w:val="24"/>
        </w:rPr>
        <w:t>Отсутствие характерных проявлений</w:t>
      </w:r>
      <w:r>
        <w:rPr>
          <w:spacing w:val="1"/>
          <w:sz w:val="24"/>
        </w:rPr>
        <w:t> </w:t>
      </w:r>
      <w:r>
        <w:rPr>
          <w:sz w:val="24"/>
        </w:rPr>
        <w:t>(КТ-0);</w:t>
      </w:r>
    </w:p>
    <w:p>
      <w:pPr>
        <w:pStyle w:val="ListParagraph"/>
        <w:numPr>
          <w:ilvl w:val="0"/>
          <w:numId w:val="48"/>
        </w:numPr>
        <w:tabs>
          <w:tab w:pos="1402" w:val="left" w:leader="none"/>
        </w:tabs>
        <w:spacing w:line="240" w:lineRule="auto" w:before="0" w:after="0"/>
        <w:ind w:left="1401" w:right="0" w:hanging="361"/>
        <w:jc w:val="left"/>
        <w:rPr>
          <w:sz w:val="24"/>
        </w:rPr>
      </w:pPr>
      <w:r>
        <w:rPr>
          <w:sz w:val="24"/>
        </w:rPr>
        <w:t>Минимальный объем/распространенность &lt;25% объема легких</w:t>
      </w:r>
      <w:r>
        <w:rPr>
          <w:spacing w:val="-3"/>
          <w:sz w:val="24"/>
        </w:rPr>
        <w:t> </w:t>
      </w:r>
      <w:r>
        <w:rPr>
          <w:sz w:val="24"/>
        </w:rPr>
        <w:t>(КТ-1);</w:t>
      </w:r>
    </w:p>
    <w:p>
      <w:pPr>
        <w:pStyle w:val="ListParagraph"/>
        <w:numPr>
          <w:ilvl w:val="0"/>
          <w:numId w:val="48"/>
        </w:numPr>
        <w:tabs>
          <w:tab w:pos="1402" w:val="left" w:leader="none"/>
        </w:tabs>
        <w:spacing w:line="240" w:lineRule="auto" w:before="0" w:after="0"/>
        <w:ind w:left="1401" w:right="0" w:hanging="361"/>
        <w:jc w:val="left"/>
        <w:rPr>
          <w:sz w:val="24"/>
        </w:rPr>
      </w:pPr>
      <w:r>
        <w:rPr>
          <w:sz w:val="24"/>
        </w:rPr>
        <w:t>Средний объем/распространенность 25 – 50% объема легких</w:t>
      </w:r>
      <w:r>
        <w:rPr>
          <w:spacing w:val="-3"/>
          <w:sz w:val="24"/>
        </w:rPr>
        <w:t> </w:t>
      </w:r>
      <w:r>
        <w:rPr>
          <w:sz w:val="24"/>
        </w:rPr>
        <w:t>(КТ-2);</w:t>
      </w:r>
    </w:p>
    <w:p>
      <w:pPr>
        <w:pStyle w:val="ListParagraph"/>
        <w:numPr>
          <w:ilvl w:val="0"/>
          <w:numId w:val="48"/>
        </w:numPr>
        <w:tabs>
          <w:tab w:pos="1402" w:val="left" w:leader="none"/>
        </w:tabs>
        <w:spacing w:line="240" w:lineRule="auto" w:before="0" w:after="0"/>
        <w:ind w:left="1401" w:right="0" w:hanging="361"/>
        <w:jc w:val="left"/>
        <w:rPr>
          <w:sz w:val="24"/>
        </w:rPr>
      </w:pPr>
      <w:r>
        <w:rPr>
          <w:sz w:val="24"/>
        </w:rPr>
        <w:t>Значительный объем/распространенность 50 – 75% объема легких</w:t>
      </w:r>
      <w:r>
        <w:rPr>
          <w:spacing w:val="-19"/>
          <w:sz w:val="24"/>
        </w:rPr>
        <w:t> </w:t>
      </w:r>
      <w:r>
        <w:rPr>
          <w:sz w:val="24"/>
        </w:rPr>
        <w:t>(КТ-3);</w:t>
      </w:r>
    </w:p>
    <w:p>
      <w:pPr>
        <w:pStyle w:val="ListParagraph"/>
        <w:numPr>
          <w:ilvl w:val="0"/>
          <w:numId w:val="48"/>
        </w:numPr>
        <w:tabs>
          <w:tab w:pos="1402" w:val="left" w:leader="none"/>
        </w:tabs>
        <w:spacing w:line="240" w:lineRule="auto" w:before="0" w:after="0"/>
        <w:ind w:left="1401" w:right="0" w:hanging="361"/>
        <w:jc w:val="left"/>
        <w:rPr>
          <w:i/>
          <w:sz w:val="24"/>
        </w:rPr>
      </w:pPr>
      <w:r>
        <w:rPr>
          <w:sz w:val="24"/>
        </w:rPr>
        <w:t>Субтотальный объем/распространенность &gt;75% объема легких</w:t>
      </w:r>
      <w:r>
        <w:rPr>
          <w:spacing w:val="-17"/>
          <w:sz w:val="24"/>
        </w:rPr>
        <w:t> </w:t>
      </w:r>
      <w:r>
        <w:rPr>
          <w:sz w:val="24"/>
        </w:rPr>
        <w:t>(КТ-4)</w:t>
      </w:r>
      <w:r>
        <w:rPr>
          <w:i/>
          <w:sz w:val="24"/>
        </w:rPr>
        <w:t>.</w:t>
      </w:r>
    </w:p>
    <w:p>
      <w:pPr>
        <w:spacing w:before="1"/>
        <w:ind w:left="1029" w:right="0" w:firstLine="0"/>
        <w:jc w:val="left"/>
        <w:rPr>
          <w:sz w:val="20"/>
        </w:rPr>
      </w:pPr>
      <w:r>
        <w:rPr>
          <w:sz w:val="20"/>
        </w:rPr>
        <w:t>* Источник: S.Inui et al. Radiology: Cardiothoracic Imaging, 8 April 2020</w:t>
      </w:r>
    </w:p>
    <w:p>
      <w:pPr>
        <w:pStyle w:val="BodyText"/>
        <w:spacing w:before="10"/>
        <w:ind w:left="0"/>
        <w:jc w:val="left"/>
        <w:rPr>
          <w:sz w:val="23"/>
        </w:rPr>
      </w:pPr>
    </w:p>
    <w:p>
      <w:pPr>
        <w:pStyle w:val="Heading3"/>
        <w:spacing w:before="1"/>
      </w:pPr>
      <w:r>
        <w:rPr/>
        <w:t>Компьютер-ассистированная диагностика</w:t>
      </w:r>
    </w:p>
    <w:p>
      <w:pPr>
        <w:pStyle w:val="BodyText"/>
        <w:ind w:right="672" w:firstLine="708"/>
      </w:pPr>
      <w:r>
        <w:rPr/>
        <w:t>Ряд рабочих станций для современных аппаратов КТ и цифровой РГ оснащены компьютерными программами, которые предназначены для автоматического или полуавтоматического   выделения   и   измерения   объема   зон   «матового   стекла»   и консолидации. Применение таких программ позволяет проводить оценку объема измененной легочной ткани более объективно, чем «эмпирический» метод, особенно при</w:t>
      </w:r>
      <w:r>
        <w:rPr>
          <w:spacing w:val="-7"/>
        </w:rPr>
        <w:t> </w:t>
      </w:r>
      <w:r>
        <w:rPr/>
        <w:t>наблюдении</w:t>
      </w:r>
      <w:r>
        <w:rPr>
          <w:spacing w:val="-6"/>
        </w:rPr>
        <w:t> </w:t>
      </w:r>
      <w:r>
        <w:rPr/>
        <w:t>в</w:t>
      </w:r>
      <w:r>
        <w:rPr>
          <w:spacing w:val="-8"/>
        </w:rPr>
        <w:t> </w:t>
      </w:r>
      <w:r>
        <w:rPr/>
        <w:t>динамике.</w:t>
      </w:r>
      <w:r>
        <w:rPr>
          <w:spacing w:val="-7"/>
        </w:rPr>
        <w:t> </w:t>
      </w:r>
      <w:r>
        <w:rPr/>
        <w:t>При</w:t>
      </w:r>
      <w:r>
        <w:rPr>
          <w:spacing w:val="-6"/>
        </w:rPr>
        <w:t> </w:t>
      </w:r>
      <w:r>
        <w:rPr/>
        <w:t>использовании</w:t>
      </w:r>
      <w:r>
        <w:rPr>
          <w:spacing w:val="-6"/>
        </w:rPr>
        <w:t> </w:t>
      </w:r>
      <w:r>
        <w:rPr/>
        <w:t>таких</w:t>
      </w:r>
      <w:r>
        <w:rPr>
          <w:spacing w:val="-5"/>
        </w:rPr>
        <w:t> </w:t>
      </w:r>
      <w:r>
        <w:rPr/>
        <w:t>компьютерных</w:t>
      </w:r>
      <w:r>
        <w:rPr>
          <w:spacing w:val="-5"/>
        </w:rPr>
        <w:t> </w:t>
      </w:r>
      <w:r>
        <w:rPr/>
        <w:t>программ</w:t>
      </w:r>
      <w:r>
        <w:rPr>
          <w:spacing w:val="-8"/>
        </w:rPr>
        <w:t> </w:t>
      </w:r>
      <w:r>
        <w:rPr/>
        <w:t>врач- рентгенолог</w:t>
      </w:r>
      <w:r>
        <w:rPr>
          <w:spacing w:val="-18"/>
        </w:rPr>
        <w:t> </w:t>
      </w:r>
      <w:r>
        <w:rPr/>
        <w:t>должен</w:t>
      </w:r>
      <w:r>
        <w:rPr>
          <w:spacing w:val="-16"/>
        </w:rPr>
        <w:t> </w:t>
      </w:r>
      <w:r>
        <w:rPr/>
        <w:t>контролировать</w:t>
      </w:r>
      <w:r>
        <w:rPr>
          <w:spacing w:val="-17"/>
        </w:rPr>
        <w:t> </w:t>
      </w:r>
      <w:r>
        <w:rPr/>
        <w:t>корректность</w:t>
      </w:r>
      <w:r>
        <w:rPr>
          <w:spacing w:val="-16"/>
        </w:rPr>
        <w:t> </w:t>
      </w:r>
      <w:r>
        <w:rPr/>
        <w:t>выделения</w:t>
      </w:r>
      <w:r>
        <w:rPr>
          <w:spacing w:val="-18"/>
        </w:rPr>
        <w:t> </w:t>
      </w:r>
      <w:r>
        <w:rPr/>
        <w:t>патологических</w:t>
      </w:r>
      <w:r>
        <w:rPr>
          <w:spacing w:val="-13"/>
        </w:rPr>
        <w:t> </w:t>
      </w:r>
      <w:r>
        <w:rPr/>
        <w:t>участков в легких и принимать решение, пригодны получаемые с их помощью данные для клинического применения или нет.</w:t>
      </w:r>
    </w:p>
    <w:p>
      <w:pPr>
        <w:pStyle w:val="BodyText"/>
        <w:ind w:right="674" w:firstLine="708"/>
      </w:pPr>
      <w:r>
        <w:rPr/>
        <w:t>В целом, данные визуализации могут интерпретироваться только в контексте клинической картины и результатов лабораторно-инструментальных показателей. Рентгенография и КТ играют важную, но не определяющую роль в оценке тяжести течения заболевания и прогноза его развития. Эти ограничения связаны, в том числе,  с отсутствием характеристик поражения легочной ткани («матовое» стекло и/или консолидация)</w:t>
      </w:r>
      <w:r>
        <w:rPr>
          <w:spacing w:val="-13"/>
        </w:rPr>
        <w:t> </w:t>
      </w:r>
      <w:r>
        <w:rPr/>
        <w:t>и</w:t>
      </w:r>
      <w:r>
        <w:rPr>
          <w:spacing w:val="-12"/>
        </w:rPr>
        <w:t> </w:t>
      </w:r>
      <w:r>
        <w:rPr/>
        <w:t>других</w:t>
      </w:r>
      <w:r>
        <w:rPr>
          <w:spacing w:val="-12"/>
        </w:rPr>
        <w:t> </w:t>
      </w:r>
      <w:r>
        <w:rPr/>
        <w:t>проявлений</w:t>
      </w:r>
      <w:r>
        <w:rPr>
          <w:spacing w:val="-11"/>
        </w:rPr>
        <w:t> </w:t>
      </w:r>
      <w:r>
        <w:rPr/>
        <w:t>патологии</w:t>
      </w:r>
      <w:r>
        <w:rPr>
          <w:spacing w:val="-13"/>
        </w:rPr>
        <w:t> </w:t>
      </w:r>
      <w:r>
        <w:rPr/>
        <w:t>(плевральный</w:t>
      </w:r>
      <w:r>
        <w:rPr>
          <w:spacing w:val="-11"/>
        </w:rPr>
        <w:t> </w:t>
      </w:r>
      <w:r>
        <w:rPr/>
        <w:t>выпот,</w:t>
      </w:r>
      <w:r>
        <w:rPr>
          <w:spacing w:val="-12"/>
        </w:rPr>
        <w:t> </w:t>
      </w:r>
      <w:r>
        <w:rPr/>
        <w:t>отек</w:t>
      </w:r>
      <w:r>
        <w:rPr>
          <w:spacing w:val="-11"/>
        </w:rPr>
        <w:t> </w:t>
      </w:r>
      <w:r>
        <w:rPr/>
        <w:t>легких</w:t>
      </w:r>
      <w:r>
        <w:rPr>
          <w:spacing w:val="-10"/>
        </w:rPr>
        <w:t> </w:t>
      </w:r>
      <w:r>
        <w:rPr/>
        <w:t>и</w:t>
      </w:r>
      <w:r>
        <w:rPr>
          <w:spacing w:val="-13"/>
        </w:rPr>
        <w:t> </w:t>
      </w:r>
      <w:r>
        <w:rPr/>
        <w:t>др.). Поэтому</w:t>
      </w:r>
      <w:r>
        <w:rPr>
          <w:spacing w:val="-22"/>
        </w:rPr>
        <w:t> </w:t>
      </w:r>
      <w:r>
        <w:rPr>
          <w:b/>
        </w:rPr>
        <w:t>объем</w:t>
      </w:r>
      <w:r>
        <w:rPr>
          <w:b/>
          <w:spacing w:val="-18"/>
        </w:rPr>
        <w:t> </w:t>
      </w:r>
      <w:r>
        <w:rPr>
          <w:b/>
        </w:rPr>
        <w:t>поражения</w:t>
      </w:r>
      <w:r>
        <w:rPr>
          <w:b/>
          <w:spacing w:val="-17"/>
        </w:rPr>
        <w:t> </w:t>
      </w:r>
      <w:r>
        <w:rPr>
          <w:b/>
        </w:rPr>
        <w:t>легких</w:t>
      </w:r>
      <w:r>
        <w:rPr>
          <w:b/>
          <w:spacing w:val="-17"/>
        </w:rPr>
        <w:t> </w:t>
      </w:r>
      <w:r>
        <w:rPr>
          <w:b/>
        </w:rPr>
        <w:t>при</w:t>
      </w:r>
      <w:r>
        <w:rPr>
          <w:b/>
          <w:spacing w:val="-16"/>
        </w:rPr>
        <w:t> </w:t>
      </w:r>
      <w:r>
        <w:rPr>
          <w:b/>
        </w:rPr>
        <w:t>РГ</w:t>
      </w:r>
      <w:r>
        <w:rPr>
          <w:b/>
          <w:spacing w:val="-16"/>
        </w:rPr>
        <w:t> </w:t>
      </w:r>
      <w:r>
        <w:rPr>
          <w:b/>
        </w:rPr>
        <w:t>и</w:t>
      </w:r>
      <w:r>
        <w:rPr>
          <w:b/>
          <w:spacing w:val="-16"/>
        </w:rPr>
        <w:t> </w:t>
      </w:r>
      <w:r>
        <w:rPr>
          <w:b/>
        </w:rPr>
        <w:t>КТ</w:t>
      </w:r>
      <w:r>
        <w:rPr>
          <w:b/>
          <w:spacing w:val="-17"/>
        </w:rPr>
        <w:t> </w:t>
      </w:r>
      <w:r>
        <w:rPr>
          <w:b/>
        </w:rPr>
        <w:t>может</w:t>
      </w:r>
      <w:r>
        <w:rPr>
          <w:b/>
          <w:spacing w:val="-15"/>
        </w:rPr>
        <w:t> </w:t>
      </w:r>
      <w:r>
        <w:rPr>
          <w:b/>
        </w:rPr>
        <w:t>не</w:t>
      </w:r>
      <w:r>
        <w:rPr>
          <w:b/>
          <w:spacing w:val="-18"/>
        </w:rPr>
        <w:t> </w:t>
      </w:r>
      <w:r>
        <w:rPr>
          <w:b/>
        </w:rPr>
        <w:t>иметь</w:t>
      </w:r>
      <w:r>
        <w:rPr>
          <w:b/>
          <w:spacing w:val="-17"/>
        </w:rPr>
        <w:t> </w:t>
      </w:r>
      <w:r>
        <w:rPr>
          <w:b/>
        </w:rPr>
        <w:t>прямой</w:t>
      </w:r>
      <w:r>
        <w:rPr>
          <w:b/>
          <w:spacing w:val="-16"/>
        </w:rPr>
        <w:t> </w:t>
      </w:r>
      <w:r>
        <w:rPr>
          <w:b/>
        </w:rPr>
        <w:t>корреляции с клинической тяжестью</w:t>
      </w:r>
      <w:r>
        <w:rPr>
          <w:b/>
          <w:spacing w:val="-3"/>
        </w:rPr>
        <w:t> </w:t>
      </w:r>
      <w:r>
        <w:rPr>
          <w:b/>
        </w:rPr>
        <w:t>заболевания</w:t>
      </w:r>
      <w:r>
        <w:rPr/>
        <w:t>.</w:t>
      </w:r>
    </w:p>
    <w:p>
      <w:pPr>
        <w:pStyle w:val="BodyText"/>
        <w:ind w:left="0"/>
        <w:jc w:val="left"/>
      </w:pPr>
    </w:p>
    <w:p>
      <w:pPr>
        <w:pStyle w:val="Heading3"/>
      </w:pPr>
      <w:r>
        <w:rPr/>
        <w:t>5. Оценка динамики изменений в легких при пневмонии COVID-19</w:t>
      </w:r>
    </w:p>
    <w:p>
      <w:pPr>
        <w:pStyle w:val="BodyText"/>
        <w:ind w:right="674" w:firstLine="708"/>
      </w:pPr>
      <w:r>
        <w:rPr/>
        <w:t>Основные    закономерности    развития     COVID-19     пневмонии     связаны  с трансформацией участков «матового стекла»  и  консолидацией  в легочной  ткани. В связи с этим КТ является предпочтительным методом оценки динамики. Однако для этой цели может использоваться и РГ, в случае если изменения видны на снимках и есть возможность оценить их динамику. Рентгенография с использованием передвижного аппарата также является основной методикой при наблюдении пациентов в</w:t>
      </w:r>
      <w:r>
        <w:rPr>
          <w:spacing w:val="-3"/>
        </w:rPr>
        <w:t> </w:t>
      </w:r>
      <w:r>
        <w:rPr/>
        <w:t>ОРИТ.</w:t>
      </w:r>
    </w:p>
    <w:p>
      <w:pPr>
        <w:spacing w:after="0"/>
        <w:sectPr>
          <w:pgSz w:w="11920" w:h="16850"/>
          <w:pgMar w:header="0" w:footer="620" w:top="1060" w:bottom="880" w:left="1380" w:right="600"/>
        </w:sectPr>
      </w:pPr>
    </w:p>
    <w:p>
      <w:pPr>
        <w:pStyle w:val="BodyText"/>
        <w:spacing w:before="78"/>
        <w:ind w:right="674" w:firstLine="708"/>
        <w:jc w:val="right"/>
      </w:pPr>
      <w:r>
        <w:rPr/>
        <w:t>Оценка динамики предполагает использование одной</w:t>
      </w:r>
      <w:r>
        <w:rPr>
          <w:spacing w:val="2"/>
        </w:rPr>
        <w:t> </w:t>
      </w:r>
      <w:r>
        <w:rPr/>
        <w:t>методики.</w:t>
      </w:r>
      <w:r>
        <w:rPr>
          <w:spacing w:val="12"/>
        </w:rPr>
        <w:t> </w:t>
      </w:r>
      <w:r>
        <w:rPr/>
        <w:t>Сравнение</w:t>
      </w:r>
      <w:r>
        <w:rPr>
          <w:spacing w:val="1"/>
        </w:rPr>
        <w:t> </w:t>
      </w:r>
      <w:r>
        <w:rPr/>
        <w:t>изменений</w:t>
      </w:r>
      <w:r>
        <w:rPr>
          <w:spacing w:val="-13"/>
        </w:rPr>
        <w:t> </w:t>
      </w:r>
      <w:r>
        <w:rPr/>
        <w:t>по</w:t>
      </w:r>
      <w:r>
        <w:rPr>
          <w:spacing w:val="-11"/>
        </w:rPr>
        <w:t> </w:t>
      </w:r>
      <w:r>
        <w:rPr/>
        <w:t>данным</w:t>
      </w:r>
      <w:r>
        <w:rPr>
          <w:spacing w:val="-12"/>
        </w:rPr>
        <w:t> </w:t>
      </w:r>
      <w:r>
        <w:rPr/>
        <w:t>различных</w:t>
      </w:r>
      <w:r>
        <w:rPr>
          <w:spacing w:val="-9"/>
        </w:rPr>
        <w:t> </w:t>
      </w:r>
      <w:r>
        <w:rPr/>
        <w:t>методов</w:t>
      </w:r>
      <w:r>
        <w:rPr>
          <w:spacing w:val="-12"/>
        </w:rPr>
        <w:t> </w:t>
      </w:r>
      <w:r>
        <w:rPr/>
        <w:t>и</w:t>
      </w:r>
      <w:r>
        <w:rPr>
          <w:spacing w:val="-11"/>
        </w:rPr>
        <w:t> </w:t>
      </w:r>
      <w:r>
        <w:rPr/>
        <w:t>методик</w:t>
      </w:r>
      <w:r>
        <w:rPr>
          <w:spacing w:val="-10"/>
        </w:rPr>
        <w:t> </w:t>
      </w:r>
      <w:r>
        <w:rPr/>
        <w:t>(например,</w:t>
      </w:r>
      <w:r>
        <w:rPr>
          <w:spacing w:val="-11"/>
        </w:rPr>
        <w:t> </w:t>
      </w:r>
      <w:r>
        <w:rPr/>
        <w:t>РГ</w:t>
      </w:r>
      <w:r>
        <w:rPr>
          <w:spacing w:val="-14"/>
        </w:rPr>
        <w:t> </w:t>
      </w:r>
      <w:r>
        <w:rPr/>
        <w:t>и</w:t>
      </w:r>
      <w:r>
        <w:rPr>
          <w:spacing w:val="-12"/>
        </w:rPr>
        <w:t> </w:t>
      </w:r>
      <w:r>
        <w:rPr/>
        <w:t>КТ)</w:t>
      </w:r>
      <w:r>
        <w:rPr>
          <w:spacing w:val="-12"/>
        </w:rPr>
        <w:t> </w:t>
      </w:r>
      <w:r>
        <w:rPr/>
        <w:t>не</w:t>
      </w:r>
      <w:r>
        <w:rPr>
          <w:spacing w:val="-12"/>
        </w:rPr>
        <w:t> </w:t>
      </w:r>
      <w:r>
        <w:rPr/>
        <w:t>корректно.</w:t>
      </w:r>
    </w:p>
    <w:p>
      <w:pPr>
        <w:pStyle w:val="BodyText"/>
        <w:ind w:right="1115" w:firstLine="708"/>
        <w:jc w:val="left"/>
      </w:pPr>
      <w:r>
        <w:rPr/>
        <w:t>Все рентгенологические исследования проводятся только по клиническим показаниям.</w:t>
      </w:r>
    </w:p>
    <w:p>
      <w:pPr>
        <w:pStyle w:val="Heading3"/>
        <w:ind w:left="321" w:right="615" w:firstLine="708"/>
        <w:jc w:val="left"/>
      </w:pPr>
      <w:r>
        <w:rPr/>
        <w:t>Кратность РГ и КТ исследований в динамике определяет лечащий врач (врач ОРИТ).</w:t>
      </w:r>
    </w:p>
    <w:p>
      <w:pPr>
        <w:pStyle w:val="BodyText"/>
        <w:ind w:left="0"/>
        <w:jc w:val="left"/>
        <w:rPr>
          <w:b/>
        </w:rPr>
      </w:pPr>
    </w:p>
    <w:p>
      <w:pPr>
        <w:spacing w:before="0"/>
        <w:ind w:left="403" w:right="51" w:firstLine="0"/>
        <w:jc w:val="center"/>
        <w:rPr>
          <w:b/>
          <w:sz w:val="24"/>
        </w:rPr>
      </w:pPr>
      <w:r>
        <w:rPr>
          <w:b/>
          <w:sz w:val="24"/>
        </w:rPr>
        <w:t>Таблица 1. Динамика изменений в легких по данным РГ и КТ</w:t>
      </w:r>
    </w:p>
    <w:tbl>
      <w:tblPr>
        <w:tblW w:w="0" w:type="auto"/>
        <w:jc w:val="left"/>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330"/>
        <w:gridCol w:w="6816"/>
      </w:tblGrid>
      <w:tr>
        <w:trPr>
          <w:trHeight w:val="408" w:hRule="atLeast"/>
        </w:trPr>
        <w:tc>
          <w:tcPr>
            <w:tcW w:w="2330" w:type="dxa"/>
            <w:tcBorders>
              <w:bottom w:val="single" w:sz="6" w:space="0" w:color="000000"/>
            </w:tcBorders>
            <w:shd w:val="clear" w:color="auto" w:fill="F1F1F1"/>
          </w:tcPr>
          <w:p>
            <w:pPr>
              <w:pStyle w:val="TableParagraph"/>
              <w:spacing w:before="77"/>
              <w:ind w:left="79"/>
              <w:rPr>
                <w:b/>
                <w:sz w:val="22"/>
              </w:rPr>
            </w:pPr>
            <w:r>
              <w:rPr>
                <w:b/>
                <w:sz w:val="22"/>
              </w:rPr>
              <w:t>Динамика процесса</w:t>
            </w:r>
          </w:p>
        </w:tc>
        <w:tc>
          <w:tcPr>
            <w:tcW w:w="6816" w:type="dxa"/>
            <w:tcBorders>
              <w:bottom w:val="single" w:sz="6" w:space="0" w:color="000000"/>
            </w:tcBorders>
            <w:shd w:val="clear" w:color="auto" w:fill="F1F1F1"/>
          </w:tcPr>
          <w:p>
            <w:pPr>
              <w:pStyle w:val="TableParagraph"/>
              <w:spacing w:before="77"/>
              <w:ind w:left="2887" w:right="2880"/>
              <w:jc w:val="center"/>
              <w:rPr>
                <w:b/>
                <w:sz w:val="22"/>
              </w:rPr>
            </w:pPr>
            <w:r>
              <w:rPr>
                <w:b/>
                <w:sz w:val="22"/>
              </w:rPr>
              <w:t>Признаки</w:t>
            </w:r>
          </w:p>
        </w:tc>
      </w:tr>
      <w:tr>
        <w:trPr>
          <w:trHeight w:val="3508" w:hRule="atLeast"/>
        </w:trPr>
        <w:tc>
          <w:tcPr>
            <w:tcW w:w="2330" w:type="dxa"/>
            <w:tcBorders>
              <w:top w:val="single" w:sz="6" w:space="0" w:color="000000"/>
              <w:bottom w:val="single" w:sz="6" w:space="0" w:color="000000"/>
            </w:tcBorders>
          </w:tcPr>
          <w:p>
            <w:pPr>
              <w:pStyle w:val="TableParagraph"/>
              <w:spacing w:before="78"/>
              <w:ind w:left="78" w:right="67"/>
              <w:rPr>
                <w:b/>
                <w:sz w:val="22"/>
              </w:rPr>
            </w:pPr>
            <w:r>
              <w:rPr>
                <w:b/>
                <w:sz w:val="22"/>
              </w:rPr>
              <w:t>Начальные проявления в первые дни заболевания</w:t>
            </w:r>
          </w:p>
        </w:tc>
        <w:tc>
          <w:tcPr>
            <w:tcW w:w="6816" w:type="dxa"/>
            <w:tcBorders>
              <w:top w:val="single" w:sz="6" w:space="0" w:color="000000"/>
              <w:bottom w:val="single" w:sz="6" w:space="0" w:color="000000"/>
            </w:tcBorders>
          </w:tcPr>
          <w:p>
            <w:pPr>
              <w:pStyle w:val="TableParagraph"/>
              <w:spacing w:before="78"/>
              <w:ind w:left="79"/>
              <w:jc w:val="both"/>
              <w:rPr>
                <w:b/>
                <w:sz w:val="22"/>
              </w:rPr>
            </w:pPr>
            <w:r>
              <w:rPr>
                <w:b/>
                <w:sz w:val="22"/>
              </w:rPr>
              <w:t>Типичная картина</w:t>
            </w:r>
          </w:p>
          <w:p>
            <w:pPr>
              <w:pStyle w:val="TableParagraph"/>
              <w:numPr>
                <w:ilvl w:val="0"/>
                <w:numId w:val="49"/>
              </w:numPr>
              <w:tabs>
                <w:tab w:pos="440" w:val="left" w:leader="none"/>
              </w:tabs>
              <w:spacing w:line="240" w:lineRule="auto" w:before="0" w:after="0"/>
              <w:ind w:left="439" w:right="200" w:hanging="360"/>
              <w:jc w:val="both"/>
              <w:rPr>
                <w:sz w:val="22"/>
              </w:rPr>
            </w:pPr>
            <w:r>
              <w:rPr>
                <w:sz w:val="22"/>
              </w:rPr>
              <w:t>Субплевральные участки уплотнения по типу «матового стекла» с консолидацией или без нее, с утолщением перегородок (симптом «булыжной мостовой») или без</w:t>
            </w:r>
            <w:r>
              <w:rPr>
                <w:spacing w:val="-5"/>
                <w:sz w:val="22"/>
              </w:rPr>
              <w:t> </w:t>
            </w:r>
            <w:r>
              <w:rPr>
                <w:sz w:val="22"/>
              </w:rPr>
              <w:t>них;</w:t>
            </w:r>
          </w:p>
          <w:p>
            <w:pPr>
              <w:pStyle w:val="TableParagraph"/>
              <w:numPr>
                <w:ilvl w:val="0"/>
                <w:numId w:val="49"/>
              </w:numPr>
              <w:tabs>
                <w:tab w:pos="440" w:val="left" w:leader="none"/>
              </w:tabs>
              <w:spacing w:line="240" w:lineRule="auto" w:before="0" w:after="0"/>
              <w:ind w:left="440" w:right="197" w:hanging="361"/>
              <w:jc w:val="both"/>
              <w:rPr>
                <w:sz w:val="22"/>
              </w:rPr>
            </w:pPr>
            <w:r>
              <w:rPr>
                <w:sz w:val="22"/>
              </w:rPr>
              <w:t>Участки уплотнения по типу «матового стекла» округлой формы перибронхиального расположения, с консолидацией или без нее, с утолщением перегородок (симптом «булыжной мостовой») или без</w:t>
            </w:r>
            <w:r>
              <w:rPr>
                <w:spacing w:val="-1"/>
                <w:sz w:val="22"/>
              </w:rPr>
              <w:t> </w:t>
            </w:r>
            <w:r>
              <w:rPr>
                <w:sz w:val="22"/>
              </w:rPr>
              <w:t>них;</w:t>
            </w:r>
          </w:p>
          <w:p>
            <w:pPr>
              <w:pStyle w:val="TableParagraph"/>
              <w:numPr>
                <w:ilvl w:val="0"/>
                <w:numId w:val="49"/>
              </w:numPr>
              <w:tabs>
                <w:tab w:pos="442" w:val="left" w:leader="none"/>
              </w:tabs>
              <w:spacing w:line="240" w:lineRule="auto" w:before="0" w:after="0"/>
              <w:ind w:left="441" w:right="198" w:hanging="361"/>
              <w:jc w:val="both"/>
              <w:rPr>
                <w:sz w:val="22"/>
              </w:rPr>
            </w:pPr>
            <w:r>
              <w:rPr>
                <w:sz w:val="22"/>
              </w:rPr>
              <w:t>Сочетание участков «матового стекла» и консолидации с симптомом «обратного ореола» и других признаков организующейся</w:t>
            </w:r>
            <w:r>
              <w:rPr>
                <w:spacing w:val="-2"/>
                <w:sz w:val="22"/>
              </w:rPr>
              <w:t> </w:t>
            </w:r>
            <w:r>
              <w:rPr>
                <w:sz w:val="22"/>
              </w:rPr>
              <w:t>пневмонии;</w:t>
            </w:r>
          </w:p>
          <w:p>
            <w:pPr>
              <w:pStyle w:val="TableParagraph"/>
              <w:numPr>
                <w:ilvl w:val="0"/>
                <w:numId w:val="49"/>
              </w:numPr>
              <w:tabs>
                <w:tab w:pos="440" w:val="left" w:leader="none"/>
              </w:tabs>
              <w:spacing w:line="240" w:lineRule="auto" w:before="0" w:after="0"/>
              <w:ind w:left="439" w:right="204" w:hanging="360"/>
              <w:jc w:val="both"/>
              <w:rPr>
                <w:sz w:val="22"/>
              </w:rPr>
            </w:pPr>
            <w:r>
              <w:rPr>
                <w:sz w:val="22"/>
              </w:rPr>
              <w:t>Расположение изменений двустороннее, преимущественно периферическое.</w:t>
            </w:r>
          </w:p>
        </w:tc>
      </w:tr>
      <w:tr>
        <w:trPr>
          <w:trHeight w:val="1720" w:hRule="atLeast"/>
        </w:trPr>
        <w:tc>
          <w:tcPr>
            <w:tcW w:w="2330" w:type="dxa"/>
            <w:tcBorders>
              <w:top w:val="single" w:sz="6" w:space="0" w:color="000000"/>
              <w:bottom w:val="single" w:sz="6" w:space="0" w:color="000000"/>
            </w:tcBorders>
            <w:shd w:val="clear" w:color="auto" w:fill="F1F1F1"/>
          </w:tcPr>
          <w:p>
            <w:pPr>
              <w:pStyle w:val="TableParagraph"/>
              <w:spacing w:before="76"/>
              <w:ind w:left="79" w:right="110"/>
              <w:rPr>
                <w:b/>
                <w:sz w:val="22"/>
              </w:rPr>
            </w:pPr>
            <w:r>
              <w:rPr>
                <w:b/>
                <w:sz w:val="22"/>
              </w:rPr>
              <w:t>Положительная динамика изменений (стабилизация)</w:t>
            </w:r>
          </w:p>
        </w:tc>
        <w:tc>
          <w:tcPr>
            <w:tcW w:w="6816" w:type="dxa"/>
            <w:tcBorders>
              <w:top w:val="single" w:sz="6" w:space="0" w:color="000000"/>
              <w:bottom w:val="single" w:sz="6" w:space="0" w:color="000000"/>
            </w:tcBorders>
            <w:shd w:val="clear" w:color="auto" w:fill="F1F1F1"/>
          </w:tcPr>
          <w:p>
            <w:pPr>
              <w:pStyle w:val="TableParagraph"/>
              <w:numPr>
                <w:ilvl w:val="0"/>
                <w:numId w:val="50"/>
              </w:numPr>
              <w:tabs>
                <w:tab w:pos="440" w:val="left" w:leader="none"/>
              </w:tabs>
              <w:spacing w:line="240" w:lineRule="auto" w:before="77" w:after="0"/>
              <w:ind w:left="439" w:right="199" w:hanging="360"/>
              <w:jc w:val="both"/>
              <w:rPr>
                <w:sz w:val="22"/>
              </w:rPr>
            </w:pPr>
            <w:r>
              <w:rPr>
                <w:sz w:val="22"/>
              </w:rPr>
              <w:t>Преобразование участков «матового стекла» в уплотнения по типу консолидации (нарастание плотности измененных участков легочной ткани) без видимого увеличения объема (протяженности) поражения</w:t>
            </w:r>
            <w:r>
              <w:rPr>
                <w:spacing w:val="-1"/>
                <w:sz w:val="22"/>
              </w:rPr>
              <w:t> </w:t>
            </w:r>
            <w:r>
              <w:rPr>
                <w:sz w:val="22"/>
              </w:rPr>
              <w:t>легких;</w:t>
            </w:r>
          </w:p>
          <w:p>
            <w:pPr>
              <w:pStyle w:val="TableParagraph"/>
              <w:numPr>
                <w:ilvl w:val="0"/>
                <w:numId w:val="50"/>
              </w:numPr>
              <w:tabs>
                <w:tab w:pos="440" w:val="left" w:leader="none"/>
              </w:tabs>
              <w:spacing w:line="268" w:lineRule="exact" w:before="0" w:after="0"/>
              <w:ind w:left="439" w:right="0" w:hanging="361"/>
              <w:jc w:val="both"/>
              <w:rPr>
                <w:sz w:val="22"/>
              </w:rPr>
            </w:pPr>
            <w:r>
              <w:rPr>
                <w:sz w:val="22"/>
              </w:rPr>
              <w:t>Формирование картины организующейся</w:t>
            </w:r>
            <w:r>
              <w:rPr>
                <w:spacing w:val="-5"/>
                <w:sz w:val="22"/>
              </w:rPr>
              <w:t> </w:t>
            </w:r>
            <w:r>
              <w:rPr>
                <w:sz w:val="22"/>
              </w:rPr>
              <w:t>пневмонии;</w:t>
            </w:r>
          </w:p>
          <w:p>
            <w:pPr>
              <w:pStyle w:val="TableParagraph"/>
              <w:numPr>
                <w:ilvl w:val="0"/>
                <w:numId w:val="50"/>
              </w:numPr>
              <w:tabs>
                <w:tab w:pos="440" w:val="left" w:leader="none"/>
              </w:tabs>
              <w:spacing w:line="269" w:lineRule="exact" w:before="0" w:after="0"/>
              <w:ind w:left="439" w:right="0" w:hanging="361"/>
              <w:jc w:val="both"/>
              <w:rPr>
                <w:sz w:val="22"/>
              </w:rPr>
            </w:pPr>
            <w:r>
              <w:rPr>
                <w:sz w:val="22"/>
              </w:rPr>
              <w:t>Уменьшение размеров уплотненных участков легочной</w:t>
            </w:r>
            <w:r>
              <w:rPr>
                <w:spacing w:val="-10"/>
                <w:sz w:val="22"/>
              </w:rPr>
              <w:t> </w:t>
            </w:r>
            <w:r>
              <w:rPr>
                <w:sz w:val="22"/>
              </w:rPr>
              <w:t>ткани.</w:t>
            </w:r>
          </w:p>
        </w:tc>
      </w:tr>
      <w:tr>
        <w:trPr>
          <w:trHeight w:val="6145" w:hRule="atLeast"/>
        </w:trPr>
        <w:tc>
          <w:tcPr>
            <w:tcW w:w="2330" w:type="dxa"/>
            <w:tcBorders>
              <w:top w:val="single" w:sz="6" w:space="0" w:color="000000"/>
              <w:bottom w:val="single" w:sz="6" w:space="0" w:color="000000"/>
            </w:tcBorders>
          </w:tcPr>
          <w:p>
            <w:pPr>
              <w:pStyle w:val="TableParagraph"/>
              <w:spacing w:before="76"/>
              <w:ind w:left="78" w:right="111"/>
              <w:rPr>
                <w:b/>
                <w:sz w:val="22"/>
              </w:rPr>
            </w:pPr>
            <w:r>
              <w:rPr>
                <w:b/>
                <w:sz w:val="22"/>
              </w:rPr>
              <w:t>Отрицательная динамика изменений (прогрессирование)</w:t>
            </w:r>
          </w:p>
        </w:tc>
        <w:tc>
          <w:tcPr>
            <w:tcW w:w="6816" w:type="dxa"/>
            <w:tcBorders>
              <w:top w:val="single" w:sz="6" w:space="0" w:color="000000"/>
              <w:bottom w:val="single" w:sz="6" w:space="0" w:color="000000"/>
            </w:tcBorders>
          </w:tcPr>
          <w:p>
            <w:pPr>
              <w:pStyle w:val="TableParagraph"/>
              <w:spacing w:before="76"/>
              <w:ind w:left="79"/>
              <w:rPr>
                <w:sz w:val="22"/>
              </w:rPr>
            </w:pPr>
            <w:r>
              <w:rPr>
                <w:b/>
                <w:sz w:val="22"/>
              </w:rPr>
              <w:t>Нарастание изменений</w:t>
            </w:r>
            <w:r>
              <w:rPr>
                <w:sz w:val="22"/>
              </w:rPr>
              <w:t>:</w:t>
            </w:r>
          </w:p>
          <w:p>
            <w:pPr>
              <w:pStyle w:val="TableParagraph"/>
              <w:numPr>
                <w:ilvl w:val="0"/>
                <w:numId w:val="51"/>
              </w:numPr>
              <w:tabs>
                <w:tab w:pos="439" w:val="left" w:leader="none"/>
                <w:tab w:pos="440" w:val="left" w:leader="none"/>
                <w:tab w:pos="1771" w:val="left" w:leader="none"/>
                <w:tab w:pos="2827" w:val="left" w:leader="none"/>
                <w:tab w:pos="4603" w:val="left" w:leader="none"/>
                <w:tab w:pos="5549" w:val="left" w:leader="none"/>
              </w:tabs>
              <w:spacing w:line="240" w:lineRule="auto" w:before="2" w:after="0"/>
              <w:ind w:left="439" w:right="199" w:hanging="361"/>
              <w:jc w:val="left"/>
              <w:rPr>
                <w:sz w:val="22"/>
              </w:rPr>
            </w:pPr>
            <w:r>
              <w:rPr>
                <w:sz w:val="22"/>
              </w:rPr>
              <w:t>Увеличение</w:t>
              <w:tab/>
              <w:t>размеров</w:t>
              <w:tab/>
              <w:t>(протяженности,</w:t>
              <w:tab/>
              <w:t>объема)</w:t>
              <w:tab/>
            </w:r>
            <w:r>
              <w:rPr>
                <w:spacing w:val="-3"/>
                <w:sz w:val="22"/>
              </w:rPr>
              <w:t>имевшихся </w:t>
            </w:r>
            <w:r>
              <w:rPr>
                <w:sz w:val="22"/>
              </w:rPr>
              <w:t>участков уплотнения по типу «матового</w:t>
            </w:r>
            <w:r>
              <w:rPr>
                <w:spacing w:val="-5"/>
                <w:sz w:val="22"/>
              </w:rPr>
              <w:t> </w:t>
            </w:r>
            <w:r>
              <w:rPr>
                <w:sz w:val="22"/>
              </w:rPr>
              <w:t>стекла»;</w:t>
            </w:r>
          </w:p>
          <w:p>
            <w:pPr>
              <w:pStyle w:val="TableParagraph"/>
              <w:numPr>
                <w:ilvl w:val="0"/>
                <w:numId w:val="51"/>
              </w:numPr>
              <w:tabs>
                <w:tab w:pos="440" w:val="left" w:leader="none"/>
                <w:tab w:pos="441" w:val="left" w:leader="none"/>
              </w:tabs>
              <w:spacing w:line="267" w:lineRule="exact" w:before="0" w:after="0"/>
              <w:ind w:left="440" w:right="0" w:hanging="361"/>
              <w:jc w:val="left"/>
              <w:rPr>
                <w:sz w:val="22"/>
              </w:rPr>
            </w:pPr>
            <w:r>
              <w:rPr>
                <w:sz w:val="22"/>
              </w:rPr>
              <w:t>Появление новых участков «матового</w:t>
            </w:r>
            <w:r>
              <w:rPr>
                <w:spacing w:val="-1"/>
                <w:sz w:val="22"/>
              </w:rPr>
              <w:t> </w:t>
            </w:r>
            <w:r>
              <w:rPr>
                <w:sz w:val="22"/>
              </w:rPr>
              <w:t>стекла»;</w:t>
            </w:r>
          </w:p>
          <w:p>
            <w:pPr>
              <w:pStyle w:val="TableParagraph"/>
              <w:numPr>
                <w:ilvl w:val="0"/>
                <w:numId w:val="51"/>
              </w:numPr>
              <w:tabs>
                <w:tab w:pos="440" w:val="left" w:leader="none"/>
                <w:tab w:pos="441" w:val="left" w:leader="none"/>
              </w:tabs>
              <w:spacing w:line="240" w:lineRule="auto" w:before="0" w:after="0"/>
              <w:ind w:left="441" w:right="200" w:hanging="361"/>
              <w:jc w:val="left"/>
              <w:rPr>
                <w:sz w:val="22"/>
              </w:rPr>
            </w:pPr>
            <w:r>
              <w:rPr>
                <w:sz w:val="22"/>
              </w:rPr>
              <w:t>Слияние отдельных участков «матового стекла» в более крупные уплотнения вплоть до субтотального поражения</w:t>
            </w:r>
            <w:r>
              <w:rPr>
                <w:spacing w:val="-7"/>
                <w:sz w:val="22"/>
              </w:rPr>
              <w:t> </w:t>
            </w:r>
            <w:r>
              <w:rPr>
                <w:sz w:val="22"/>
              </w:rPr>
              <w:t>легких;</w:t>
            </w:r>
          </w:p>
          <w:p>
            <w:pPr>
              <w:pStyle w:val="TableParagraph"/>
              <w:numPr>
                <w:ilvl w:val="0"/>
                <w:numId w:val="51"/>
              </w:numPr>
              <w:tabs>
                <w:tab w:pos="440" w:val="left" w:leader="none"/>
                <w:tab w:pos="442" w:val="left" w:leader="none"/>
                <w:tab w:pos="2087" w:val="left" w:leader="none"/>
                <w:tab w:pos="3172" w:val="left" w:leader="none"/>
                <w:tab w:pos="4388" w:val="left" w:leader="none"/>
                <w:tab w:pos="5358" w:val="left" w:leader="none"/>
              </w:tabs>
              <w:spacing w:line="240" w:lineRule="auto" w:before="0" w:after="0"/>
              <w:ind w:left="440" w:right="200" w:hanging="360"/>
              <w:jc w:val="left"/>
              <w:rPr>
                <w:sz w:val="22"/>
              </w:rPr>
            </w:pPr>
            <w:r>
              <w:rPr>
                <w:sz w:val="22"/>
              </w:rPr>
              <w:t>Выраженность</w:t>
              <w:tab/>
              <w:t>участков</w:t>
              <w:tab/>
              <w:t>«матового</w:t>
              <w:tab/>
              <w:t>стекла»</w:t>
              <w:tab/>
            </w:r>
            <w:r>
              <w:rPr>
                <w:spacing w:val="-3"/>
                <w:sz w:val="22"/>
              </w:rPr>
              <w:t>по-прежнему </w:t>
            </w:r>
            <w:r>
              <w:rPr>
                <w:sz w:val="22"/>
              </w:rPr>
              <w:t>значительно преобладает над</w:t>
            </w:r>
            <w:r>
              <w:rPr>
                <w:spacing w:val="-5"/>
                <w:sz w:val="22"/>
              </w:rPr>
              <w:t> </w:t>
            </w:r>
            <w:r>
              <w:rPr>
                <w:sz w:val="22"/>
              </w:rPr>
              <w:t>консолидацией.</w:t>
            </w:r>
          </w:p>
          <w:p>
            <w:pPr>
              <w:pStyle w:val="TableParagraph"/>
              <w:spacing w:line="253" w:lineRule="exact"/>
              <w:ind w:left="80"/>
              <w:rPr>
                <w:sz w:val="22"/>
              </w:rPr>
            </w:pPr>
            <w:r>
              <w:rPr>
                <w:b/>
                <w:sz w:val="22"/>
              </w:rPr>
              <w:t>Появление новых признаков </w:t>
            </w:r>
            <w:r>
              <w:rPr>
                <w:sz w:val="22"/>
              </w:rPr>
              <w:t>других патологических процессов:</w:t>
            </w:r>
          </w:p>
          <w:p>
            <w:pPr>
              <w:pStyle w:val="TableParagraph"/>
              <w:numPr>
                <w:ilvl w:val="0"/>
                <w:numId w:val="51"/>
              </w:numPr>
              <w:tabs>
                <w:tab w:pos="440" w:val="left" w:leader="none"/>
                <w:tab w:pos="441" w:val="left" w:leader="none"/>
                <w:tab w:pos="2747" w:val="left" w:leader="none"/>
                <w:tab w:pos="4835" w:val="left" w:leader="none"/>
              </w:tabs>
              <w:spacing w:line="240" w:lineRule="auto" w:before="0" w:after="0"/>
              <w:ind w:left="440" w:right="199" w:hanging="361"/>
              <w:jc w:val="left"/>
              <w:rPr>
                <w:sz w:val="22"/>
              </w:rPr>
            </w:pPr>
            <w:r>
              <w:rPr>
                <w:sz w:val="22"/>
              </w:rPr>
              <w:t>Левожелудочковая</w:t>
              <w:tab/>
              <w:t>недостаточность</w:t>
              <w:tab/>
            </w:r>
            <w:r>
              <w:rPr>
                <w:spacing w:val="-1"/>
                <w:sz w:val="22"/>
              </w:rPr>
              <w:t>(гидростатический </w:t>
            </w:r>
            <w:r>
              <w:rPr>
                <w:sz w:val="22"/>
              </w:rPr>
              <w:t>кардиогенный отек легких, двухсторонний плевральный</w:t>
            </w:r>
            <w:r>
              <w:rPr>
                <w:spacing w:val="-16"/>
                <w:sz w:val="22"/>
              </w:rPr>
              <w:t> </w:t>
            </w:r>
            <w:r>
              <w:rPr>
                <w:sz w:val="22"/>
              </w:rPr>
              <w:t>выпот),</w:t>
            </w:r>
          </w:p>
          <w:p>
            <w:pPr>
              <w:pStyle w:val="TableParagraph"/>
              <w:numPr>
                <w:ilvl w:val="0"/>
                <w:numId w:val="51"/>
              </w:numPr>
              <w:tabs>
                <w:tab w:pos="440" w:val="left" w:leader="none"/>
                <w:tab w:pos="442" w:val="left" w:leader="none"/>
              </w:tabs>
              <w:spacing w:line="268" w:lineRule="exact" w:before="0" w:after="0"/>
              <w:ind w:left="441" w:right="0" w:hanging="362"/>
              <w:jc w:val="left"/>
              <w:rPr>
                <w:sz w:val="22"/>
              </w:rPr>
            </w:pPr>
            <w:r>
              <w:rPr>
                <w:sz w:val="22"/>
              </w:rPr>
              <w:t>Респираторный дистресс-синдром (отек</w:t>
            </w:r>
            <w:r>
              <w:rPr>
                <w:spacing w:val="-5"/>
                <w:sz w:val="22"/>
              </w:rPr>
              <w:t> </w:t>
            </w:r>
            <w:r>
              <w:rPr>
                <w:sz w:val="22"/>
              </w:rPr>
              <w:t>легких);</w:t>
            </w:r>
          </w:p>
          <w:p>
            <w:pPr>
              <w:pStyle w:val="TableParagraph"/>
              <w:numPr>
                <w:ilvl w:val="0"/>
                <w:numId w:val="51"/>
              </w:numPr>
              <w:tabs>
                <w:tab w:pos="440" w:val="left" w:leader="none"/>
                <w:tab w:pos="442" w:val="left" w:leader="none"/>
                <w:tab w:pos="2164" w:val="left" w:leader="none"/>
                <w:tab w:pos="3529" w:val="left" w:leader="none"/>
                <w:tab w:pos="4525" w:val="left" w:leader="none"/>
                <w:tab w:pos="5869" w:val="left" w:leader="none"/>
              </w:tabs>
              <w:spacing w:line="240" w:lineRule="auto" w:before="0" w:after="0"/>
              <w:ind w:left="441" w:right="198" w:hanging="361"/>
              <w:jc w:val="left"/>
              <w:rPr>
                <w:sz w:val="22"/>
              </w:rPr>
            </w:pPr>
            <w:r>
              <w:rPr>
                <w:sz w:val="22"/>
              </w:rPr>
              <w:t>Бактериальная</w:t>
              <w:tab/>
              <w:t>пневмония</w:t>
              <w:tab/>
              <w:t>(новые</w:t>
              <w:tab/>
              <w:t>локальные</w:t>
              <w:tab/>
            </w:r>
            <w:r>
              <w:rPr>
                <w:spacing w:val="-3"/>
                <w:sz w:val="22"/>
              </w:rPr>
              <w:t>участки </w:t>
            </w:r>
            <w:r>
              <w:rPr>
                <w:sz w:val="22"/>
              </w:rPr>
              <w:t>консолидации, плевральный</w:t>
            </w:r>
            <w:r>
              <w:rPr>
                <w:spacing w:val="-2"/>
                <w:sz w:val="22"/>
              </w:rPr>
              <w:t> </w:t>
            </w:r>
            <w:r>
              <w:rPr>
                <w:sz w:val="22"/>
              </w:rPr>
              <w:t>выпот);</w:t>
            </w:r>
          </w:p>
          <w:p>
            <w:pPr>
              <w:pStyle w:val="TableParagraph"/>
              <w:numPr>
                <w:ilvl w:val="0"/>
                <w:numId w:val="51"/>
              </w:numPr>
              <w:tabs>
                <w:tab w:pos="440" w:val="left" w:leader="none"/>
                <w:tab w:pos="442" w:val="left" w:leader="none"/>
              </w:tabs>
              <w:spacing w:line="269" w:lineRule="exact" w:before="0" w:after="0"/>
              <w:ind w:left="441" w:right="0" w:hanging="362"/>
              <w:jc w:val="left"/>
              <w:rPr>
                <w:sz w:val="22"/>
              </w:rPr>
            </w:pPr>
            <w:r>
              <w:rPr>
                <w:sz w:val="22"/>
              </w:rPr>
              <w:t>Абсцесс легкого и множественные септические</w:t>
            </w:r>
            <w:r>
              <w:rPr>
                <w:spacing w:val="-7"/>
                <w:sz w:val="22"/>
              </w:rPr>
              <w:t> </w:t>
            </w:r>
            <w:r>
              <w:rPr>
                <w:sz w:val="22"/>
              </w:rPr>
              <w:t>эмболии;</w:t>
            </w:r>
          </w:p>
          <w:p>
            <w:pPr>
              <w:pStyle w:val="TableParagraph"/>
              <w:numPr>
                <w:ilvl w:val="0"/>
                <w:numId w:val="51"/>
              </w:numPr>
              <w:tabs>
                <w:tab w:pos="440" w:val="left" w:leader="none"/>
                <w:tab w:pos="442" w:val="left" w:leader="none"/>
              </w:tabs>
              <w:spacing w:line="269" w:lineRule="exact" w:before="0" w:after="0"/>
              <w:ind w:left="441" w:right="0" w:hanging="362"/>
              <w:jc w:val="left"/>
              <w:rPr>
                <w:sz w:val="22"/>
              </w:rPr>
            </w:pPr>
            <w:r>
              <w:rPr>
                <w:sz w:val="22"/>
              </w:rPr>
              <w:t>Пневмоторакс и</w:t>
            </w:r>
            <w:r>
              <w:rPr>
                <w:spacing w:val="-2"/>
                <w:sz w:val="22"/>
              </w:rPr>
              <w:t> </w:t>
            </w:r>
            <w:r>
              <w:rPr>
                <w:sz w:val="22"/>
              </w:rPr>
              <w:t>пневмомедиастинум;</w:t>
            </w:r>
          </w:p>
          <w:p>
            <w:pPr>
              <w:pStyle w:val="TableParagraph"/>
              <w:numPr>
                <w:ilvl w:val="0"/>
                <w:numId w:val="51"/>
              </w:numPr>
              <w:tabs>
                <w:tab w:pos="442" w:val="left" w:leader="none"/>
              </w:tabs>
              <w:spacing w:line="240" w:lineRule="auto" w:before="0" w:after="0"/>
              <w:ind w:left="440" w:right="199" w:hanging="360"/>
              <w:jc w:val="both"/>
              <w:rPr>
                <w:sz w:val="22"/>
              </w:rPr>
            </w:pPr>
            <w:r>
              <w:rPr>
                <w:sz w:val="22"/>
              </w:rPr>
              <w:t>Тромбоэмболия мелких ветвей легочной артерии (в т.ч. при снижении сатурации на фоне стабильной рентгенологической картины – может потребоваться КТ ОГК с</w:t>
            </w:r>
            <w:r>
              <w:rPr>
                <w:spacing w:val="-14"/>
                <w:sz w:val="22"/>
              </w:rPr>
              <w:t> </w:t>
            </w:r>
            <w:r>
              <w:rPr>
                <w:sz w:val="22"/>
              </w:rPr>
              <w:t>контрастированием);</w:t>
            </w:r>
          </w:p>
          <w:p>
            <w:pPr>
              <w:pStyle w:val="TableParagraph"/>
              <w:numPr>
                <w:ilvl w:val="0"/>
                <w:numId w:val="51"/>
              </w:numPr>
              <w:tabs>
                <w:tab w:pos="442" w:val="left" w:leader="none"/>
              </w:tabs>
              <w:spacing w:line="269" w:lineRule="exact" w:before="0" w:after="0"/>
              <w:ind w:left="441" w:right="0" w:hanging="361"/>
              <w:jc w:val="both"/>
              <w:rPr>
                <w:sz w:val="22"/>
              </w:rPr>
            </w:pPr>
            <w:r>
              <w:rPr>
                <w:sz w:val="22"/>
              </w:rPr>
              <w:t>Другие.</w:t>
            </w:r>
          </w:p>
        </w:tc>
      </w:tr>
    </w:tbl>
    <w:p>
      <w:pPr>
        <w:spacing w:after="0" w:line="269" w:lineRule="exact"/>
        <w:jc w:val="both"/>
        <w:rPr>
          <w:sz w:val="22"/>
        </w:rPr>
        <w:sectPr>
          <w:pgSz w:w="11920" w:h="16850"/>
          <w:pgMar w:header="0" w:footer="620" w:top="1060" w:bottom="880" w:left="1380" w:right="600"/>
        </w:sectPr>
      </w:pPr>
    </w:p>
    <w:tbl>
      <w:tblPr>
        <w:tblW w:w="0" w:type="auto"/>
        <w:jc w:val="left"/>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330"/>
        <w:gridCol w:w="6816"/>
      </w:tblGrid>
      <w:tr>
        <w:trPr>
          <w:trHeight w:val="4092" w:hRule="atLeast"/>
        </w:trPr>
        <w:tc>
          <w:tcPr>
            <w:tcW w:w="2330" w:type="dxa"/>
            <w:tcBorders>
              <w:bottom w:val="single" w:sz="6" w:space="0" w:color="000000"/>
            </w:tcBorders>
            <w:shd w:val="clear" w:color="auto" w:fill="F1F1F1"/>
          </w:tcPr>
          <w:p>
            <w:pPr>
              <w:pStyle w:val="TableParagraph"/>
              <w:spacing w:before="80"/>
              <w:ind w:left="79"/>
              <w:rPr>
                <w:b/>
                <w:sz w:val="22"/>
              </w:rPr>
            </w:pPr>
            <w:r>
              <w:rPr>
                <w:b/>
                <w:sz w:val="22"/>
              </w:rPr>
              <w:t>Картина ОРДС</w:t>
            </w:r>
          </w:p>
        </w:tc>
        <w:tc>
          <w:tcPr>
            <w:tcW w:w="6816" w:type="dxa"/>
            <w:tcBorders>
              <w:bottom w:val="single" w:sz="6" w:space="0" w:color="000000"/>
            </w:tcBorders>
            <w:shd w:val="clear" w:color="auto" w:fill="F1F1F1"/>
          </w:tcPr>
          <w:p>
            <w:pPr>
              <w:pStyle w:val="TableParagraph"/>
              <w:spacing w:before="80"/>
              <w:ind w:left="79"/>
              <w:rPr>
                <w:b/>
                <w:sz w:val="22"/>
              </w:rPr>
            </w:pPr>
            <w:r>
              <w:rPr>
                <w:b/>
                <w:sz w:val="22"/>
              </w:rPr>
              <w:t>Обычно характерны:</w:t>
            </w:r>
          </w:p>
          <w:p>
            <w:pPr>
              <w:pStyle w:val="TableParagraph"/>
              <w:numPr>
                <w:ilvl w:val="0"/>
                <w:numId w:val="52"/>
              </w:numPr>
              <w:tabs>
                <w:tab w:pos="439" w:val="left" w:leader="none"/>
                <w:tab w:pos="440" w:val="left" w:leader="none"/>
              </w:tabs>
              <w:spacing w:line="240" w:lineRule="auto" w:before="0" w:after="0"/>
              <w:ind w:left="439" w:right="201" w:hanging="360"/>
              <w:jc w:val="left"/>
              <w:rPr>
                <w:sz w:val="22"/>
              </w:rPr>
            </w:pPr>
            <w:r>
              <w:rPr>
                <w:sz w:val="22"/>
              </w:rPr>
              <w:t>Двусторонние субтотальные уплотнения легочной ткани по типу консолидации и «матового</w:t>
            </w:r>
            <w:r>
              <w:rPr>
                <w:spacing w:val="-3"/>
                <w:sz w:val="22"/>
              </w:rPr>
              <w:t> </w:t>
            </w:r>
            <w:r>
              <w:rPr>
                <w:sz w:val="22"/>
              </w:rPr>
              <w:t>стекла»;</w:t>
            </w:r>
          </w:p>
          <w:p>
            <w:pPr>
              <w:pStyle w:val="TableParagraph"/>
              <w:numPr>
                <w:ilvl w:val="0"/>
                <w:numId w:val="52"/>
              </w:numPr>
              <w:tabs>
                <w:tab w:pos="439" w:val="left" w:leader="none"/>
                <w:tab w:pos="440" w:val="left" w:leader="none"/>
              </w:tabs>
              <w:spacing w:line="267" w:lineRule="exact" w:before="0" w:after="0"/>
              <w:ind w:left="439" w:right="0" w:hanging="361"/>
              <w:jc w:val="left"/>
              <w:rPr>
                <w:sz w:val="22"/>
              </w:rPr>
            </w:pPr>
            <w:r>
              <w:rPr>
                <w:sz w:val="22"/>
              </w:rPr>
              <w:t>Расположение в средних и верхних отделах</w:t>
            </w:r>
            <w:r>
              <w:rPr>
                <w:spacing w:val="-10"/>
                <w:sz w:val="22"/>
              </w:rPr>
              <w:t> </w:t>
            </w:r>
            <w:r>
              <w:rPr>
                <w:sz w:val="22"/>
              </w:rPr>
              <w:t>легких;</w:t>
            </w:r>
          </w:p>
          <w:p>
            <w:pPr>
              <w:pStyle w:val="TableParagraph"/>
              <w:numPr>
                <w:ilvl w:val="0"/>
                <w:numId w:val="52"/>
              </w:numPr>
              <w:tabs>
                <w:tab w:pos="439" w:val="left" w:leader="none"/>
                <w:tab w:pos="440" w:val="left" w:leader="none"/>
              </w:tabs>
              <w:spacing w:line="269" w:lineRule="exact" w:before="0" w:after="0"/>
              <w:ind w:left="439" w:right="0" w:hanging="361"/>
              <w:jc w:val="left"/>
              <w:rPr>
                <w:sz w:val="22"/>
              </w:rPr>
            </w:pPr>
            <w:r>
              <w:rPr>
                <w:sz w:val="22"/>
              </w:rPr>
              <w:t>Вздутие базальных</w:t>
            </w:r>
            <w:r>
              <w:rPr>
                <w:spacing w:val="-4"/>
                <w:sz w:val="22"/>
              </w:rPr>
              <w:t> </w:t>
            </w:r>
            <w:r>
              <w:rPr>
                <w:sz w:val="22"/>
              </w:rPr>
              <w:t>сегментов;</w:t>
            </w:r>
          </w:p>
          <w:p>
            <w:pPr>
              <w:pStyle w:val="TableParagraph"/>
              <w:numPr>
                <w:ilvl w:val="0"/>
                <w:numId w:val="52"/>
              </w:numPr>
              <w:tabs>
                <w:tab w:pos="439" w:val="left" w:leader="none"/>
                <w:tab w:pos="440" w:val="left" w:leader="none"/>
              </w:tabs>
              <w:spacing w:line="240" w:lineRule="auto" w:before="0" w:after="0"/>
              <w:ind w:left="439" w:right="201" w:hanging="360"/>
              <w:jc w:val="left"/>
              <w:rPr>
                <w:sz w:val="22"/>
              </w:rPr>
            </w:pPr>
            <w:r>
              <w:rPr>
                <w:sz w:val="22"/>
              </w:rPr>
              <w:t>Градиент уплотнений в зависимости от положения пациента (на спине, на</w:t>
            </w:r>
            <w:r>
              <w:rPr>
                <w:spacing w:val="-3"/>
                <w:sz w:val="22"/>
              </w:rPr>
              <w:t> </w:t>
            </w:r>
            <w:r>
              <w:rPr>
                <w:sz w:val="22"/>
              </w:rPr>
              <w:t>животе);</w:t>
            </w:r>
          </w:p>
          <w:p>
            <w:pPr>
              <w:pStyle w:val="TableParagraph"/>
              <w:numPr>
                <w:ilvl w:val="0"/>
                <w:numId w:val="52"/>
              </w:numPr>
              <w:tabs>
                <w:tab w:pos="439" w:val="left" w:leader="none"/>
                <w:tab w:pos="440" w:val="left" w:leader="none"/>
              </w:tabs>
              <w:spacing w:line="269" w:lineRule="exact" w:before="0" w:after="0"/>
              <w:ind w:left="439" w:right="0" w:hanging="361"/>
              <w:jc w:val="left"/>
              <w:rPr>
                <w:sz w:val="22"/>
              </w:rPr>
            </w:pPr>
            <w:r>
              <w:rPr>
                <w:sz w:val="22"/>
              </w:rPr>
              <w:t>Симптом воздушной</w:t>
            </w:r>
            <w:r>
              <w:rPr>
                <w:spacing w:val="-3"/>
                <w:sz w:val="22"/>
              </w:rPr>
              <w:t> </w:t>
            </w:r>
            <w:r>
              <w:rPr>
                <w:sz w:val="22"/>
              </w:rPr>
              <w:t>бронхографии;</w:t>
            </w:r>
          </w:p>
          <w:p>
            <w:pPr>
              <w:pStyle w:val="TableParagraph"/>
              <w:numPr>
                <w:ilvl w:val="0"/>
                <w:numId w:val="52"/>
              </w:numPr>
              <w:tabs>
                <w:tab w:pos="439" w:val="left" w:leader="none"/>
                <w:tab w:pos="440" w:val="left" w:leader="none"/>
              </w:tabs>
              <w:spacing w:line="240" w:lineRule="auto" w:before="0" w:after="0"/>
              <w:ind w:left="439" w:right="202" w:hanging="360"/>
              <w:jc w:val="left"/>
              <w:rPr>
                <w:sz w:val="22"/>
              </w:rPr>
            </w:pPr>
            <w:r>
              <w:rPr>
                <w:sz w:val="22"/>
              </w:rPr>
              <w:t>Увеличение объема поражения 50% за 24–48 ч на фоне дыхательных</w:t>
            </w:r>
            <w:r>
              <w:rPr>
                <w:spacing w:val="-4"/>
                <w:sz w:val="22"/>
              </w:rPr>
              <w:t> </w:t>
            </w:r>
            <w:r>
              <w:rPr>
                <w:sz w:val="22"/>
              </w:rPr>
              <w:t>нарушений;</w:t>
            </w:r>
          </w:p>
          <w:p>
            <w:pPr>
              <w:pStyle w:val="TableParagraph"/>
              <w:numPr>
                <w:ilvl w:val="0"/>
                <w:numId w:val="52"/>
              </w:numPr>
              <w:tabs>
                <w:tab w:pos="439" w:val="left" w:leader="none"/>
                <w:tab w:pos="440" w:val="left" w:leader="none"/>
              </w:tabs>
              <w:spacing w:line="267" w:lineRule="exact" w:before="0" w:after="0"/>
              <w:ind w:left="439" w:right="0" w:hanging="361"/>
              <w:jc w:val="left"/>
              <w:rPr>
                <w:sz w:val="22"/>
              </w:rPr>
            </w:pPr>
            <w:r>
              <w:rPr>
                <w:sz w:val="22"/>
              </w:rPr>
              <w:t>Жидкость в плевральных полостях</w:t>
            </w:r>
            <w:r>
              <w:rPr>
                <w:spacing w:val="-5"/>
                <w:sz w:val="22"/>
              </w:rPr>
              <w:t> </w:t>
            </w:r>
            <w:r>
              <w:rPr>
                <w:sz w:val="22"/>
              </w:rPr>
              <w:t>(гидроторакс).</w:t>
            </w:r>
          </w:p>
          <w:p>
            <w:pPr>
              <w:pStyle w:val="TableParagraph"/>
              <w:tabs>
                <w:tab w:pos="1140" w:val="left" w:leader="none"/>
                <w:tab w:pos="1612" w:val="left" w:leader="none"/>
                <w:tab w:pos="3062" w:val="left" w:leader="none"/>
                <w:tab w:pos="3730" w:val="left" w:leader="none"/>
                <w:tab w:pos="5018" w:val="left" w:leader="none"/>
              </w:tabs>
              <w:ind w:left="79" w:right="200"/>
              <w:rPr>
                <w:sz w:val="22"/>
              </w:rPr>
            </w:pPr>
            <w:r>
              <w:rPr>
                <w:b/>
                <w:sz w:val="22"/>
              </w:rPr>
              <w:t>Обычно</w:t>
              <w:tab/>
              <w:t>не</w:t>
              <w:tab/>
              <w:t>характерны</w:t>
              <w:tab/>
            </w:r>
            <w:r>
              <w:rPr>
                <w:sz w:val="22"/>
              </w:rPr>
              <w:t>(при</w:t>
              <w:tab/>
              <w:t>отсутствии</w:t>
              <w:tab/>
            </w:r>
            <w:r>
              <w:rPr>
                <w:spacing w:val="-1"/>
                <w:sz w:val="22"/>
              </w:rPr>
              <w:t>недостаточности </w:t>
            </w:r>
            <w:r>
              <w:rPr>
                <w:sz w:val="22"/>
              </w:rPr>
              <w:t>кровообращения):</w:t>
            </w:r>
          </w:p>
          <w:p>
            <w:pPr>
              <w:pStyle w:val="TableParagraph"/>
              <w:numPr>
                <w:ilvl w:val="0"/>
                <w:numId w:val="52"/>
              </w:numPr>
              <w:tabs>
                <w:tab w:pos="439" w:val="left" w:leader="none"/>
                <w:tab w:pos="440" w:val="left" w:leader="none"/>
              </w:tabs>
              <w:spacing w:line="269" w:lineRule="exact" w:before="0" w:after="0"/>
              <w:ind w:left="439" w:right="0" w:hanging="361"/>
              <w:jc w:val="left"/>
              <w:rPr>
                <w:sz w:val="22"/>
              </w:rPr>
            </w:pPr>
            <w:r>
              <w:rPr>
                <w:sz w:val="22"/>
              </w:rPr>
              <w:t>Линии Керли, перибронхиальные</w:t>
            </w:r>
            <w:r>
              <w:rPr>
                <w:spacing w:val="-2"/>
                <w:sz w:val="22"/>
              </w:rPr>
              <w:t> </w:t>
            </w:r>
            <w:r>
              <w:rPr>
                <w:sz w:val="22"/>
              </w:rPr>
              <w:t>муфты;</w:t>
            </w:r>
          </w:p>
          <w:p>
            <w:pPr>
              <w:pStyle w:val="TableParagraph"/>
              <w:numPr>
                <w:ilvl w:val="0"/>
                <w:numId w:val="52"/>
              </w:numPr>
              <w:tabs>
                <w:tab w:pos="439" w:val="left" w:leader="none"/>
                <w:tab w:pos="440" w:val="left" w:leader="none"/>
              </w:tabs>
              <w:spacing w:line="269" w:lineRule="exact" w:before="0" w:after="0"/>
              <w:ind w:left="439" w:right="0" w:hanging="361"/>
              <w:jc w:val="left"/>
              <w:rPr>
                <w:sz w:val="22"/>
              </w:rPr>
            </w:pPr>
            <w:r>
              <w:rPr>
                <w:sz w:val="22"/>
              </w:rPr>
              <w:t>Расширение левых камер сердца, сосудистой ножки</w:t>
            </w:r>
            <w:r>
              <w:rPr>
                <w:spacing w:val="-11"/>
                <w:sz w:val="22"/>
              </w:rPr>
              <w:t> </w:t>
            </w:r>
            <w:r>
              <w:rPr>
                <w:sz w:val="22"/>
              </w:rPr>
              <w:t>сердца.</w:t>
            </w:r>
          </w:p>
        </w:tc>
      </w:tr>
      <w:tr>
        <w:trPr>
          <w:trHeight w:val="3001" w:hRule="atLeast"/>
        </w:trPr>
        <w:tc>
          <w:tcPr>
            <w:tcW w:w="2330" w:type="dxa"/>
            <w:tcBorders>
              <w:top w:val="single" w:sz="6" w:space="0" w:color="000000"/>
              <w:bottom w:val="single" w:sz="6" w:space="0" w:color="000000"/>
            </w:tcBorders>
          </w:tcPr>
          <w:p>
            <w:pPr>
              <w:pStyle w:val="TableParagraph"/>
              <w:spacing w:before="78"/>
              <w:ind w:left="79"/>
              <w:rPr>
                <w:b/>
                <w:sz w:val="22"/>
              </w:rPr>
            </w:pPr>
            <w:r>
              <w:rPr>
                <w:b/>
                <w:sz w:val="22"/>
              </w:rPr>
              <w:t>Разрешение</w:t>
            </w:r>
          </w:p>
        </w:tc>
        <w:tc>
          <w:tcPr>
            <w:tcW w:w="6816" w:type="dxa"/>
            <w:tcBorders>
              <w:top w:val="single" w:sz="6" w:space="0" w:color="000000"/>
              <w:bottom w:val="single" w:sz="6" w:space="0" w:color="000000"/>
            </w:tcBorders>
          </w:tcPr>
          <w:p>
            <w:pPr>
              <w:pStyle w:val="TableParagraph"/>
              <w:numPr>
                <w:ilvl w:val="0"/>
                <w:numId w:val="53"/>
              </w:numPr>
              <w:tabs>
                <w:tab w:pos="440" w:val="left" w:leader="none"/>
              </w:tabs>
              <w:spacing w:line="240" w:lineRule="auto" w:before="79" w:after="0"/>
              <w:ind w:left="439" w:right="201" w:hanging="360"/>
              <w:jc w:val="both"/>
              <w:rPr>
                <w:sz w:val="22"/>
              </w:rPr>
            </w:pPr>
            <w:r>
              <w:rPr>
                <w:sz w:val="22"/>
              </w:rPr>
              <w:t>Уменьшение размеров участков консолидации и «матового стекла» (картины организующейся</w:t>
            </w:r>
            <w:r>
              <w:rPr>
                <w:spacing w:val="-7"/>
                <w:sz w:val="22"/>
              </w:rPr>
              <w:t> </w:t>
            </w:r>
            <w:r>
              <w:rPr>
                <w:sz w:val="22"/>
              </w:rPr>
              <w:t>пневмонии);</w:t>
            </w:r>
          </w:p>
          <w:p>
            <w:pPr>
              <w:pStyle w:val="TableParagraph"/>
              <w:numPr>
                <w:ilvl w:val="0"/>
                <w:numId w:val="53"/>
              </w:numPr>
              <w:tabs>
                <w:tab w:pos="440" w:val="left" w:leader="none"/>
              </w:tabs>
              <w:spacing w:line="240" w:lineRule="auto" w:before="0" w:after="0"/>
              <w:ind w:left="439" w:right="200" w:hanging="360"/>
              <w:jc w:val="both"/>
              <w:rPr>
                <w:sz w:val="22"/>
              </w:rPr>
            </w:pPr>
            <w:r>
              <w:rPr>
                <w:sz w:val="22"/>
              </w:rPr>
              <w:t>Длительность существования изменений в легких может существенно превышать сроки клинических проявлений инфекции;</w:t>
            </w:r>
          </w:p>
          <w:p>
            <w:pPr>
              <w:pStyle w:val="TableParagraph"/>
              <w:numPr>
                <w:ilvl w:val="0"/>
                <w:numId w:val="53"/>
              </w:numPr>
              <w:tabs>
                <w:tab w:pos="440" w:val="left" w:leader="none"/>
              </w:tabs>
              <w:spacing w:line="240" w:lineRule="auto" w:before="0" w:after="0"/>
              <w:ind w:left="439" w:right="201" w:hanging="360"/>
              <w:jc w:val="both"/>
              <w:rPr>
                <w:sz w:val="22"/>
              </w:rPr>
            </w:pPr>
            <w:r>
              <w:rPr>
                <w:sz w:val="22"/>
              </w:rPr>
              <w:t>Наличие остаточных уплотнений в легочной ткани не влияет на длительность терапии инфекционного заболевания и не является показанием к ее продолжению в отсутствии клинических проявлений острого воспалительного</w:t>
            </w:r>
            <w:r>
              <w:rPr>
                <w:spacing w:val="-2"/>
                <w:sz w:val="22"/>
              </w:rPr>
              <w:t> </w:t>
            </w:r>
            <w:r>
              <w:rPr>
                <w:sz w:val="22"/>
              </w:rPr>
              <w:t>процесса.</w:t>
            </w:r>
          </w:p>
          <w:p>
            <w:pPr>
              <w:pStyle w:val="TableParagraph"/>
              <w:numPr>
                <w:ilvl w:val="0"/>
                <w:numId w:val="53"/>
              </w:numPr>
              <w:tabs>
                <w:tab w:pos="440" w:val="left" w:leader="none"/>
              </w:tabs>
              <w:spacing w:line="268" w:lineRule="exact" w:before="0" w:after="0"/>
              <w:ind w:left="439" w:right="0" w:hanging="361"/>
              <w:jc w:val="both"/>
              <w:rPr>
                <w:sz w:val="22"/>
              </w:rPr>
            </w:pPr>
            <w:r>
              <w:rPr>
                <w:sz w:val="22"/>
              </w:rPr>
              <w:t>Допустимы новые зоны «матового стекла» не более</w:t>
            </w:r>
            <w:r>
              <w:rPr>
                <w:spacing w:val="5"/>
                <w:sz w:val="22"/>
              </w:rPr>
              <w:t> </w:t>
            </w:r>
            <w:r>
              <w:rPr>
                <w:sz w:val="22"/>
              </w:rPr>
              <w:t>25%</w:t>
            </w:r>
          </w:p>
          <w:p>
            <w:pPr>
              <w:pStyle w:val="TableParagraph"/>
              <w:spacing w:line="252" w:lineRule="exact"/>
              <w:ind w:left="439"/>
              <w:jc w:val="both"/>
              <w:rPr>
                <w:sz w:val="22"/>
              </w:rPr>
            </w:pPr>
            <w:r>
              <w:rPr>
                <w:sz w:val="22"/>
              </w:rPr>
              <w:t>поперечного размера гемиторакса.</w:t>
            </w:r>
          </w:p>
        </w:tc>
      </w:tr>
    </w:tbl>
    <w:p>
      <w:pPr>
        <w:pStyle w:val="BodyText"/>
        <w:ind w:left="0"/>
        <w:jc w:val="left"/>
        <w:rPr>
          <w:b/>
          <w:sz w:val="20"/>
        </w:rPr>
      </w:pPr>
    </w:p>
    <w:p>
      <w:pPr>
        <w:pStyle w:val="BodyText"/>
        <w:ind w:left="0"/>
        <w:jc w:val="left"/>
        <w:rPr>
          <w:b/>
          <w:sz w:val="20"/>
        </w:rPr>
      </w:pPr>
    </w:p>
    <w:p>
      <w:pPr>
        <w:spacing w:before="90"/>
        <w:ind w:left="321" w:right="1638" w:firstLine="0"/>
        <w:jc w:val="both"/>
        <w:rPr>
          <w:b/>
          <w:sz w:val="24"/>
        </w:rPr>
      </w:pPr>
      <w:r>
        <w:rPr>
          <w:b/>
          <w:sz w:val="24"/>
        </w:rPr>
        <w:t>Б. Иллюстрации к вероятностной классификации изменений легких при пневмонии COVID-19 по данным КТ (РГ)</w:t>
      </w:r>
    </w:p>
    <w:p>
      <w:pPr>
        <w:pStyle w:val="BodyText"/>
        <w:ind w:right="673" w:firstLine="708"/>
      </w:pPr>
      <w:r>
        <w:rPr/>
        <w:pict>
          <v:rect style="position:absolute;margin-left:386.640015pt;margin-top:13.843134pt;width:4.32pt;height:13.8pt;mso-position-horizontal-relative:page;mso-position-vertical-relative:paragraph;z-index:-22274560" filled="true" fillcolor="#c0c0c0" stroked="false">
            <v:fill type="solid"/>
            <w10:wrap type="none"/>
          </v:rect>
        </w:pict>
      </w:r>
      <w:r>
        <w:rPr/>
        <w:t>Все</w:t>
      </w:r>
      <w:r>
        <w:rPr>
          <w:spacing w:val="-7"/>
        </w:rPr>
        <w:t> </w:t>
      </w:r>
      <w:r>
        <w:rPr/>
        <w:t>выявленные</w:t>
      </w:r>
      <w:r>
        <w:rPr>
          <w:spacing w:val="-8"/>
        </w:rPr>
        <w:t> </w:t>
      </w:r>
      <w:r>
        <w:rPr/>
        <w:t>изменения</w:t>
      </w:r>
      <w:r>
        <w:rPr>
          <w:spacing w:val="-7"/>
        </w:rPr>
        <w:t> </w:t>
      </w:r>
      <w:r>
        <w:rPr/>
        <w:t>должны</w:t>
      </w:r>
      <w:r>
        <w:rPr>
          <w:spacing w:val="-8"/>
        </w:rPr>
        <w:t> </w:t>
      </w:r>
      <w:r>
        <w:rPr/>
        <w:t>трактоваться</w:t>
      </w:r>
      <w:r>
        <w:rPr>
          <w:spacing w:val="-7"/>
        </w:rPr>
        <w:t> </w:t>
      </w:r>
      <w:r>
        <w:rPr/>
        <w:t>с</w:t>
      </w:r>
      <w:r>
        <w:rPr>
          <w:spacing w:val="-3"/>
        </w:rPr>
        <w:t> </w:t>
      </w:r>
      <w:r>
        <w:rPr/>
        <w:t>учетом</w:t>
      </w:r>
      <w:r>
        <w:rPr>
          <w:spacing w:val="-8"/>
        </w:rPr>
        <w:t> </w:t>
      </w:r>
      <w:r>
        <w:rPr/>
        <w:t>эпидемиологической ситуации (эпидемия COVID-19) и клинико-лабораторных данных. Нормальная и/или почти нормальная картина при КТ, и особенно РГ, может отмечаться у пациентов с COVID-19 на начальной стадии болезни (1-5-й дни заболевания, до развития пневмонии) или у бессимптомных носителей вируса, которые могут быть источником заражения других</w:t>
      </w:r>
      <w:r>
        <w:rPr>
          <w:spacing w:val="1"/>
        </w:rPr>
        <w:t> </w:t>
      </w:r>
      <w:r>
        <w:rPr/>
        <w:t>людей.</w:t>
      </w:r>
    </w:p>
    <w:p>
      <w:pPr>
        <w:spacing w:after="0"/>
        <w:sectPr>
          <w:pgSz w:w="11920" w:h="16850"/>
          <w:pgMar w:header="0" w:footer="620" w:top="1140" w:bottom="880" w:left="1380" w:right="600"/>
        </w:sectPr>
      </w:pPr>
    </w:p>
    <w:p>
      <w:pPr>
        <w:pStyle w:val="Heading3"/>
        <w:spacing w:before="78"/>
        <w:ind w:left="321"/>
        <w:jc w:val="left"/>
      </w:pPr>
      <w:r>
        <w:rPr/>
        <w:t>Б.1 РЕНТГЕНОГРАФИЯ ГРУДНОЙ КЛЕТКИ</w:t>
      </w:r>
    </w:p>
    <w:p>
      <w:pPr>
        <w:pStyle w:val="BodyText"/>
        <w:spacing w:before="1"/>
        <w:ind w:left="0"/>
        <w:jc w:val="left"/>
        <w:rPr>
          <w:b/>
        </w:rPr>
      </w:pPr>
    </w:p>
    <w:tbl>
      <w:tblPr>
        <w:tblW w:w="0" w:type="auto"/>
        <w:jc w:val="left"/>
        <w:tblInd w:w="3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565"/>
        <w:gridCol w:w="4536"/>
      </w:tblGrid>
      <w:tr>
        <w:trPr>
          <w:trHeight w:val="495" w:hRule="atLeast"/>
        </w:trPr>
        <w:tc>
          <w:tcPr>
            <w:tcW w:w="9101" w:type="dxa"/>
            <w:gridSpan w:val="2"/>
            <w:tcBorders>
              <w:bottom w:val="single" w:sz="6" w:space="0" w:color="000000"/>
            </w:tcBorders>
            <w:shd w:val="clear" w:color="auto" w:fill="F1F1F1"/>
          </w:tcPr>
          <w:p>
            <w:pPr>
              <w:pStyle w:val="TableParagraph"/>
              <w:spacing w:before="123"/>
              <w:ind w:left="1457" w:right="1448"/>
              <w:jc w:val="center"/>
              <w:rPr>
                <w:b/>
                <w:sz w:val="22"/>
              </w:rPr>
            </w:pPr>
            <w:r>
              <w:rPr>
                <w:b/>
                <w:sz w:val="22"/>
              </w:rPr>
              <w:t>Типичная картина. Высокая вероятность COVID-пневмонии</w:t>
            </w:r>
          </w:p>
        </w:tc>
      </w:tr>
      <w:tr>
        <w:trPr>
          <w:trHeight w:val="5423" w:hRule="atLeast"/>
        </w:trPr>
        <w:tc>
          <w:tcPr>
            <w:tcW w:w="4565" w:type="dxa"/>
            <w:tcBorders>
              <w:top w:val="single" w:sz="6" w:space="0" w:color="000000"/>
              <w:bottom w:val="single" w:sz="6" w:space="0" w:color="000000"/>
            </w:tcBorders>
          </w:tcPr>
          <w:p>
            <w:pPr>
              <w:pStyle w:val="TableParagraph"/>
              <w:spacing w:before="78"/>
              <w:ind w:left="439" w:right="186" w:hanging="360"/>
              <w:rPr>
                <w:sz w:val="22"/>
              </w:rPr>
            </w:pPr>
            <w:r>
              <w:rPr>
                <w:sz w:val="22"/>
              </w:rPr>
              <w:t>1. Множественные периферические затемнения в нижних долях легких, на их фоне имеются округлые тени</w:t>
            </w:r>
          </w:p>
          <w:p>
            <w:pPr>
              <w:pStyle w:val="TableParagraph"/>
              <w:spacing w:before="1"/>
              <w:rPr>
                <w:b/>
                <w:sz w:val="8"/>
              </w:rPr>
            </w:pPr>
          </w:p>
          <w:p>
            <w:pPr>
              <w:pStyle w:val="TableParagraph"/>
              <w:ind w:left="362"/>
              <w:rPr>
                <w:sz w:val="20"/>
              </w:rPr>
            </w:pPr>
            <w:r>
              <w:rPr>
                <w:sz w:val="20"/>
              </w:rPr>
              <w:drawing>
                <wp:inline distT="0" distB="0" distL="0" distR="0">
                  <wp:extent cx="2512153" cy="2271522"/>
                  <wp:effectExtent l="0" t="0" r="0" b="0"/>
                  <wp:docPr id="3" name="image4.jpeg" descr="Èçîáðàæåíèå âûãëÿäèò êàê âîäà  Àâòîìàòè÷åñêè ñîçäàííîå îïèñàíèå "/>
                  <wp:cNvGraphicFramePr>
                    <a:graphicFrameLocks noChangeAspect="1"/>
                  </wp:cNvGraphicFramePr>
                  <a:graphic>
                    <a:graphicData uri="http://schemas.openxmlformats.org/drawingml/2006/picture">
                      <pic:pic>
                        <pic:nvPicPr>
                          <pic:cNvPr id="4" name="image4.jpeg"/>
                          <pic:cNvPicPr/>
                        </pic:nvPicPr>
                        <pic:blipFill>
                          <a:blip r:embed="rId61" cstate="print"/>
                          <a:stretch>
                            <a:fillRect/>
                          </a:stretch>
                        </pic:blipFill>
                        <pic:spPr>
                          <a:xfrm>
                            <a:off x="0" y="0"/>
                            <a:ext cx="2512153" cy="2271522"/>
                          </a:xfrm>
                          <a:prstGeom prst="rect">
                            <a:avLst/>
                          </a:prstGeom>
                        </pic:spPr>
                      </pic:pic>
                    </a:graphicData>
                  </a:graphic>
                </wp:inline>
              </w:drawing>
            </w:r>
            <w:r>
              <w:rPr>
                <w:sz w:val="20"/>
              </w:rPr>
            </w:r>
          </w:p>
          <w:p>
            <w:pPr>
              <w:pStyle w:val="TableParagraph"/>
              <w:rPr>
                <w:b/>
                <w:sz w:val="20"/>
              </w:rPr>
            </w:pPr>
          </w:p>
          <w:p>
            <w:pPr>
              <w:pStyle w:val="TableParagraph"/>
              <w:rPr>
                <w:b/>
                <w:sz w:val="20"/>
              </w:rPr>
            </w:pPr>
          </w:p>
          <w:p>
            <w:pPr>
              <w:pStyle w:val="TableParagraph"/>
              <w:rPr>
                <w:b/>
                <w:sz w:val="20"/>
              </w:rPr>
            </w:pPr>
          </w:p>
          <w:p>
            <w:pPr>
              <w:pStyle w:val="TableParagraph"/>
              <w:spacing w:before="7"/>
              <w:rPr>
                <w:b/>
                <w:sz w:val="19"/>
              </w:rPr>
            </w:pPr>
          </w:p>
        </w:tc>
        <w:tc>
          <w:tcPr>
            <w:tcW w:w="4536" w:type="dxa"/>
            <w:tcBorders>
              <w:top w:val="single" w:sz="6" w:space="0" w:color="000000"/>
              <w:bottom w:val="single" w:sz="6" w:space="0" w:color="000000"/>
            </w:tcBorders>
          </w:tcPr>
          <w:p>
            <w:pPr>
              <w:pStyle w:val="TableParagraph"/>
              <w:spacing w:before="78"/>
              <w:ind w:left="438" w:right="516" w:hanging="360"/>
              <w:rPr>
                <w:sz w:val="22"/>
              </w:rPr>
            </w:pPr>
            <w:r>
              <w:rPr>
                <w:sz w:val="22"/>
              </w:rPr>
              <w:t>2. Множественные периферические округлые затемнения в нижних долях легких, сливающиеся между собой</w:t>
            </w:r>
          </w:p>
          <w:p>
            <w:pPr>
              <w:pStyle w:val="TableParagraph"/>
              <w:spacing w:before="9"/>
              <w:rPr>
                <w:b/>
                <w:sz w:val="15"/>
              </w:rPr>
            </w:pPr>
          </w:p>
          <w:p>
            <w:pPr>
              <w:pStyle w:val="TableParagraph"/>
              <w:ind w:left="262"/>
              <w:rPr>
                <w:sz w:val="20"/>
              </w:rPr>
            </w:pPr>
            <w:r>
              <w:rPr>
                <w:sz w:val="20"/>
              </w:rPr>
              <w:drawing>
                <wp:inline distT="0" distB="0" distL="0" distR="0">
                  <wp:extent cx="2510057" cy="2212848"/>
                  <wp:effectExtent l="0" t="0" r="0" b="0"/>
                  <wp:docPr id="5" name="image5.jpeg" descr="Èçîáðàæåíèå âûãëÿäèò êàê âîäîïàä, âîäà, âîëîñû, áåëûé  Àâòîìàòè÷åñêè ñîçäàííîå îïèñàíèå "/>
                  <wp:cNvGraphicFramePr>
                    <a:graphicFrameLocks noChangeAspect="1"/>
                  </wp:cNvGraphicFramePr>
                  <a:graphic>
                    <a:graphicData uri="http://schemas.openxmlformats.org/drawingml/2006/picture">
                      <pic:pic>
                        <pic:nvPicPr>
                          <pic:cNvPr id="6" name="image5.jpeg"/>
                          <pic:cNvPicPr/>
                        </pic:nvPicPr>
                        <pic:blipFill>
                          <a:blip r:embed="rId62" cstate="print"/>
                          <a:stretch>
                            <a:fillRect/>
                          </a:stretch>
                        </pic:blipFill>
                        <pic:spPr>
                          <a:xfrm>
                            <a:off x="0" y="0"/>
                            <a:ext cx="2510057" cy="2212848"/>
                          </a:xfrm>
                          <a:prstGeom prst="rect">
                            <a:avLst/>
                          </a:prstGeom>
                        </pic:spPr>
                      </pic:pic>
                    </a:graphicData>
                  </a:graphic>
                </wp:inline>
              </w:drawing>
            </w:r>
            <w:r>
              <w:rPr>
                <w:sz w:val="20"/>
              </w:rPr>
            </w:r>
          </w:p>
          <w:p>
            <w:pPr>
              <w:pStyle w:val="TableParagraph"/>
              <w:rPr>
                <w:b/>
                <w:sz w:val="20"/>
              </w:rPr>
            </w:pPr>
          </w:p>
          <w:p>
            <w:pPr>
              <w:pStyle w:val="TableParagraph"/>
              <w:rPr>
                <w:b/>
                <w:sz w:val="20"/>
              </w:rPr>
            </w:pPr>
          </w:p>
          <w:p>
            <w:pPr>
              <w:pStyle w:val="TableParagraph"/>
              <w:rPr>
                <w:b/>
                <w:sz w:val="20"/>
              </w:rPr>
            </w:pPr>
          </w:p>
          <w:p>
            <w:pPr>
              <w:pStyle w:val="TableParagraph"/>
              <w:spacing w:before="10"/>
              <w:rPr>
                <w:b/>
                <w:sz w:val="19"/>
              </w:rPr>
            </w:pPr>
          </w:p>
        </w:tc>
      </w:tr>
      <w:tr>
        <w:trPr>
          <w:trHeight w:val="654" w:hRule="atLeast"/>
        </w:trPr>
        <w:tc>
          <w:tcPr>
            <w:tcW w:w="4565" w:type="dxa"/>
            <w:tcBorders>
              <w:top w:val="single" w:sz="6" w:space="0" w:color="000000"/>
              <w:bottom w:val="single" w:sz="6" w:space="0" w:color="000000"/>
            </w:tcBorders>
            <w:shd w:val="clear" w:color="auto" w:fill="F1F1F1"/>
          </w:tcPr>
          <w:p>
            <w:pPr>
              <w:pStyle w:val="TableParagraph"/>
              <w:spacing w:before="76"/>
              <w:ind w:left="64" w:right="58"/>
              <w:jc w:val="center"/>
              <w:rPr>
                <w:b/>
                <w:sz w:val="22"/>
              </w:rPr>
            </w:pPr>
            <w:r>
              <w:rPr>
                <w:b/>
                <w:sz w:val="22"/>
              </w:rPr>
              <w:t>Неопределенная картина.</w:t>
            </w:r>
          </w:p>
          <w:p>
            <w:pPr>
              <w:pStyle w:val="TableParagraph"/>
              <w:spacing w:before="1"/>
              <w:ind w:left="65" w:right="58"/>
              <w:jc w:val="center"/>
              <w:rPr>
                <w:b/>
                <w:sz w:val="22"/>
              </w:rPr>
            </w:pPr>
            <w:r>
              <w:rPr>
                <w:b/>
                <w:sz w:val="22"/>
              </w:rPr>
              <w:t>Средняя вероятность пневмонии COVID-19</w:t>
            </w:r>
          </w:p>
        </w:tc>
        <w:tc>
          <w:tcPr>
            <w:tcW w:w="4536" w:type="dxa"/>
            <w:tcBorders>
              <w:top w:val="single" w:sz="6" w:space="0" w:color="000000"/>
              <w:bottom w:val="single" w:sz="6" w:space="0" w:color="000000"/>
            </w:tcBorders>
            <w:shd w:val="clear" w:color="auto" w:fill="F1F1F1"/>
          </w:tcPr>
          <w:p>
            <w:pPr>
              <w:pStyle w:val="TableParagraph"/>
              <w:spacing w:before="76"/>
              <w:ind w:left="108" w:right="99"/>
              <w:jc w:val="center"/>
              <w:rPr>
                <w:b/>
                <w:sz w:val="22"/>
              </w:rPr>
            </w:pPr>
            <w:r>
              <w:rPr>
                <w:b/>
                <w:sz w:val="22"/>
              </w:rPr>
              <w:t>Нетипичная картина.</w:t>
            </w:r>
          </w:p>
          <w:p>
            <w:pPr>
              <w:pStyle w:val="TableParagraph"/>
              <w:spacing w:before="1"/>
              <w:ind w:left="108" w:right="99"/>
              <w:jc w:val="center"/>
              <w:rPr>
                <w:b/>
                <w:sz w:val="22"/>
              </w:rPr>
            </w:pPr>
            <w:r>
              <w:rPr>
                <w:b/>
                <w:sz w:val="22"/>
              </w:rPr>
              <w:t>Низкая вероятность пневмонии COVID-19</w:t>
            </w:r>
          </w:p>
        </w:tc>
      </w:tr>
      <w:tr>
        <w:trPr>
          <w:trHeight w:val="4715" w:hRule="atLeast"/>
        </w:trPr>
        <w:tc>
          <w:tcPr>
            <w:tcW w:w="4565" w:type="dxa"/>
            <w:tcBorders>
              <w:top w:val="single" w:sz="6" w:space="0" w:color="000000"/>
              <w:bottom w:val="single" w:sz="6" w:space="0" w:color="000000"/>
            </w:tcBorders>
          </w:tcPr>
          <w:p>
            <w:pPr>
              <w:pStyle w:val="TableParagraph"/>
              <w:spacing w:before="83"/>
              <w:ind w:left="78" w:right="408"/>
              <w:rPr>
                <w:sz w:val="22"/>
              </w:rPr>
            </w:pPr>
            <w:r>
              <w:rPr>
                <w:sz w:val="22"/>
              </w:rPr>
              <w:t>Диффузные затемнения в легочных полях, равномерно распределенные по легким без преимущественной периферической локализации</w:t>
            </w:r>
          </w:p>
          <w:p>
            <w:pPr>
              <w:pStyle w:val="TableParagraph"/>
              <w:rPr>
                <w:b/>
                <w:sz w:val="7"/>
              </w:rPr>
            </w:pPr>
          </w:p>
          <w:p>
            <w:pPr>
              <w:pStyle w:val="TableParagraph"/>
              <w:ind w:left="362"/>
              <w:rPr>
                <w:sz w:val="20"/>
              </w:rPr>
            </w:pPr>
            <w:r>
              <w:rPr>
                <w:sz w:val="20"/>
              </w:rPr>
              <w:drawing>
                <wp:inline distT="0" distB="0" distL="0" distR="0">
                  <wp:extent cx="2471240" cy="2032444"/>
                  <wp:effectExtent l="0" t="0" r="0" b="0"/>
                  <wp:docPr id="7" name="image6.png" descr="page8image2412503376 "/>
                  <wp:cNvGraphicFramePr>
                    <a:graphicFrameLocks noChangeAspect="1"/>
                  </wp:cNvGraphicFramePr>
                  <a:graphic>
                    <a:graphicData uri="http://schemas.openxmlformats.org/drawingml/2006/picture">
                      <pic:pic>
                        <pic:nvPicPr>
                          <pic:cNvPr id="8" name="image6.png"/>
                          <pic:cNvPicPr/>
                        </pic:nvPicPr>
                        <pic:blipFill>
                          <a:blip r:embed="rId63" cstate="print"/>
                          <a:stretch>
                            <a:fillRect/>
                          </a:stretch>
                        </pic:blipFill>
                        <pic:spPr>
                          <a:xfrm>
                            <a:off x="0" y="0"/>
                            <a:ext cx="2471240" cy="2032444"/>
                          </a:xfrm>
                          <a:prstGeom prst="rect">
                            <a:avLst/>
                          </a:prstGeom>
                        </pic:spPr>
                      </pic:pic>
                    </a:graphicData>
                  </a:graphic>
                </wp:inline>
              </w:drawing>
            </w:r>
            <w:r>
              <w:rPr>
                <w:sz w:val="20"/>
              </w:rPr>
            </w:r>
          </w:p>
          <w:p>
            <w:pPr>
              <w:pStyle w:val="TableParagraph"/>
              <w:spacing w:before="5"/>
              <w:rPr>
                <w:b/>
                <w:sz w:val="29"/>
              </w:rPr>
            </w:pPr>
          </w:p>
        </w:tc>
        <w:tc>
          <w:tcPr>
            <w:tcW w:w="4536" w:type="dxa"/>
            <w:tcBorders>
              <w:top w:val="single" w:sz="6" w:space="0" w:color="000000"/>
              <w:bottom w:val="single" w:sz="6" w:space="0" w:color="000000"/>
            </w:tcBorders>
          </w:tcPr>
          <w:p>
            <w:pPr>
              <w:pStyle w:val="TableParagraph"/>
              <w:spacing w:before="83"/>
              <w:ind w:left="78" w:right="195"/>
              <w:rPr>
                <w:sz w:val="22"/>
              </w:rPr>
            </w:pPr>
            <w:r>
              <w:rPr>
                <w:sz w:val="22"/>
              </w:rPr>
              <w:t>Усиление легочного рисунка с обеих сторон, повышение плотности стенок бронхов</w:t>
            </w:r>
          </w:p>
          <w:p>
            <w:pPr>
              <w:pStyle w:val="TableParagraph"/>
              <w:rPr>
                <w:b/>
                <w:sz w:val="20"/>
              </w:rPr>
            </w:pPr>
          </w:p>
          <w:p>
            <w:pPr>
              <w:pStyle w:val="TableParagraph"/>
              <w:spacing w:before="6"/>
              <w:rPr>
                <w:b/>
                <w:sz w:val="22"/>
              </w:rPr>
            </w:pPr>
          </w:p>
          <w:p>
            <w:pPr>
              <w:pStyle w:val="TableParagraph"/>
              <w:ind w:left="166"/>
              <w:rPr>
                <w:sz w:val="20"/>
              </w:rPr>
            </w:pPr>
            <w:r>
              <w:rPr>
                <w:sz w:val="20"/>
              </w:rPr>
              <w:drawing>
                <wp:inline distT="0" distB="0" distL="0" distR="0">
                  <wp:extent cx="2477252" cy="2124837"/>
                  <wp:effectExtent l="0" t="0" r="0" b="0"/>
                  <wp:docPr id="9" name="image7.jpeg" descr="Èçîáðàæåíèå âûãëÿäèò êàê ñìîòðèò, ñèäèò, áåëûé, ìóæ÷èíà  Àâòîìàòè÷åñêè ñîçäàííîå îïèñàíèå "/>
                  <wp:cNvGraphicFramePr>
                    <a:graphicFrameLocks noChangeAspect="1"/>
                  </wp:cNvGraphicFramePr>
                  <a:graphic>
                    <a:graphicData uri="http://schemas.openxmlformats.org/drawingml/2006/picture">
                      <pic:pic>
                        <pic:nvPicPr>
                          <pic:cNvPr id="10" name="image7.jpeg"/>
                          <pic:cNvPicPr/>
                        </pic:nvPicPr>
                        <pic:blipFill>
                          <a:blip r:embed="rId64" cstate="print"/>
                          <a:stretch>
                            <a:fillRect/>
                          </a:stretch>
                        </pic:blipFill>
                        <pic:spPr>
                          <a:xfrm>
                            <a:off x="0" y="0"/>
                            <a:ext cx="2477252" cy="2124837"/>
                          </a:xfrm>
                          <a:prstGeom prst="rect">
                            <a:avLst/>
                          </a:prstGeom>
                        </pic:spPr>
                      </pic:pic>
                    </a:graphicData>
                  </a:graphic>
                </wp:inline>
              </w:drawing>
            </w:r>
            <w:r>
              <w:rPr>
                <w:sz w:val="20"/>
              </w:rPr>
            </w:r>
          </w:p>
          <w:p>
            <w:pPr>
              <w:pStyle w:val="TableParagraph"/>
              <w:spacing w:before="2"/>
              <w:rPr>
                <w:b/>
                <w:sz w:val="25"/>
              </w:rPr>
            </w:pPr>
          </w:p>
        </w:tc>
      </w:tr>
    </w:tbl>
    <w:p>
      <w:pPr>
        <w:pStyle w:val="BodyText"/>
        <w:ind w:left="0"/>
        <w:jc w:val="left"/>
        <w:rPr>
          <w:b/>
        </w:rPr>
      </w:pPr>
    </w:p>
    <w:p>
      <w:pPr>
        <w:spacing w:before="0"/>
        <w:ind w:left="321" w:right="0" w:firstLine="0"/>
        <w:jc w:val="left"/>
        <w:rPr>
          <w:sz w:val="20"/>
        </w:rPr>
      </w:pPr>
      <w:r>
        <w:rPr>
          <w:sz w:val="20"/>
        </w:rPr>
        <w:t>Источник: D.Geffen, UCLA Health</w:t>
      </w:r>
    </w:p>
    <w:p>
      <w:pPr>
        <w:spacing w:after="0"/>
        <w:jc w:val="left"/>
        <w:rPr>
          <w:sz w:val="20"/>
        </w:rPr>
        <w:sectPr>
          <w:pgSz w:w="11920" w:h="16850"/>
          <w:pgMar w:header="0" w:footer="620" w:top="1060" w:bottom="880" w:left="1380" w:right="600"/>
        </w:sectPr>
      </w:pPr>
    </w:p>
    <w:p>
      <w:pPr>
        <w:pStyle w:val="Heading3"/>
        <w:spacing w:before="78"/>
        <w:ind w:left="321"/>
        <w:jc w:val="left"/>
      </w:pPr>
      <w:r>
        <w:rPr/>
        <w:t>Б.2 КОМПЬЮТЕРНАЯ ТОМОГРАФИЯ ГРУДНОЙ КЛЕТКИ</w:t>
      </w:r>
    </w:p>
    <w:p>
      <w:pPr>
        <w:pStyle w:val="BodyText"/>
        <w:spacing w:before="1"/>
        <w:ind w:left="0"/>
        <w:jc w:val="left"/>
        <w:rPr>
          <w:b/>
        </w:rPr>
      </w:pPr>
    </w:p>
    <w:tbl>
      <w:tblPr>
        <w:tblW w:w="0" w:type="auto"/>
        <w:jc w:val="left"/>
        <w:tblInd w:w="4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438"/>
        <w:gridCol w:w="6520"/>
      </w:tblGrid>
      <w:tr>
        <w:trPr>
          <w:trHeight w:val="408" w:hRule="atLeast"/>
        </w:trPr>
        <w:tc>
          <w:tcPr>
            <w:tcW w:w="8958" w:type="dxa"/>
            <w:gridSpan w:val="2"/>
            <w:tcBorders>
              <w:bottom w:val="single" w:sz="6" w:space="0" w:color="000000"/>
            </w:tcBorders>
            <w:shd w:val="clear" w:color="auto" w:fill="F1F1F1"/>
          </w:tcPr>
          <w:p>
            <w:pPr>
              <w:pStyle w:val="TableParagraph"/>
              <w:spacing w:before="77"/>
              <w:ind w:left="1200" w:right="1190"/>
              <w:jc w:val="center"/>
              <w:rPr>
                <w:b/>
                <w:sz w:val="22"/>
              </w:rPr>
            </w:pPr>
            <w:r>
              <w:rPr>
                <w:b/>
                <w:sz w:val="22"/>
                <w:shd w:fill="FFFFFF" w:color="auto" w:val="clear"/>
              </w:rPr>
              <w:t>Типичная картина. Высокая вероятность пневмонии COVID-19</w:t>
            </w:r>
          </w:p>
        </w:tc>
      </w:tr>
      <w:tr>
        <w:trPr>
          <w:trHeight w:val="2963" w:hRule="atLeast"/>
        </w:trPr>
        <w:tc>
          <w:tcPr>
            <w:tcW w:w="2438" w:type="dxa"/>
            <w:tcBorders>
              <w:top w:val="single" w:sz="6" w:space="0" w:color="000000"/>
              <w:bottom w:val="single" w:sz="6" w:space="0" w:color="000000"/>
            </w:tcBorders>
          </w:tcPr>
          <w:p>
            <w:pPr>
              <w:pStyle w:val="TableParagraph"/>
              <w:spacing w:before="78"/>
              <w:ind w:left="79" w:right="314"/>
              <w:rPr>
                <w:sz w:val="22"/>
              </w:rPr>
            </w:pPr>
            <w:r>
              <w:rPr>
                <w:sz w:val="22"/>
              </w:rPr>
              <w:t>Многочисленные выраженные двусторонние субплевральные уплотнения легочной ткани по типу</w:t>
            </w:r>
          </w:p>
          <w:p>
            <w:pPr>
              <w:pStyle w:val="TableParagraph"/>
              <w:spacing w:line="252" w:lineRule="exact"/>
              <w:ind w:left="79"/>
              <w:rPr>
                <w:sz w:val="22"/>
              </w:rPr>
            </w:pPr>
            <w:r>
              <w:rPr>
                <w:sz w:val="22"/>
              </w:rPr>
              <w:t>«матового стекла»</w:t>
            </w:r>
          </w:p>
        </w:tc>
        <w:tc>
          <w:tcPr>
            <w:tcW w:w="6520" w:type="dxa"/>
            <w:tcBorders>
              <w:top w:val="single" w:sz="6" w:space="0" w:color="000000"/>
              <w:bottom w:val="single" w:sz="6" w:space="0" w:color="000000"/>
            </w:tcBorders>
            <w:shd w:val="clear" w:color="auto" w:fill="C0C0C0"/>
          </w:tcPr>
          <w:p>
            <w:pPr>
              <w:pStyle w:val="TableParagraph"/>
              <w:spacing w:before="11"/>
              <w:rPr>
                <w:b/>
                <w:sz w:val="6"/>
              </w:rPr>
            </w:pPr>
          </w:p>
          <w:p>
            <w:pPr>
              <w:pStyle w:val="TableParagraph"/>
              <w:ind w:left="79"/>
              <w:rPr>
                <w:sz w:val="20"/>
              </w:rPr>
            </w:pPr>
            <w:r>
              <w:rPr>
                <w:sz w:val="20"/>
              </w:rPr>
              <w:pict>
                <v:group style="width:317.850pt;height:137.3pt;mso-position-horizontal-relative:char;mso-position-vertical-relative:line" coordorigin="0,0" coordsize="6357,2746" alt="Èçîáðàæåíèå âûãëÿäèò êàê ÷åðíûé, ñíåã, ñòîë, ôîòîãðàôèÿ  Àâòîìàòè÷åñêè ñîçäàííîå îïèñàíèå ">
                  <v:rect style="position:absolute;left:0;top:0;width:6356;height:2746" filled="true" fillcolor="#c0c0c0" stroked="false">
                    <v:fill type="solid"/>
                  </v:rect>
                  <v:shape style="position:absolute;left:1;top:0;width:6356;height:2746" type="#_x0000_t75" alt="Èçîáðàæåíèå âûãëÿäèò êàê ÷åðíûé, ñíåã, ñòîë, ôîòîãðàôèÿ  Àâòîìàòè÷åñêè ñîçäàííîå îïèñàíèå " stroked="false">
                    <v:imagedata r:id="rId65" o:title=""/>
                  </v:shape>
                </v:group>
              </w:pict>
            </w:r>
            <w:r>
              <w:rPr>
                <w:sz w:val="20"/>
              </w:rPr>
            </w:r>
          </w:p>
        </w:tc>
      </w:tr>
      <w:tr>
        <w:trPr>
          <w:trHeight w:val="407" w:hRule="atLeast"/>
        </w:trPr>
        <w:tc>
          <w:tcPr>
            <w:tcW w:w="8958" w:type="dxa"/>
            <w:gridSpan w:val="2"/>
            <w:tcBorders>
              <w:top w:val="single" w:sz="6" w:space="0" w:color="000000"/>
              <w:bottom w:val="single" w:sz="6" w:space="0" w:color="000000"/>
            </w:tcBorders>
          </w:tcPr>
          <w:p>
            <w:pPr>
              <w:pStyle w:val="TableParagraph"/>
              <w:rPr>
                <w:sz w:val="22"/>
              </w:rPr>
            </w:pPr>
          </w:p>
        </w:tc>
      </w:tr>
      <w:tr>
        <w:trPr>
          <w:trHeight w:val="2905" w:hRule="atLeast"/>
        </w:trPr>
        <w:tc>
          <w:tcPr>
            <w:tcW w:w="2438" w:type="dxa"/>
            <w:tcBorders>
              <w:top w:val="single" w:sz="6" w:space="0" w:color="000000"/>
              <w:bottom w:val="single" w:sz="6" w:space="0" w:color="000000"/>
            </w:tcBorders>
          </w:tcPr>
          <w:p>
            <w:pPr>
              <w:pStyle w:val="TableParagraph"/>
              <w:spacing w:before="78"/>
              <w:ind w:left="79" w:right="94"/>
              <w:rPr>
                <w:sz w:val="22"/>
              </w:rPr>
            </w:pPr>
            <w:r>
              <w:rPr>
                <w:sz w:val="22"/>
              </w:rPr>
              <w:t>Участки уплотнения по типу «матового стекла» округлой формы периферического и перибронхиального расположения, с консолидацией</w:t>
            </w:r>
          </w:p>
        </w:tc>
        <w:tc>
          <w:tcPr>
            <w:tcW w:w="6520" w:type="dxa"/>
            <w:tcBorders>
              <w:top w:val="single" w:sz="6" w:space="0" w:color="000000"/>
              <w:bottom w:val="single" w:sz="6" w:space="0" w:color="000000"/>
            </w:tcBorders>
            <w:shd w:val="clear" w:color="auto" w:fill="C0C0C0"/>
          </w:tcPr>
          <w:p>
            <w:pPr>
              <w:pStyle w:val="TableParagraph"/>
              <w:spacing w:before="11"/>
              <w:rPr>
                <w:b/>
                <w:sz w:val="6"/>
              </w:rPr>
            </w:pPr>
          </w:p>
          <w:p>
            <w:pPr>
              <w:pStyle w:val="TableParagraph"/>
              <w:ind w:left="79"/>
              <w:rPr>
                <w:sz w:val="20"/>
              </w:rPr>
            </w:pPr>
            <w:r>
              <w:rPr>
                <w:sz w:val="20"/>
              </w:rPr>
              <w:pict>
                <v:group style="width:317.850pt;height:134.450pt;mso-position-horizontal-relative:char;mso-position-vertical-relative:line" coordorigin="0,0" coordsize="6357,2689" alt="Èçîáðàæåíèå âûãëÿäèò êàê ñòîë, åäà, ñèäèò, òàðåëêà  Àâòîìàòè÷åñêè ñîçäàííîå îïèñàíèå ">
                  <v:rect style="position:absolute;left:0;top:0;width:6356;height:2688" filled="true" fillcolor="#c0c0c0" stroked="false">
                    <v:fill type="solid"/>
                  </v:rect>
                  <v:shape style="position:absolute;left:1;top:0;width:6356;height:2689" type="#_x0000_t75" alt="Èçîáðàæåíèå âûãëÿäèò êàê ñòîë, åäà, ñèäèò, òàðåëêà  Àâòîìàòè÷åñêè ñîçäàííîå îïèñàíèå " stroked="false">
                    <v:imagedata r:id="rId66" o:title=""/>
                  </v:shape>
                </v:group>
              </w:pict>
            </w:r>
            <w:r>
              <w:rPr>
                <w:sz w:val="20"/>
              </w:rPr>
            </w:r>
          </w:p>
        </w:tc>
      </w:tr>
      <w:tr>
        <w:trPr>
          <w:trHeight w:val="409" w:hRule="atLeast"/>
        </w:trPr>
        <w:tc>
          <w:tcPr>
            <w:tcW w:w="8958" w:type="dxa"/>
            <w:gridSpan w:val="2"/>
            <w:tcBorders>
              <w:top w:val="single" w:sz="6" w:space="0" w:color="000000"/>
              <w:bottom w:val="single" w:sz="6" w:space="0" w:color="000000"/>
            </w:tcBorders>
          </w:tcPr>
          <w:p>
            <w:pPr>
              <w:pStyle w:val="TableParagraph"/>
              <w:rPr>
                <w:sz w:val="22"/>
              </w:rPr>
            </w:pPr>
          </w:p>
        </w:tc>
      </w:tr>
      <w:tr>
        <w:trPr>
          <w:trHeight w:val="2970" w:hRule="atLeast"/>
        </w:trPr>
        <w:tc>
          <w:tcPr>
            <w:tcW w:w="2438" w:type="dxa"/>
            <w:tcBorders>
              <w:top w:val="single" w:sz="6" w:space="0" w:color="000000"/>
              <w:bottom w:val="single" w:sz="6" w:space="0" w:color="000000"/>
            </w:tcBorders>
          </w:tcPr>
          <w:p>
            <w:pPr>
              <w:pStyle w:val="TableParagraph"/>
              <w:spacing w:before="76"/>
              <w:ind w:left="79" w:right="453"/>
              <w:rPr>
                <w:sz w:val="22"/>
              </w:rPr>
            </w:pPr>
            <w:r>
              <w:rPr>
                <w:sz w:val="22"/>
              </w:rPr>
              <w:t>Множественные округлые участки уплотнения по типу</w:t>
            </w:r>
          </w:p>
          <w:p>
            <w:pPr>
              <w:pStyle w:val="TableParagraph"/>
              <w:ind w:left="79" w:right="472"/>
              <w:rPr>
                <w:sz w:val="22"/>
              </w:rPr>
            </w:pPr>
            <w:r>
              <w:rPr>
                <w:sz w:val="22"/>
              </w:rPr>
              <w:t>«матового стекла» округлой формы периферического и перибронхиального расположения</w:t>
            </w:r>
          </w:p>
        </w:tc>
        <w:tc>
          <w:tcPr>
            <w:tcW w:w="6520" w:type="dxa"/>
            <w:tcBorders>
              <w:top w:val="single" w:sz="6" w:space="0" w:color="000000"/>
              <w:bottom w:val="single" w:sz="6" w:space="0" w:color="000000"/>
            </w:tcBorders>
            <w:shd w:val="clear" w:color="auto" w:fill="C0C0C0"/>
          </w:tcPr>
          <w:p>
            <w:pPr>
              <w:pStyle w:val="TableParagraph"/>
              <w:spacing w:before="8"/>
              <w:rPr>
                <w:b/>
                <w:sz w:val="6"/>
              </w:rPr>
            </w:pPr>
          </w:p>
          <w:p>
            <w:pPr>
              <w:pStyle w:val="TableParagraph"/>
              <w:ind w:left="79"/>
              <w:rPr>
                <w:sz w:val="20"/>
              </w:rPr>
            </w:pPr>
            <w:r>
              <w:rPr>
                <w:sz w:val="20"/>
              </w:rPr>
              <w:pict>
                <v:group style="width:317.850pt;height:137.8pt;mso-position-horizontal-relative:char;mso-position-vertical-relative:line" coordorigin="0,0" coordsize="6357,2756" alt="Èçîáðàæåíèå âûãëÿäèò êàê ôîòîãðàôèÿ, ñòîë, ñèäèò, çàêðûòûé  Àâòîìàòè÷åñêè ñîçäàííîå îïèñàíèå ">
                  <v:rect style="position:absolute;left:0;top:0;width:6356;height:2756" filled="true" fillcolor="#c0c0c0" stroked="false">
                    <v:fill type="solid"/>
                  </v:rect>
                  <v:shape style="position:absolute;left:1;top:0;width:6356;height:2755" type="#_x0000_t75" alt="Èçîáðàæåíèå âûãëÿäèò êàê ôîòîãðàôèÿ, ñòîë, ñèäèò, çàêðûòûé  Àâòîìàòè÷åñêè ñîçäàííîå îïèñàíèå " stroked="false">
                    <v:imagedata r:id="rId67" o:title=""/>
                  </v:shape>
                </v:group>
              </w:pict>
            </w:r>
            <w:r>
              <w:rPr>
                <w:sz w:val="20"/>
              </w:rPr>
            </w:r>
          </w:p>
        </w:tc>
      </w:tr>
      <w:tr>
        <w:trPr>
          <w:trHeight w:val="407" w:hRule="atLeast"/>
        </w:trPr>
        <w:tc>
          <w:tcPr>
            <w:tcW w:w="8958" w:type="dxa"/>
            <w:gridSpan w:val="2"/>
            <w:tcBorders>
              <w:top w:val="single" w:sz="6" w:space="0" w:color="000000"/>
              <w:bottom w:val="single" w:sz="6" w:space="0" w:color="000000"/>
            </w:tcBorders>
          </w:tcPr>
          <w:p>
            <w:pPr>
              <w:pStyle w:val="TableParagraph"/>
              <w:rPr>
                <w:sz w:val="22"/>
              </w:rPr>
            </w:pPr>
          </w:p>
        </w:tc>
      </w:tr>
      <w:tr>
        <w:trPr>
          <w:trHeight w:val="3047" w:hRule="atLeast"/>
        </w:trPr>
        <w:tc>
          <w:tcPr>
            <w:tcW w:w="2438" w:type="dxa"/>
            <w:tcBorders>
              <w:top w:val="single" w:sz="6" w:space="0" w:color="000000"/>
              <w:bottom w:val="single" w:sz="6" w:space="0" w:color="000000"/>
            </w:tcBorders>
          </w:tcPr>
          <w:p>
            <w:pPr>
              <w:pStyle w:val="TableParagraph"/>
              <w:spacing w:before="78"/>
              <w:ind w:left="79" w:right="314"/>
              <w:rPr>
                <w:sz w:val="22"/>
              </w:rPr>
            </w:pPr>
            <w:r>
              <w:rPr>
                <w:sz w:val="22"/>
              </w:rPr>
              <w:t>Двусторонние, преимущественно периферические, субплевральные уплотнения легочной ткани по типу</w:t>
            </w:r>
          </w:p>
          <w:p>
            <w:pPr>
              <w:pStyle w:val="TableParagraph"/>
              <w:ind w:left="79" w:right="210"/>
              <w:rPr>
                <w:sz w:val="22"/>
              </w:rPr>
            </w:pPr>
            <w:r>
              <w:rPr>
                <w:sz w:val="22"/>
              </w:rPr>
              <w:t>«матового стекла» с утолщением перегородок (симптом</w:t>
            </w:r>
          </w:p>
          <w:p>
            <w:pPr>
              <w:pStyle w:val="TableParagraph"/>
              <w:spacing w:before="1"/>
              <w:ind w:left="79"/>
              <w:rPr>
                <w:sz w:val="22"/>
              </w:rPr>
            </w:pPr>
            <w:r>
              <w:rPr>
                <w:sz w:val="22"/>
              </w:rPr>
              <w:t>«булыжной мостовой»)</w:t>
            </w:r>
          </w:p>
        </w:tc>
        <w:tc>
          <w:tcPr>
            <w:tcW w:w="6520" w:type="dxa"/>
            <w:tcBorders>
              <w:top w:val="single" w:sz="6" w:space="0" w:color="000000"/>
              <w:bottom w:val="single" w:sz="6" w:space="0" w:color="000000"/>
            </w:tcBorders>
            <w:shd w:val="clear" w:color="auto" w:fill="C0C0C0"/>
          </w:tcPr>
          <w:p>
            <w:pPr>
              <w:pStyle w:val="TableParagraph"/>
              <w:spacing w:before="11"/>
              <w:rPr>
                <w:b/>
                <w:sz w:val="6"/>
              </w:rPr>
            </w:pPr>
          </w:p>
          <w:p>
            <w:pPr>
              <w:pStyle w:val="TableParagraph"/>
              <w:ind w:left="79"/>
              <w:rPr>
                <w:sz w:val="20"/>
              </w:rPr>
            </w:pPr>
            <w:r>
              <w:rPr>
                <w:sz w:val="20"/>
              </w:rPr>
              <w:pict>
                <v:group style="width:317.850pt;height:133.85pt;mso-position-horizontal-relative:char;mso-position-vertical-relative:line" coordorigin="0,0" coordsize="6357,2677" alt="Èçîáðàæåíèå âûãëÿäèò êàê ôîòîãðàôèÿ, ñòîë, ñèäèò, áåëûé  Àâòîìàòè÷åñêè ñîçäàííîå îïèñàíèå ">
                  <v:rect style="position:absolute;left:0;top:0;width:6356;height:2676" filled="true" fillcolor="#c0c0c0" stroked="false">
                    <v:fill type="solid"/>
                  </v:rect>
                  <v:shape style="position:absolute;left:1;top:0;width:6356;height:2677" type="#_x0000_t75" alt="Èçîáðàæåíèå âûãëÿäèò êàê ôîòîãðàôèÿ, ñòîë, ñèäèò, áåëûé  Àâòîìàòè÷åñêè ñîçäàííîå îïèñàíèå " stroked="false">
                    <v:imagedata r:id="rId68" o:title=""/>
                  </v:shape>
                </v:group>
              </w:pict>
            </w:r>
            <w:r>
              <w:rPr>
                <w:sz w:val="20"/>
              </w:rPr>
            </w:r>
          </w:p>
        </w:tc>
      </w:tr>
    </w:tbl>
    <w:p>
      <w:pPr>
        <w:spacing w:after="0"/>
        <w:rPr>
          <w:sz w:val="20"/>
        </w:rPr>
        <w:sectPr>
          <w:pgSz w:w="11920" w:h="16850"/>
          <w:pgMar w:header="0" w:footer="620" w:top="1060" w:bottom="880" w:left="1380" w:right="600"/>
        </w:sectPr>
      </w:pPr>
    </w:p>
    <w:tbl>
      <w:tblPr>
        <w:tblW w:w="0" w:type="auto"/>
        <w:jc w:val="left"/>
        <w:tblInd w:w="4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438"/>
        <w:gridCol w:w="6520"/>
      </w:tblGrid>
      <w:tr>
        <w:trPr>
          <w:trHeight w:val="497" w:hRule="atLeast"/>
        </w:trPr>
        <w:tc>
          <w:tcPr>
            <w:tcW w:w="8958" w:type="dxa"/>
            <w:gridSpan w:val="2"/>
            <w:tcBorders>
              <w:bottom w:val="single" w:sz="6" w:space="0" w:color="000000"/>
            </w:tcBorders>
            <w:shd w:val="clear" w:color="auto" w:fill="F1F1F1"/>
          </w:tcPr>
          <w:p>
            <w:pPr>
              <w:pStyle w:val="TableParagraph"/>
              <w:spacing w:before="123"/>
              <w:ind w:left="964"/>
              <w:rPr>
                <w:b/>
                <w:sz w:val="22"/>
              </w:rPr>
            </w:pPr>
            <w:r>
              <w:rPr>
                <w:b/>
                <w:sz w:val="22"/>
                <w:shd w:fill="FFFFFF" w:color="auto" w:val="clear"/>
              </w:rPr>
              <w:t>Неопределенная картина. Средняя вероятность пневмонии COVID-19</w:t>
            </w:r>
          </w:p>
        </w:tc>
      </w:tr>
      <w:tr>
        <w:trPr>
          <w:trHeight w:val="2627" w:hRule="atLeast"/>
        </w:trPr>
        <w:tc>
          <w:tcPr>
            <w:tcW w:w="2438" w:type="dxa"/>
            <w:tcBorders>
              <w:top w:val="single" w:sz="6" w:space="0" w:color="000000"/>
              <w:bottom w:val="single" w:sz="6" w:space="0" w:color="000000"/>
            </w:tcBorders>
          </w:tcPr>
          <w:p>
            <w:pPr>
              <w:pStyle w:val="TableParagraph"/>
              <w:spacing w:line="252" w:lineRule="exact" w:before="78"/>
              <w:ind w:left="79"/>
              <w:rPr>
                <w:sz w:val="22"/>
              </w:rPr>
            </w:pPr>
            <w:r>
              <w:rPr>
                <w:sz w:val="22"/>
              </w:rPr>
              <w:t>Мелкие участки</w:t>
            </w:r>
          </w:p>
          <w:p>
            <w:pPr>
              <w:pStyle w:val="TableParagraph"/>
              <w:ind w:left="79" w:right="135"/>
              <w:rPr>
                <w:sz w:val="22"/>
              </w:rPr>
            </w:pPr>
            <w:r>
              <w:rPr>
                <w:sz w:val="22"/>
              </w:rPr>
              <w:t>«матового стекла» без типичного (периферического) распределения, хаотично расположенные внутри легких</w:t>
            </w:r>
          </w:p>
        </w:tc>
        <w:tc>
          <w:tcPr>
            <w:tcW w:w="6520" w:type="dxa"/>
            <w:tcBorders>
              <w:top w:val="single" w:sz="6" w:space="0" w:color="000000"/>
              <w:bottom w:val="single" w:sz="6" w:space="0" w:color="000000"/>
            </w:tcBorders>
            <w:shd w:val="clear" w:color="auto" w:fill="C0C0C0"/>
          </w:tcPr>
          <w:p>
            <w:pPr>
              <w:pStyle w:val="TableParagraph"/>
              <w:spacing w:before="11"/>
              <w:rPr>
                <w:b/>
                <w:sz w:val="6"/>
              </w:rPr>
            </w:pPr>
          </w:p>
          <w:p>
            <w:pPr>
              <w:pStyle w:val="TableParagraph"/>
              <w:ind w:left="79"/>
              <w:rPr>
                <w:sz w:val="20"/>
              </w:rPr>
            </w:pPr>
            <w:r>
              <w:rPr>
                <w:sz w:val="20"/>
              </w:rPr>
              <w:pict>
                <v:group style="width:317.850pt;height:120.5pt;mso-position-horizontal-relative:char;mso-position-vertical-relative:line" coordorigin="0,0" coordsize="6357,2410" alt="Èçîáðàæåíèå âûãëÿäèò êàê ôîòîãðàôèÿ, çàêðûòûé, ñòàðûé, áåëûé  Àâòîìàòè÷åñêè ñîçäàííîå îïèñàíèå ">
                  <v:rect style="position:absolute;left:0;top:0;width:6356;height:2410" filled="true" fillcolor="#c0c0c0" stroked="false">
                    <v:fill type="solid"/>
                  </v:rect>
                  <v:shape style="position:absolute;left:1;top:0;width:6356;height:2409" type="#_x0000_t75" alt="Èçîáðàæåíèå âûãëÿäèò êàê ôîòîãðàôèÿ, çàêðûòûé, ñòàðûé, áåëûé  Àâòîìàòè÷åñêè ñîçäàííîå îïèñàíèå " stroked="false">
                    <v:imagedata r:id="rId69" o:title=""/>
                  </v:shape>
                </v:group>
              </w:pict>
            </w:r>
            <w:r>
              <w:rPr>
                <w:sz w:val="20"/>
              </w:rPr>
            </w:r>
          </w:p>
        </w:tc>
      </w:tr>
      <w:tr>
        <w:trPr>
          <w:trHeight w:val="407" w:hRule="atLeast"/>
        </w:trPr>
        <w:tc>
          <w:tcPr>
            <w:tcW w:w="8958" w:type="dxa"/>
            <w:gridSpan w:val="2"/>
            <w:tcBorders>
              <w:top w:val="single" w:sz="6" w:space="0" w:color="000000"/>
              <w:bottom w:val="single" w:sz="6" w:space="0" w:color="000000"/>
            </w:tcBorders>
          </w:tcPr>
          <w:p>
            <w:pPr>
              <w:pStyle w:val="TableParagraph"/>
              <w:rPr>
                <w:sz w:val="22"/>
              </w:rPr>
            </w:pPr>
          </w:p>
        </w:tc>
      </w:tr>
      <w:tr>
        <w:trPr>
          <w:trHeight w:val="3913" w:hRule="atLeast"/>
        </w:trPr>
        <w:tc>
          <w:tcPr>
            <w:tcW w:w="2438" w:type="dxa"/>
            <w:tcBorders>
              <w:top w:val="single" w:sz="6" w:space="0" w:color="000000"/>
              <w:bottom w:val="single" w:sz="6" w:space="0" w:color="000000"/>
            </w:tcBorders>
          </w:tcPr>
          <w:p>
            <w:pPr>
              <w:pStyle w:val="TableParagraph"/>
              <w:spacing w:before="76"/>
              <w:ind w:left="79" w:right="531"/>
              <w:rPr>
                <w:sz w:val="22"/>
              </w:rPr>
            </w:pPr>
            <w:r>
              <w:rPr>
                <w:sz w:val="22"/>
              </w:rPr>
              <w:t>Единичные мелкие участки матового стекла, без периферической локализации</w:t>
            </w:r>
          </w:p>
        </w:tc>
        <w:tc>
          <w:tcPr>
            <w:tcW w:w="6520" w:type="dxa"/>
            <w:tcBorders>
              <w:top w:val="single" w:sz="6" w:space="0" w:color="000000"/>
              <w:bottom w:val="single" w:sz="6" w:space="0" w:color="000000"/>
            </w:tcBorders>
          </w:tcPr>
          <w:p>
            <w:pPr>
              <w:pStyle w:val="TableParagraph"/>
              <w:spacing w:before="8"/>
              <w:rPr>
                <w:b/>
                <w:sz w:val="6"/>
              </w:rPr>
            </w:pPr>
          </w:p>
          <w:p>
            <w:pPr>
              <w:pStyle w:val="TableParagraph"/>
              <w:ind w:left="79"/>
              <w:rPr>
                <w:sz w:val="20"/>
              </w:rPr>
            </w:pPr>
            <w:r>
              <w:rPr>
                <w:sz w:val="20"/>
              </w:rPr>
              <w:pict>
                <v:group style="width:317.850pt;height:128.5500pt;mso-position-horizontal-relative:char;mso-position-vertical-relative:line" coordorigin="0,0" coordsize="6357,2571" alt="Èçîáðàæåíèå âûãëÿäèò êàê ñíåã, ÷åðíûé, ñèäèò, çàêðûòûé  Àâòîìàòè÷åñêè ñîçäàííîå îïèñàíèå ">
                  <v:rect style="position:absolute;left:0;top:0;width:6356;height:2571" filled="true" fillcolor="#c0c0c0" stroked="false">
                    <v:fill type="solid"/>
                  </v:rect>
                  <v:shape style="position:absolute;left:1;top:1;width:6356;height:2569" type="#_x0000_t75" alt="Èçîáðàæåíèå âûãëÿäèò êàê ñíåã, ÷åðíûé, ñèäèò, çàêðûòûé  Àâòîìàòè÷åñêè ñîçäàííîå îïèñàíèå " stroked="false">
                    <v:imagedata r:id="rId70" o:title=""/>
                  </v:shape>
                </v:group>
              </w:pict>
            </w:r>
            <w:r>
              <w:rPr>
                <w:sz w:val="20"/>
              </w:rPr>
            </w:r>
          </w:p>
        </w:tc>
      </w:tr>
      <w:tr>
        <w:trPr>
          <w:trHeight w:val="496" w:hRule="atLeast"/>
        </w:trPr>
        <w:tc>
          <w:tcPr>
            <w:tcW w:w="8958" w:type="dxa"/>
            <w:gridSpan w:val="2"/>
            <w:tcBorders>
              <w:top w:val="single" w:sz="6" w:space="0" w:color="000000"/>
              <w:bottom w:val="single" w:sz="6" w:space="0" w:color="000000"/>
            </w:tcBorders>
          </w:tcPr>
          <w:p>
            <w:pPr>
              <w:pStyle w:val="TableParagraph"/>
              <w:spacing w:before="122"/>
              <w:ind w:left="1200" w:right="1195"/>
              <w:jc w:val="center"/>
              <w:rPr>
                <w:b/>
                <w:sz w:val="22"/>
              </w:rPr>
            </w:pPr>
            <w:r>
              <w:rPr>
                <w:b/>
                <w:sz w:val="22"/>
              </w:rPr>
              <w:t>Нетипичная картина. Низкая вероятность пневмонии COVID-19</w:t>
            </w:r>
          </w:p>
        </w:tc>
      </w:tr>
      <w:tr>
        <w:trPr>
          <w:trHeight w:val="2893" w:hRule="atLeast"/>
        </w:trPr>
        <w:tc>
          <w:tcPr>
            <w:tcW w:w="2438" w:type="dxa"/>
            <w:tcBorders>
              <w:top w:val="single" w:sz="6" w:space="0" w:color="000000"/>
              <w:bottom w:val="single" w:sz="6" w:space="0" w:color="000000"/>
            </w:tcBorders>
          </w:tcPr>
          <w:p>
            <w:pPr>
              <w:pStyle w:val="TableParagraph"/>
              <w:spacing w:before="76"/>
              <w:ind w:left="79" w:right="87"/>
              <w:rPr>
                <w:sz w:val="22"/>
              </w:rPr>
            </w:pPr>
            <w:r>
              <w:rPr>
                <w:sz w:val="22"/>
              </w:rPr>
              <w:t>Симптом «дерева в почках» с перибронхиальной инфильтрацией в одной доле (брохопневмония, бронхиолит)</w:t>
            </w:r>
          </w:p>
        </w:tc>
        <w:tc>
          <w:tcPr>
            <w:tcW w:w="6520" w:type="dxa"/>
            <w:tcBorders>
              <w:top w:val="single" w:sz="6" w:space="0" w:color="000000"/>
              <w:bottom w:val="single" w:sz="6" w:space="0" w:color="000000"/>
            </w:tcBorders>
            <w:shd w:val="clear" w:color="auto" w:fill="C0C0C0"/>
          </w:tcPr>
          <w:p>
            <w:pPr>
              <w:pStyle w:val="TableParagraph"/>
              <w:spacing w:before="8"/>
              <w:rPr>
                <w:b/>
                <w:sz w:val="6"/>
              </w:rPr>
            </w:pPr>
          </w:p>
          <w:p>
            <w:pPr>
              <w:pStyle w:val="TableParagraph"/>
              <w:ind w:left="79"/>
              <w:rPr>
                <w:sz w:val="20"/>
              </w:rPr>
            </w:pPr>
            <w:r>
              <w:rPr>
                <w:sz w:val="20"/>
              </w:rPr>
              <w:pict>
                <v:group style="width:317.850pt;height:133.9pt;mso-position-horizontal-relative:char;mso-position-vertical-relative:line" coordorigin="0,0" coordsize="6357,2678" alt="Èçîáðàæåíèå âûãëÿäèò êàê ôîòîãðàôèÿ, ñòîë, ñèäèò, áåëûé  Àâòîìàòè÷åñêè ñîçäàííîå îïèñàíèå ">
                  <v:rect style="position:absolute;left:0;top:0;width:6356;height:2676" filled="true" fillcolor="#c0c0c0" stroked="false">
                    <v:fill type="solid"/>
                  </v:rect>
                  <v:shape style="position:absolute;left:1;top:0;width:6356;height:2677" type="#_x0000_t75" alt="Èçîáðàæåíèå âûãëÿäèò êàê ôîòîãðàôèÿ, ñòîë, ñèäèò, áåëûé  Àâòîìàòè÷åñêè ñîçäàííîå îïèñàíèå " stroked="false">
                    <v:imagedata r:id="rId71" o:title=""/>
                  </v:shape>
                </v:group>
              </w:pict>
            </w:r>
            <w:r>
              <w:rPr>
                <w:sz w:val="20"/>
              </w:rPr>
            </w:r>
          </w:p>
        </w:tc>
      </w:tr>
      <w:tr>
        <w:trPr>
          <w:trHeight w:val="407" w:hRule="atLeast"/>
        </w:trPr>
        <w:tc>
          <w:tcPr>
            <w:tcW w:w="8958" w:type="dxa"/>
            <w:gridSpan w:val="2"/>
            <w:tcBorders>
              <w:top w:val="single" w:sz="6" w:space="0" w:color="000000"/>
              <w:bottom w:val="single" w:sz="6" w:space="0" w:color="000000"/>
            </w:tcBorders>
          </w:tcPr>
          <w:p>
            <w:pPr>
              <w:pStyle w:val="TableParagraph"/>
              <w:rPr>
                <w:sz w:val="22"/>
              </w:rPr>
            </w:pPr>
          </w:p>
        </w:tc>
      </w:tr>
    </w:tbl>
    <w:p>
      <w:pPr>
        <w:spacing w:after="0"/>
        <w:rPr>
          <w:sz w:val="22"/>
        </w:rPr>
        <w:sectPr>
          <w:pgSz w:w="11920" w:h="16850"/>
          <w:pgMar w:header="0" w:footer="620" w:top="1140" w:bottom="800" w:left="1380" w:right="600"/>
        </w:sectPr>
      </w:pPr>
    </w:p>
    <w:tbl>
      <w:tblPr>
        <w:tblW w:w="0" w:type="auto"/>
        <w:jc w:val="left"/>
        <w:tblInd w:w="4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438"/>
        <w:gridCol w:w="6520"/>
      </w:tblGrid>
      <w:tr>
        <w:trPr>
          <w:trHeight w:val="3031" w:hRule="atLeast"/>
        </w:trPr>
        <w:tc>
          <w:tcPr>
            <w:tcW w:w="2438" w:type="dxa"/>
            <w:tcBorders>
              <w:bottom w:val="single" w:sz="6" w:space="0" w:color="000000"/>
            </w:tcBorders>
          </w:tcPr>
          <w:p>
            <w:pPr>
              <w:pStyle w:val="TableParagraph"/>
              <w:spacing w:before="80"/>
              <w:ind w:left="79" w:right="349"/>
              <w:rPr>
                <w:sz w:val="22"/>
              </w:rPr>
            </w:pPr>
            <w:r>
              <w:rPr>
                <w:sz w:val="22"/>
              </w:rPr>
              <w:t>Выраженная инфильтрация и консолидация в пределах одной доли (картина долевой бактериальной пневмонии)</w:t>
            </w:r>
          </w:p>
        </w:tc>
        <w:tc>
          <w:tcPr>
            <w:tcW w:w="6520" w:type="dxa"/>
            <w:tcBorders>
              <w:bottom w:val="single" w:sz="6" w:space="0" w:color="000000"/>
            </w:tcBorders>
            <w:shd w:val="clear" w:color="auto" w:fill="C0C0C0"/>
          </w:tcPr>
          <w:p>
            <w:pPr>
              <w:pStyle w:val="TableParagraph"/>
              <w:rPr>
                <w:b/>
                <w:sz w:val="7"/>
              </w:rPr>
            </w:pPr>
          </w:p>
          <w:p>
            <w:pPr>
              <w:pStyle w:val="TableParagraph"/>
              <w:ind w:left="79"/>
              <w:rPr>
                <w:sz w:val="20"/>
              </w:rPr>
            </w:pPr>
            <w:r>
              <w:rPr>
                <w:sz w:val="20"/>
              </w:rPr>
              <w:pict>
                <v:group style="width:317.850pt;height:140.65pt;mso-position-horizontal-relative:char;mso-position-vertical-relative:line" coordorigin="0,0" coordsize="6357,2813" alt="Èçîáðàæåíèå âûãëÿäèò êàê ôîòîãðàôèÿ, ñòîë, ÷åðíûé, ñèäèò  Àâòîìàòè÷åñêè ñîçäàííîå îïèñàíèå ">
                  <v:rect style="position:absolute;left:0;top:0;width:6356;height:2813" filled="true" fillcolor="#c0c0c0" stroked="false">
                    <v:fill type="solid"/>
                  </v:rect>
                  <v:shape style="position:absolute;left:1;top:0;width:6356;height:2813" type="#_x0000_t75" alt="Èçîáðàæåíèå âûãëÿäèò êàê ôîòîãðàôèÿ, ñòîë, ÷åðíûé, ñèäèò  Àâòîìàòè÷åñêè ñîçäàííîå îïèñàíèå " stroked="false">
                    <v:imagedata r:id="rId72" o:title=""/>
                  </v:shape>
                </v:group>
              </w:pict>
            </w:r>
            <w:r>
              <w:rPr>
                <w:sz w:val="20"/>
              </w:rPr>
            </w:r>
          </w:p>
        </w:tc>
      </w:tr>
      <w:tr>
        <w:trPr>
          <w:trHeight w:val="407" w:hRule="atLeast"/>
        </w:trPr>
        <w:tc>
          <w:tcPr>
            <w:tcW w:w="8958" w:type="dxa"/>
            <w:gridSpan w:val="2"/>
            <w:tcBorders>
              <w:top w:val="single" w:sz="6" w:space="0" w:color="000000"/>
              <w:bottom w:val="single" w:sz="6" w:space="0" w:color="000000"/>
            </w:tcBorders>
          </w:tcPr>
          <w:p>
            <w:pPr>
              <w:pStyle w:val="TableParagraph"/>
              <w:rPr>
                <w:sz w:val="20"/>
              </w:rPr>
            </w:pPr>
          </w:p>
        </w:tc>
      </w:tr>
      <w:tr>
        <w:trPr>
          <w:trHeight w:val="2896" w:hRule="atLeast"/>
        </w:trPr>
        <w:tc>
          <w:tcPr>
            <w:tcW w:w="2438" w:type="dxa"/>
            <w:tcBorders>
              <w:top w:val="single" w:sz="6" w:space="0" w:color="000000"/>
              <w:bottom w:val="single" w:sz="6" w:space="0" w:color="000000"/>
            </w:tcBorders>
          </w:tcPr>
          <w:p>
            <w:pPr>
              <w:pStyle w:val="TableParagraph"/>
              <w:spacing w:before="78"/>
              <w:ind w:left="79" w:right="91"/>
              <w:rPr>
                <w:sz w:val="22"/>
              </w:rPr>
            </w:pPr>
            <w:r>
              <w:rPr>
                <w:sz w:val="22"/>
              </w:rPr>
              <w:t>Симметричные центральные очаги повышенной плотности по типу «крыльев бабочки»,</w:t>
            </w:r>
          </w:p>
          <w:p>
            <w:pPr>
              <w:pStyle w:val="TableParagraph"/>
              <w:spacing w:line="252" w:lineRule="exact"/>
              <w:ind w:left="79"/>
              <w:rPr>
                <w:sz w:val="22"/>
              </w:rPr>
            </w:pPr>
            <w:r>
              <w:rPr>
                <w:sz w:val="22"/>
              </w:rPr>
              <w:t>гидроторакс –</w:t>
            </w:r>
          </w:p>
          <w:p>
            <w:pPr>
              <w:pStyle w:val="TableParagraph"/>
              <w:ind w:left="79" w:right="397"/>
              <w:rPr>
                <w:sz w:val="22"/>
              </w:rPr>
            </w:pPr>
            <w:r>
              <w:rPr>
                <w:sz w:val="22"/>
              </w:rPr>
              <w:t>КТ-картина альвеолярного отека легких</w:t>
            </w:r>
          </w:p>
        </w:tc>
        <w:tc>
          <w:tcPr>
            <w:tcW w:w="6520" w:type="dxa"/>
            <w:tcBorders>
              <w:top w:val="single" w:sz="6" w:space="0" w:color="000000"/>
              <w:bottom w:val="single" w:sz="6" w:space="0" w:color="000000"/>
            </w:tcBorders>
            <w:shd w:val="clear" w:color="auto" w:fill="C0C0C0"/>
          </w:tcPr>
          <w:p>
            <w:pPr>
              <w:pStyle w:val="TableParagraph"/>
              <w:spacing w:before="11"/>
              <w:rPr>
                <w:b/>
                <w:sz w:val="6"/>
              </w:rPr>
            </w:pPr>
          </w:p>
          <w:p>
            <w:pPr>
              <w:pStyle w:val="TableParagraph"/>
              <w:ind w:left="79"/>
              <w:rPr>
                <w:sz w:val="20"/>
              </w:rPr>
            </w:pPr>
            <w:r>
              <w:rPr>
                <w:sz w:val="20"/>
              </w:rPr>
              <w:pict>
                <v:group style="width:317.850pt;height:133.85pt;mso-position-horizontal-relative:char;mso-position-vertical-relative:line" coordorigin="0,0" coordsize="6357,2677" alt="Èçîáðàæåíèå âûãëÿäèò êàê ñòîë, ñèäèò, ôîòîãðàôèÿ, åäà  Àâòîìàòè÷åñêè ñîçäàííîå îïèñàíèå ">
                  <v:rect style="position:absolute;left:0;top:0;width:6356;height:2676" filled="true" fillcolor="#c0c0c0" stroked="false">
                    <v:fill type="solid"/>
                  </v:rect>
                  <v:shape style="position:absolute;left:1;top:0;width:6356;height:2677" type="#_x0000_t75" alt="Èçîáðàæåíèå âûãëÿäèò êàê ñòîë, ñèäèò, ôîòîãðàôèÿ, åäà  Àâòîìàòè÷åñêè ñîçäàííîå îïèñàíèå " stroked="false">
                    <v:imagedata r:id="rId73" o:title=""/>
                  </v:shape>
                </v:group>
              </w:pict>
            </w:r>
            <w:r>
              <w:rPr>
                <w:sz w:val="20"/>
              </w:rPr>
            </w:r>
          </w:p>
        </w:tc>
      </w:tr>
    </w:tbl>
    <w:p>
      <w:pPr>
        <w:spacing w:after="0"/>
        <w:rPr>
          <w:sz w:val="20"/>
        </w:rPr>
        <w:sectPr>
          <w:pgSz w:w="11920" w:h="16850"/>
          <w:pgMar w:header="0" w:footer="620" w:top="1140" w:bottom="800" w:left="1380" w:right="600"/>
        </w:sectPr>
      </w:pPr>
    </w:p>
    <w:p>
      <w:pPr>
        <w:spacing w:before="78"/>
        <w:ind w:left="321" w:right="0" w:firstLine="0"/>
        <w:jc w:val="left"/>
        <w:rPr>
          <w:b/>
          <w:sz w:val="24"/>
        </w:rPr>
      </w:pPr>
      <w:r>
        <w:rPr>
          <w:b/>
          <w:sz w:val="24"/>
        </w:rPr>
        <w:t>Б.3 ОСНОВНЫЕ КТ СИМПТОМЫ ПАТОЛОГИИ ЛЕГКИХ ПРИ ВИРУСНЫХ ПОРАЖЕНИЯ ЛЕГКИХ</w:t>
      </w:r>
    </w:p>
    <w:p>
      <w:pPr>
        <w:pStyle w:val="BodyText"/>
        <w:spacing w:before="1"/>
        <w:ind w:left="0"/>
        <w:jc w:val="left"/>
        <w:rPr>
          <w:b/>
        </w:rPr>
      </w:pPr>
    </w:p>
    <w:tbl>
      <w:tblPr>
        <w:tblW w:w="0" w:type="auto"/>
        <w:jc w:val="left"/>
        <w:tblInd w:w="45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4414"/>
        <w:gridCol w:w="4536"/>
      </w:tblGrid>
      <w:tr>
        <w:trPr>
          <w:trHeight w:val="405" w:hRule="atLeast"/>
        </w:trPr>
        <w:tc>
          <w:tcPr>
            <w:tcW w:w="4414" w:type="dxa"/>
            <w:tcBorders>
              <w:bottom w:val="single" w:sz="6" w:space="0" w:color="000000"/>
            </w:tcBorders>
            <w:shd w:val="clear" w:color="auto" w:fill="F1F1F1"/>
          </w:tcPr>
          <w:p>
            <w:pPr>
              <w:pStyle w:val="TableParagraph"/>
              <w:spacing w:before="79"/>
              <w:ind w:left="406" w:right="380"/>
              <w:jc w:val="center"/>
              <w:rPr>
                <w:b/>
                <w:sz w:val="22"/>
              </w:rPr>
            </w:pPr>
            <w:r>
              <w:rPr>
                <w:b/>
                <w:sz w:val="22"/>
                <w:shd w:fill="FFFFFF" w:color="auto" w:val="clear"/>
              </w:rPr>
              <w:t>Матовое стекло</w:t>
            </w:r>
          </w:p>
        </w:tc>
        <w:tc>
          <w:tcPr>
            <w:tcW w:w="4536" w:type="dxa"/>
            <w:tcBorders>
              <w:bottom w:val="single" w:sz="6" w:space="0" w:color="000000"/>
            </w:tcBorders>
          </w:tcPr>
          <w:p>
            <w:pPr>
              <w:pStyle w:val="TableParagraph"/>
              <w:spacing w:before="79"/>
              <w:ind w:left="1522" w:right="1495"/>
              <w:jc w:val="center"/>
              <w:rPr>
                <w:b/>
                <w:sz w:val="22"/>
              </w:rPr>
            </w:pPr>
            <w:r>
              <w:rPr>
                <w:b/>
                <w:sz w:val="22"/>
              </w:rPr>
              <w:t>Консолидация</w:t>
            </w:r>
          </w:p>
        </w:tc>
      </w:tr>
      <w:tr>
        <w:trPr>
          <w:trHeight w:val="1676" w:hRule="atLeast"/>
        </w:trPr>
        <w:tc>
          <w:tcPr>
            <w:tcW w:w="4414" w:type="dxa"/>
            <w:tcBorders>
              <w:top w:val="single" w:sz="6" w:space="0" w:color="000000"/>
              <w:bottom w:val="single" w:sz="6" w:space="0" w:color="000000"/>
            </w:tcBorders>
          </w:tcPr>
          <w:p>
            <w:pPr>
              <w:pStyle w:val="TableParagraph"/>
              <w:spacing w:before="81"/>
              <w:ind w:left="174" w:right="484"/>
              <w:jc w:val="both"/>
              <w:rPr>
                <w:sz w:val="22"/>
              </w:rPr>
            </w:pPr>
            <w:r>
              <w:rPr>
                <w:sz w:val="22"/>
              </w:rPr>
              <w:t>Участок частично воздушной легочной ткани, на фоне которого видны сосуды, просветы бронхов и их стенки.</w:t>
            </w:r>
          </w:p>
          <w:p>
            <w:pPr>
              <w:pStyle w:val="TableParagraph"/>
              <w:ind w:left="174" w:right="323"/>
              <w:jc w:val="both"/>
              <w:rPr>
                <w:sz w:val="22"/>
              </w:rPr>
            </w:pPr>
            <w:r>
              <w:rPr>
                <w:sz w:val="22"/>
              </w:rPr>
              <w:t>Значительно более точно выявляется при КТ, чем при РГ.</w:t>
            </w:r>
          </w:p>
        </w:tc>
        <w:tc>
          <w:tcPr>
            <w:tcW w:w="4536" w:type="dxa"/>
            <w:tcBorders>
              <w:top w:val="single" w:sz="6" w:space="0" w:color="000000"/>
              <w:bottom w:val="single" w:sz="6" w:space="0" w:color="000000"/>
            </w:tcBorders>
          </w:tcPr>
          <w:p>
            <w:pPr>
              <w:pStyle w:val="TableParagraph"/>
              <w:spacing w:before="81"/>
              <w:ind w:left="155" w:right="-31"/>
              <w:rPr>
                <w:sz w:val="22"/>
              </w:rPr>
            </w:pPr>
            <w:r>
              <w:rPr>
                <w:sz w:val="22"/>
              </w:rPr>
              <w:t>Участок безвоздушной легочной ткани с видимыми в нем воздушными просветами бронхов и воздушными полостями (например, эмфиземы). Сосуды и стенки бронхов в зоне уплотнения не</w:t>
            </w:r>
            <w:r>
              <w:rPr>
                <w:spacing w:val="-2"/>
                <w:sz w:val="22"/>
              </w:rPr>
              <w:t> </w:t>
            </w:r>
            <w:r>
              <w:rPr>
                <w:sz w:val="22"/>
              </w:rPr>
              <w:t>видны.</w:t>
            </w:r>
          </w:p>
          <w:p>
            <w:pPr>
              <w:pStyle w:val="TableParagraph"/>
              <w:ind w:left="155"/>
              <w:rPr>
                <w:sz w:val="22"/>
              </w:rPr>
            </w:pPr>
            <w:r>
              <w:rPr>
                <w:sz w:val="22"/>
              </w:rPr>
              <w:t>Выявляется одинаково точно при РГ и КТ.</w:t>
            </w:r>
          </w:p>
        </w:tc>
      </w:tr>
      <w:tr>
        <w:trPr>
          <w:trHeight w:val="4062" w:hRule="atLeast"/>
        </w:trPr>
        <w:tc>
          <w:tcPr>
            <w:tcW w:w="4414" w:type="dxa"/>
            <w:tcBorders>
              <w:top w:val="single" w:sz="6" w:space="0" w:color="000000"/>
              <w:bottom w:val="single" w:sz="18" w:space="0" w:color="000000"/>
            </w:tcBorders>
          </w:tcPr>
          <w:p>
            <w:pPr>
              <w:pStyle w:val="TableParagraph"/>
              <w:rPr>
                <w:b/>
                <w:sz w:val="20"/>
              </w:rPr>
            </w:pPr>
          </w:p>
          <w:p>
            <w:pPr>
              <w:pStyle w:val="TableParagraph"/>
              <w:spacing w:before="1"/>
              <w:rPr>
                <w:b/>
                <w:sz w:val="15"/>
              </w:rPr>
            </w:pPr>
          </w:p>
          <w:p>
            <w:pPr>
              <w:pStyle w:val="TableParagraph"/>
              <w:ind w:left="716"/>
              <w:rPr>
                <w:sz w:val="20"/>
              </w:rPr>
            </w:pPr>
            <w:r>
              <w:rPr>
                <w:sz w:val="20"/>
              </w:rPr>
              <w:drawing>
                <wp:inline distT="0" distB="0" distL="0" distR="0">
                  <wp:extent cx="1842160" cy="2120646"/>
                  <wp:effectExtent l="0" t="0" r="0" b="0"/>
                  <wp:docPr id="11" name="image17.jpeg" descr="Èçîáðàæåíèå âûãëÿäèò êàê ñòîë, ñèäèò, ÷åðíûé, ïîí÷èê  Àâòîìàòè÷åñêè ñîçäàííîå îïèñàíèå "/>
                  <wp:cNvGraphicFramePr>
                    <a:graphicFrameLocks noChangeAspect="1"/>
                  </wp:cNvGraphicFramePr>
                  <a:graphic>
                    <a:graphicData uri="http://schemas.openxmlformats.org/drawingml/2006/picture">
                      <pic:pic>
                        <pic:nvPicPr>
                          <pic:cNvPr id="12" name="image17.jpeg"/>
                          <pic:cNvPicPr/>
                        </pic:nvPicPr>
                        <pic:blipFill>
                          <a:blip r:embed="rId74" cstate="print"/>
                          <a:stretch>
                            <a:fillRect/>
                          </a:stretch>
                        </pic:blipFill>
                        <pic:spPr>
                          <a:xfrm>
                            <a:off x="0" y="0"/>
                            <a:ext cx="1842160" cy="2120646"/>
                          </a:xfrm>
                          <a:prstGeom prst="rect">
                            <a:avLst/>
                          </a:prstGeom>
                        </pic:spPr>
                      </pic:pic>
                    </a:graphicData>
                  </a:graphic>
                </wp:inline>
              </w:drawing>
            </w:r>
            <w:r>
              <w:rPr>
                <w:sz w:val="20"/>
              </w:rPr>
            </w:r>
          </w:p>
        </w:tc>
        <w:tc>
          <w:tcPr>
            <w:tcW w:w="4536" w:type="dxa"/>
            <w:tcBorders>
              <w:top w:val="single" w:sz="6" w:space="0" w:color="000000"/>
              <w:bottom w:val="single" w:sz="18" w:space="0" w:color="000000"/>
            </w:tcBorders>
          </w:tcPr>
          <w:p>
            <w:pPr>
              <w:pStyle w:val="TableParagraph"/>
              <w:rPr>
                <w:b/>
                <w:sz w:val="20"/>
              </w:rPr>
            </w:pPr>
          </w:p>
          <w:p>
            <w:pPr>
              <w:pStyle w:val="TableParagraph"/>
              <w:spacing w:before="1"/>
              <w:rPr>
                <w:b/>
                <w:sz w:val="15"/>
              </w:rPr>
            </w:pPr>
          </w:p>
          <w:p>
            <w:pPr>
              <w:pStyle w:val="TableParagraph"/>
              <w:ind w:left="1066"/>
              <w:rPr>
                <w:sz w:val="20"/>
              </w:rPr>
            </w:pPr>
            <w:r>
              <w:rPr>
                <w:sz w:val="20"/>
              </w:rPr>
              <w:drawing>
                <wp:inline distT="0" distB="0" distL="0" distR="0">
                  <wp:extent cx="1542519" cy="2078736"/>
                  <wp:effectExtent l="0" t="0" r="0" b="0"/>
                  <wp:docPr id="13" name="image18.jpeg" descr="Èçîáðàæåíèå âûãëÿäèò êàê ñòîë, ÷åðíûé, òàðåëêà, áåëûé  Àâòîìàòè÷åñêè ñîçäàííîå îïèñàíèå "/>
                  <wp:cNvGraphicFramePr>
                    <a:graphicFrameLocks noChangeAspect="1"/>
                  </wp:cNvGraphicFramePr>
                  <a:graphic>
                    <a:graphicData uri="http://schemas.openxmlformats.org/drawingml/2006/picture">
                      <pic:pic>
                        <pic:nvPicPr>
                          <pic:cNvPr id="14" name="image18.jpeg"/>
                          <pic:cNvPicPr/>
                        </pic:nvPicPr>
                        <pic:blipFill>
                          <a:blip r:embed="rId75" cstate="print"/>
                          <a:stretch>
                            <a:fillRect/>
                          </a:stretch>
                        </pic:blipFill>
                        <pic:spPr>
                          <a:xfrm>
                            <a:off x="0" y="0"/>
                            <a:ext cx="1542519" cy="2078736"/>
                          </a:xfrm>
                          <a:prstGeom prst="rect">
                            <a:avLst/>
                          </a:prstGeom>
                        </pic:spPr>
                      </pic:pic>
                    </a:graphicData>
                  </a:graphic>
                </wp:inline>
              </w:drawing>
            </w:r>
            <w:r>
              <w:rPr>
                <w:sz w:val="20"/>
              </w:rPr>
            </w:r>
          </w:p>
        </w:tc>
      </w:tr>
      <w:tr>
        <w:trPr>
          <w:trHeight w:val="397" w:hRule="atLeast"/>
        </w:trPr>
        <w:tc>
          <w:tcPr>
            <w:tcW w:w="4414" w:type="dxa"/>
            <w:tcBorders>
              <w:top w:val="single" w:sz="18" w:space="0" w:color="000000"/>
              <w:bottom w:val="single" w:sz="6" w:space="0" w:color="000000"/>
            </w:tcBorders>
            <w:shd w:val="clear" w:color="auto" w:fill="F1F1F1"/>
          </w:tcPr>
          <w:p>
            <w:pPr>
              <w:pStyle w:val="TableParagraph"/>
              <w:spacing w:before="71"/>
              <w:ind w:left="406" w:right="379"/>
              <w:jc w:val="center"/>
              <w:rPr>
                <w:b/>
                <w:sz w:val="22"/>
              </w:rPr>
            </w:pPr>
            <w:r>
              <w:rPr>
                <w:b/>
                <w:sz w:val="22"/>
                <w:shd w:fill="FFFFFF" w:color="auto" w:val="clear"/>
              </w:rPr>
              <w:t>Ретикулярные изменения</w:t>
            </w:r>
          </w:p>
        </w:tc>
        <w:tc>
          <w:tcPr>
            <w:tcW w:w="4536" w:type="dxa"/>
            <w:tcBorders>
              <w:top w:val="single" w:sz="18" w:space="0" w:color="000000"/>
              <w:bottom w:val="single" w:sz="6" w:space="0" w:color="000000"/>
            </w:tcBorders>
          </w:tcPr>
          <w:p>
            <w:pPr>
              <w:pStyle w:val="TableParagraph"/>
              <w:spacing w:before="71"/>
              <w:ind w:left="721"/>
              <w:rPr>
                <w:b/>
                <w:sz w:val="22"/>
              </w:rPr>
            </w:pPr>
            <w:r>
              <w:rPr>
                <w:b/>
                <w:sz w:val="22"/>
              </w:rPr>
              <w:t>Симптом «булыжной мостовой»</w:t>
            </w:r>
          </w:p>
        </w:tc>
      </w:tr>
      <w:tr>
        <w:trPr>
          <w:trHeight w:val="1679" w:hRule="atLeast"/>
        </w:trPr>
        <w:tc>
          <w:tcPr>
            <w:tcW w:w="4414" w:type="dxa"/>
            <w:tcBorders>
              <w:top w:val="single" w:sz="6" w:space="0" w:color="000000"/>
              <w:bottom w:val="single" w:sz="6" w:space="0" w:color="000000"/>
            </w:tcBorders>
          </w:tcPr>
          <w:p>
            <w:pPr>
              <w:pStyle w:val="TableParagraph"/>
              <w:spacing w:before="83"/>
              <w:ind w:left="174" w:right="177"/>
              <w:rPr>
                <w:sz w:val="22"/>
              </w:rPr>
            </w:pPr>
            <w:r>
              <w:rPr>
                <w:sz w:val="22"/>
              </w:rPr>
              <w:t>Тонкие линии патологически измененного легочного интерстиция, формирующие сеть.</w:t>
            </w:r>
          </w:p>
          <w:p>
            <w:pPr>
              <w:pStyle w:val="TableParagraph"/>
              <w:ind w:left="174" w:right="172"/>
              <w:rPr>
                <w:sz w:val="22"/>
              </w:rPr>
            </w:pPr>
            <w:r>
              <w:rPr>
                <w:sz w:val="22"/>
              </w:rPr>
              <w:t>КТ-симптом. При РГ обозначаются как сетчатая (ячеистая) деформация легочного рисунка.</w:t>
            </w:r>
          </w:p>
        </w:tc>
        <w:tc>
          <w:tcPr>
            <w:tcW w:w="4536" w:type="dxa"/>
            <w:tcBorders>
              <w:top w:val="single" w:sz="6" w:space="0" w:color="000000"/>
              <w:bottom w:val="single" w:sz="6" w:space="0" w:color="000000"/>
            </w:tcBorders>
          </w:tcPr>
          <w:p>
            <w:pPr>
              <w:pStyle w:val="TableParagraph"/>
              <w:spacing w:before="83"/>
              <w:ind w:left="155" w:right="105"/>
              <w:rPr>
                <w:sz w:val="22"/>
              </w:rPr>
            </w:pPr>
            <w:r>
              <w:rPr>
                <w:sz w:val="22"/>
              </w:rPr>
              <w:t>Синоним: симптом «лоскутного одеяла». Изображение ретикулярных изменений на фоне уплотнения по типу «матового стекла». КТ-симптом.</w:t>
            </w:r>
          </w:p>
        </w:tc>
      </w:tr>
      <w:tr>
        <w:trPr>
          <w:trHeight w:val="4633" w:hRule="atLeast"/>
        </w:trPr>
        <w:tc>
          <w:tcPr>
            <w:tcW w:w="4414" w:type="dxa"/>
            <w:tcBorders>
              <w:top w:val="single" w:sz="6" w:space="0" w:color="000000"/>
              <w:bottom w:val="single" w:sz="18" w:space="0" w:color="000000"/>
            </w:tcBorders>
          </w:tcPr>
          <w:p>
            <w:pPr>
              <w:pStyle w:val="TableParagraph"/>
              <w:rPr>
                <w:b/>
                <w:sz w:val="20"/>
              </w:rPr>
            </w:pPr>
          </w:p>
          <w:p>
            <w:pPr>
              <w:pStyle w:val="TableParagraph"/>
              <w:spacing w:before="8"/>
              <w:rPr>
                <w:b/>
                <w:sz w:val="12"/>
              </w:rPr>
            </w:pPr>
          </w:p>
          <w:p>
            <w:pPr>
              <w:pStyle w:val="TableParagraph"/>
              <w:ind w:left="388"/>
              <w:rPr>
                <w:sz w:val="20"/>
              </w:rPr>
            </w:pPr>
            <w:r>
              <w:rPr>
                <w:sz w:val="20"/>
              </w:rPr>
              <w:drawing>
                <wp:inline distT="0" distB="0" distL="0" distR="0">
                  <wp:extent cx="2144936" cy="1776983"/>
                  <wp:effectExtent l="0" t="0" r="0" b="0"/>
                  <wp:docPr id="15" name="image19.jpeg" descr="Èçîáðàæåíèå âûãëÿäèò êàê ñòîë, åäà, ôîòîãðàôèÿ, ñèäèò  Àâòîìàòè÷åñêè ñîçäàííîå îïèñàíèå "/>
                  <wp:cNvGraphicFramePr>
                    <a:graphicFrameLocks noChangeAspect="1"/>
                  </wp:cNvGraphicFramePr>
                  <a:graphic>
                    <a:graphicData uri="http://schemas.openxmlformats.org/drawingml/2006/picture">
                      <pic:pic>
                        <pic:nvPicPr>
                          <pic:cNvPr id="16" name="image19.jpeg"/>
                          <pic:cNvPicPr/>
                        </pic:nvPicPr>
                        <pic:blipFill>
                          <a:blip r:embed="rId76" cstate="print"/>
                          <a:stretch>
                            <a:fillRect/>
                          </a:stretch>
                        </pic:blipFill>
                        <pic:spPr>
                          <a:xfrm>
                            <a:off x="0" y="0"/>
                            <a:ext cx="2144936" cy="1776983"/>
                          </a:xfrm>
                          <a:prstGeom prst="rect">
                            <a:avLst/>
                          </a:prstGeom>
                        </pic:spPr>
                      </pic:pic>
                    </a:graphicData>
                  </a:graphic>
                </wp:inline>
              </w:drawing>
            </w:r>
            <w:r>
              <w:rPr>
                <w:sz w:val="20"/>
              </w:rPr>
            </w:r>
          </w:p>
        </w:tc>
        <w:tc>
          <w:tcPr>
            <w:tcW w:w="4536" w:type="dxa"/>
            <w:tcBorders>
              <w:top w:val="single" w:sz="6" w:space="0" w:color="000000"/>
              <w:bottom w:val="single" w:sz="18" w:space="0" w:color="000000"/>
            </w:tcBorders>
          </w:tcPr>
          <w:p>
            <w:pPr>
              <w:pStyle w:val="TableParagraph"/>
              <w:spacing w:before="7"/>
              <w:rPr>
                <w:b/>
                <w:sz w:val="26"/>
              </w:rPr>
            </w:pPr>
          </w:p>
          <w:p>
            <w:pPr>
              <w:pStyle w:val="TableParagraph"/>
              <w:ind w:left="1064"/>
              <w:rPr>
                <w:sz w:val="20"/>
              </w:rPr>
            </w:pPr>
            <w:r>
              <w:rPr>
                <w:sz w:val="20"/>
              </w:rPr>
              <w:drawing>
                <wp:inline distT="0" distB="0" distL="0" distR="0">
                  <wp:extent cx="1432703" cy="1877568"/>
                  <wp:effectExtent l="0" t="0" r="0" b="0"/>
                  <wp:docPr id="17" name="image20.jpeg" descr="Èçîáðàæåíèå âûãëÿäèò êàê âíóòðåííèé, ñòîë, ñèäèò, åäà  Àâòîìàòè÷åñêè ñîçäàííîå îïèñàíèå "/>
                  <wp:cNvGraphicFramePr>
                    <a:graphicFrameLocks noChangeAspect="1"/>
                  </wp:cNvGraphicFramePr>
                  <a:graphic>
                    <a:graphicData uri="http://schemas.openxmlformats.org/drawingml/2006/picture">
                      <pic:pic>
                        <pic:nvPicPr>
                          <pic:cNvPr id="18" name="image20.jpeg"/>
                          <pic:cNvPicPr/>
                        </pic:nvPicPr>
                        <pic:blipFill>
                          <a:blip r:embed="rId77" cstate="print"/>
                          <a:stretch>
                            <a:fillRect/>
                          </a:stretch>
                        </pic:blipFill>
                        <pic:spPr>
                          <a:xfrm>
                            <a:off x="0" y="0"/>
                            <a:ext cx="1432703" cy="1877568"/>
                          </a:xfrm>
                          <a:prstGeom prst="rect">
                            <a:avLst/>
                          </a:prstGeom>
                        </pic:spPr>
                      </pic:pic>
                    </a:graphicData>
                  </a:graphic>
                </wp:inline>
              </w:drawing>
            </w:r>
            <w:r>
              <w:rPr>
                <w:sz w:val="20"/>
              </w:rPr>
            </w:r>
          </w:p>
        </w:tc>
      </w:tr>
    </w:tbl>
    <w:p>
      <w:pPr>
        <w:spacing w:after="0"/>
        <w:rPr>
          <w:sz w:val="20"/>
        </w:rPr>
        <w:sectPr>
          <w:pgSz w:w="11920" w:h="16850"/>
          <w:pgMar w:header="0" w:footer="620" w:top="1060" w:bottom="800" w:left="1380" w:right="600"/>
        </w:sectPr>
      </w:pPr>
    </w:p>
    <w:tbl>
      <w:tblPr>
        <w:tblW w:w="0" w:type="auto"/>
        <w:jc w:val="left"/>
        <w:tblInd w:w="45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214"/>
        <w:gridCol w:w="3982"/>
        <w:gridCol w:w="219"/>
        <w:gridCol w:w="915"/>
        <w:gridCol w:w="2847"/>
        <w:gridCol w:w="776"/>
      </w:tblGrid>
      <w:tr>
        <w:trPr>
          <w:trHeight w:val="21" w:hRule="atLeast"/>
        </w:trPr>
        <w:tc>
          <w:tcPr>
            <w:tcW w:w="214" w:type="dxa"/>
            <w:vMerge w:val="restart"/>
            <w:tcBorders>
              <w:bottom w:val="single" w:sz="6" w:space="0" w:color="000000"/>
              <w:right w:val="nil"/>
            </w:tcBorders>
            <w:shd w:val="clear" w:color="auto" w:fill="F1F1F1"/>
          </w:tcPr>
          <w:p>
            <w:pPr>
              <w:pStyle w:val="TableParagraph"/>
              <w:rPr>
                <w:sz w:val="22"/>
              </w:rPr>
            </w:pPr>
          </w:p>
        </w:tc>
        <w:tc>
          <w:tcPr>
            <w:tcW w:w="3982" w:type="dxa"/>
            <w:tcBorders>
              <w:left w:val="nil"/>
              <w:bottom w:val="nil"/>
              <w:right w:val="nil"/>
            </w:tcBorders>
            <w:shd w:val="clear" w:color="auto" w:fill="FFFFFF"/>
          </w:tcPr>
          <w:p>
            <w:pPr>
              <w:pStyle w:val="TableParagraph"/>
              <w:rPr>
                <w:sz w:val="2"/>
              </w:rPr>
            </w:pPr>
          </w:p>
        </w:tc>
        <w:tc>
          <w:tcPr>
            <w:tcW w:w="219" w:type="dxa"/>
            <w:vMerge w:val="restart"/>
            <w:tcBorders>
              <w:left w:val="nil"/>
              <w:bottom w:val="single" w:sz="6" w:space="0" w:color="000000"/>
            </w:tcBorders>
            <w:shd w:val="clear" w:color="auto" w:fill="F1F1F1"/>
          </w:tcPr>
          <w:p>
            <w:pPr>
              <w:pStyle w:val="TableParagraph"/>
              <w:rPr>
                <w:sz w:val="22"/>
              </w:rPr>
            </w:pPr>
          </w:p>
        </w:tc>
        <w:tc>
          <w:tcPr>
            <w:tcW w:w="915" w:type="dxa"/>
            <w:tcBorders>
              <w:bottom w:val="nil"/>
              <w:right w:val="nil"/>
            </w:tcBorders>
            <w:shd w:val="clear" w:color="auto" w:fill="F1F1F1"/>
          </w:tcPr>
          <w:p>
            <w:pPr>
              <w:pStyle w:val="TableParagraph"/>
              <w:rPr>
                <w:sz w:val="2"/>
              </w:rPr>
            </w:pPr>
          </w:p>
        </w:tc>
        <w:tc>
          <w:tcPr>
            <w:tcW w:w="2847" w:type="dxa"/>
            <w:vMerge w:val="restart"/>
            <w:tcBorders>
              <w:top w:val="single" w:sz="12" w:space="0" w:color="F1F1F1"/>
              <w:left w:val="nil"/>
              <w:bottom w:val="single" w:sz="48" w:space="0" w:color="F1F1F1"/>
              <w:right w:val="nil"/>
            </w:tcBorders>
          </w:tcPr>
          <w:p>
            <w:pPr>
              <w:pStyle w:val="TableParagraph"/>
              <w:spacing w:line="214" w:lineRule="exact" w:before="79"/>
              <w:ind w:left="12" w:right="-15"/>
              <w:rPr>
                <w:b/>
                <w:sz w:val="22"/>
              </w:rPr>
            </w:pPr>
            <w:r>
              <w:rPr>
                <w:b/>
                <w:sz w:val="22"/>
              </w:rPr>
              <w:t>Перилобулярные</w:t>
            </w:r>
            <w:r>
              <w:rPr>
                <w:b/>
                <w:spacing w:val="-9"/>
                <w:sz w:val="22"/>
              </w:rPr>
              <w:t> </w:t>
            </w:r>
            <w:r>
              <w:rPr>
                <w:b/>
                <w:sz w:val="22"/>
              </w:rPr>
              <w:t>изменения</w:t>
            </w:r>
          </w:p>
        </w:tc>
        <w:tc>
          <w:tcPr>
            <w:tcW w:w="776" w:type="dxa"/>
            <w:tcBorders>
              <w:left w:val="nil"/>
              <w:bottom w:val="nil"/>
            </w:tcBorders>
            <w:shd w:val="clear" w:color="auto" w:fill="F1F1F1"/>
          </w:tcPr>
          <w:p>
            <w:pPr>
              <w:pStyle w:val="TableParagraph"/>
              <w:rPr>
                <w:sz w:val="2"/>
              </w:rPr>
            </w:pPr>
          </w:p>
        </w:tc>
      </w:tr>
      <w:tr>
        <w:trPr>
          <w:trHeight w:val="170" w:hRule="atLeast"/>
        </w:trPr>
        <w:tc>
          <w:tcPr>
            <w:tcW w:w="214" w:type="dxa"/>
            <w:vMerge/>
            <w:tcBorders>
              <w:top w:val="nil"/>
              <w:bottom w:val="single" w:sz="6" w:space="0" w:color="000000"/>
              <w:right w:val="nil"/>
            </w:tcBorders>
            <w:shd w:val="clear" w:color="auto" w:fill="F1F1F1"/>
          </w:tcPr>
          <w:p>
            <w:pPr>
              <w:rPr>
                <w:sz w:val="2"/>
                <w:szCs w:val="2"/>
              </w:rPr>
            </w:pPr>
          </w:p>
        </w:tc>
        <w:tc>
          <w:tcPr>
            <w:tcW w:w="3982" w:type="dxa"/>
            <w:tcBorders>
              <w:top w:val="nil"/>
              <w:left w:val="nil"/>
              <w:bottom w:val="single" w:sz="6" w:space="0" w:color="000000"/>
              <w:right w:val="nil"/>
            </w:tcBorders>
            <w:shd w:val="clear" w:color="auto" w:fill="FFFFFF"/>
          </w:tcPr>
          <w:p>
            <w:pPr>
              <w:pStyle w:val="TableParagraph"/>
              <w:spacing w:line="151" w:lineRule="exact"/>
              <w:ind w:left="13" w:right="-29"/>
              <w:rPr>
                <w:b/>
                <w:sz w:val="22"/>
              </w:rPr>
            </w:pPr>
            <w:r>
              <w:rPr>
                <w:b/>
                <w:sz w:val="22"/>
              </w:rPr>
              <w:t>Перибронховаскулярное</w:t>
            </w:r>
            <w:r>
              <w:rPr>
                <w:b/>
                <w:spacing w:val="-10"/>
                <w:sz w:val="22"/>
              </w:rPr>
              <w:t> </w:t>
            </w:r>
            <w:r>
              <w:rPr>
                <w:b/>
                <w:sz w:val="22"/>
              </w:rPr>
              <w:t>распределение</w:t>
            </w:r>
          </w:p>
        </w:tc>
        <w:tc>
          <w:tcPr>
            <w:tcW w:w="219" w:type="dxa"/>
            <w:vMerge/>
            <w:tcBorders>
              <w:top w:val="nil"/>
              <w:left w:val="nil"/>
              <w:bottom w:val="single" w:sz="6" w:space="0" w:color="000000"/>
            </w:tcBorders>
            <w:shd w:val="clear" w:color="auto" w:fill="F1F1F1"/>
          </w:tcPr>
          <w:p>
            <w:pPr>
              <w:rPr>
                <w:sz w:val="2"/>
                <w:szCs w:val="2"/>
              </w:rPr>
            </w:pPr>
          </w:p>
        </w:tc>
        <w:tc>
          <w:tcPr>
            <w:tcW w:w="915" w:type="dxa"/>
            <w:tcBorders>
              <w:top w:val="nil"/>
              <w:bottom w:val="single" w:sz="6" w:space="0" w:color="000000"/>
              <w:right w:val="nil"/>
            </w:tcBorders>
            <w:shd w:val="clear" w:color="auto" w:fill="F1F1F1"/>
          </w:tcPr>
          <w:p>
            <w:pPr>
              <w:pStyle w:val="TableParagraph"/>
              <w:rPr>
                <w:sz w:val="10"/>
              </w:rPr>
            </w:pPr>
          </w:p>
        </w:tc>
        <w:tc>
          <w:tcPr>
            <w:tcW w:w="2847" w:type="dxa"/>
            <w:vMerge/>
            <w:tcBorders>
              <w:top w:val="nil"/>
              <w:left w:val="nil"/>
              <w:bottom w:val="single" w:sz="48" w:space="0" w:color="F1F1F1"/>
              <w:right w:val="nil"/>
            </w:tcBorders>
          </w:tcPr>
          <w:p>
            <w:pPr>
              <w:rPr>
                <w:sz w:val="2"/>
                <w:szCs w:val="2"/>
              </w:rPr>
            </w:pPr>
          </w:p>
        </w:tc>
        <w:tc>
          <w:tcPr>
            <w:tcW w:w="776" w:type="dxa"/>
            <w:tcBorders>
              <w:top w:val="nil"/>
              <w:left w:val="nil"/>
              <w:bottom w:val="single" w:sz="6" w:space="0" w:color="000000"/>
            </w:tcBorders>
            <w:shd w:val="clear" w:color="auto" w:fill="F1F1F1"/>
          </w:tcPr>
          <w:p>
            <w:pPr>
              <w:pStyle w:val="TableParagraph"/>
              <w:rPr>
                <w:sz w:val="10"/>
              </w:rPr>
            </w:pPr>
          </w:p>
        </w:tc>
      </w:tr>
      <w:tr>
        <w:trPr>
          <w:trHeight w:val="1563" w:hRule="atLeast"/>
        </w:trPr>
        <w:tc>
          <w:tcPr>
            <w:tcW w:w="4415" w:type="dxa"/>
            <w:gridSpan w:val="3"/>
            <w:tcBorders>
              <w:top w:val="single" w:sz="6" w:space="0" w:color="000000"/>
              <w:bottom w:val="single" w:sz="6" w:space="0" w:color="000000"/>
            </w:tcBorders>
          </w:tcPr>
          <w:p>
            <w:pPr>
              <w:pStyle w:val="TableParagraph"/>
              <w:spacing w:before="68"/>
              <w:ind w:left="174" w:right="347"/>
              <w:rPr>
                <w:sz w:val="22"/>
              </w:rPr>
            </w:pPr>
            <w:r>
              <w:rPr>
                <w:sz w:val="22"/>
              </w:rPr>
              <w:t>Расположение измененных участков легочной ткани вдоль бронхов и сосудов легкого.</w:t>
            </w:r>
          </w:p>
          <w:p>
            <w:pPr>
              <w:pStyle w:val="TableParagraph"/>
              <w:spacing w:line="252" w:lineRule="exact"/>
              <w:ind w:left="174"/>
              <w:rPr>
                <w:sz w:val="22"/>
              </w:rPr>
            </w:pPr>
            <w:r>
              <w:rPr>
                <w:sz w:val="22"/>
              </w:rPr>
              <w:t>Одинаково выявляется при РГ и КТ.</w:t>
            </w:r>
          </w:p>
        </w:tc>
        <w:tc>
          <w:tcPr>
            <w:tcW w:w="4538" w:type="dxa"/>
            <w:gridSpan w:val="3"/>
            <w:tcBorders>
              <w:top w:val="single" w:sz="48" w:space="0" w:color="F1F1F1"/>
              <w:bottom w:val="single" w:sz="6" w:space="0" w:color="000000"/>
            </w:tcBorders>
          </w:tcPr>
          <w:p>
            <w:pPr>
              <w:pStyle w:val="TableParagraph"/>
              <w:spacing w:before="68"/>
              <w:ind w:left="108" w:right="142"/>
              <w:rPr>
                <w:sz w:val="22"/>
              </w:rPr>
            </w:pPr>
            <w:r>
              <w:rPr>
                <w:sz w:val="22"/>
              </w:rPr>
              <w:t>Уплотнение легочной ткани вдоль междольковых перегородок, один из важных признаков организующейся пневмонии.</w:t>
            </w:r>
          </w:p>
          <w:p>
            <w:pPr>
              <w:pStyle w:val="TableParagraph"/>
              <w:spacing w:line="252" w:lineRule="exact"/>
              <w:ind w:left="108"/>
              <w:rPr>
                <w:sz w:val="22"/>
              </w:rPr>
            </w:pPr>
            <w:r>
              <w:rPr>
                <w:sz w:val="22"/>
              </w:rPr>
              <w:t>КТ-симптом.</w:t>
            </w:r>
          </w:p>
        </w:tc>
      </w:tr>
      <w:tr>
        <w:trPr>
          <w:trHeight w:val="3663" w:hRule="atLeast"/>
        </w:trPr>
        <w:tc>
          <w:tcPr>
            <w:tcW w:w="4415" w:type="dxa"/>
            <w:gridSpan w:val="3"/>
            <w:tcBorders>
              <w:top w:val="single" w:sz="6" w:space="0" w:color="000000"/>
              <w:bottom w:val="single" w:sz="18" w:space="0" w:color="000000"/>
            </w:tcBorders>
          </w:tcPr>
          <w:p>
            <w:pPr>
              <w:pStyle w:val="TableParagraph"/>
              <w:rPr>
                <w:b/>
                <w:sz w:val="20"/>
              </w:rPr>
            </w:pPr>
          </w:p>
          <w:p>
            <w:pPr>
              <w:pStyle w:val="TableParagraph"/>
              <w:spacing w:before="10"/>
              <w:rPr>
                <w:b/>
                <w:sz w:val="21"/>
              </w:rPr>
            </w:pPr>
          </w:p>
          <w:p>
            <w:pPr>
              <w:pStyle w:val="TableParagraph"/>
              <w:ind w:left="1002"/>
              <w:rPr>
                <w:sz w:val="20"/>
              </w:rPr>
            </w:pPr>
            <w:r>
              <w:rPr>
                <w:sz w:val="20"/>
              </w:rPr>
              <w:drawing>
                <wp:inline distT="0" distB="0" distL="0" distR="0">
                  <wp:extent cx="1500957" cy="1746218"/>
                  <wp:effectExtent l="0" t="0" r="0" b="0"/>
                  <wp:docPr id="19" name="image21.jpeg" descr="Èçîáðàæåíèå âûãëÿäèò êàê òàðåëêà, ñòîë, ôîòîãðàôèÿ, áåëûé  Àâòîìàòè÷åñêè ñîçäàííîå îïèñàíèå "/>
                  <wp:cNvGraphicFramePr>
                    <a:graphicFrameLocks noChangeAspect="1"/>
                  </wp:cNvGraphicFramePr>
                  <a:graphic>
                    <a:graphicData uri="http://schemas.openxmlformats.org/drawingml/2006/picture">
                      <pic:pic>
                        <pic:nvPicPr>
                          <pic:cNvPr id="20" name="image21.jpeg"/>
                          <pic:cNvPicPr/>
                        </pic:nvPicPr>
                        <pic:blipFill>
                          <a:blip r:embed="rId78" cstate="print"/>
                          <a:stretch>
                            <a:fillRect/>
                          </a:stretch>
                        </pic:blipFill>
                        <pic:spPr>
                          <a:xfrm>
                            <a:off x="0" y="0"/>
                            <a:ext cx="1500957" cy="1746218"/>
                          </a:xfrm>
                          <a:prstGeom prst="rect">
                            <a:avLst/>
                          </a:prstGeom>
                        </pic:spPr>
                      </pic:pic>
                    </a:graphicData>
                  </a:graphic>
                </wp:inline>
              </w:drawing>
            </w:r>
            <w:r>
              <w:rPr>
                <w:sz w:val="20"/>
              </w:rPr>
            </w:r>
          </w:p>
        </w:tc>
        <w:tc>
          <w:tcPr>
            <w:tcW w:w="4538" w:type="dxa"/>
            <w:gridSpan w:val="3"/>
            <w:tcBorders>
              <w:top w:val="single" w:sz="6" w:space="0" w:color="000000"/>
              <w:bottom w:val="single" w:sz="18" w:space="0" w:color="F1F1F1"/>
            </w:tcBorders>
          </w:tcPr>
          <w:p>
            <w:pPr>
              <w:pStyle w:val="TableParagraph"/>
              <w:rPr>
                <w:b/>
                <w:sz w:val="20"/>
              </w:rPr>
            </w:pPr>
          </w:p>
          <w:p>
            <w:pPr>
              <w:pStyle w:val="TableParagraph"/>
              <w:spacing w:before="10"/>
              <w:rPr>
                <w:b/>
                <w:sz w:val="21"/>
              </w:rPr>
            </w:pPr>
          </w:p>
          <w:p>
            <w:pPr>
              <w:pStyle w:val="TableParagraph"/>
              <w:ind w:left="1126"/>
              <w:rPr>
                <w:sz w:val="20"/>
              </w:rPr>
            </w:pPr>
            <w:r>
              <w:rPr>
                <w:sz w:val="20"/>
              </w:rPr>
              <w:drawing>
                <wp:inline distT="0" distB="0" distL="0" distR="0">
                  <wp:extent cx="1361355" cy="1701546"/>
                  <wp:effectExtent l="0" t="0" r="0" b="0"/>
                  <wp:docPr id="21" name="image22.jpeg" descr="Èçîáðàæåíèå âûãëÿäèò êàê ôîòîãðàôèÿ, ñèäèò, ñòîë, ÷åðíûé  Àâòîìàòè÷åñêè ñîçäàííîå îïèñàíèå "/>
                  <wp:cNvGraphicFramePr>
                    <a:graphicFrameLocks noChangeAspect="1"/>
                  </wp:cNvGraphicFramePr>
                  <a:graphic>
                    <a:graphicData uri="http://schemas.openxmlformats.org/drawingml/2006/picture">
                      <pic:pic>
                        <pic:nvPicPr>
                          <pic:cNvPr id="22" name="image22.jpeg"/>
                          <pic:cNvPicPr/>
                        </pic:nvPicPr>
                        <pic:blipFill>
                          <a:blip r:embed="rId79" cstate="print"/>
                          <a:stretch>
                            <a:fillRect/>
                          </a:stretch>
                        </pic:blipFill>
                        <pic:spPr>
                          <a:xfrm>
                            <a:off x="0" y="0"/>
                            <a:ext cx="1361355" cy="1701546"/>
                          </a:xfrm>
                          <a:prstGeom prst="rect">
                            <a:avLst/>
                          </a:prstGeom>
                        </pic:spPr>
                      </pic:pic>
                    </a:graphicData>
                  </a:graphic>
                </wp:inline>
              </w:drawing>
            </w:r>
            <w:r>
              <w:rPr>
                <w:sz w:val="20"/>
              </w:rPr>
            </w:r>
          </w:p>
        </w:tc>
      </w:tr>
      <w:tr>
        <w:trPr>
          <w:trHeight w:val="559" w:hRule="atLeast"/>
        </w:trPr>
        <w:tc>
          <w:tcPr>
            <w:tcW w:w="4415" w:type="dxa"/>
            <w:gridSpan w:val="3"/>
            <w:tcBorders>
              <w:top w:val="single" w:sz="18" w:space="0" w:color="000000"/>
              <w:bottom w:val="single" w:sz="6" w:space="0" w:color="000000"/>
            </w:tcBorders>
            <w:shd w:val="clear" w:color="auto" w:fill="F1F1F1"/>
          </w:tcPr>
          <w:p>
            <w:pPr>
              <w:pStyle w:val="TableParagraph"/>
              <w:spacing w:line="252" w:lineRule="exact" w:before="77"/>
              <w:ind w:left="645" w:right="602" w:firstLine="2"/>
              <w:rPr>
                <w:b/>
                <w:sz w:val="22"/>
              </w:rPr>
            </w:pPr>
            <w:r>
              <w:rPr>
                <w:b/>
                <w:sz w:val="22"/>
                <w:shd w:fill="FFFFFF" w:color="auto" w:val="clear"/>
              </w:rPr>
              <w:t>Кортикальное </w:t>
            </w:r>
            <w:r>
              <w:rPr>
                <w:sz w:val="22"/>
                <w:shd w:fill="FFFFFF" w:color="auto" w:val="clear"/>
              </w:rPr>
              <w:t>(субплевральное,</w:t>
            </w:r>
            <w:r>
              <w:rPr>
                <w:sz w:val="22"/>
              </w:rPr>
              <w:t> </w:t>
            </w:r>
            <w:r>
              <w:rPr>
                <w:sz w:val="22"/>
                <w:shd w:fill="FFFFFF" w:color="auto" w:val="clear"/>
              </w:rPr>
              <w:t>периферическое) </w:t>
            </w:r>
            <w:r>
              <w:rPr>
                <w:b/>
                <w:sz w:val="22"/>
                <w:shd w:fill="FFFFFF" w:color="auto" w:val="clear"/>
              </w:rPr>
              <w:t>распределение</w:t>
            </w:r>
          </w:p>
        </w:tc>
        <w:tc>
          <w:tcPr>
            <w:tcW w:w="4538" w:type="dxa"/>
            <w:gridSpan w:val="3"/>
            <w:tcBorders>
              <w:top w:val="single" w:sz="18" w:space="0" w:color="F1F1F1"/>
              <w:bottom w:val="single" w:sz="48" w:space="0" w:color="F1F1F1"/>
            </w:tcBorders>
          </w:tcPr>
          <w:p>
            <w:pPr>
              <w:pStyle w:val="TableParagraph"/>
              <w:spacing w:line="252" w:lineRule="exact" w:before="73"/>
              <w:ind w:left="893" w:right="870"/>
              <w:jc w:val="center"/>
              <w:rPr>
                <w:sz w:val="22"/>
              </w:rPr>
            </w:pPr>
            <w:r>
              <w:rPr>
                <w:b/>
                <w:sz w:val="22"/>
              </w:rPr>
              <w:t>Прикорневое </w:t>
            </w:r>
            <w:r>
              <w:rPr>
                <w:sz w:val="22"/>
              </w:rPr>
              <w:t>(центральное)</w:t>
            </w:r>
          </w:p>
          <w:p>
            <w:pPr>
              <w:pStyle w:val="TableParagraph"/>
              <w:spacing w:line="214" w:lineRule="exact"/>
              <w:ind w:left="893" w:right="868"/>
              <w:jc w:val="center"/>
              <w:rPr>
                <w:b/>
                <w:sz w:val="22"/>
              </w:rPr>
            </w:pPr>
            <w:r>
              <w:rPr>
                <w:b/>
                <w:sz w:val="22"/>
              </w:rPr>
              <w:t>распределение</w:t>
            </w:r>
          </w:p>
        </w:tc>
      </w:tr>
      <w:tr>
        <w:trPr>
          <w:trHeight w:val="1390" w:hRule="atLeast"/>
        </w:trPr>
        <w:tc>
          <w:tcPr>
            <w:tcW w:w="4415" w:type="dxa"/>
            <w:gridSpan w:val="3"/>
            <w:tcBorders>
              <w:top w:val="single" w:sz="6" w:space="0" w:color="000000"/>
              <w:bottom w:val="single" w:sz="6" w:space="0" w:color="000000"/>
            </w:tcBorders>
          </w:tcPr>
          <w:p>
            <w:pPr>
              <w:pStyle w:val="TableParagraph"/>
              <w:spacing w:before="49"/>
              <w:ind w:left="174" w:right="50"/>
              <w:rPr>
                <w:sz w:val="22"/>
              </w:rPr>
            </w:pPr>
            <w:r>
              <w:rPr>
                <w:sz w:val="22"/>
              </w:rPr>
              <w:t>Расположение измененных участков легочной ткани вдоль висцеральной плевры (реберной, диафрагмальной, медиастинальной, междолевой).</w:t>
            </w:r>
          </w:p>
          <w:p>
            <w:pPr>
              <w:pStyle w:val="TableParagraph"/>
              <w:spacing w:line="251" w:lineRule="exact"/>
              <w:ind w:left="174"/>
              <w:rPr>
                <w:sz w:val="22"/>
              </w:rPr>
            </w:pPr>
            <w:r>
              <w:rPr>
                <w:sz w:val="22"/>
              </w:rPr>
              <w:t>Одинаково выявляется при РГ и КТ.</w:t>
            </w:r>
          </w:p>
        </w:tc>
        <w:tc>
          <w:tcPr>
            <w:tcW w:w="4538" w:type="dxa"/>
            <w:gridSpan w:val="3"/>
            <w:tcBorders>
              <w:top w:val="single" w:sz="48" w:space="0" w:color="F1F1F1"/>
              <w:bottom w:val="single" w:sz="6" w:space="0" w:color="000000"/>
            </w:tcBorders>
          </w:tcPr>
          <w:p>
            <w:pPr>
              <w:pStyle w:val="TableParagraph"/>
              <w:spacing w:before="49"/>
              <w:ind w:left="108" w:right="20"/>
              <w:rPr>
                <w:sz w:val="22"/>
              </w:rPr>
            </w:pPr>
            <w:r>
              <w:rPr>
                <w:sz w:val="22"/>
              </w:rPr>
              <w:t>Расположение измененных участков легочной ткани в области корня легкого.</w:t>
            </w:r>
          </w:p>
          <w:p>
            <w:pPr>
              <w:pStyle w:val="TableParagraph"/>
              <w:ind w:left="108"/>
              <w:rPr>
                <w:sz w:val="22"/>
              </w:rPr>
            </w:pPr>
            <w:r>
              <w:rPr>
                <w:sz w:val="22"/>
              </w:rPr>
              <w:t>Одинаково выявляется при РГ и КТ.</w:t>
            </w:r>
          </w:p>
        </w:tc>
      </w:tr>
      <w:tr>
        <w:trPr>
          <w:trHeight w:val="6118" w:hRule="atLeast"/>
        </w:trPr>
        <w:tc>
          <w:tcPr>
            <w:tcW w:w="4415" w:type="dxa"/>
            <w:gridSpan w:val="3"/>
            <w:tcBorders>
              <w:top w:val="single" w:sz="6" w:space="0" w:color="000000"/>
              <w:bottom w:val="single" w:sz="18" w:space="0" w:color="000000"/>
            </w:tcBorders>
          </w:tcPr>
          <w:p>
            <w:pPr>
              <w:pStyle w:val="TableParagraph"/>
              <w:rPr>
                <w:b/>
                <w:sz w:val="20"/>
              </w:rPr>
            </w:pPr>
          </w:p>
          <w:p>
            <w:pPr>
              <w:pStyle w:val="TableParagraph"/>
              <w:spacing w:before="5"/>
              <w:rPr>
                <w:b/>
                <w:sz w:val="19"/>
              </w:rPr>
            </w:pPr>
          </w:p>
          <w:p>
            <w:pPr>
              <w:pStyle w:val="TableParagraph"/>
              <w:ind w:left="328"/>
              <w:rPr>
                <w:sz w:val="20"/>
              </w:rPr>
            </w:pPr>
            <w:r>
              <w:rPr>
                <w:sz w:val="20"/>
              </w:rPr>
              <w:drawing>
                <wp:inline distT="0" distB="0" distL="0" distR="0">
                  <wp:extent cx="2327960" cy="1353692"/>
                  <wp:effectExtent l="0" t="0" r="0" b="0"/>
                  <wp:docPr id="23" name="image23.jpeg" descr="Èçîáðàæåíèå âûãëÿäèò êàê ôîòîãðàôèÿ, ñèäèò, áåëûé, ñòîë  Àâòîìàòè÷åñêè ñîçäàííîå îïèñàíèå "/>
                  <wp:cNvGraphicFramePr>
                    <a:graphicFrameLocks noChangeAspect="1"/>
                  </wp:cNvGraphicFramePr>
                  <a:graphic>
                    <a:graphicData uri="http://schemas.openxmlformats.org/drawingml/2006/picture">
                      <pic:pic>
                        <pic:nvPicPr>
                          <pic:cNvPr id="24" name="image23.jpeg"/>
                          <pic:cNvPicPr/>
                        </pic:nvPicPr>
                        <pic:blipFill>
                          <a:blip r:embed="rId80" cstate="print"/>
                          <a:stretch>
                            <a:fillRect/>
                          </a:stretch>
                        </pic:blipFill>
                        <pic:spPr>
                          <a:xfrm>
                            <a:off x="0" y="0"/>
                            <a:ext cx="2327960" cy="1353692"/>
                          </a:xfrm>
                          <a:prstGeom prst="rect">
                            <a:avLst/>
                          </a:prstGeom>
                        </pic:spPr>
                      </pic:pic>
                    </a:graphicData>
                  </a:graphic>
                </wp:inline>
              </w:drawing>
            </w:r>
            <w:r>
              <w:rPr>
                <w:sz w:val="20"/>
              </w:rPr>
            </w:r>
          </w:p>
        </w:tc>
        <w:tc>
          <w:tcPr>
            <w:tcW w:w="4538" w:type="dxa"/>
            <w:gridSpan w:val="3"/>
            <w:tcBorders>
              <w:top w:val="single" w:sz="6" w:space="0" w:color="000000"/>
              <w:bottom w:val="single" w:sz="18" w:space="0" w:color="000000"/>
            </w:tcBorders>
          </w:tcPr>
          <w:p>
            <w:pPr>
              <w:pStyle w:val="TableParagraph"/>
              <w:spacing w:before="5"/>
              <w:rPr>
                <w:b/>
                <w:sz w:val="27"/>
              </w:rPr>
            </w:pPr>
          </w:p>
          <w:p>
            <w:pPr>
              <w:pStyle w:val="TableParagraph"/>
              <w:ind w:left="352"/>
              <w:rPr>
                <w:sz w:val="20"/>
              </w:rPr>
            </w:pPr>
            <w:r>
              <w:rPr>
                <w:sz w:val="20"/>
              </w:rPr>
              <w:drawing>
                <wp:inline distT="0" distB="0" distL="0" distR="0">
                  <wp:extent cx="2341741" cy="1651254"/>
                  <wp:effectExtent l="0" t="0" r="0" b="0"/>
                  <wp:docPr id="25" name="image24.jpeg" descr="Èçîáðàæåíèå âûãëÿäèò êàê ñòîë, ñèäèò, áåëûé, ÷åðíûé  Àâòîìàòè÷åñêè ñîçäàííîå îïèñàíèå "/>
                  <wp:cNvGraphicFramePr>
                    <a:graphicFrameLocks noChangeAspect="1"/>
                  </wp:cNvGraphicFramePr>
                  <a:graphic>
                    <a:graphicData uri="http://schemas.openxmlformats.org/drawingml/2006/picture">
                      <pic:pic>
                        <pic:nvPicPr>
                          <pic:cNvPr id="26" name="image24.jpeg"/>
                          <pic:cNvPicPr/>
                        </pic:nvPicPr>
                        <pic:blipFill>
                          <a:blip r:embed="rId81" cstate="print"/>
                          <a:stretch>
                            <a:fillRect/>
                          </a:stretch>
                        </pic:blipFill>
                        <pic:spPr>
                          <a:xfrm>
                            <a:off x="0" y="0"/>
                            <a:ext cx="2341741" cy="1651254"/>
                          </a:xfrm>
                          <a:prstGeom prst="rect">
                            <a:avLst/>
                          </a:prstGeom>
                        </pic:spPr>
                      </pic:pic>
                    </a:graphicData>
                  </a:graphic>
                </wp:inline>
              </w:drawing>
            </w:r>
            <w:r>
              <w:rPr>
                <w:sz w:val="20"/>
              </w:rPr>
            </w:r>
          </w:p>
        </w:tc>
      </w:tr>
    </w:tbl>
    <w:p>
      <w:pPr>
        <w:spacing w:after="0"/>
        <w:rPr>
          <w:sz w:val="20"/>
        </w:rPr>
        <w:sectPr>
          <w:pgSz w:w="11920" w:h="16850"/>
          <w:pgMar w:header="0" w:footer="620" w:top="1140" w:bottom="800" w:left="1380" w:right="600"/>
        </w:sectPr>
      </w:pPr>
    </w:p>
    <w:tbl>
      <w:tblPr>
        <w:tblW w:w="0" w:type="auto"/>
        <w:jc w:val="left"/>
        <w:tblInd w:w="45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4414"/>
        <w:gridCol w:w="4536"/>
      </w:tblGrid>
      <w:tr>
        <w:trPr>
          <w:trHeight w:val="405" w:hRule="atLeast"/>
        </w:trPr>
        <w:tc>
          <w:tcPr>
            <w:tcW w:w="4414" w:type="dxa"/>
            <w:tcBorders>
              <w:bottom w:val="single" w:sz="6" w:space="0" w:color="000000"/>
            </w:tcBorders>
            <w:shd w:val="clear" w:color="auto" w:fill="F1F1F1"/>
          </w:tcPr>
          <w:p>
            <w:pPr>
              <w:pStyle w:val="TableParagraph"/>
              <w:spacing w:before="79"/>
              <w:ind w:left="406" w:right="383"/>
              <w:jc w:val="center"/>
              <w:rPr>
                <w:b/>
                <w:sz w:val="22"/>
              </w:rPr>
            </w:pPr>
            <w:r>
              <w:rPr>
                <w:b/>
                <w:sz w:val="22"/>
                <w:shd w:fill="FFFFFF" w:color="auto" w:val="clear"/>
              </w:rPr>
              <w:t>Симптом воздушной бронхографии</w:t>
            </w:r>
          </w:p>
        </w:tc>
        <w:tc>
          <w:tcPr>
            <w:tcW w:w="4536" w:type="dxa"/>
            <w:tcBorders>
              <w:bottom w:val="single" w:sz="6" w:space="0" w:color="000000"/>
            </w:tcBorders>
          </w:tcPr>
          <w:p>
            <w:pPr>
              <w:pStyle w:val="TableParagraph"/>
              <w:spacing w:before="79"/>
              <w:ind w:left="1436"/>
              <w:rPr>
                <w:b/>
                <w:sz w:val="22"/>
              </w:rPr>
            </w:pPr>
            <w:r>
              <w:rPr>
                <w:b/>
                <w:sz w:val="22"/>
              </w:rPr>
              <w:t>Симптом ореола</w:t>
            </w:r>
          </w:p>
        </w:tc>
      </w:tr>
      <w:tr>
        <w:trPr>
          <w:trHeight w:val="1677" w:hRule="atLeast"/>
        </w:trPr>
        <w:tc>
          <w:tcPr>
            <w:tcW w:w="4414" w:type="dxa"/>
            <w:tcBorders>
              <w:top w:val="single" w:sz="6" w:space="0" w:color="000000"/>
              <w:bottom w:val="single" w:sz="6" w:space="0" w:color="000000"/>
            </w:tcBorders>
          </w:tcPr>
          <w:p>
            <w:pPr>
              <w:pStyle w:val="TableParagraph"/>
              <w:spacing w:before="81"/>
              <w:ind w:left="174" w:right="101"/>
              <w:rPr>
                <w:sz w:val="22"/>
              </w:rPr>
            </w:pPr>
            <w:r>
              <w:rPr>
                <w:sz w:val="22"/>
              </w:rPr>
              <w:t>Видимость заполненных воздухом бронхов в уплотненной легочной ткани.</w:t>
            </w:r>
          </w:p>
          <w:p>
            <w:pPr>
              <w:pStyle w:val="TableParagraph"/>
              <w:ind w:left="174" w:right="1309"/>
              <w:rPr>
                <w:sz w:val="22"/>
              </w:rPr>
            </w:pPr>
            <w:r>
              <w:rPr>
                <w:sz w:val="22"/>
              </w:rPr>
              <w:t>Свидетельствует о сохранении бронхиальной проходимости. КТ-симптом.</w:t>
            </w:r>
          </w:p>
        </w:tc>
        <w:tc>
          <w:tcPr>
            <w:tcW w:w="4536" w:type="dxa"/>
            <w:tcBorders>
              <w:top w:val="single" w:sz="6" w:space="0" w:color="000000"/>
              <w:bottom w:val="single" w:sz="6" w:space="0" w:color="000000"/>
            </w:tcBorders>
          </w:tcPr>
          <w:p>
            <w:pPr>
              <w:pStyle w:val="TableParagraph"/>
              <w:spacing w:line="252" w:lineRule="exact" w:before="81"/>
              <w:ind w:left="109"/>
              <w:rPr>
                <w:sz w:val="22"/>
              </w:rPr>
            </w:pPr>
            <w:r>
              <w:rPr>
                <w:sz w:val="22"/>
              </w:rPr>
              <w:t>Синоним: симптом ободка.</w:t>
            </w:r>
          </w:p>
          <w:p>
            <w:pPr>
              <w:pStyle w:val="TableParagraph"/>
              <w:ind w:left="109" w:right="610"/>
              <w:rPr>
                <w:sz w:val="22"/>
              </w:rPr>
            </w:pPr>
            <w:r>
              <w:rPr>
                <w:sz w:val="22"/>
              </w:rPr>
              <w:t>Зона «матового стекла» вокруг зоны консолидации или участка деструкции (некроза). Обычно имеет кольцевидную форму.</w:t>
            </w:r>
          </w:p>
          <w:p>
            <w:pPr>
              <w:pStyle w:val="TableParagraph"/>
              <w:ind w:left="109"/>
              <w:rPr>
                <w:sz w:val="22"/>
              </w:rPr>
            </w:pPr>
            <w:r>
              <w:rPr>
                <w:sz w:val="22"/>
              </w:rPr>
              <w:t>КТ-симптом.</w:t>
            </w:r>
          </w:p>
        </w:tc>
      </w:tr>
      <w:tr>
        <w:trPr>
          <w:trHeight w:val="3608" w:hRule="atLeast"/>
        </w:trPr>
        <w:tc>
          <w:tcPr>
            <w:tcW w:w="4414" w:type="dxa"/>
            <w:tcBorders>
              <w:top w:val="single" w:sz="6" w:space="0" w:color="000000"/>
              <w:bottom w:val="single" w:sz="18" w:space="0" w:color="000000"/>
            </w:tcBorders>
          </w:tcPr>
          <w:p>
            <w:pPr>
              <w:pStyle w:val="TableParagraph"/>
              <w:spacing w:before="6"/>
              <w:rPr>
                <w:b/>
                <w:sz w:val="25"/>
              </w:rPr>
            </w:pPr>
          </w:p>
          <w:p>
            <w:pPr>
              <w:pStyle w:val="TableParagraph"/>
              <w:ind w:left="679"/>
              <w:rPr>
                <w:sz w:val="20"/>
              </w:rPr>
            </w:pPr>
            <w:r>
              <w:rPr>
                <w:sz w:val="20"/>
              </w:rPr>
              <w:drawing>
                <wp:inline distT="0" distB="0" distL="0" distR="0">
                  <wp:extent cx="1981863" cy="1923669"/>
                  <wp:effectExtent l="0" t="0" r="0" b="0"/>
                  <wp:docPr id="27" name="image25.jpeg" descr="Èçîáðàæåíèå âûãëÿäèò êàê îáúåêò, âíóòðåííèé, ñòîë, ñèäèò  Àâòîìàòè÷åñêè ñîçäàííîå îïèñàíèå "/>
                  <wp:cNvGraphicFramePr>
                    <a:graphicFrameLocks noChangeAspect="1"/>
                  </wp:cNvGraphicFramePr>
                  <a:graphic>
                    <a:graphicData uri="http://schemas.openxmlformats.org/drawingml/2006/picture">
                      <pic:pic>
                        <pic:nvPicPr>
                          <pic:cNvPr id="28" name="image25.jpeg"/>
                          <pic:cNvPicPr/>
                        </pic:nvPicPr>
                        <pic:blipFill>
                          <a:blip r:embed="rId82" cstate="print"/>
                          <a:stretch>
                            <a:fillRect/>
                          </a:stretch>
                        </pic:blipFill>
                        <pic:spPr>
                          <a:xfrm>
                            <a:off x="0" y="0"/>
                            <a:ext cx="1981863" cy="1923669"/>
                          </a:xfrm>
                          <a:prstGeom prst="rect">
                            <a:avLst/>
                          </a:prstGeom>
                        </pic:spPr>
                      </pic:pic>
                    </a:graphicData>
                  </a:graphic>
                </wp:inline>
              </w:drawing>
            </w:r>
            <w:r>
              <w:rPr>
                <w:sz w:val="20"/>
              </w:rPr>
            </w:r>
          </w:p>
        </w:tc>
        <w:tc>
          <w:tcPr>
            <w:tcW w:w="4536" w:type="dxa"/>
            <w:tcBorders>
              <w:top w:val="single" w:sz="6" w:space="0" w:color="000000"/>
              <w:bottom w:val="single" w:sz="18" w:space="0" w:color="000000"/>
            </w:tcBorders>
          </w:tcPr>
          <w:p>
            <w:pPr>
              <w:pStyle w:val="TableParagraph"/>
              <w:rPr>
                <w:b/>
                <w:sz w:val="20"/>
              </w:rPr>
            </w:pPr>
          </w:p>
          <w:p>
            <w:pPr>
              <w:pStyle w:val="TableParagraph"/>
              <w:spacing w:before="3"/>
              <w:rPr>
                <w:b/>
                <w:sz w:val="15"/>
              </w:rPr>
            </w:pPr>
          </w:p>
          <w:p>
            <w:pPr>
              <w:pStyle w:val="TableParagraph"/>
              <w:ind w:left="428"/>
              <w:rPr>
                <w:sz w:val="20"/>
              </w:rPr>
            </w:pPr>
            <w:r>
              <w:rPr>
                <w:sz w:val="20"/>
              </w:rPr>
              <w:drawing>
                <wp:inline distT="0" distB="0" distL="0" distR="0">
                  <wp:extent cx="2216401" cy="1743075"/>
                  <wp:effectExtent l="0" t="0" r="0" b="0"/>
                  <wp:docPr id="29" name="image26.jpeg" descr="Èçîáðàæåíèå âûãëÿäèò êàê òàðåëêà, ñòîë, ÷åðíûé, ôîòîãðàôèÿ  Àâòîìàòè÷åñêè ñîçäàííîå îïèñàíèå "/>
                  <wp:cNvGraphicFramePr>
                    <a:graphicFrameLocks noChangeAspect="1"/>
                  </wp:cNvGraphicFramePr>
                  <a:graphic>
                    <a:graphicData uri="http://schemas.openxmlformats.org/drawingml/2006/picture">
                      <pic:pic>
                        <pic:nvPicPr>
                          <pic:cNvPr id="30" name="image26.jpeg"/>
                          <pic:cNvPicPr/>
                        </pic:nvPicPr>
                        <pic:blipFill>
                          <a:blip r:embed="rId83" cstate="print"/>
                          <a:stretch>
                            <a:fillRect/>
                          </a:stretch>
                        </pic:blipFill>
                        <pic:spPr>
                          <a:xfrm>
                            <a:off x="0" y="0"/>
                            <a:ext cx="2216401" cy="1743075"/>
                          </a:xfrm>
                          <a:prstGeom prst="rect">
                            <a:avLst/>
                          </a:prstGeom>
                        </pic:spPr>
                      </pic:pic>
                    </a:graphicData>
                  </a:graphic>
                </wp:inline>
              </w:drawing>
            </w:r>
            <w:r>
              <w:rPr>
                <w:sz w:val="20"/>
              </w:rPr>
            </w:r>
          </w:p>
        </w:tc>
      </w:tr>
      <w:tr>
        <w:trPr>
          <w:trHeight w:val="651" w:hRule="atLeast"/>
        </w:trPr>
        <w:tc>
          <w:tcPr>
            <w:tcW w:w="4414" w:type="dxa"/>
            <w:tcBorders>
              <w:top w:val="single" w:sz="18" w:space="0" w:color="000000"/>
              <w:bottom w:val="single" w:sz="6" w:space="0" w:color="000000"/>
            </w:tcBorders>
            <w:shd w:val="clear" w:color="auto" w:fill="F1F1F1"/>
          </w:tcPr>
          <w:p>
            <w:pPr>
              <w:pStyle w:val="TableParagraph"/>
              <w:spacing w:before="198"/>
              <w:ind w:left="406" w:right="378"/>
              <w:jc w:val="center"/>
              <w:rPr>
                <w:b/>
                <w:sz w:val="22"/>
              </w:rPr>
            </w:pPr>
            <w:r>
              <w:rPr>
                <w:b/>
                <w:sz w:val="22"/>
                <w:shd w:fill="FFFFFF" w:color="auto" w:val="clear"/>
              </w:rPr>
              <w:t>Симптом обратного ореола</w:t>
            </w:r>
          </w:p>
        </w:tc>
        <w:tc>
          <w:tcPr>
            <w:tcW w:w="4536" w:type="dxa"/>
            <w:tcBorders>
              <w:top w:val="single" w:sz="18" w:space="0" w:color="000000"/>
              <w:bottom w:val="single" w:sz="6" w:space="0" w:color="000000"/>
            </w:tcBorders>
          </w:tcPr>
          <w:p>
            <w:pPr>
              <w:pStyle w:val="TableParagraph"/>
              <w:spacing w:before="71"/>
              <w:ind w:left="1554" w:right="704" w:hanging="807"/>
              <w:rPr>
                <w:b/>
                <w:sz w:val="22"/>
              </w:rPr>
            </w:pPr>
            <w:r>
              <w:rPr>
                <w:b/>
                <w:sz w:val="22"/>
              </w:rPr>
              <w:t>Полость в легком или участке </w:t>
            </w:r>
            <w:r>
              <w:rPr>
                <w:b/>
                <w:sz w:val="22"/>
                <w:shd w:fill="FFFFFF" w:color="auto" w:val="clear"/>
              </w:rPr>
              <w:t>консолидации</w:t>
            </w:r>
          </w:p>
        </w:tc>
      </w:tr>
      <w:tr>
        <w:trPr>
          <w:trHeight w:val="2435" w:hRule="atLeast"/>
        </w:trPr>
        <w:tc>
          <w:tcPr>
            <w:tcW w:w="4414" w:type="dxa"/>
            <w:tcBorders>
              <w:top w:val="single" w:sz="6" w:space="0" w:color="000000"/>
              <w:bottom w:val="single" w:sz="6" w:space="0" w:color="000000"/>
            </w:tcBorders>
          </w:tcPr>
          <w:p>
            <w:pPr>
              <w:pStyle w:val="TableParagraph"/>
              <w:spacing w:before="81"/>
              <w:ind w:left="174" w:right="637"/>
              <w:jc w:val="both"/>
              <w:rPr>
                <w:sz w:val="22"/>
              </w:rPr>
            </w:pPr>
            <w:r>
              <w:rPr>
                <w:sz w:val="22"/>
              </w:rPr>
              <w:t>Синоним: симптом обратного ободка, симптом «атолла».</w:t>
            </w:r>
          </w:p>
          <w:p>
            <w:pPr>
              <w:pStyle w:val="TableParagraph"/>
              <w:spacing w:line="252" w:lineRule="exact"/>
              <w:ind w:left="174"/>
              <w:jc w:val="both"/>
              <w:rPr>
                <w:sz w:val="22"/>
              </w:rPr>
            </w:pPr>
            <w:r>
              <w:rPr>
                <w:sz w:val="22"/>
              </w:rPr>
              <w:t>Зона консолидации вокруг участка</w:t>
            </w:r>
          </w:p>
          <w:p>
            <w:pPr>
              <w:pStyle w:val="TableParagraph"/>
              <w:ind w:left="174" w:right="389"/>
              <w:jc w:val="both"/>
              <w:rPr>
                <w:sz w:val="22"/>
              </w:rPr>
            </w:pPr>
            <w:r>
              <w:rPr>
                <w:sz w:val="22"/>
              </w:rPr>
              <w:t>«матового стекла». Может иметь любую форму и размеры. Характерный признак организующейся пневмонии.</w:t>
            </w:r>
          </w:p>
          <w:p>
            <w:pPr>
              <w:pStyle w:val="TableParagraph"/>
              <w:spacing w:line="252" w:lineRule="exact"/>
              <w:ind w:left="174"/>
              <w:rPr>
                <w:sz w:val="22"/>
              </w:rPr>
            </w:pPr>
            <w:r>
              <w:rPr>
                <w:sz w:val="22"/>
              </w:rPr>
              <w:t>КТ-симптом.</w:t>
            </w:r>
          </w:p>
        </w:tc>
        <w:tc>
          <w:tcPr>
            <w:tcW w:w="4536" w:type="dxa"/>
            <w:tcBorders>
              <w:top w:val="single" w:sz="6" w:space="0" w:color="000000"/>
              <w:bottom w:val="single" w:sz="6" w:space="0" w:color="000000"/>
            </w:tcBorders>
          </w:tcPr>
          <w:p>
            <w:pPr>
              <w:pStyle w:val="TableParagraph"/>
              <w:spacing w:before="81"/>
              <w:ind w:left="109" w:right="158"/>
              <w:rPr>
                <w:sz w:val="22"/>
              </w:rPr>
            </w:pPr>
            <w:r>
              <w:rPr>
                <w:sz w:val="22"/>
              </w:rPr>
              <w:t>Замкнутое патологическое пространство в легком с толстыми (&gt;2-3 мм) стенками, окруженное воздушной легочной тканью. Полость содержит газ, жидкость, некротические массы). Обычно наблюдается при бактериальных инфекциях и новообразованиях.</w:t>
            </w:r>
          </w:p>
          <w:p>
            <w:pPr>
              <w:pStyle w:val="TableParagraph"/>
              <w:ind w:left="109" w:right="473"/>
              <w:rPr>
                <w:sz w:val="22"/>
              </w:rPr>
            </w:pPr>
            <w:r>
              <w:rPr>
                <w:sz w:val="22"/>
              </w:rPr>
              <w:t>Точнее выявляется при КТ, особенно при небольших размерах.</w:t>
            </w:r>
          </w:p>
        </w:tc>
      </w:tr>
      <w:tr>
        <w:trPr>
          <w:trHeight w:val="5041" w:hRule="atLeast"/>
        </w:trPr>
        <w:tc>
          <w:tcPr>
            <w:tcW w:w="4414" w:type="dxa"/>
            <w:tcBorders>
              <w:top w:val="single" w:sz="6" w:space="0" w:color="000000"/>
              <w:bottom w:val="single" w:sz="18" w:space="0" w:color="000000"/>
            </w:tcBorders>
          </w:tcPr>
          <w:p>
            <w:pPr>
              <w:pStyle w:val="TableParagraph"/>
              <w:rPr>
                <w:b/>
                <w:sz w:val="20"/>
              </w:rPr>
            </w:pPr>
          </w:p>
          <w:p>
            <w:pPr>
              <w:pStyle w:val="TableParagraph"/>
              <w:spacing w:before="5"/>
              <w:rPr>
                <w:b/>
                <w:sz w:val="13"/>
              </w:rPr>
            </w:pPr>
          </w:p>
          <w:p>
            <w:pPr>
              <w:pStyle w:val="TableParagraph"/>
              <w:ind w:left="629"/>
              <w:rPr>
                <w:sz w:val="20"/>
              </w:rPr>
            </w:pPr>
            <w:r>
              <w:rPr>
                <w:sz w:val="20"/>
              </w:rPr>
              <w:drawing>
                <wp:inline distT="0" distB="0" distL="0" distR="0">
                  <wp:extent cx="2013105" cy="2078736"/>
                  <wp:effectExtent l="0" t="0" r="0" b="0"/>
                  <wp:docPr id="31" name="image27.jpeg" descr="Èçîáðàæåíèå âûãëÿäèò êàê ñèäèò, ÷åðíûé, ñòîë, åäà  Àâòîìàòè÷åñêè ñîçäàííîå îïèñàíèå "/>
                  <wp:cNvGraphicFramePr>
                    <a:graphicFrameLocks noChangeAspect="1"/>
                  </wp:cNvGraphicFramePr>
                  <a:graphic>
                    <a:graphicData uri="http://schemas.openxmlformats.org/drawingml/2006/picture">
                      <pic:pic>
                        <pic:nvPicPr>
                          <pic:cNvPr id="32" name="image27.jpeg"/>
                          <pic:cNvPicPr/>
                        </pic:nvPicPr>
                        <pic:blipFill>
                          <a:blip r:embed="rId84" cstate="print"/>
                          <a:stretch>
                            <a:fillRect/>
                          </a:stretch>
                        </pic:blipFill>
                        <pic:spPr>
                          <a:xfrm>
                            <a:off x="0" y="0"/>
                            <a:ext cx="2013105" cy="2078736"/>
                          </a:xfrm>
                          <a:prstGeom prst="rect">
                            <a:avLst/>
                          </a:prstGeom>
                        </pic:spPr>
                      </pic:pic>
                    </a:graphicData>
                  </a:graphic>
                </wp:inline>
              </w:drawing>
            </w:r>
            <w:r>
              <w:rPr>
                <w:sz w:val="20"/>
              </w:rPr>
            </w:r>
          </w:p>
        </w:tc>
        <w:tc>
          <w:tcPr>
            <w:tcW w:w="4536" w:type="dxa"/>
            <w:tcBorders>
              <w:top w:val="single" w:sz="6" w:space="0" w:color="000000"/>
              <w:bottom w:val="single" w:sz="18" w:space="0" w:color="000000"/>
            </w:tcBorders>
          </w:tcPr>
          <w:p>
            <w:pPr>
              <w:pStyle w:val="TableParagraph"/>
              <w:rPr>
                <w:b/>
                <w:sz w:val="20"/>
              </w:rPr>
            </w:pPr>
          </w:p>
          <w:p>
            <w:pPr>
              <w:pStyle w:val="TableParagraph"/>
              <w:spacing w:before="10"/>
              <w:rPr>
                <w:b/>
                <w:sz w:val="11"/>
              </w:rPr>
            </w:pPr>
          </w:p>
          <w:p>
            <w:pPr>
              <w:pStyle w:val="TableParagraph"/>
              <w:ind w:left="941"/>
              <w:rPr>
                <w:sz w:val="20"/>
              </w:rPr>
            </w:pPr>
            <w:r>
              <w:rPr>
                <w:sz w:val="20"/>
              </w:rPr>
              <w:drawing>
                <wp:inline distT="0" distB="0" distL="0" distR="0">
                  <wp:extent cx="1506534" cy="2087118"/>
                  <wp:effectExtent l="0" t="0" r="0" b="0"/>
                  <wp:docPr id="33" name="image28.jpeg" descr="Èçîáðàæåíèå âûãëÿäèò êàê âíóòðåííèé, ñèäèò, ôîòîãðàôèÿ, ñòîë  Àâòîìàòè÷åñêè ñîçäàííîå îïèñàíèå "/>
                  <wp:cNvGraphicFramePr>
                    <a:graphicFrameLocks noChangeAspect="1"/>
                  </wp:cNvGraphicFramePr>
                  <a:graphic>
                    <a:graphicData uri="http://schemas.openxmlformats.org/drawingml/2006/picture">
                      <pic:pic>
                        <pic:nvPicPr>
                          <pic:cNvPr id="34" name="image28.jpeg"/>
                          <pic:cNvPicPr/>
                        </pic:nvPicPr>
                        <pic:blipFill>
                          <a:blip r:embed="rId85" cstate="print"/>
                          <a:stretch>
                            <a:fillRect/>
                          </a:stretch>
                        </pic:blipFill>
                        <pic:spPr>
                          <a:xfrm>
                            <a:off x="0" y="0"/>
                            <a:ext cx="1506534" cy="2087118"/>
                          </a:xfrm>
                          <a:prstGeom prst="rect">
                            <a:avLst/>
                          </a:prstGeom>
                        </pic:spPr>
                      </pic:pic>
                    </a:graphicData>
                  </a:graphic>
                </wp:inline>
              </w:drawing>
            </w:r>
            <w:r>
              <w:rPr>
                <w:sz w:val="20"/>
              </w:rPr>
            </w:r>
          </w:p>
        </w:tc>
      </w:tr>
    </w:tbl>
    <w:p>
      <w:pPr>
        <w:rPr>
          <w:sz w:val="2"/>
          <w:szCs w:val="2"/>
        </w:rPr>
      </w:pPr>
      <w:r>
        <w:rPr/>
        <w:pict>
          <v:group style="position:absolute;margin-left:312.600006pt;margin-top:350.398987pt;width:225.4pt;height:25.35pt;mso-position-horizontal-relative:page;mso-position-vertical-relative:page;z-index:-22269440" coordorigin="6252,7008" coordsize="4508,507">
            <v:rect style="position:absolute;left:6252;top:7008;width:4508;height:507" filled="true" fillcolor="#f1f1f1" stroked="false">
              <v:fill type="solid"/>
            </v:rect>
            <v:rect style="position:absolute;left:6986;top:7007;width:3039;height:255" filled="true" fillcolor="#ffffff" stroked="false">
              <v:fill type="solid"/>
            </v:rect>
            <w10:wrap type="none"/>
          </v:group>
        </w:pict>
      </w:r>
    </w:p>
    <w:p>
      <w:pPr>
        <w:spacing w:after="0"/>
        <w:rPr>
          <w:sz w:val="2"/>
          <w:szCs w:val="2"/>
        </w:rPr>
        <w:sectPr>
          <w:pgSz w:w="11920" w:h="16850"/>
          <w:pgMar w:header="0" w:footer="620" w:top="1140" w:bottom="800" w:left="1380" w:right="600"/>
        </w:sectPr>
      </w:pPr>
    </w:p>
    <w:tbl>
      <w:tblPr>
        <w:tblW w:w="0" w:type="auto"/>
        <w:jc w:val="left"/>
        <w:tblInd w:w="45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4414"/>
        <w:gridCol w:w="382"/>
        <w:gridCol w:w="3773"/>
        <w:gridCol w:w="382"/>
      </w:tblGrid>
      <w:tr>
        <w:trPr>
          <w:trHeight w:val="405" w:hRule="atLeast"/>
        </w:trPr>
        <w:tc>
          <w:tcPr>
            <w:tcW w:w="4414" w:type="dxa"/>
            <w:tcBorders>
              <w:bottom w:val="single" w:sz="6" w:space="0" w:color="000000"/>
            </w:tcBorders>
            <w:shd w:val="clear" w:color="auto" w:fill="F1F1F1"/>
          </w:tcPr>
          <w:p>
            <w:pPr>
              <w:pStyle w:val="TableParagraph"/>
              <w:spacing w:before="79"/>
              <w:ind w:left="1434"/>
              <w:rPr>
                <w:b/>
                <w:sz w:val="22"/>
              </w:rPr>
            </w:pPr>
            <w:r>
              <w:rPr>
                <w:b/>
                <w:sz w:val="22"/>
                <w:shd w:fill="FFFFFF" w:color="auto" w:val="clear"/>
              </w:rPr>
              <w:t>Киста в легком</w:t>
            </w:r>
          </w:p>
        </w:tc>
        <w:tc>
          <w:tcPr>
            <w:tcW w:w="4537" w:type="dxa"/>
            <w:gridSpan w:val="3"/>
            <w:tcBorders>
              <w:bottom w:val="single" w:sz="6" w:space="0" w:color="000000"/>
            </w:tcBorders>
          </w:tcPr>
          <w:p>
            <w:pPr>
              <w:pStyle w:val="TableParagraph"/>
              <w:spacing w:before="79"/>
              <w:ind w:left="1419"/>
              <w:rPr>
                <w:b/>
                <w:sz w:val="22"/>
              </w:rPr>
            </w:pPr>
            <w:r>
              <w:rPr>
                <w:b/>
                <w:sz w:val="22"/>
              </w:rPr>
              <w:t>Очаг(и) в легких</w:t>
            </w:r>
          </w:p>
        </w:tc>
      </w:tr>
      <w:tr>
        <w:trPr>
          <w:trHeight w:val="1677" w:hRule="atLeast"/>
        </w:trPr>
        <w:tc>
          <w:tcPr>
            <w:tcW w:w="4414" w:type="dxa"/>
            <w:tcBorders>
              <w:top w:val="single" w:sz="6" w:space="0" w:color="000000"/>
              <w:bottom w:val="single" w:sz="6" w:space="0" w:color="000000"/>
            </w:tcBorders>
          </w:tcPr>
          <w:p>
            <w:pPr>
              <w:pStyle w:val="TableParagraph"/>
              <w:spacing w:before="81"/>
              <w:ind w:left="174" w:right="360"/>
              <w:rPr>
                <w:sz w:val="22"/>
              </w:rPr>
            </w:pPr>
            <w:r>
              <w:rPr>
                <w:sz w:val="22"/>
              </w:rPr>
              <w:t>Замкнутое патологическое пространство в легком с тонкими (&lt; 2 мм) стенками, заполненное газом или жидкостью.</w:t>
            </w:r>
          </w:p>
          <w:p>
            <w:pPr>
              <w:pStyle w:val="TableParagraph"/>
              <w:spacing w:line="252" w:lineRule="exact"/>
              <w:ind w:left="174"/>
              <w:rPr>
                <w:sz w:val="22"/>
              </w:rPr>
            </w:pPr>
            <w:r>
              <w:rPr>
                <w:sz w:val="22"/>
              </w:rPr>
              <w:t>КТ-симптом.</w:t>
            </w:r>
          </w:p>
        </w:tc>
        <w:tc>
          <w:tcPr>
            <w:tcW w:w="4537" w:type="dxa"/>
            <w:gridSpan w:val="3"/>
            <w:tcBorders>
              <w:top w:val="single" w:sz="6" w:space="0" w:color="000000"/>
              <w:bottom w:val="single" w:sz="6" w:space="0" w:color="000000"/>
            </w:tcBorders>
          </w:tcPr>
          <w:p>
            <w:pPr>
              <w:pStyle w:val="TableParagraph"/>
              <w:spacing w:line="252" w:lineRule="exact" w:before="81"/>
              <w:ind w:left="109"/>
              <w:rPr>
                <w:sz w:val="22"/>
              </w:rPr>
            </w:pPr>
            <w:r>
              <w:rPr>
                <w:sz w:val="22"/>
              </w:rPr>
              <w:t>Уплотнение в легочной ткани размером</w:t>
            </w:r>
            <w:r>
              <w:rPr>
                <w:spacing w:val="-11"/>
                <w:sz w:val="22"/>
              </w:rPr>
              <w:t> </w:t>
            </w:r>
            <w:r>
              <w:rPr>
                <w:sz w:val="22"/>
              </w:rPr>
              <w:t>до</w:t>
            </w:r>
          </w:p>
          <w:p>
            <w:pPr>
              <w:pStyle w:val="TableParagraph"/>
              <w:ind w:left="109" w:right="39"/>
              <w:rPr>
                <w:sz w:val="22"/>
              </w:rPr>
            </w:pPr>
            <w:r>
              <w:rPr>
                <w:sz w:val="22"/>
              </w:rPr>
              <w:t>10 мм. Могут быть одиночными, единичными (до 6) и множественными</w:t>
            </w:r>
            <w:r>
              <w:rPr>
                <w:spacing w:val="-8"/>
                <w:sz w:val="22"/>
              </w:rPr>
              <w:t> </w:t>
            </w:r>
            <w:r>
              <w:rPr>
                <w:sz w:val="22"/>
              </w:rPr>
              <w:t>(диссеминация).</w:t>
            </w:r>
          </w:p>
          <w:p>
            <w:pPr>
              <w:pStyle w:val="TableParagraph"/>
              <w:ind w:left="109"/>
              <w:rPr>
                <w:sz w:val="22"/>
              </w:rPr>
            </w:pPr>
            <w:r>
              <w:rPr>
                <w:sz w:val="22"/>
              </w:rPr>
              <w:t>Точнее выявляется при КТ</w:t>
            </w:r>
          </w:p>
          <w:p>
            <w:pPr>
              <w:pStyle w:val="TableParagraph"/>
              <w:spacing w:before="1"/>
              <w:ind w:left="109" w:right="98"/>
              <w:rPr>
                <w:sz w:val="22"/>
              </w:rPr>
            </w:pPr>
            <w:r>
              <w:rPr>
                <w:sz w:val="22"/>
              </w:rPr>
              <w:t>(Термин «узелок» является синонимом, но не рекомендуется к употреблению).</w:t>
            </w:r>
          </w:p>
        </w:tc>
      </w:tr>
      <w:tr>
        <w:trPr>
          <w:trHeight w:val="3169" w:hRule="atLeast"/>
        </w:trPr>
        <w:tc>
          <w:tcPr>
            <w:tcW w:w="4414" w:type="dxa"/>
            <w:tcBorders>
              <w:top w:val="single" w:sz="6" w:space="0" w:color="000000"/>
              <w:bottom w:val="single" w:sz="18" w:space="0" w:color="000000"/>
            </w:tcBorders>
          </w:tcPr>
          <w:p>
            <w:pPr>
              <w:pStyle w:val="TableParagraph"/>
              <w:spacing w:before="4"/>
              <w:rPr>
                <w:b/>
                <w:sz w:val="24"/>
              </w:rPr>
            </w:pPr>
          </w:p>
          <w:p>
            <w:pPr>
              <w:pStyle w:val="TableParagraph"/>
              <w:ind w:left="767"/>
              <w:rPr>
                <w:sz w:val="20"/>
              </w:rPr>
            </w:pPr>
            <w:r>
              <w:rPr>
                <w:sz w:val="20"/>
              </w:rPr>
              <w:drawing>
                <wp:inline distT="0" distB="0" distL="0" distR="0">
                  <wp:extent cx="1757064" cy="1788223"/>
                  <wp:effectExtent l="0" t="0" r="0" b="0"/>
                  <wp:docPr id="35" name="image29.jpeg" descr="Èçîáðàæåíèå âûãëÿäèò êàê ñèäèò, ÷åðíûé, ñòîë, ôîòîãðàôèÿ  Àâòîìàòè÷åñêè ñîçäàííîå îïèñàíèå "/>
                  <wp:cNvGraphicFramePr>
                    <a:graphicFrameLocks noChangeAspect="1"/>
                  </wp:cNvGraphicFramePr>
                  <a:graphic>
                    <a:graphicData uri="http://schemas.openxmlformats.org/drawingml/2006/picture">
                      <pic:pic>
                        <pic:nvPicPr>
                          <pic:cNvPr id="36" name="image29.jpeg"/>
                          <pic:cNvPicPr/>
                        </pic:nvPicPr>
                        <pic:blipFill>
                          <a:blip r:embed="rId86" cstate="print"/>
                          <a:stretch>
                            <a:fillRect/>
                          </a:stretch>
                        </pic:blipFill>
                        <pic:spPr>
                          <a:xfrm>
                            <a:off x="0" y="0"/>
                            <a:ext cx="1757064" cy="1788223"/>
                          </a:xfrm>
                          <a:prstGeom prst="rect">
                            <a:avLst/>
                          </a:prstGeom>
                        </pic:spPr>
                      </pic:pic>
                    </a:graphicData>
                  </a:graphic>
                </wp:inline>
              </w:drawing>
            </w:r>
            <w:r>
              <w:rPr>
                <w:sz w:val="20"/>
              </w:rPr>
            </w:r>
          </w:p>
        </w:tc>
        <w:tc>
          <w:tcPr>
            <w:tcW w:w="4537" w:type="dxa"/>
            <w:gridSpan w:val="3"/>
            <w:tcBorders>
              <w:top w:val="single" w:sz="6" w:space="0" w:color="000000"/>
              <w:bottom w:val="single" w:sz="18" w:space="0" w:color="F1F1F1"/>
            </w:tcBorders>
          </w:tcPr>
          <w:p>
            <w:pPr>
              <w:pStyle w:val="TableParagraph"/>
              <w:rPr>
                <w:b/>
                <w:sz w:val="20"/>
              </w:rPr>
            </w:pPr>
          </w:p>
          <w:p>
            <w:pPr>
              <w:pStyle w:val="TableParagraph"/>
              <w:rPr>
                <w:b/>
                <w:sz w:val="12"/>
              </w:rPr>
            </w:pPr>
          </w:p>
          <w:p>
            <w:pPr>
              <w:pStyle w:val="TableParagraph"/>
              <w:ind w:left="515"/>
              <w:rPr>
                <w:sz w:val="20"/>
              </w:rPr>
            </w:pPr>
            <w:r>
              <w:rPr>
                <w:sz w:val="20"/>
              </w:rPr>
              <w:drawing>
                <wp:inline distT="0" distB="0" distL="0" distR="0">
                  <wp:extent cx="2185349" cy="1672208"/>
                  <wp:effectExtent l="0" t="0" r="0" b="0"/>
                  <wp:docPr id="37" name="image30.jpeg" descr="Èçîáðàæåíèå âûãëÿäèò êàê ôîòîãðàôèÿ, ÷åðíûé, ñòîë, áåëûé  Àâòîìàòè÷åñêè ñîçäàííîå îïèñàíèå "/>
                  <wp:cNvGraphicFramePr>
                    <a:graphicFrameLocks noChangeAspect="1"/>
                  </wp:cNvGraphicFramePr>
                  <a:graphic>
                    <a:graphicData uri="http://schemas.openxmlformats.org/drawingml/2006/picture">
                      <pic:pic>
                        <pic:nvPicPr>
                          <pic:cNvPr id="38" name="image30.jpeg"/>
                          <pic:cNvPicPr/>
                        </pic:nvPicPr>
                        <pic:blipFill>
                          <a:blip r:embed="rId87" cstate="print"/>
                          <a:stretch>
                            <a:fillRect/>
                          </a:stretch>
                        </pic:blipFill>
                        <pic:spPr>
                          <a:xfrm>
                            <a:off x="0" y="0"/>
                            <a:ext cx="2185349" cy="1672208"/>
                          </a:xfrm>
                          <a:prstGeom prst="rect">
                            <a:avLst/>
                          </a:prstGeom>
                        </pic:spPr>
                      </pic:pic>
                    </a:graphicData>
                  </a:graphic>
                </wp:inline>
              </w:drawing>
            </w:r>
            <w:r>
              <w:rPr>
                <w:sz w:val="20"/>
              </w:rPr>
            </w:r>
          </w:p>
        </w:tc>
      </w:tr>
      <w:tr>
        <w:trPr>
          <w:trHeight w:val="67" w:hRule="atLeast"/>
        </w:trPr>
        <w:tc>
          <w:tcPr>
            <w:tcW w:w="4414" w:type="dxa"/>
            <w:vMerge w:val="restart"/>
            <w:tcBorders>
              <w:top w:val="single" w:sz="18" w:space="0" w:color="000000"/>
              <w:bottom w:val="single" w:sz="6" w:space="0" w:color="000000"/>
            </w:tcBorders>
            <w:shd w:val="clear" w:color="auto" w:fill="F1F1F1"/>
          </w:tcPr>
          <w:p>
            <w:pPr>
              <w:pStyle w:val="TableParagraph"/>
              <w:spacing w:line="214" w:lineRule="exact" w:before="73"/>
              <w:ind w:left="805"/>
              <w:rPr>
                <w:b/>
                <w:sz w:val="22"/>
              </w:rPr>
            </w:pPr>
            <w:r>
              <w:rPr>
                <w:b/>
                <w:sz w:val="22"/>
                <w:shd w:fill="FFFFFF" w:color="auto" w:val="clear"/>
              </w:rPr>
              <w:t>Симптом «дерево в почках»</w:t>
            </w:r>
          </w:p>
        </w:tc>
        <w:tc>
          <w:tcPr>
            <w:tcW w:w="4537" w:type="dxa"/>
            <w:gridSpan w:val="3"/>
            <w:tcBorders>
              <w:top w:val="single" w:sz="18" w:space="0" w:color="000000"/>
              <w:bottom w:val="nil"/>
            </w:tcBorders>
            <w:shd w:val="clear" w:color="auto" w:fill="F1F1F1"/>
          </w:tcPr>
          <w:p>
            <w:pPr>
              <w:pStyle w:val="TableParagraph"/>
              <w:rPr>
                <w:sz w:val="2"/>
              </w:rPr>
            </w:pPr>
          </w:p>
        </w:tc>
      </w:tr>
      <w:tr>
        <w:trPr>
          <w:trHeight w:val="225" w:hRule="atLeast"/>
        </w:trPr>
        <w:tc>
          <w:tcPr>
            <w:tcW w:w="4414" w:type="dxa"/>
            <w:vMerge/>
            <w:tcBorders>
              <w:top w:val="nil"/>
              <w:bottom w:val="single" w:sz="6" w:space="0" w:color="000000"/>
            </w:tcBorders>
            <w:shd w:val="clear" w:color="auto" w:fill="F1F1F1"/>
          </w:tcPr>
          <w:p>
            <w:pPr>
              <w:rPr>
                <w:sz w:val="2"/>
                <w:szCs w:val="2"/>
              </w:rPr>
            </w:pPr>
          </w:p>
        </w:tc>
        <w:tc>
          <w:tcPr>
            <w:tcW w:w="382" w:type="dxa"/>
            <w:tcBorders>
              <w:top w:val="nil"/>
              <w:bottom w:val="single" w:sz="6" w:space="0" w:color="000000"/>
              <w:right w:val="nil"/>
            </w:tcBorders>
            <w:shd w:val="clear" w:color="auto" w:fill="F1F1F1"/>
          </w:tcPr>
          <w:p>
            <w:pPr>
              <w:pStyle w:val="TableParagraph"/>
              <w:rPr>
                <w:sz w:val="16"/>
              </w:rPr>
            </w:pPr>
          </w:p>
        </w:tc>
        <w:tc>
          <w:tcPr>
            <w:tcW w:w="3773" w:type="dxa"/>
            <w:tcBorders>
              <w:top w:val="nil"/>
              <w:left w:val="nil"/>
              <w:bottom w:val="single" w:sz="48" w:space="0" w:color="F1F1F1"/>
              <w:right w:val="nil"/>
            </w:tcBorders>
          </w:tcPr>
          <w:p>
            <w:pPr>
              <w:pStyle w:val="TableParagraph"/>
              <w:spacing w:line="205" w:lineRule="exact"/>
              <w:ind w:left="13" w:right="-29"/>
              <w:rPr>
                <w:b/>
                <w:sz w:val="22"/>
              </w:rPr>
            </w:pPr>
            <w:r>
              <w:rPr>
                <w:b/>
                <w:sz w:val="22"/>
              </w:rPr>
              <w:t>Картина организующейся</w:t>
            </w:r>
            <w:r>
              <w:rPr>
                <w:b/>
                <w:spacing w:val="-8"/>
                <w:sz w:val="22"/>
              </w:rPr>
              <w:t> </w:t>
            </w:r>
            <w:r>
              <w:rPr>
                <w:b/>
                <w:sz w:val="22"/>
              </w:rPr>
              <w:t>пневмонии</w:t>
            </w:r>
          </w:p>
        </w:tc>
        <w:tc>
          <w:tcPr>
            <w:tcW w:w="382" w:type="dxa"/>
            <w:tcBorders>
              <w:top w:val="nil"/>
              <w:left w:val="nil"/>
              <w:bottom w:val="single" w:sz="6" w:space="0" w:color="000000"/>
            </w:tcBorders>
            <w:shd w:val="clear" w:color="auto" w:fill="F1F1F1"/>
          </w:tcPr>
          <w:p>
            <w:pPr>
              <w:pStyle w:val="TableParagraph"/>
              <w:rPr>
                <w:sz w:val="16"/>
              </w:rPr>
            </w:pPr>
          </w:p>
        </w:tc>
      </w:tr>
      <w:tr>
        <w:trPr>
          <w:trHeight w:val="2170" w:hRule="atLeast"/>
        </w:trPr>
        <w:tc>
          <w:tcPr>
            <w:tcW w:w="4414" w:type="dxa"/>
            <w:tcBorders>
              <w:top w:val="single" w:sz="6" w:space="0" w:color="000000"/>
              <w:bottom w:val="single" w:sz="6" w:space="0" w:color="000000"/>
            </w:tcBorders>
          </w:tcPr>
          <w:p>
            <w:pPr>
              <w:pStyle w:val="TableParagraph"/>
              <w:spacing w:before="70"/>
              <w:ind w:left="174" w:right="63"/>
              <w:rPr>
                <w:sz w:val="22"/>
              </w:rPr>
            </w:pPr>
            <w:r>
              <w:rPr>
                <w:sz w:val="22"/>
              </w:rPr>
              <w:t>V- и Y-образные патологические структуры в легком размером до 1 см, представляющие заполненные патологическим содержимым и расширенные мелкие бронхи и бронхиолы. Важный признак бронхогенной инфекции нижних дыхательных</w:t>
            </w:r>
            <w:r>
              <w:rPr>
                <w:spacing w:val="-2"/>
                <w:sz w:val="22"/>
              </w:rPr>
              <w:t> </w:t>
            </w:r>
            <w:r>
              <w:rPr>
                <w:sz w:val="22"/>
              </w:rPr>
              <w:t>путей.</w:t>
            </w:r>
          </w:p>
          <w:p>
            <w:pPr>
              <w:pStyle w:val="TableParagraph"/>
              <w:spacing w:line="251" w:lineRule="exact"/>
              <w:ind w:left="174"/>
              <w:rPr>
                <w:sz w:val="22"/>
              </w:rPr>
            </w:pPr>
            <w:r>
              <w:rPr>
                <w:sz w:val="22"/>
              </w:rPr>
              <w:t>КТ-симптом.</w:t>
            </w:r>
          </w:p>
        </w:tc>
        <w:tc>
          <w:tcPr>
            <w:tcW w:w="4537" w:type="dxa"/>
            <w:gridSpan w:val="3"/>
            <w:tcBorders>
              <w:top w:val="single" w:sz="48" w:space="0" w:color="F1F1F1"/>
              <w:bottom w:val="single" w:sz="6" w:space="0" w:color="000000"/>
            </w:tcBorders>
          </w:tcPr>
          <w:p>
            <w:pPr>
              <w:pStyle w:val="TableParagraph"/>
              <w:spacing w:line="252" w:lineRule="exact" w:before="70"/>
              <w:ind w:left="109"/>
              <w:rPr>
                <w:sz w:val="22"/>
              </w:rPr>
            </w:pPr>
            <w:r>
              <w:rPr>
                <w:sz w:val="22"/>
              </w:rPr>
              <w:t>Вариабельна. Обычно сочетание участков</w:t>
            </w:r>
          </w:p>
          <w:p>
            <w:pPr>
              <w:pStyle w:val="TableParagraph"/>
              <w:ind w:left="109" w:right="54"/>
              <w:rPr>
                <w:sz w:val="22"/>
              </w:rPr>
            </w:pPr>
            <w:r>
              <w:rPr>
                <w:sz w:val="22"/>
              </w:rPr>
              <w:t>«матового стекла» и консолидации с симптом обратного ободка и типичным перибронховаскулярным и/или субплевральным распределением.</w:t>
            </w:r>
          </w:p>
          <w:p>
            <w:pPr>
              <w:pStyle w:val="TableParagraph"/>
              <w:spacing w:before="1"/>
              <w:ind w:left="109"/>
              <w:rPr>
                <w:sz w:val="22"/>
              </w:rPr>
            </w:pPr>
            <w:r>
              <w:rPr>
                <w:sz w:val="22"/>
              </w:rPr>
              <w:t>Совокупность КТ-симптомов.</w:t>
            </w:r>
          </w:p>
        </w:tc>
      </w:tr>
      <w:tr>
        <w:trPr>
          <w:trHeight w:val="3692" w:hRule="atLeast"/>
        </w:trPr>
        <w:tc>
          <w:tcPr>
            <w:tcW w:w="4414" w:type="dxa"/>
            <w:tcBorders>
              <w:top w:val="single" w:sz="6" w:space="0" w:color="000000"/>
              <w:bottom w:val="single" w:sz="18" w:space="0" w:color="000000"/>
            </w:tcBorders>
          </w:tcPr>
          <w:p>
            <w:pPr>
              <w:pStyle w:val="TableParagraph"/>
              <w:spacing w:before="10"/>
              <w:rPr>
                <w:b/>
                <w:sz w:val="25"/>
              </w:rPr>
            </w:pPr>
          </w:p>
          <w:p>
            <w:pPr>
              <w:pStyle w:val="TableParagraph"/>
              <w:ind w:left="979"/>
              <w:rPr>
                <w:sz w:val="20"/>
              </w:rPr>
            </w:pPr>
            <w:r>
              <w:rPr>
                <w:sz w:val="20"/>
              </w:rPr>
              <w:drawing>
                <wp:inline distT="0" distB="0" distL="0" distR="0">
                  <wp:extent cx="1450467" cy="2087118"/>
                  <wp:effectExtent l="0" t="0" r="0" b="0"/>
                  <wp:docPr id="39" name="image31.jpeg" descr="Èçîáðàæåíèå âûãëÿäèò êàê ñòîë, ñèäèò, òîðò, áåëûé  Àâòîìàòè÷åñêè ñîçäàííîå îïèñàíèå "/>
                  <wp:cNvGraphicFramePr>
                    <a:graphicFrameLocks noChangeAspect="1"/>
                  </wp:cNvGraphicFramePr>
                  <a:graphic>
                    <a:graphicData uri="http://schemas.openxmlformats.org/drawingml/2006/picture">
                      <pic:pic>
                        <pic:nvPicPr>
                          <pic:cNvPr id="40" name="image31.jpeg"/>
                          <pic:cNvPicPr/>
                        </pic:nvPicPr>
                        <pic:blipFill>
                          <a:blip r:embed="rId88" cstate="print"/>
                          <a:stretch>
                            <a:fillRect/>
                          </a:stretch>
                        </pic:blipFill>
                        <pic:spPr>
                          <a:xfrm>
                            <a:off x="0" y="0"/>
                            <a:ext cx="1450467" cy="2087118"/>
                          </a:xfrm>
                          <a:prstGeom prst="rect">
                            <a:avLst/>
                          </a:prstGeom>
                        </pic:spPr>
                      </pic:pic>
                    </a:graphicData>
                  </a:graphic>
                </wp:inline>
              </w:drawing>
            </w:r>
            <w:r>
              <w:rPr>
                <w:sz w:val="20"/>
              </w:rPr>
            </w:r>
          </w:p>
        </w:tc>
        <w:tc>
          <w:tcPr>
            <w:tcW w:w="4537" w:type="dxa"/>
            <w:gridSpan w:val="3"/>
            <w:tcBorders>
              <w:top w:val="single" w:sz="6" w:space="0" w:color="000000"/>
              <w:bottom w:val="single" w:sz="18" w:space="0" w:color="000000"/>
            </w:tcBorders>
          </w:tcPr>
          <w:p>
            <w:pPr>
              <w:pStyle w:val="TableParagraph"/>
              <w:spacing w:before="5"/>
              <w:rPr>
                <w:b/>
                <w:sz w:val="26"/>
              </w:rPr>
            </w:pPr>
          </w:p>
          <w:p>
            <w:pPr>
              <w:pStyle w:val="TableParagraph"/>
              <w:ind w:left="353"/>
              <w:rPr>
                <w:sz w:val="20"/>
              </w:rPr>
            </w:pPr>
            <w:r>
              <w:rPr>
                <w:sz w:val="20"/>
              </w:rPr>
              <w:drawing>
                <wp:inline distT="0" distB="0" distL="0" distR="0">
                  <wp:extent cx="2330428" cy="1948814"/>
                  <wp:effectExtent l="0" t="0" r="0" b="0"/>
                  <wp:docPr id="41" name="image32.jpeg" descr="Èçîáðàæåíèå âûãëÿäèò êàê ôîòîãðàôèÿ, âíóòðåííèé, ìóæ÷èíà, ñèäèò  Àâòîìàòè÷åñêè ñîçäàííîå îïèñàíèå "/>
                  <wp:cNvGraphicFramePr>
                    <a:graphicFrameLocks noChangeAspect="1"/>
                  </wp:cNvGraphicFramePr>
                  <a:graphic>
                    <a:graphicData uri="http://schemas.openxmlformats.org/drawingml/2006/picture">
                      <pic:pic>
                        <pic:nvPicPr>
                          <pic:cNvPr id="42" name="image32.jpeg"/>
                          <pic:cNvPicPr/>
                        </pic:nvPicPr>
                        <pic:blipFill>
                          <a:blip r:embed="rId89" cstate="print"/>
                          <a:stretch>
                            <a:fillRect/>
                          </a:stretch>
                        </pic:blipFill>
                        <pic:spPr>
                          <a:xfrm>
                            <a:off x="0" y="0"/>
                            <a:ext cx="2330428" cy="1948814"/>
                          </a:xfrm>
                          <a:prstGeom prst="rect">
                            <a:avLst/>
                          </a:prstGeom>
                        </pic:spPr>
                      </pic:pic>
                    </a:graphicData>
                  </a:graphic>
                </wp:inline>
              </w:drawing>
            </w:r>
            <w:r>
              <w:rPr>
                <w:sz w:val="20"/>
              </w:rPr>
            </w:r>
          </w:p>
        </w:tc>
      </w:tr>
    </w:tbl>
    <w:p>
      <w:pPr>
        <w:pStyle w:val="BodyText"/>
        <w:ind w:left="0"/>
        <w:jc w:val="left"/>
        <w:rPr>
          <w:b/>
          <w:sz w:val="16"/>
        </w:rPr>
      </w:pPr>
    </w:p>
    <w:p>
      <w:pPr>
        <w:spacing w:before="90"/>
        <w:ind w:left="1029" w:right="0" w:firstLine="0"/>
        <w:jc w:val="both"/>
        <w:rPr>
          <w:b/>
          <w:sz w:val="24"/>
        </w:rPr>
      </w:pPr>
      <w:r>
        <w:rPr>
          <w:b/>
          <w:sz w:val="24"/>
        </w:rPr>
        <w:t>В. Рекомендации по УЗИ в условиях пандемии COVID-19</w:t>
      </w:r>
    </w:p>
    <w:p>
      <w:pPr>
        <w:pStyle w:val="ListParagraph"/>
        <w:numPr>
          <w:ilvl w:val="0"/>
          <w:numId w:val="54"/>
        </w:numPr>
        <w:tabs>
          <w:tab w:pos="1342" w:val="left" w:leader="none"/>
        </w:tabs>
        <w:spacing w:line="276" w:lineRule="auto" w:before="41" w:after="0"/>
        <w:ind w:left="321" w:right="674" w:firstLine="708"/>
        <w:jc w:val="both"/>
        <w:rPr>
          <w:sz w:val="24"/>
        </w:rPr>
      </w:pPr>
      <w:r>
        <w:rPr>
          <w:sz w:val="24"/>
        </w:rPr>
        <w:t>УЗИ легких у пациентов с подозрением или подтвержденным диагнозом COVID-19 можно проводить на любых УЗ аппаратах с условием обязательного соблюдения всех  правил безопасности работы персонала и дезинфекции помещений  и</w:t>
      </w:r>
      <w:r>
        <w:rPr>
          <w:spacing w:val="-1"/>
          <w:sz w:val="24"/>
        </w:rPr>
        <w:t> </w:t>
      </w:r>
      <w:r>
        <w:rPr>
          <w:sz w:val="24"/>
        </w:rPr>
        <w:t>оборудования.</w:t>
      </w:r>
      <w:r>
        <w:rPr>
          <w:spacing w:val="-11"/>
          <w:sz w:val="24"/>
        </w:rPr>
        <w:t> </w:t>
      </w:r>
      <w:r>
        <w:rPr>
          <w:sz w:val="24"/>
        </w:rPr>
        <w:t>Предпочтительно</w:t>
      </w:r>
      <w:r>
        <w:rPr>
          <w:spacing w:val="-11"/>
          <w:sz w:val="24"/>
        </w:rPr>
        <w:t> </w:t>
      </w:r>
      <w:r>
        <w:rPr>
          <w:sz w:val="24"/>
        </w:rPr>
        <w:t>выделение</w:t>
      </w:r>
      <w:r>
        <w:rPr>
          <w:spacing w:val="-12"/>
          <w:sz w:val="24"/>
        </w:rPr>
        <w:t> </w:t>
      </w:r>
      <w:r>
        <w:rPr>
          <w:sz w:val="24"/>
        </w:rPr>
        <w:t>одного</w:t>
      </w:r>
      <w:r>
        <w:rPr>
          <w:spacing w:val="-11"/>
          <w:sz w:val="24"/>
        </w:rPr>
        <w:t> </w:t>
      </w:r>
      <w:r>
        <w:rPr>
          <w:sz w:val="24"/>
        </w:rPr>
        <w:t>или</w:t>
      </w:r>
      <w:r>
        <w:rPr>
          <w:spacing w:val="-10"/>
          <w:sz w:val="24"/>
        </w:rPr>
        <w:t> </w:t>
      </w:r>
      <w:r>
        <w:rPr>
          <w:sz w:val="24"/>
        </w:rPr>
        <w:t>нескольких</w:t>
      </w:r>
      <w:r>
        <w:rPr>
          <w:spacing w:val="-11"/>
          <w:sz w:val="24"/>
        </w:rPr>
        <w:t> </w:t>
      </w:r>
      <w:r>
        <w:rPr>
          <w:sz w:val="24"/>
        </w:rPr>
        <w:t>УЗ</w:t>
      </w:r>
      <w:r>
        <w:rPr>
          <w:spacing w:val="-11"/>
          <w:sz w:val="24"/>
        </w:rPr>
        <w:t> </w:t>
      </w:r>
      <w:r>
        <w:rPr>
          <w:sz w:val="24"/>
        </w:rPr>
        <w:t>аппаратов</w:t>
      </w:r>
      <w:r>
        <w:rPr>
          <w:spacing w:val="-12"/>
          <w:sz w:val="24"/>
        </w:rPr>
        <w:t> </w:t>
      </w:r>
      <w:r>
        <w:rPr>
          <w:sz w:val="24"/>
        </w:rPr>
        <w:t>для работы с пациентами  с  подозрением  или  подтвержденным  диагнозом  COVID-19.  В зависимости от контингента исследуемых и технического оснащения</w:t>
      </w:r>
      <w:r>
        <w:rPr>
          <w:spacing w:val="-21"/>
          <w:sz w:val="24"/>
        </w:rPr>
        <w:t> </w:t>
      </w:r>
      <w:r>
        <w:rPr>
          <w:sz w:val="24"/>
        </w:rPr>
        <w:t>учреждения</w:t>
      </w:r>
    </w:p>
    <w:p>
      <w:pPr>
        <w:spacing w:after="0" w:line="276" w:lineRule="auto"/>
        <w:jc w:val="both"/>
        <w:rPr>
          <w:sz w:val="24"/>
        </w:rPr>
        <w:sectPr>
          <w:pgSz w:w="11920" w:h="16850"/>
          <w:pgMar w:header="0" w:footer="620" w:top="1140" w:bottom="800" w:left="1380" w:right="600"/>
        </w:sectPr>
      </w:pPr>
    </w:p>
    <w:p>
      <w:pPr>
        <w:pStyle w:val="BodyText"/>
        <w:spacing w:line="276" w:lineRule="auto" w:before="78"/>
        <w:ind w:right="674"/>
      </w:pPr>
      <w:r>
        <w:rPr/>
        <w:t>могут использоваться конвексные (предпочтительно для взрослых), линейные (предпочтительно для новорожденных и детей младшего возраста), секторные фазированные и микроконвексные датчики.</w:t>
      </w:r>
    </w:p>
    <w:p>
      <w:pPr>
        <w:pStyle w:val="ListParagraph"/>
        <w:numPr>
          <w:ilvl w:val="0"/>
          <w:numId w:val="54"/>
        </w:numPr>
        <w:tabs>
          <w:tab w:pos="1289" w:val="left" w:leader="none"/>
        </w:tabs>
        <w:spacing w:line="240" w:lineRule="auto" w:before="1" w:after="0"/>
        <w:ind w:left="1288" w:right="0" w:hanging="260"/>
        <w:jc w:val="both"/>
        <w:rPr>
          <w:sz w:val="24"/>
        </w:rPr>
      </w:pPr>
      <w:r>
        <w:rPr>
          <w:sz w:val="24"/>
        </w:rPr>
        <w:t>Рекомендуется использование стандартизированной технологии УЗИ</w:t>
      </w:r>
      <w:r>
        <w:rPr>
          <w:spacing w:val="-5"/>
          <w:sz w:val="24"/>
        </w:rPr>
        <w:t> </w:t>
      </w:r>
      <w:r>
        <w:rPr>
          <w:sz w:val="24"/>
        </w:rPr>
        <w:t>легких.</w:t>
      </w:r>
    </w:p>
    <w:p>
      <w:pPr>
        <w:pStyle w:val="ListParagraph"/>
        <w:numPr>
          <w:ilvl w:val="0"/>
          <w:numId w:val="54"/>
        </w:numPr>
        <w:tabs>
          <w:tab w:pos="1308" w:val="left" w:leader="none"/>
        </w:tabs>
        <w:spacing w:line="276" w:lineRule="auto" w:before="41" w:after="0"/>
        <w:ind w:left="321" w:right="675" w:firstLine="708"/>
        <w:jc w:val="both"/>
        <w:rPr>
          <w:sz w:val="24"/>
        </w:rPr>
      </w:pPr>
      <w:r>
        <w:rPr>
          <w:sz w:val="24"/>
        </w:rPr>
        <w:t>Для упрощения интерпретации данных и удобства динамического контроля рекомендуется оценка УЗ изменений в легких по</w:t>
      </w:r>
      <w:r>
        <w:rPr>
          <w:spacing w:val="-5"/>
          <w:sz w:val="24"/>
        </w:rPr>
        <w:t> </w:t>
      </w:r>
      <w:r>
        <w:rPr>
          <w:sz w:val="24"/>
        </w:rPr>
        <w:t>градациям.</w:t>
      </w:r>
    </w:p>
    <w:p>
      <w:pPr>
        <w:pStyle w:val="Heading3"/>
        <w:numPr>
          <w:ilvl w:val="0"/>
          <w:numId w:val="54"/>
        </w:numPr>
        <w:tabs>
          <w:tab w:pos="1306" w:val="left" w:leader="none"/>
        </w:tabs>
        <w:spacing w:line="276" w:lineRule="auto" w:before="0" w:after="0"/>
        <w:ind w:left="321" w:right="675" w:firstLine="708"/>
        <w:jc w:val="both"/>
      </w:pPr>
      <w:r>
        <w:rPr/>
        <w:t>Нет достаточного количества научных данных для использования УЗИ легких</w:t>
      </w:r>
      <w:r>
        <w:rPr>
          <w:spacing w:val="-7"/>
        </w:rPr>
        <w:t> </w:t>
      </w:r>
      <w:r>
        <w:rPr/>
        <w:t>при</w:t>
      </w:r>
      <w:r>
        <w:rPr>
          <w:spacing w:val="-5"/>
        </w:rPr>
        <w:t> </w:t>
      </w:r>
      <w:r>
        <w:rPr/>
        <w:t>сортировке</w:t>
      </w:r>
      <w:r>
        <w:rPr>
          <w:spacing w:val="-7"/>
        </w:rPr>
        <w:t> </w:t>
      </w:r>
      <w:r>
        <w:rPr/>
        <w:t>пациентов</w:t>
      </w:r>
      <w:r>
        <w:rPr>
          <w:spacing w:val="-7"/>
        </w:rPr>
        <w:t> </w:t>
      </w:r>
      <w:r>
        <w:rPr/>
        <w:t>с</w:t>
      </w:r>
      <w:r>
        <w:rPr>
          <w:spacing w:val="-7"/>
        </w:rPr>
        <w:t> </w:t>
      </w:r>
      <w:r>
        <w:rPr/>
        <w:t>подозрением</w:t>
      </w:r>
      <w:r>
        <w:rPr>
          <w:spacing w:val="-6"/>
        </w:rPr>
        <w:t> </w:t>
      </w:r>
      <w:r>
        <w:rPr/>
        <w:t>или</w:t>
      </w:r>
      <w:r>
        <w:rPr>
          <w:spacing w:val="-6"/>
        </w:rPr>
        <w:t> </w:t>
      </w:r>
      <w:r>
        <w:rPr/>
        <w:t>подтвержденным</w:t>
      </w:r>
      <w:r>
        <w:rPr>
          <w:spacing w:val="-6"/>
        </w:rPr>
        <w:t> </w:t>
      </w:r>
      <w:r>
        <w:rPr/>
        <w:t>диагнозом COVID-19.</w:t>
      </w:r>
    </w:p>
    <w:p>
      <w:pPr>
        <w:pStyle w:val="ListParagraph"/>
        <w:numPr>
          <w:ilvl w:val="0"/>
          <w:numId w:val="54"/>
        </w:numPr>
        <w:tabs>
          <w:tab w:pos="1289" w:val="left" w:leader="none"/>
        </w:tabs>
        <w:spacing w:line="240" w:lineRule="auto" w:before="0" w:after="0"/>
        <w:ind w:left="1288" w:right="0" w:hanging="260"/>
        <w:jc w:val="both"/>
        <w:rPr>
          <w:b/>
          <w:sz w:val="24"/>
        </w:rPr>
      </w:pPr>
      <w:r>
        <w:rPr>
          <w:b/>
          <w:sz w:val="24"/>
        </w:rPr>
        <w:t>С помощью УЗИ легких нельзя поставить диагноз</w:t>
      </w:r>
      <w:r>
        <w:rPr>
          <w:b/>
          <w:spacing w:val="-7"/>
          <w:sz w:val="24"/>
        </w:rPr>
        <w:t> </w:t>
      </w:r>
      <w:r>
        <w:rPr>
          <w:b/>
          <w:sz w:val="24"/>
        </w:rPr>
        <w:t>COVID-19.</w:t>
      </w:r>
    </w:p>
    <w:p>
      <w:pPr>
        <w:pStyle w:val="ListParagraph"/>
        <w:numPr>
          <w:ilvl w:val="0"/>
          <w:numId w:val="54"/>
        </w:numPr>
        <w:tabs>
          <w:tab w:pos="1289" w:val="left" w:leader="none"/>
        </w:tabs>
        <w:spacing w:line="240" w:lineRule="auto" w:before="40" w:after="0"/>
        <w:ind w:left="1288" w:right="0" w:hanging="260"/>
        <w:jc w:val="both"/>
        <w:rPr>
          <w:b/>
          <w:sz w:val="24"/>
        </w:rPr>
      </w:pPr>
      <w:r>
        <w:rPr>
          <w:b/>
          <w:sz w:val="24"/>
        </w:rPr>
        <w:t>С помощью УЗИ легких нельзя исключить диагноз</w:t>
      </w:r>
      <w:r>
        <w:rPr>
          <w:b/>
          <w:spacing w:val="-9"/>
          <w:sz w:val="24"/>
        </w:rPr>
        <w:t> </w:t>
      </w:r>
      <w:r>
        <w:rPr>
          <w:b/>
          <w:sz w:val="24"/>
        </w:rPr>
        <w:t>COVID-19.</w:t>
      </w:r>
    </w:p>
    <w:p>
      <w:pPr>
        <w:pStyle w:val="ListParagraph"/>
        <w:numPr>
          <w:ilvl w:val="0"/>
          <w:numId w:val="54"/>
        </w:numPr>
        <w:tabs>
          <w:tab w:pos="1364" w:val="left" w:leader="none"/>
        </w:tabs>
        <w:spacing w:line="276" w:lineRule="auto" w:before="43" w:after="0"/>
        <w:ind w:left="321" w:right="674" w:firstLine="708"/>
        <w:jc w:val="both"/>
        <w:rPr>
          <w:b/>
          <w:sz w:val="24"/>
        </w:rPr>
      </w:pPr>
      <w:r>
        <w:rPr>
          <w:b/>
          <w:sz w:val="24"/>
        </w:rPr>
        <w:t>Нет достаточного количества научных данных для оценки тяжести поражения легких с помощью УЗИ. Результаты УЗИ легких должны сопоставляться с клинико-лабораторной картиной и данными КТ. Самостоятельного значения при COVID-19 они не</w:t>
      </w:r>
      <w:r>
        <w:rPr>
          <w:b/>
          <w:spacing w:val="-4"/>
          <w:sz w:val="24"/>
        </w:rPr>
        <w:t> </w:t>
      </w:r>
      <w:r>
        <w:rPr>
          <w:b/>
          <w:sz w:val="24"/>
        </w:rPr>
        <w:t>имеют.</w:t>
      </w:r>
    </w:p>
    <w:p>
      <w:pPr>
        <w:pStyle w:val="ListParagraph"/>
        <w:numPr>
          <w:ilvl w:val="0"/>
          <w:numId w:val="54"/>
        </w:numPr>
        <w:tabs>
          <w:tab w:pos="1323" w:val="left" w:leader="none"/>
        </w:tabs>
        <w:spacing w:line="276" w:lineRule="auto" w:before="0" w:after="0"/>
        <w:ind w:left="321" w:right="674" w:firstLine="708"/>
        <w:jc w:val="both"/>
        <w:rPr>
          <w:sz w:val="24"/>
        </w:rPr>
      </w:pPr>
      <w:r>
        <w:rPr>
          <w:sz w:val="24"/>
        </w:rPr>
        <w:t>УЗИ легких не может заменить РГ И КТ ОГК </w:t>
      </w:r>
      <w:r>
        <w:rPr>
          <w:i/>
          <w:sz w:val="24"/>
        </w:rPr>
        <w:t>в диагностике пневмонии </w:t>
      </w:r>
      <w:r>
        <w:rPr>
          <w:sz w:val="24"/>
        </w:rPr>
        <w:t>у пациентов с подозрением или подтвержденным диагнозом COVID-19, но при увеличении потока больных может быть включено в рациональный алгоритм диагностики пневмонии для отдельных групп пациентов (например, беременные, новорожденные) </w:t>
      </w:r>
      <w:r>
        <w:rPr>
          <w:b/>
          <w:i/>
          <w:sz w:val="24"/>
        </w:rPr>
        <w:t>при условии наличия подготовленного врачебного</w:t>
      </w:r>
      <w:r>
        <w:rPr>
          <w:b/>
          <w:i/>
          <w:spacing w:val="-10"/>
          <w:sz w:val="24"/>
        </w:rPr>
        <w:t> </w:t>
      </w:r>
      <w:r>
        <w:rPr>
          <w:b/>
          <w:i/>
          <w:sz w:val="24"/>
        </w:rPr>
        <w:t>персонала</w:t>
      </w:r>
      <w:r>
        <w:rPr>
          <w:sz w:val="24"/>
        </w:rPr>
        <w:t>.</w:t>
      </w:r>
    </w:p>
    <w:p>
      <w:pPr>
        <w:pStyle w:val="ListParagraph"/>
        <w:numPr>
          <w:ilvl w:val="0"/>
          <w:numId w:val="54"/>
        </w:numPr>
        <w:tabs>
          <w:tab w:pos="1316" w:val="left" w:leader="none"/>
        </w:tabs>
        <w:spacing w:line="276" w:lineRule="auto" w:before="0" w:after="0"/>
        <w:ind w:left="321" w:right="673" w:firstLine="708"/>
        <w:jc w:val="both"/>
        <w:rPr>
          <w:sz w:val="24"/>
        </w:rPr>
      </w:pPr>
      <w:r>
        <w:rPr>
          <w:sz w:val="24"/>
        </w:rPr>
        <w:t>УЗИ легких не может заменить РГ И КТ ОГК </w:t>
      </w:r>
      <w:r>
        <w:rPr>
          <w:i/>
          <w:sz w:val="24"/>
        </w:rPr>
        <w:t>в динамическом наблюдении </w:t>
      </w:r>
      <w:r>
        <w:rPr>
          <w:i/>
          <w:sz w:val="24"/>
        </w:rPr>
        <w:t>пациентов с пневмонией </w:t>
      </w:r>
      <w:r>
        <w:rPr>
          <w:sz w:val="24"/>
        </w:rPr>
        <w:t>при COVID-19, но при увеличении потока пациентов может быть включено в рациональный алгоритм динамического наблюдения </w:t>
      </w:r>
      <w:r>
        <w:rPr>
          <w:b/>
          <w:i/>
          <w:sz w:val="24"/>
        </w:rPr>
        <w:t>при условии </w:t>
      </w:r>
      <w:r>
        <w:rPr>
          <w:b/>
          <w:i/>
          <w:sz w:val="24"/>
        </w:rPr>
        <w:t>наличия (1) первоначальной информации об истинном объеме и причине поражения легких и (2) подготовленного врачебного</w:t>
      </w:r>
      <w:r>
        <w:rPr>
          <w:b/>
          <w:i/>
          <w:spacing w:val="-8"/>
          <w:sz w:val="24"/>
        </w:rPr>
        <w:t> </w:t>
      </w:r>
      <w:r>
        <w:rPr>
          <w:b/>
          <w:i/>
          <w:sz w:val="24"/>
        </w:rPr>
        <w:t>персонала</w:t>
      </w:r>
      <w:r>
        <w:rPr>
          <w:sz w:val="24"/>
        </w:rPr>
        <w:t>.</w:t>
      </w:r>
    </w:p>
    <w:p>
      <w:pPr>
        <w:pStyle w:val="ListParagraph"/>
        <w:numPr>
          <w:ilvl w:val="0"/>
          <w:numId w:val="54"/>
        </w:numPr>
        <w:tabs>
          <w:tab w:pos="1551" w:val="left" w:leader="none"/>
        </w:tabs>
        <w:spacing w:line="276" w:lineRule="auto" w:before="0" w:after="0"/>
        <w:ind w:left="321" w:right="673" w:firstLine="708"/>
        <w:jc w:val="both"/>
        <w:rPr>
          <w:sz w:val="24"/>
        </w:rPr>
      </w:pPr>
      <w:r>
        <w:rPr>
          <w:sz w:val="24"/>
        </w:rPr>
        <w:t>Необходимо обязательное соблюдение правил безопасности работы персонала и дезинфекции помещений и оборудования независимо от того, по какой причине проводится УЗИ пациентам с подозрением или подтвержденным диагнозом COVID-19.</w:t>
      </w:r>
    </w:p>
    <w:p>
      <w:pPr>
        <w:pStyle w:val="ListParagraph"/>
        <w:numPr>
          <w:ilvl w:val="0"/>
          <w:numId w:val="54"/>
        </w:numPr>
        <w:tabs>
          <w:tab w:pos="1440" w:val="left" w:leader="none"/>
        </w:tabs>
        <w:spacing w:line="276" w:lineRule="auto" w:before="0" w:after="0"/>
        <w:ind w:left="321" w:right="674" w:firstLine="708"/>
        <w:jc w:val="both"/>
        <w:rPr>
          <w:sz w:val="24"/>
        </w:rPr>
      </w:pPr>
      <w:r>
        <w:rPr>
          <w:sz w:val="24"/>
        </w:rPr>
        <w:t>При наличии клинических показаний УЗ диагностика может применяться для оценки состояния других анатомических областей и отдельных органов с целью выявления патологических изменений и оценки их динамики, однако в приоритете должен быть принцип разумной достаточности. Обязательным является проведение УЗИ по экстренным показаниям. Обследования, не являющиеся необходимыми, следует отложить или отменить, чтобы свести к минимуму возможность контактов здоровых</w:t>
      </w:r>
      <w:r>
        <w:rPr>
          <w:spacing w:val="-12"/>
          <w:sz w:val="24"/>
        </w:rPr>
        <w:t> </w:t>
      </w:r>
      <w:r>
        <w:rPr>
          <w:sz w:val="24"/>
        </w:rPr>
        <w:t>пациентов</w:t>
      </w:r>
      <w:r>
        <w:rPr>
          <w:spacing w:val="-15"/>
          <w:sz w:val="24"/>
        </w:rPr>
        <w:t> </w:t>
      </w:r>
      <w:r>
        <w:rPr>
          <w:sz w:val="24"/>
        </w:rPr>
        <w:t>с</w:t>
      </w:r>
      <w:r>
        <w:rPr>
          <w:spacing w:val="-14"/>
          <w:sz w:val="24"/>
        </w:rPr>
        <w:t> </w:t>
      </w:r>
      <w:r>
        <w:rPr>
          <w:sz w:val="24"/>
        </w:rPr>
        <w:t>пациентами</w:t>
      </w:r>
      <w:r>
        <w:rPr>
          <w:spacing w:val="-13"/>
          <w:sz w:val="24"/>
        </w:rPr>
        <w:t> </w:t>
      </w:r>
      <w:r>
        <w:rPr>
          <w:sz w:val="24"/>
        </w:rPr>
        <w:t>группы</w:t>
      </w:r>
      <w:r>
        <w:rPr>
          <w:spacing w:val="-15"/>
          <w:sz w:val="24"/>
        </w:rPr>
        <w:t> </w:t>
      </w:r>
      <w:r>
        <w:rPr>
          <w:sz w:val="24"/>
        </w:rPr>
        <w:t>риска</w:t>
      </w:r>
      <w:r>
        <w:rPr>
          <w:spacing w:val="-14"/>
          <w:sz w:val="24"/>
        </w:rPr>
        <w:t> </w:t>
      </w:r>
      <w:r>
        <w:rPr>
          <w:sz w:val="24"/>
        </w:rPr>
        <w:t>по</w:t>
      </w:r>
      <w:r>
        <w:rPr>
          <w:spacing w:val="-14"/>
          <w:sz w:val="24"/>
        </w:rPr>
        <w:t> </w:t>
      </w:r>
      <w:r>
        <w:rPr>
          <w:sz w:val="24"/>
        </w:rPr>
        <w:t>COVID-19</w:t>
      </w:r>
      <w:r>
        <w:rPr>
          <w:spacing w:val="-14"/>
          <w:sz w:val="24"/>
        </w:rPr>
        <w:t> </w:t>
      </w:r>
      <w:r>
        <w:rPr>
          <w:sz w:val="24"/>
        </w:rPr>
        <w:t>в</w:t>
      </w:r>
      <w:r>
        <w:rPr>
          <w:spacing w:val="-8"/>
          <w:sz w:val="24"/>
        </w:rPr>
        <w:t> </w:t>
      </w:r>
      <w:r>
        <w:rPr>
          <w:sz w:val="24"/>
        </w:rPr>
        <w:t>условиях</w:t>
      </w:r>
      <w:r>
        <w:rPr>
          <w:spacing w:val="-11"/>
          <w:sz w:val="24"/>
        </w:rPr>
        <w:t> </w:t>
      </w:r>
      <w:r>
        <w:rPr>
          <w:sz w:val="24"/>
        </w:rPr>
        <w:t>медицинской организации. При невозможности отмены плановых УЗИ для уменьшения риска заражения COVID-19 важно: (1) соблюдать расписание приема с сохранением необходимого времени на каждого пациента; (2) увеличить интервалы между пациентами, чтобы избежать скопления ожидающих пациентов; (3) обеспечить расстояние между креслами для ожидания не менее 2 м друг от</w:t>
      </w:r>
      <w:r>
        <w:rPr>
          <w:spacing w:val="-13"/>
          <w:sz w:val="24"/>
        </w:rPr>
        <w:t> </w:t>
      </w:r>
      <w:r>
        <w:rPr>
          <w:sz w:val="24"/>
        </w:rPr>
        <w:t>друга.</w:t>
      </w:r>
    </w:p>
    <w:p>
      <w:pPr>
        <w:pStyle w:val="BodyText"/>
        <w:spacing w:before="7"/>
        <w:ind w:left="0"/>
        <w:jc w:val="left"/>
        <w:rPr>
          <w:sz w:val="27"/>
        </w:rPr>
      </w:pPr>
    </w:p>
    <w:p>
      <w:pPr>
        <w:spacing w:line="276" w:lineRule="auto" w:before="0"/>
        <w:ind w:left="321" w:right="675" w:firstLine="708"/>
        <w:jc w:val="both"/>
        <w:rPr>
          <w:sz w:val="20"/>
        </w:rPr>
      </w:pPr>
      <w:r>
        <w:rPr/>
        <w:pict>
          <v:rect style="position:absolute;margin-left:482.640015pt;margin-top:23.614935pt;width:2.64pt;height:.481pt;mso-position-horizontal-relative:page;mso-position-vertical-relative:paragraph;z-index:-22268928" filled="true" fillcolor="#000000" stroked="false">
            <v:fill type="solid"/>
            <w10:wrap type="none"/>
          </v:rect>
        </w:pict>
      </w:r>
      <w:r>
        <w:rPr/>
        <w:pict>
          <v:rect style="position:absolute;margin-left:515.280029pt;margin-top:23.614935pt;width:2.52pt;height:.481pt;mso-position-horizontal-relative:page;mso-position-vertical-relative:paragraph;z-index:-22268416" filled="true" fillcolor="#000000" stroked="false">
            <v:fill type="solid"/>
            <w10:wrap type="none"/>
          </v:rect>
        </w:pict>
      </w:r>
      <w:r>
        <w:rPr>
          <w:sz w:val="20"/>
        </w:rPr>
        <w:t>Более детально информация по ультразвуковому исследованию легких и безопасности ультразвуковых   исследований   в   условиях   COVID-19   представлена   на   сайте   </w:t>
      </w:r>
      <w:hyperlink r:id="rId8">
        <w:r>
          <w:rPr>
            <w:i/>
            <w:sz w:val="20"/>
          </w:rPr>
          <w:t>www</w:t>
        </w:r>
        <w:r>
          <w:rPr>
            <w:sz w:val="20"/>
          </w:rPr>
          <w:t>.</w:t>
        </w:r>
        <w:r>
          <w:rPr>
            <w:i/>
            <w:sz w:val="20"/>
          </w:rPr>
          <w:t>rasudm</w:t>
        </w:r>
        <w:r>
          <w:rPr>
            <w:sz w:val="20"/>
          </w:rPr>
          <w:t>.</w:t>
        </w:r>
        <w:r>
          <w:rPr>
            <w:i/>
            <w:sz w:val="20"/>
          </w:rPr>
          <w:t>org</w:t>
        </w:r>
      </w:hyperlink>
      <w:r>
        <w:rPr>
          <w:i/>
          <w:sz w:val="20"/>
        </w:rPr>
        <w:t>    </w:t>
      </w:r>
      <w:r>
        <w:rPr>
          <w:sz w:val="20"/>
        </w:rPr>
        <w:t>в следующих</w:t>
      </w:r>
      <w:r>
        <w:rPr>
          <w:spacing w:val="-3"/>
          <w:sz w:val="20"/>
        </w:rPr>
        <w:t> </w:t>
      </w:r>
      <w:r>
        <w:rPr>
          <w:sz w:val="20"/>
        </w:rPr>
        <w:t>документах:</w:t>
      </w:r>
    </w:p>
    <w:p>
      <w:pPr>
        <w:spacing w:after="0" w:line="276" w:lineRule="auto"/>
        <w:jc w:val="both"/>
        <w:rPr>
          <w:sz w:val="20"/>
        </w:rPr>
        <w:sectPr>
          <w:pgSz w:w="11920" w:h="16850"/>
          <w:pgMar w:header="0" w:footer="620" w:top="1060" w:bottom="880" w:left="1380" w:right="600"/>
        </w:sectPr>
      </w:pPr>
    </w:p>
    <w:p>
      <w:pPr>
        <w:spacing w:line="276" w:lineRule="auto" w:before="79"/>
        <w:ind w:left="321" w:right="676" w:firstLine="708"/>
        <w:jc w:val="both"/>
        <w:rPr>
          <w:sz w:val="20"/>
        </w:rPr>
      </w:pPr>
      <w:r>
        <w:rPr>
          <w:sz w:val="20"/>
        </w:rPr>
        <w:t>1. Abramowicz J.S., Basseal J. Заявление о позиции WFUMB: как безопасно проводить ультразвуковое исследование и обеззараживать ультразвуковое оборудование в условиях COVID-19 // Ультразвуковая</w:t>
      </w:r>
      <w:r>
        <w:rPr>
          <w:spacing w:val="-9"/>
          <w:sz w:val="20"/>
        </w:rPr>
        <w:t> </w:t>
      </w:r>
      <w:r>
        <w:rPr>
          <w:sz w:val="20"/>
        </w:rPr>
        <w:t>и</w:t>
      </w:r>
      <w:r>
        <w:rPr>
          <w:spacing w:val="-12"/>
          <w:sz w:val="20"/>
        </w:rPr>
        <w:t> </w:t>
      </w:r>
      <w:r>
        <w:rPr>
          <w:sz w:val="20"/>
        </w:rPr>
        <w:t>функциональная</w:t>
      </w:r>
      <w:r>
        <w:rPr>
          <w:spacing w:val="-12"/>
          <w:sz w:val="20"/>
        </w:rPr>
        <w:t> </w:t>
      </w:r>
      <w:r>
        <w:rPr>
          <w:sz w:val="20"/>
        </w:rPr>
        <w:t>диагностика.</w:t>
      </w:r>
      <w:r>
        <w:rPr>
          <w:spacing w:val="-10"/>
          <w:sz w:val="20"/>
        </w:rPr>
        <w:t> </w:t>
      </w:r>
      <w:r>
        <w:rPr>
          <w:sz w:val="20"/>
        </w:rPr>
        <w:t>2020.</w:t>
      </w:r>
      <w:r>
        <w:rPr>
          <w:spacing w:val="-11"/>
          <w:sz w:val="20"/>
        </w:rPr>
        <w:t> </w:t>
      </w:r>
      <w:r>
        <w:rPr>
          <w:sz w:val="20"/>
        </w:rPr>
        <w:t>№</w:t>
      </w:r>
      <w:r>
        <w:rPr>
          <w:spacing w:val="-13"/>
          <w:sz w:val="20"/>
        </w:rPr>
        <w:t> </w:t>
      </w:r>
      <w:r>
        <w:rPr>
          <w:sz w:val="20"/>
        </w:rPr>
        <w:t>1.</w:t>
      </w:r>
      <w:r>
        <w:rPr>
          <w:spacing w:val="-11"/>
          <w:sz w:val="20"/>
        </w:rPr>
        <w:t> </w:t>
      </w:r>
      <w:r>
        <w:rPr>
          <w:sz w:val="20"/>
        </w:rPr>
        <w:t>С.</w:t>
      </w:r>
      <w:r>
        <w:rPr>
          <w:spacing w:val="-13"/>
          <w:sz w:val="20"/>
        </w:rPr>
        <w:t> </w:t>
      </w:r>
      <w:r>
        <w:rPr>
          <w:sz w:val="20"/>
        </w:rPr>
        <w:t>12–23.</w:t>
      </w:r>
      <w:r>
        <w:rPr>
          <w:spacing w:val="-10"/>
          <w:sz w:val="20"/>
        </w:rPr>
        <w:t> </w:t>
      </w:r>
      <w:r>
        <w:rPr>
          <w:sz w:val="20"/>
        </w:rPr>
        <w:t>Doi:</w:t>
      </w:r>
      <w:r>
        <w:rPr>
          <w:spacing w:val="-11"/>
          <w:sz w:val="20"/>
        </w:rPr>
        <w:t> </w:t>
      </w:r>
      <w:r>
        <w:rPr>
          <w:sz w:val="20"/>
        </w:rPr>
        <w:t>10.24835/1607-0771-2020-1-12-</w:t>
      </w:r>
    </w:p>
    <w:p>
      <w:pPr>
        <w:pStyle w:val="ListParagraph"/>
        <w:numPr>
          <w:ilvl w:val="0"/>
          <w:numId w:val="55"/>
        </w:numPr>
        <w:tabs>
          <w:tab w:pos="639" w:val="left" w:leader="none"/>
        </w:tabs>
        <w:spacing w:line="276" w:lineRule="auto" w:before="1" w:after="0"/>
        <w:ind w:left="321" w:right="676" w:firstLine="0"/>
        <w:jc w:val="both"/>
        <w:rPr>
          <w:sz w:val="20"/>
        </w:rPr>
      </w:pPr>
      <w:r>
        <w:rPr>
          <w:sz w:val="20"/>
        </w:rPr>
        <w:t>Опубликовано до печати. Режим доступа: // </w:t>
      </w:r>
      <w:hyperlink r:id="rId90">
        <w:r>
          <w:rPr>
            <w:sz w:val="20"/>
          </w:rPr>
          <w:t>http://www.rasudm.org/files/WFUMB-Position-Statement-</w:t>
        </w:r>
      </w:hyperlink>
      <w:r>
        <w:rPr>
          <w:sz w:val="20"/>
        </w:rPr>
        <w:t> COVID.pdf, свободный. Загл. с экрана.</w:t>
      </w:r>
      <w:r>
        <w:rPr>
          <w:spacing w:val="3"/>
          <w:sz w:val="20"/>
        </w:rPr>
        <w:t> </w:t>
      </w:r>
      <w:r>
        <w:rPr>
          <w:sz w:val="20"/>
        </w:rPr>
        <w:t>16.04.2020.</w:t>
      </w:r>
    </w:p>
    <w:p>
      <w:pPr>
        <w:spacing w:line="276" w:lineRule="auto" w:before="0"/>
        <w:ind w:left="321" w:right="675" w:firstLine="707"/>
        <w:jc w:val="both"/>
        <w:rPr>
          <w:sz w:val="20"/>
        </w:rPr>
      </w:pPr>
      <w:r>
        <w:rPr>
          <w:sz w:val="20"/>
        </w:rPr>
        <w:t>2. Митьков В.В., Сафонов Д.В., Митькова М.Д., Алехин М.Н., Катрич А.Н., Кабин Ю.В., Ветшева</w:t>
      </w:r>
      <w:r>
        <w:rPr>
          <w:spacing w:val="-16"/>
          <w:sz w:val="20"/>
        </w:rPr>
        <w:t> </w:t>
      </w:r>
      <w:r>
        <w:rPr>
          <w:sz w:val="20"/>
        </w:rPr>
        <w:t>Н.Н.,</w:t>
      </w:r>
      <w:r>
        <w:rPr>
          <w:spacing w:val="-15"/>
          <w:sz w:val="20"/>
        </w:rPr>
        <w:t> </w:t>
      </w:r>
      <w:r>
        <w:rPr>
          <w:sz w:val="20"/>
        </w:rPr>
        <w:t>Худорожкова</w:t>
      </w:r>
      <w:r>
        <w:rPr>
          <w:spacing w:val="-13"/>
          <w:sz w:val="20"/>
        </w:rPr>
        <w:t> </w:t>
      </w:r>
      <w:r>
        <w:rPr>
          <w:sz w:val="20"/>
        </w:rPr>
        <w:t>Е.Д.,</w:t>
      </w:r>
      <w:r>
        <w:rPr>
          <w:spacing w:val="-15"/>
          <w:sz w:val="20"/>
        </w:rPr>
        <w:t> </w:t>
      </w:r>
      <w:r>
        <w:rPr>
          <w:sz w:val="20"/>
        </w:rPr>
        <w:t>Лахин</w:t>
      </w:r>
      <w:r>
        <w:rPr>
          <w:spacing w:val="-16"/>
          <w:sz w:val="20"/>
        </w:rPr>
        <w:t> </w:t>
      </w:r>
      <w:r>
        <w:rPr>
          <w:sz w:val="20"/>
        </w:rPr>
        <w:t>Р.Е.,</w:t>
      </w:r>
      <w:r>
        <w:rPr>
          <w:spacing w:val="-15"/>
          <w:sz w:val="20"/>
        </w:rPr>
        <w:t> </w:t>
      </w:r>
      <w:r>
        <w:rPr>
          <w:sz w:val="20"/>
        </w:rPr>
        <w:t>Кадрев</w:t>
      </w:r>
      <w:r>
        <w:rPr>
          <w:spacing w:val="-14"/>
          <w:sz w:val="20"/>
        </w:rPr>
        <w:t> </w:t>
      </w:r>
      <w:r>
        <w:rPr>
          <w:sz w:val="20"/>
        </w:rPr>
        <w:t>А.В.,</w:t>
      </w:r>
      <w:r>
        <w:rPr>
          <w:spacing w:val="-15"/>
          <w:sz w:val="20"/>
        </w:rPr>
        <w:t> </w:t>
      </w:r>
      <w:r>
        <w:rPr>
          <w:sz w:val="20"/>
        </w:rPr>
        <w:t>Дорошенко</w:t>
      </w:r>
      <w:r>
        <w:rPr>
          <w:spacing w:val="-15"/>
          <w:sz w:val="20"/>
        </w:rPr>
        <w:t> </w:t>
      </w:r>
      <w:r>
        <w:rPr>
          <w:sz w:val="20"/>
        </w:rPr>
        <w:t>Д.А.,</w:t>
      </w:r>
      <w:r>
        <w:rPr>
          <w:spacing w:val="-16"/>
          <w:sz w:val="20"/>
        </w:rPr>
        <w:t> </w:t>
      </w:r>
      <w:r>
        <w:rPr>
          <w:sz w:val="20"/>
        </w:rPr>
        <w:t>Гренкова</w:t>
      </w:r>
      <w:r>
        <w:rPr>
          <w:spacing w:val="-13"/>
          <w:sz w:val="20"/>
        </w:rPr>
        <w:t> </w:t>
      </w:r>
      <w:r>
        <w:rPr>
          <w:sz w:val="20"/>
        </w:rPr>
        <w:t>Т.А.</w:t>
      </w:r>
      <w:r>
        <w:rPr>
          <w:spacing w:val="-15"/>
          <w:sz w:val="20"/>
        </w:rPr>
        <w:t> </w:t>
      </w:r>
      <w:r>
        <w:rPr>
          <w:sz w:val="20"/>
        </w:rPr>
        <w:t>Консенсусное заявление</w:t>
      </w:r>
      <w:r>
        <w:rPr>
          <w:spacing w:val="-6"/>
          <w:sz w:val="20"/>
        </w:rPr>
        <w:t> </w:t>
      </w:r>
      <w:r>
        <w:rPr>
          <w:sz w:val="20"/>
        </w:rPr>
        <w:t>РАСУДМ</w:t>
      </w:r>
      <w:r>
        <w:rPr>
          <w:spacing w:val="-6"/>
          <w:sz w:val="20"/>
        </w:rPr>
        <w:t> </w:t>
      </w:r>
      <w:r>
        <w:rPr>
          <w:sz w:val="20"/>
        </w:rPr>
        <w:t>об</w:t>
      </w:r>
      <w:r>
        <w:rPr>
          <w:spacing w:val="-7"/>
          <w:sz w:val="20"/>
        </w:rPr>
        <w:t> </w:t>
      </w:r>
      <w:r>
        <w:rPr>
          <w:sz w:val="20"/>
        </w:rPr>
        <w:t>ультразвуковом</w:t>
      </w:r>
      <w:r>
        <w:rPr>
          <w:spacing w:val="-5"/>
          <w:sz w:val="20"/>
        </w:rPr>
        <w:t> </w:t>
      </w:r>
      <w:r>
        <w:rPr>
          <w:sz w:val="20"/>
        </w:rPr>
        <w:t>исследовании</w:t>
      </w:r>
      <w:r>
        <w:rPr>
          <w:spacing w:val="-7"/>
          <w:sz w:val="20"/>
        </w:rPr>
        <w:t> </w:t>
      </w:r>
      <w:r>
        <w:rPr>
          <w:sz w:val="20"/>
        </w:rPr>
        <w:t>легких</w:t>
      </w:r>
      <w:r>
        <w:rPr>
          <w:spacing w:val="-8"/>
          <w:sz w:val="20"/>
        </w:rPr>
        <w:t> </w:t>
      </w:r>
      <w:r>
        <w:rPr>
          <w:sz w:val="20"/>
        </w:rPr>
        <w:t>в</w:t>
      </w:r>
      <w:r>
        <w:rPr>
          <w:spacing w:val="-5"/>
          <w:sz w:val="20"/>
        </w:rPr>
        <w:t> </w:t>
      </w:r>
      <w:r>
        <w:rPr>
          <w:sz w:val="20"/>
        </w:rPr>
        <w:t>условиях</w:t>
      </w:r>
      <w:r>
        <w:rPr>
          <w:spacing w:val="-7"/>
          <w:sz w:val="20"/>
        </w:rPr>
        <w:t> </w:t>
      </w:r>
      <w:r>
        <w:rPr>
          <w:sz w:val="20"/>
        </w:rPr>
        <w:t>пандемии</w:t>
      </w:r>
      <w:r>
        <w:rPr>
          <w:spacing w:val="-8"/>
          <w:sz w:val="20"/>
        </w:rPr>
        <w:t> </w:t>
      </w:r>
      <w:r>
        <w:rPr>
          <w:sz w:val="20"/>
        </w:rPr>
        <w:t>COVID-19</w:t>
      </w:r>
      <w:r>
        <w:rPr>
          <w:spacing w:val="-5"/>
          <w:sz w:val="20"/>
        </w:rPr>
        <w:t> </w:t>
      </w:r>
      <w:r>
        <w:rPr>
          <w:sz w:val="20"/>
        </w:rPr>
        <w:t>(версия</w:t>
      </w:r>
      <w:r>
        <w:rPr>
          <w:spacing w:val="-6"/>
          <w:sz w:val="20"/>
        </w:rPr>
        <w:t> </w:t>
      </w:r>
      <w:r>
        <w:rPr>
          <w:sz w:val="20"/>
        </w:rPr>
        <w:t>2)</w:t>
      </w:r>
    </w:p>
    <w:p>
      <w:pPr>
        <w:spacing w:line="276" w:lineRule="auto" w:before="0"/>
        <w:ind w:left="320" w:right="676" w:firstLine="0"/>
        <w:jc w:val="both"/>
        <w:rPr>
          <w:sz w:val="20"/>
        </w:rPr>
      </w:pPr>
      <w:r>
        <w:rPr>
          <w:sz w:val="20"/>
        </w:rPr>
        <w:t>// Ультразвуковая и функциональная диагностика. 2020. № 1. С. 46–77. Doi: 10.24835/1607-0771-2020-1- 46-77. Опубликовано до печати. Режим доступа: // </w:t>
      </w:r>
      <w:hyperlink r:id="rId91">
        <w:r>
          <w:rPr>
            <w:sz w:val="20"/>
          </w:rPr>
          <w:t>http://www.rasudm.org/files/RASUDM-Consensus-</w:t>
        </w:r>
      </w:hyperlink>
      <w:r>
        <w:rPr>
          <w:sz w:val="20"/>
        </w:rPr>
        <w:t> Statement-COVID-2.pdf, свободный. Загл. с экрана. 30.04.2020.</w:t>
      </w:r>
    </w:p>
    <w:p>
      <w:pPr>
        <w:spacing w:after="0" w:line="276" w:lineRule="auto"/>
        <w:jc w:val="both"/>
        <w:rPr>
          <w:sz w:val="20"/>
        </w:rPr>
        <w:sectPr>
          <w:pgSz w:w="11920" w:h="16850"/>
          <w:pgMar w:header="0" w:footer="620" w:top="1060" w:bottom="880" w:left="1380" w:right="600"/>
        </w:sectPr>
      </w:pPr>
    </w:p>
    <w:p>
      <w:pPr>
        <w:pStyle w:val="BodyText"/>
        <w:ind w:left="0"/>
        <w:jc w:val="left"/>
        <w:rPr>
          <w:sz w:val="20"/>
        </w:rPr>
      </w:pPr>
    </w:p>
    <w:p>
      <w:pPr>
        <w:pStyle w:val="BodyText"/>
        <w:ind w:left="0"/>
        <w:jc w:val="left"/>
        <w:rPr>
          <w:sz w:val="20"/>
        </w:rPr>
      </w:pPr>
    </w:p>
    <w:p>
      <w:pPr>
        <w:pStyle w:val="BodyText"/>
        <w:spacing w:before="3"/>
        <w:ind w:left="0"/>
        <w:jc w:val="left"/>
      </w:pPr>
    </w:p>
    <w:p>
      <w:pPr>
        <w:pStyle w:val="Heading3"/>
        <w:spacing w:line="362" w:lineRule="auto" w:before="90"/>
        <w:ind w:left="124" w:right="89" w:firstLine="11400"/>
        <w:jc w:val="left"/>
      </w:pPr>
      <w:bookmarkStart w:name="Приложение 2-1" w:id="200"/>
      <w:bookmarkEnd w:id="200"/>
      <w:r>
        <w:rPr>
          <w:b w:val="0"/>
        </w:rPr>
      </w:r>
      <w:bookmarkStart w:name="_bookmark45" w:id="201"/>
      <w:bookmarkEnd w:id="201"/>
      <w:r>
        <w:rPr>
          <w:b w:val="0"/>
        </w:rPr>
      </w:r>
      <w:r>
        <w:rPr>
          <w:color w:val="1F487C"/>
        </w:rPr>
        <w:t>Приложение 2-1 </w:t>
      </w:r>
      <w:r>
        <w:rPr/>
        <w:t>Объем лабораторного и инструментального обследования больных с COVID-19 или подозрением на COVID-19</w:t>
      </w:r>
    </w:p>
    <w:p>
      <w:pPr>
        <w:pStyle w:val="BodyText"/>
        <w:spacing w:before="7"/>
        <w:ind w:left="0"/>
        <w:jc w:val="left"/>
        <w:rPr>
          <w:b/>
          <w:sz w:val="28"/>
        </w:rPr>
      </w:pPr>
      <w:r>
        <w:rPr/>
        <w:drawing>
          <wp:anchor distT="0" distB="0" distL="0" distR="0" allowOverlap="1" layoutInCell="1" locked="0" behindDoc="0" simplePos="0" relativeHeight="23">
            <wp:simplePos x="0" y="0"/>
            <wp:positionH relativeFrom="page">
              <wp:posOffset>1605280</wp:posOffset>
            </wp:positionH>
            <wp:positionV relativeFrom="paragraph">
              <wp:posOffset>234111</wp:posOffset>
            </wp:positionV>
            <wp:extent cx="7607453" cy="4679727"/>
            <wp:effectExtent l="0" t="0" r="0" b="0"/>
            <wp:wrapTopAndBottom/>
            <wp:docPr id="43" name="image33.png"/>
            <wp:cNvGraphicFramePr>
              <a:graphicFrameLocks noChangeAspect="1"/>
            </wp:cNvGraphicFramePr>
            <a:graphic>
              <a:graphicData uri="http://schemas.openxmlformats.org/drawingml/2006/picture">
                <pic:pic>
                  <pic:nvPicPr>
                    <pic:cNvPr id="44" name="image33.png"/>
                    <pic:cNvPicPr/>
                  </pic:nvPicPr>
                  <pic:blipFill>
                    <a:blip r:embed="rId93" cstate="print"/>
                    <a:stretch>
                      <a:fillRect/>
                    </a:stretch>
                  </pic:blipFill>
                  <pic:spPr>
                    <a:xfrm>
                      <a:off x="0" y="0"/>
                      <a:ext cx="7607453" cy="4679727"/>
                    </a:xfrm>
                    <a:prstGeom prst="rect">
                      <a:avLst/>
                    </a:prstGeom>
                  </pic:spPr>
                </pic:pic>
              </a:graphicData>
            </a:graphic>
          </wp:anchor>
        </w:drawing>
      </w:r>
    </w:p>
    <w:p>
      <w:pPr>
        <w:spacing w:after="0"/>
        <w:jc w:val="left"/>
        <w:rPr>
          <w:sz w:val="28"/>
        </w:rPr>
        <w:sectPr>
          <w:footerReference w:type="default" r:id="rId92"/>
          <w:pgSz w:w="16850" w:h="11920" w:orient="landscape"/>
          <w:pgMar w:footer="702" w:header="0" w:top="1100" w:bottom="900" w:left="2420" w:right="1040"/>
        </w:sectPr>
      </w:pPr>
    </w:p>
    <w:p>
      <w:pPr>
        <w:pStyle w:val="Heading3"/>
        <w:spacing w:before="77"/>
        <w:ind w:left="0" w:right="159"/>
        <w:jc w:val="right"/>
      </w:pPr>
      <w:bookmarkStart w:name="Приложение 2-2" w:id="202"/>
      <w:bookmarkEnd w:id="202"/>
      <w:r>
        <w:rPr>
          <w:b w:val="0"/>
        </w:rPr>
      </w:r>
      <w:bookmarkStart w:name="_bookmark46" w:id="203"/>
      <w:bookmarkEnd w:id="203"/>
      <w:r>
        <w:rPr>
          <w:b w:val="0"/>
        </w:rPr>
      </w:r>
      <w:r>
        <w:rPr>
          <w:color w:val="1F487C"/>
        </w:rPr>
        <w:t>Приложение 2-2</w:t>
      </w:r>
    </w:p>
    <w:p>
      <w:pPr>
        <w:spacing w:before="142"/>
        <w:ind w:left="1027" w:right="1063" w:firstLine="0"/>
        <w:jc w:val="center"/>
        <w:rPr>
          <w:b/>
          <w:sz w:val="24"/>
        </w:rPr>
      </w:pPr>
      <w:r>
        <w:rPr>
          <w:b/>
          <w:sz w:val="24"/>
        </w:rPr>
        <w:t>Лабораторный мониторинг пациентов с COVID-19 или</w:t>
      </w:r>
    </w:p>
    <w:p>
      <w:pPr>
        <w:spacing w:before="0"/>
        <w:ind w:left="1028" w:right="1063" w:firstLine="0"/>
        <w:jc w:val="center"/>
        <w:rPr>
          <w:b/>
          <w:sz w:val="24"/>
        </w:rPr>
      </w:pPr>
      <w:r>
        <w:rPr>
          <w:b/>
          <w:sz w:val="24"/>
        </w:rPr>
        <w:t>с подозрением на COVID-19 в зависимости от тяжести состояния</w:t>
      </w:r>
    </w:p>
    <w:p>
      <w:pPr>
        <w:pStyle w:val="BodyText"/>
        <w:spacing w:before="7"/>
        <w:ind w:left="0"/>
        <w:jc w:val="left"/>
        <w:rPr>
          <w:b/>
          <w:sz w:val="17"/>
        </w:rPr>
      </w:pPr>
      <w:r>
        <w:rPr/>
        <w:drawing>
          <wp:anchor distT="0" distB="0" distL="0" distR="0" allowOverlap="1" layoutInCell="1" locked="0" behindDoc="0" simplePos="0" relativeHeight="24">
            <wp:simplePos x="0" y="0"/>
            <wp:positionH relativeFrom="page">
              <wp:posOffset>1080135</wp:posOffset>
            </wp:positionH>
            <wp:positionV relativeFrom="paragraph">
              <wp:posOffset>153702</wp:posOffset>
            </wp:positionV>
            <wp:extent cx="5619371" cy="2830163"/>
            <wp:effectExtent l="0" t="0" r="0" b="0"/>
            <wp:wrapTopAndBottom/>
            <wp:docPr id="45" name="image34.png"/>
            <wp:cNvGraphicFramePr>
              <a:graphicFrameLocks noChangeAspect="1"/>
            </wp:cNvGraphicFramePr>
            <a:graphic>
              <a:graphicData uri="http://schemas.openxmlformats.org/drawingml/2006/picture">
                <pic:pic>
                  <pic:nvPicPr>
                    <pic:cNvPr id="46" name="image34.png"/>
                    <pic:cNvPicPr/>
                  </pic:nvPicPr>
                  <pic:blipFill>
                    <a:blip r:embed="rId95" cstate="print"/>
                    <a:stretch>
                      <a:fillRect/>
                    </a:stretch>
                  </pic:blipFill>
                  <pic:spPr>
                    <a:xfrm>
                      <a:off x="0" y="0"/>
                      <a:ext cx="5619371" cy="2830163"/>
                    </a:xfrm>
                    <a:prstGeom prst="rect">
                      <a:avLst/>
                    </a:prstGeom>
                  </pic:spPr>
                </pic:pic>
              </a:graphicData>
            </a:graphic>
          </wp:anchor>
        </w:drawing>
      </w:r>
    </w:p>
    <w:p>
      <w:pPr>
        <w:spacing w:after="0"/>
        <w:jc w:val="left"/>
        <w:rPr>
          <w:sz w:val="17"/>
        </w:rPr>
        <w:sectPr>
          <w:footerReference w:type="default" r:id="rId94"/>
          <w:pgSz w:w="11920" w:h="16850"/>
          <w:pgMar w:footer="700" w:header="0" w:top="1140" w:bottom="880" w:left="1580" w:right="1120"/>
          <w:pgNumType w:start="173"/>
        </w:sectPr>
      </w:pPr>
    </w:p>
    <w:p>
      <w:pPr>
        <w:pStyle w:val="Heading3"/>
        <w:spacing w:before="78"/>
        <w:ind w:left="7295"/>
        <w:jc w:val="left"/>
      </w:pPr>
      <w:bookmarkStart w:name="Приложение 3-1" w:id="204"/>
      <w:bookmarkEnd w:id="204"/>
      <w:r>
        <w:rPr>
          <w:b w:val="0"/>
        </w:rPr>
      </w:r>
      <w:bookmarkStart w:name="_bookmark47" w:id="205"/>
      <w:bookmarkEnd w:id="205"/>
      <w:r>
        <w:rPr>
          <w:b w:val="0"/>
        </w:rPr>
      </w:r>
      <w:r>
        <w:rPr>
          <w:color w:val="1F487C"/>
        </w:rPr>
        <w:t>Приложение 3-1</w:t>
      </w:r>
    </w:p>
    <w:p>
      <w:pPr>
        <w:spacing w:line="276" w:lineRule="auto" w:before="141"/>
        <w:ind w:left="2660" w:right="0" w:hanging="1779"/>
        <w:jc w:val="left"/>
        <w:rPr>
          <w:b/>
          <w:sz w:val="23"/>
        </w:rPr>
      </w:pPr>
      <w:r>
        <w:rPr>
          <w:b/>
          <w:sz w:val="23"/>
        </w:rPr>
        <w:t>Инструкция по проведению диагностики COVID-19 с применением методов амплификации нуклеиновых кислот</w:t>
      </w:r>
    </w:p>
    <w:p>
      <w:pPr>
        <w:pStyle w:val="BodyText"/>
        <w:spacing w:before="5"/>
        <w:ind w:left="0"/>
        <w:jc w:val="left"/>
        <w:rPr>
          <w:b/>
          <w:sz w:val="26"/>
        </w:rPr>
      </w:pPr>
    </w:p>
    <w:p>
      <w:pPr>
        <w:spacing w:before="0"/>
        <w:ind w:left="688" w:right="0" w:firstLine="0"/>
        <w:jc w:val="both"/>
        <w:rPr>
          <w:b/>
          <w:sz w:val="23"/>
        </w:rPr>
      </w:pPr>
      <w:r>
        <w:rPr>
          <w:b/>
          <w:sz w:val="23"/>
        </w:rPr>
        <w:t>Общие положения.</w:t>
      </w:r>
    </w:p>
    <w:p>
      <w:pPr>
        <w:spacing w:before="40"/>
        <w:ind w:left="688" w:right="0" w:firstLine="0"/>
        <w:jc w:val="both"/>
        <w:rPr>
          <w:sz w:val="23"/>
        </w:rPr>
      </w:pPr>
      <w:r>
        <w:rPr>
          <w:sz w:val="23"/>
        </w:rPr>
        <w:t>В соответствии с приказом Министерства здравоохранения Российской Федерации</w:t>
      </w:r>
    </w:p>
    <w:p>
      <w:pPr>
        <w:spacing w:line="276" w:lineRule="auto" w:before="42"/>
        <w:ind w:left="121" w:right="153" w:hanging="1"/>
        <w:jc w:val="both"/>
        <w:rPr>
          <w:sz w:val="23"/>
        </w:rPr>
      </w:pPr>
      <w:r>
        <w:rPr>
          <w:sz w:val="23"/>
        </w:rPr>
        <w:t>№ 198н и Методическими рекомендациями MP3.1.0169-20 </w:t>
      </w:r>
      <w:r>
        <w:rPr>
          <w:sz w:val="28"/>
        </w:rPr>
        <w:t>«</w:t>
      </w:r>
      <w:r>
        <w:rPr>
          <w:sz w:val="23"/>
        </w:rPr>
        <w:t>Лабораторная диагностика COVID-19», утвержденным Главным санитарным врачом Российской Федерации 30.03.2020, диагностика новой коронавирусной инфекции проводится во всех лабораториях Российской Федерации вне зависимости от их организационно-правовой формы   (далее  –  Лаборатория),  имеющих  санитарно-эпидемиологическое  заключение о возможности проведения работ с возбудителями инфекционных заболеваний человека III - IV патогенности и условия для исследований с применением</w:t>
      </w:r>
      <w:r>
        <w:rPr>
          <w:spacing w:val="-9"/>
          <w:sz w:val="23"/>
        </w:rPr>
        <w:t> </w:t>
      </w:r>
      <w:r>
        <w:rPr>
          <w:sz w:val="23"/>
        </w:rPr>
        <w:t>МАНК.</w:t>
      </w:r>
    </w:p>
    <w:p>
      <w:pPr>
        <w:spacing w:line="276" w:lineRule="auto" w:before="0"/>
        <w:ind w:left="121" w:right="155" w:firstLine="566"/>
        <w:jc w:val="both"/>
        <w:rPr>
          <w:sz w:val="23"/>
        </w:rPr>
      </w:pPr>
      <w:r>
        <w:rPr>
          <w:sz w:val="23"/>
        </w:rPr>
        <w:t>Для выявления возбудителя SARS-CoV-2 используются МАНК (без накопления возбудителя),</w:t>
      </w:r>
      <w:r>
        <w:rPr>
          <w:spacing w:val="-13"/>
          <w:sz w:val="23"/>
        </w:rPr>
        <w:t> </w:t>
      </w:r>
      <w:r>
        <w:rPr>
          <w:sz w:val="23"/>
        </w:rPr>
        <w:t>с</w:t>
      </w:r>
      <w:r>
        <w:rPr>
          <w:spacing w:val="-12"/>
          <w:sz w:val="23"/>
        </w:rPr>
        <w:t> </w:t>
      </w:r>
      <w:r>
        <w:rPr>
          <w:sz w:val="23"/>
        </w:rPr>
        <w:t>применением</w:t>
      </w:r>
      <w:r>
        <w:rPr>
          <w:spacing w:val="-12"/>
          <w:sz w:val="23"/>
        </w:rPr>
        <w:t> </w:t>
      </w:r>
      <w:r>
        <w:rPr>
          <w:sz w:val="23"/>
        </w:rPr>
        <w:t>зарегистрированных</w:t>
      </w:r>
      <w:r>
        <w:rPr>
          <w:spacing w:val="-13"/>
          <w:sz w:val="23"/>
        </w:rPr>
        <w:t> </w:t>
      </w:r>
      <w:r>
        <w:rPr>
          <w:sz w:val="23"/>
        </w:rPr>
        <w:t>в</w:t>
      </w:r>
      <w:r>
        <w:rPr>
          <w:spacing w:val="-11"/>
          <w:sz w:val="23"/>
        </w:rPr>
        <w:t> </w:t>
      </w:r>
      <w:r>
        <w:rPr>
          <w:sz w:val="23"/>
        </w:rPr>
        <w:t>установленном</w:t>
      </w:r>
      <w:r>
        <w:rPr>
          <w:spacing w:val="-12"/>
          <w:sz w:val="23"/>
        </w:rPr>
        <w:t> </w:t>
      </w:r>
      <w:r>
        <w:rPr>
          <w:sz w:val="23"/>
        </w:rPr>
        <w:t>порядке</w:t>
      </w:r>
      <w:r>
        <w:rPr>
          <w:spacing w:val="-12"/>
          <w:sz w:val="23"/>
        </w:rPr>
        <w:t> </w:t>
      </w:r>
      <w:r>
        <w:rPr>
          <w:sz w:val="23"/>
        </w:rPr>
        <w:t>на</w:t>
      </w:r>
      <w:r>
        <w:rPr>
          <w:spacing w:val="-12"/>
          <w:sz w:val="23"/>
        </w:rPr>
        <w:t> </w:t>
      </w:r>
      <w:r>
        <w:rPr>
          <w:sz w:val="23"/>
        </w:rPr>
        <w:t>территории Российской Федерации тест-систем, в соответствии с инструкциями по их</w:t>
      </w:r>
      <w:r>
        <w:rPr>
          <w:spacing w:val="-20"/>
          <w:sz w:val="23"/>
        </w:rPr>
        <w:t> </w:t>
      </w:r>
      <w:r>
        <w:rPr>
          <w:sz w:val="23"/>
        </w:rPr>
        <w:t>применению.</w:t>
      </w:r>
    </w:p>
    <w:p>
      <w:pPr>
        <w:spacing w:line="276" w:lineRule="auto" w:before="0"/>
        <w:ind w:left="121" w:right="155" w:firstLine="566"/>
        <w:jc w:val="both"/>
        <w:rPr>
          <w:sz w:val="23"/>
        </w:rPr>
      </w:pPr>
      <w:r>
        <w:rPr>
          <w:sz w:val="23"/>
        </w:rPr>
        <w:t>Этиологическая диагностика COVID-19 проводится с применением методов амплификации РНК с обратной транскрипцией и флуоресцентной детекцией: методами полимеразной цепной реакции в реальном времени (ОТ ПЦР-РВ) и изотермальной амплификации.</w:t>
      </w:r>
    </w:p>
    <w:p>
      <w:pPr>
        <w:spacing w:line="276" w:lineRule="auto" w:before="0"/>
        <w:ind w:left="121" w:right="154" w:firstLine="566"/>
        <w:jc w:val="both"/>
        <w:rPr>
          <w:sz w:val="23"/>
        </w:rPr>
      </w:pPr>
      <w:r>
        <w:rPr>
          <w:sz w:val="23"/>
        </w:rPr>
        <w:t>Для выявления COVID-19 исследуются респираторные диагностические материалы, взятые у пациента: мазки из носоглотки и ротоглотки, мокрота, эндотрахеальный аспират, бронхоальвеолярный лаваж и другие виды материала.</w:t>
      </w:r>
    </w:p>
    <w:p>
      <w:pPr>
        <w:pStyle w:val="BodyText"/>
        <w:spacing w:before="3"/>
        <w:ind w:left="0"/>
        <w:jc w:val="left"/>
        <w:rPr>
          <w:sz w:val="26"/>
        </w:rPr>
      </w:pPr>
    </w:p>
    <w:p>
      <w:pPr>
        <w:spacing w:before="0"/>
        <w:ind w:left="688" w:right="0" w:firstLine="0"/>
        <w:jc w:val="both"/>
        <w:rPr>
          <w:b/>
          <w:sz w:val="23"/>
        </w:rPr>
      </w:pPr>
      <w:r>
        <w:rPr>
          <w:b/>
          <w:sz w:val="23"/>
        </w:rPr>
        <w:t>Сбор, хранение и транспортировка диагностического материала.</w:t>
      </w:r>
    </w:p>
    <w:p>
      <w:pPr>
        <w:spacing w:line="276" w:lineRule="auto" w:before="40"/>
        <w:ind w:left="121" w:right="154" w:firstLine="566"/>
        <w:jc w:val="both"/>
        <w:rPr>
          <w:sz w:val="23"/>
        </w:rPr>
      </w:pPr>
      <w:r>
        <w:rPr>
          <w:sz w:val="23"/>
        </w:rPr>
        <w:t>Забор диагностического материала, его упаковка, маркировка и транспортировка осуществляется в соответствии с требованиями и правилами к работе с материалами, потенциально инфицированными возбудителями II группы патогенности, их хранении     и транспортировки согласно МУ 1.3.2569-09 «Организация работы лабораторий, использующих</w:t>
      </w:r>
      <w:r>
        <w:rPr>
          <w:spacing w:val="-15"/>
          <w:sz w:val="23"/>
        </w:rPr>
        <w:t> </w:t>
      </w:r>
      <w:r>
        <w:rPr>
          <w:sz w:val="23"/>
        </w:rPr>
        <w:t>МАНК</w:t>
      </w:r>
      <w:r>
        <w:rPr>
          <w:spacing w:val="-14"/>
          <w:sz w:val="23"/>
        </w:rPr>
        <w:t> </w:t>
      </w:r>
      <w:r>
        <w:rPr>
          <w:sz w:val="23"/>
        </w:rPr>
        <w:t>при</w:t>
      </w:r>
      <w:r>
        <w:rPr>
          <w:spacing w:val="-15"/>
          <w:sz w:val="23"/>
        </w:rPr>
        <w:t> </w:t>
      </w:r>
      <w:r>
        <w:rPr>
          <w:sz w:val="23"/>
        </w:rPr>
        <w:t>работе</w:t>
      </w:r>
      <w:r>
        <w:rPr>
          <w:spacing w:val="-16"/>
          <w:sz w:val="23"/>
        </w:rPr>
        <w:t> </w:t>
      </w:r>
      <w:r>
        <w:rPr>
          <w:sz w:val="23"/>
        </w:rPr>
        <w:t>с</w:t>
      </w:r>
      <w:r>
        <w:rPr>
          <w:spacing w:val="-13"/>
          <w:sz w:val="23"/>
        </w:rPr>
        <w:t> </w:t>
      </w:r>
      <w:r>
        <w:rPr>
          <w:sz w:val="23"/>
        </w:rPr>
        <w:t>материалом,</w:t>
      </w:r>
      <w:r>
        <w:rPr>
          <w:spacing w:val="-19"/>
          <w:sz w:val="23"/>
        </w:rPr>
        <w:t> </w:t>
      </w:r>
      <w:r>
        <w:rPr>
          <w:sz w:val="23"/>
        </w:rPr>
        <w:t>содержащим</w:t>
      </w:r>
      <w:r>
        <w:rPr>
          <w:spacing w:val="-16"/>
          <w:sz w:val="23"/>
        </w:rPr>
        <w:t> </w:t>
      </w:r>
      <w:r>
        <w:rPr>
          <w:sz w:val="23"/>
        </w:rPr>
        <w:t>микроорганизмы</w:t>
      </w:r>
      <w:r>
        <w:rPr>
          <w:spacing w:val="-14"/>
          <w:sz w:val="23"/>
        </w:rPr>
        <w:t> </w:t>
      </w:r>
      <w:r>
        <w:rPr>
          <w:sz w:val="23"/>
        </w:rPr>
        <w:t>I</w:t>
      </w:r>
      <w:r>
        <w:rPr>
          <w:spacing w:val="-17"/>
          <w:sz w:val="23"/>
        </w:rPr>
        <w:t> </w:t>
      </w:r>
      <w:r>
        <w:rPr>
          <w:sz w:val="23"/>
        </w:rPr>
        <w:t>–</w:t>
      </w:r>
      <w:r>
        <w:rPr>
          <w:spacing w:val="-14"/>
          <w:sz w:val="23"/>
        </w:rPr>
        <w:t> </w:t>
      </w:r>
      <w:r>
        <w:rPr>
          <w:sz w:val="23"/>
        </w:rPr>
        <w:t>IV</w:t>
      </w:r>
      <w:r>
        <w:rPr>
          <w:spacing w:val="-15"/>
          <w:sz w:val="23"/>
        </w:rPr>
        <w:t> </w:t>
      </w:r>
      <w:r>
        <w:rPr>
          <w:sz w:val="23"/>
        </w:rPr>
        <w:t>групп патогенности» и Методическими рекомендациями Роспотребнадзора MP</w:t>
      </w:r>
      <w:r>
        <w:rPr>
          <w:spacing w:val="13"/>
          <w:sz w:val="23"/>
        </w:rPr>
        <w:t> </w:t>
      </w:r>
      <w:r>
        <w:rPr>
          <w:sz w:val="23"/>
        </w:rPr>
        <w:t>3.1.0169-20</w:t>
      </w:r>
    </w:p>
    <w:p>
      <w:pPr>
        <w:spacing w:before="2"/>
        <w:ind w:left="121" w:right="0" w:firstLine="0"/>
        <w:jc w:val="both"/>
        <w:rPr>
          <w:sz w:val="23"/>
        </w:rPr>
      </w:pPr>
      <w:r>
        <w:rPr>
          <w:sz w:val="23"/>
        </w:rPr>
        <w:t>«Лабораторная диагностика COVID-19».</w:t>
      </w:r>
    </w:p>
    <w:p>
      <w:pPr>
        <w:spacing w:line="276" w:lineRule="auto" w:before="37"/>
        <w:ind w:left="121" w:right="153" w:firstLine="566"/>
        <w:jc w:val="both"/>
        <w:rPr>
          <w:sz w:val="23"/>
        </w:rPr>
      </w:pPr>
      <w:r>
        <w:rPr>
          <w:sz w:val="23"/>
        </w:rPr>
        <w:t>Медицинский работник, выполняющий забор диагностического материала, его маркировку и упаковку, должен пройти инструктаж по санитарно-эпидемиологическим требованиям и правилам биологической безопасности при работе с пациентами, потенциально инфицированными микроорганизмами II группы патогенности. Биологический материал (мазки из носоглотки, ротоглотки, фекалии) может быть отобран самостоятельно пациентом согласно инструкции. Медицинский работник должен быть обеспечен СИЗ: респираторы типа FFP2 или их эквивалент, или пневмошлем, обеспечивающий более высокий уровень защиты; очки для защиты глаз или защитный экран; противочумный костюм, одноразовые латексные (резиновые) перчатки; водонепроницаемый фартук.</w:t>
      </w:r>
    </w:p>
    <w:p>
      <w:pPr>
        <w:spacing w:line="276" w:lineRule="auto" w:before="2"/>
        <w:ind w:left="121" w:right="153" w:firstLine="566"/>
        <w:jc w:val="both"/>
        <w:rPr>
          <w:sz w:val="23"/>
        </w:rPr>
      </w:pPr>
      <w:r>
        <w:rPr>
          <w:sz w:val="23"/>
        </w:rPr>
        <w:t>Мазок из носоглотки или ротоглотки (зева) берется стерильным тампоном, который после взятия материала помещается в стерильную пластиковую пробирку с транспортной средой (с учетом рекомендаций производителя применяемых наборов реагентов). Для повышения концентрации вируса носоглоточные и орофарингеальные мазки должны быть</w:t>
      </w:r>
    </w:p>
    <w:p>
      <w:pPr>
        <w:spacing w:after="0" w:line="276" w:lineRule="auto"/>
        <w:jc w:val="both"/>
        <w:rPr>
          <w:sz w:val="23"/>
        </w:rPr>
        <w:sectPr>
          <w:pgSz w:w="11920" w:h="16850"/>
          <w:pgMar w:header="0" w:footer="700" w:top="1060" w:bottom="880" w:left="1580" w:right="1120"/>
        </w:sectPr>
      </w:pPr>
    </w:p>
    <w:p>
      <w:pPr>
        <w:spacing w:line="276" w:lineRule="auto" w:before="78"/>
        <w:ind w:left="121" w:right="156" w:hanging="1"/>
        <w:jc w:val="both"/>
        <w:rPr>
          <w:sz w:val="23"/>
        </w:rPr>
      </w:pPr>
      <w:r>
        <w:rPr>
          <w:sz w:val="23"/>
        </w:rPr>
        <w:t>помещены в одну пробирку. Температура при транспортировке должна быть +2°-+8 °C. Время хранения образцов до исследования не должна превышать 5 дней при +2°-+8 °C, может быть больше при -20 °С или -70 °С.</w:t>
      </w:r>
    </w:p>
    <w:p>
      <w:pPr>
        <w:spacing w:line="276" w:lineRule="auto" w:before="0"/>
        <w:ind w:left="121" w:right="154" w:firstLine="566"/>
        <w:jc w:val="both"/>
        <w:rPr>
          <w:sz w:val="23"/>
        </w:rPr>
      </w:pPr>
      <w:r>
        <w:rPr>
          <w:sz w:val="23"/>
        </w:rPr>
        <w:t>Мокрота собирается в одноразовый стерильный пластиковый контейнер объемом 30-50 мл, герметично закрывающийся завинчивающейся пробкой. Диаметр горлышка контейнера должен быть не менее 30 мм. Необходимо убедиться, что собранный материал представляет собой мокроту (отделяемое нижних дыхательных путей). Транспортировка образцов может проводиться при температуре +2°-+8 °C. Время хранения образцов до исследования не должна превышать 48 часов дней при +2°-+8 °C. при хранении в транспортной среде, содержащей противогрибковые и антибактериальные препараты, более - при -20 °C или -70 °C.</w:t>
      </w:r>
    </w:p>
    <w:p>
      <w:pPr>
        <w:spacing w:line="276" w:lineRule="auto" w:before="0"/>
        <w:ind w:left="121" w:right="155" w:firstLine="566"/>
        <w:jc w:val="both"/>
        <w:rPr>
          <w:sz w:val="23"/>
        </w:rPr>
      </w:pPr>
      <w:r>
        <w:rPr>
          <w:sz w:val="23"/>
        </w:rPr>
        <w:t>Эндотрахеальный аспират, аспират носоглотки или смыв из носа собирается в стерильный одноразовый контейнер. Транспортировка образцов может проводиться при температуре +2°-+8 °C. Время хранения образцов до исследования не должна превышать 48 ч при +2°-+8 °C, более – при -20 °C или -70 °C.</w:t>
      </w:r>
    </w:p>
    <w:p>
      <w:pPr>
        <w:spacing w:line="276" w:lineRule="auto" w:before="0"/>
        <w:ind w:left="121" w:right="154" w:firstLine="566"/>
        <w:jc w:val="both"/>
        <w:rPr>
          <w:sz w:val="23"/>
        </w:rPr>
      </w:pPr>
      <w:r>
        <w:rPr>
          <w:sz w:val="23"/>
        </w:rPr>
        <w:t>Бронхоальвеолярный лаваж собирается в стерильный одноразовый контейнер. Транспортировка</w:t>
      </w:r>
      <w:r>
        <w:rPr>
          <w:spacing w:val="-14"/>
          <w:sz w:val="23"/>
        </w:rPr>
        <w:t> </w:t>
      </w:r>
      <w:r>
        <w:rPr>
          <w:sz w:val="23"/>
        </w:rPr>
        <w:t>образцов</w:t>
      </w:r>
      <w:r>
        <w:rPr>
          <w:spacing w:val="-16"/>
          <w:sz w:val="23"/>
        </w:rPr>
        <w:t> </w:t>
      </w:r>
      <w:r>
        <w:rPr>
          <w:sz w:val="23"/>
        </w:rPr>
        <w:t>может</w:t>
      </w:r>
      <w:r>
        <w:rPr>
          <w:spacing w:val="-15"/>
          <w:sz w:val="23"/>
        </w:rPr>
        <w:t> </w:t>
      </w:r>
      <w:r>
        <w:rPr>
          <w:sz w:val="23"/>
        </w:rPr>
        <w:t>проводиться</w:t>
      </w:r>
      <w:r>
        <w:rPr>
          <w:spacing w:val="-16"/>
          <w:sz w:val="23"/>
        </w:rPr>
        <w:t> </w:t>
      </w:r>
      <w:r>
        <w:rPr>
          <w:sz w:val="23"/>
        </w:rPr>
        <w:t>при</w:t>
      </w:r>
      <w:r>
        <w:rPr>
          <w:spacing w:val="-16"/>
          <w:sz w:val="23"/>
        </w:rPr>
        <w:t> </w:t>
      </w:r>
      <w:r>
        <w:rPr>
          <w:sz w:val="23"/>
        </w:rPr>
        <w:t>температуре</w:t>
      </w:r>
      <w:r>
        <w:rPr>
          <w:spacing w:val="-14"/>
          <w:sz w:val="23"/>
        </w:rPr>
        <w:t> </w:t>
      </w:r>
      <w:r>
        <w:rPr>
          <w:sz w:val="23"/>
        </w:rPr>
        <w:t>+2°-+8</w:t>
      </w:r>
      <w:r>
        <w:rPr>
          <w:spacing w:val="-13"/>
          <w:sz w:val="23"/>
        </w:rPr>
        <w:t> </w:t>
      </w:r>
      <w:r>
        <w:rPr>
          <w:sz w:val="23"/>
        </w:rPr>
        <w:t>°C.</w:t>
      </w:r>
      <w:r>
        <w:rPr>
          <w:spacing w:val="-15"/>
          <w:sz w:val="23"/>
        </w:rPr>
        <w:t> </w:t>
      </w:r>
      <w:r>
        <w:rPr>
          <w:sz w:val="23"/>
        </w:rPr>
        <w:t>Время</w:t>
      </w:r>
      <w:r>
        <w:rPr>
          <w:spacing w:val="-17"/>
          <w:sz w:val="23"/>
        </w:rPr>
        <w:t> </w:t>
      </w:r>
      <w:r>
        <w:rPr>
          <w:sz w:val="23"/>
        </w:rPr>
        <w:t>хранения образцов</w:t>
      </w:r>
      <w:r>
        <w:rPr>
          <w:spacing w:val="-9"/>
          <w:sz w:val="23"/>
        </w:rPr>
        <w:t> </w:t>
      </w:r>
      <w:r>
        <w:rPr>
          <w:sz w:val="23"/>
        </w:rPr>
        <w:t>до</w:t>
      </w:r>
      <w:r>
        <w:rPr>
          <w:spacing w:val="-9"/>
          <w:sz w:val="23"/>
        </w:rPr>
        <w:t> </w:t>
      </w:r>
      <w:r>
        <w:rPr>
          <w:sz w:val="23"/>
        </w:rPr>
        <w:t>исследования</w:t>
      </w:r>
      <w:r>
        <w:rPr>
          <w:spacing w:val="-8"/>
          <w:sz w:val="23"/>
        </w:rPr>
        <w:t> </w:t>
      </w:r>
      <w:r>
        <w:rPr>
          <w:sz w:val="23"/>
        </w:rPr>
        <w:t>не</w:t>
      </w:r>
      <w:r>
        <w:rPr>
          <w:spacing w:val="-8"/>
          <w:sz w:val="23"/>
        </w:rPr>
        <w:t> </w:t>
      </w:r>
      <w:r>
        <w:rPr>
          <w:sz w:val="23"/>
        </w:rPr>
        <w:t>должна</w:t>
      </w:r>
      <w:r>
        <w:rPr>
          <w:spacing w:val="-7"/>
          <w:sz w:val="23"/>
        </w:rPr>
        <w:t> </w:t>
      </w:r>
      <w:r>
        <w:rPr>
          <w:sz w:val="23"/>
        </w:rPr>
        <w:t>превышать</w:t>
      </w:r>
      <w:r>
        <w:rPr>
          <w:spacing w:val="-10"/>
          <w:sz w:val="23"/>
        </w:rPr>
        <w:t> </w:t>
      </w:r>
      <w:r>
        <w:rPr>
          <w:sz w:val="23"/>
        </w:rPr>
        <w:t>48</w:t>
      </w:r>
      <w:r>
        <w:rPr>
          <w:spacing w:val="-9"/>
          <w:sz w:val="23"/>
        </w:rPr>
        <w:t> </w:t>
      </w:r>
      <w:r>
        <w:rPr>
          <w:sz w:val="23"/>
        </w:rPr>
        <w:t>ч</w:t>
      </w:r>
      <w:r>
        <w:rPr>
          <w:spacing w:val="-8"/>
          <w:sz w:val="23"/>
        </w:rPr>
        <w:t> </w:t>
      </w:r>
      <w:r>
        <w:rPr>
          <w:sz w:val="23"/>
        </w:rPr>
        <w:t>при</w:t>
      </w:r>
      <w:r>
        <w:rPr>
          <w:spacing w:val="-6"/>
          <w:sz w:val="23"/>
        </w:rPr>
        <w:t> </w:t>
      </w:r>
      <w:r>
        <w:rPr>
          <w:sz w:val="23"/>
        </w:rPr>
        <w:t>+2°-+8</w:t>
      </w:r>
      <w:r>
        <w:rPr>
          <w:spacing w:val="-5"/>
          <w:sz w:val="23"/>
        </w:rPr>
        <w:t> </w:t>
      </w:r>
      <w:r>
        <w:rPr>
          <w:sz w:val="23"/>
        </w:rPr>
        <w:t>°C,</w:t>
      </w:r>
      <w:r>
        <w:rPr>
          <w:spacing w:val="-9"/>
          <w:sz w:val="23"/>
        </w:rPr>
        <w:t> </w:t>
      </w:r>
      <w:r>
        <w:rPr>
          <w:sz w:val="23"/>
        </w:rPr>
        <w:t>более</w:t>
      </w:r>
      <w:r>
        <w:rPr>
          <w:spacing w:val="-8"/>
          <w:sz w:val="23"/>
        </w:rPr>
        <w:t> </w:t>
      </w:r>
      <w:r>
        <w:rPr>
          <w:sz w:val="23"/>
        </w:rPr>
        <w:t>–</w:t>
      </w:r>
      <w:r>
        <w:rPr>
          <w:spacing w:val="-8"/>
          <w:sz w:val="23"/>
        </w:rPr>
        <w:t> </w:t>
      </w:r>
      <w:r>
        <w:rPr>
          <w:sz w:val="23"/>
        </w:rPr>
        <w:t>при</w:t>
      </w:r>
      <w:r>
        <w:rPr>
          <w:spacing w:val="-9"/>
          <w:sz w:val="23"/>
        </w:rPr>
        <w:t> </w:t>
      </w:r>
      <w:r>
        <w:rPr>
          <w:sz w:val="23"/>
        </w:rPr>
        <w:t>-20</w:t>
      </w:r>
      <w:r>
        <w:rPr>
          <w:spacing w:val="-5"/>
          <w:sz w:val="23"/>
        </w:rPr>
        <w:t> </w:t>
      </w:r>
      <w:r>
        <w:rPr>
          <w:sz w:val="23"/>
        </w:rPr>
        <w:t>°C</w:t>
      </w:r>
      <w:r>
        <w:rPr>
          <w:spacing w:val="-9"/>
          <w:sz w:val="23"/>
        </w:rPr>
        <w:t> </w:t>
      </w:r>
      <w:r>
        <w:rPr>
          <w:sz w:val="23"/>
        </w:rPr>
        <w:t>или</w:t>
      </w:r>
    </w:p>
    <w:p>
      <w:pPr>
        <w:spacing w:line="264" w:lineRule="exact" w:before="0"/>
        <w:ind w:left="121" w:right="0" w:firstLine="0"/>
        <w:jc w:val="both"/>
        <w:rPr>
          <w:sz w:val="23"/>
        </w:rPr>
      </w:pPr>
      <w:r>
        <w:rPr>
          <w:sz w:val="23"/>
        </w:rPr>
        <w:t>-70 °C.</w:t>
      </w:r>
    </w:p>
    <w:p>
      <w:pPr>
        <w:spacing w:line="276" w:lineRule="auto" w:before="41"/>
        <w:ind w:left="120" w:right="154" w:firstLine="566"/>
        <w:jc w:val="both"/>
        <w:rPr>
          <w:sz w:val="23"/>
        </w:rPr>
      </w:pPr>
      <w:r>
        <w:rPr>
          <w:sz w:val="23"/>
        </w:rPr>
        <w:t>Ткани биопсии или аутопсии, включая легкие, помещаются в одноразовые контейнеры с физиологическим раствором, содержащим противогрибковые и антибактериальные препараты (собирается в стерильный одноразовый контейнер). Транспортировка</w:t>
      </w:r>
      <w:r>
        <w:rPr>
          <w:spacing w:val="-15"/>
          <w:sz w:val="23"/>
        </w:rPr>
        <w:t> </w:t>
      </w:r>
      <w:r>
        <w:rPr>
          <w:sz w:val="23"/>
        </w:rPr>
        <w:t>образцов</w:t>
      </w:r>
      <w:r>
        <w:rPr>
          <w:spacing w:val="-15"/>
          <w:sz w:val="23"/>
        </w:rPr>
        <w:t> </w:t>
      </w:r>
      <w:r>
        <w:rPr>
          <w:sz w:val="23"/>
        </w:rPr>
        <w:t>может</w:t>
      </w:r>
      <w:r>
        <w:rPr>
          <w:spacing w:val="-15"/>
          <w:sz w:val="23"/>
        </w:rPr>
        <w:t> </w:t>
      </w:r>
      <w:r>
        <w:rPr>
          <w:sz w:val="23"/>
        </w:rPr>
        <w:t>проводиться</w:t>
      </w:r>
      <w:r>
        <w:rPr>
          <w:spacing w:val="-16"/>
          <w:sz w:val="23"/>
        </w:rPr>
        <w:t> </w:t>
      </w:r>
      <w:r>
        <w:rPr>
          <w:sz w:val="23"/>
        </w:rPr>
        <w:t>при</w:t>
      </w:r>
      <w:r>
        <w:rPr>
          <w:spacing w:val="-16"/>
          <w:sz w:val="23"/>
        </w:rPr>
        <w:t> </w:t>
      </w:r>
      <w:r>
        <w:rPr>
          <w:sz w:val="23"/>
        </w:rPr>
        <w:t>температуре</w:t>
      </w:r>
      <w:r>
        <w:rPr>
          <w:spacing w:val="-14"/>
          <w:sz w:val="23"/>
        </w:rPr>
        <w:t> </w:t>
      </w:r>
      <w:r>
        <w:rPr>
          <w:sz w:val="23"/>
        </w:rPr>
        <w:t>+2°-+8</w:t>
      </w:r>
      <w:r>
        <w:rPr>
          <w:spacing w:val="-13"/>
          <w:sz w:val="23"/>
        </w:rPr>
        <w:t> </w:t>
      </w:r>
      <w:r>
        <w:rPr>
          <w:sz w:val="23"/>
        </w:rPr>
        <w:t>°C.</w:t>
      </w:r>
      <w:r>
        <w:rPr>
          <w:spacing w:val="-15"/>
          <w:sz w:val="23"/>
        </w:rPr>
        <w:t> </w:t>
      </w:r>
      <w:r>
        <w:rPr>
          <w:sz w:val="23"/>
        </w:rPr>
        <w:t>Время</w:t>
      </w:r>
      <w:r>
        <w:rPr>
          <w:spacing w:val="-18"/>
          <w:sz w:val="23"/>
        </w:rPr>
        <w:t> </w:t>
      </w:r>
      <w:r>
        <w:rPr>
          <w:sz w:val="23"/>
        </w:rPr>
        <w:t>хранения образцов</w:t>
      </w:r>
      <w:r>
        <w:rPr>
          <w:spacing w:val="-9"/>
          <w:sz w:val="23"/>
        </w:rPr>
        <w:t> </w:t>
      </w:r>
      <w:r>
        <w:rPr>
          <w:sz w:val="23"/>
        </w:rPr>
        <w:t>до</w:t>
      </w:r>
      <w:r>
        <w:rPr>
          <w:spacing w:val="-8"/>
          <w:sz w:val="23"/>
        </w:rPr>
        <w:t> </w:t>
      </w:r>
      <w:r>
        <w:rPr>
          <w:sz w:val="23"/>
        </w:rPr>
        <w:t>исследования</w:t>
      </w:r>
      <w:r>
        <w:rPr>
          <w:spacing w:val="-9"/>
          <w:sz w:val="23"/>
        </w:rPr>
        <w:t> </w:t>
      </w:r>
      <w:r>
        <w:rPr>
          <w:sz w:val="23"/>
        </w:rPr>
        <w:t>не</w:t>
      </w:r>
      <w:r>
        <w:rPr>
          <w:spacing w:val="-7"/>
          <w:sz w:val="23"/>
        </w:rPr>
        <w:t> </w:t>
      </w:r>
      <w:r>
        <w:rPr>
          <w:sz w:val="23"/>
        </w:rPr>
        <w:t>должна</w:t>
      </w:r>
      <w:r>
        <w:rPr>
          <w:spacing w:val="-8"/>
          <w:sz w:val="23"/>
        </w:rPr>
        <w:t> </w:t>
      </w:r>
      <w:r>
        <w:rPr>
          <w:sz w:val="23"/>
        </w:rPr>
        <w:t>превышать</w:t>
      </w:r>
      <w:r>
        <w:rPr>
          <w:spacing w:val="-9"/>
          <w:sz w:val="23"/>
        </w:rPr>
        <w:t> </w:t>
      </w:r>
      <w:r>
        <w:rPr>
          <w:sz w:val="23"/>
        </w:rPr>
        <w:t>24</w:t>
      </w:r>
      <w:r>
        <w:rPr>
          <w:spacing w:val="-8"/>
          <w:sz w:val="23"/>
        </w:rPr>
        <w:t> </w:t>
      </w:r>
      <w:r>
        <w:rPr>
          <w:sz w:val="23"/>
        </w:rPr>
        <w:t>ч</w:t>
      </w:r>
      <w:r>
        <w:rPr>
          <w:spacing w:val="-9"/>
          <w:sz w:val="23"/>
        </w:rPr>
        <w:t> </w:t>
      </w:r>
      <w:r>
        <w:rPr>
          <w:sz w:val="23"/>
        </w:rPr>
        <w:t>при</w:t>
      </w:r>
      <w:r>
        <w:rPr>
          <w:spacing w:val="-6"/>
          <w:sz w:val="23"/>
        </w:rPr>
        <w:t> </w:t>
      </w:r>
      <w:r>
        <w:rPr>
          <w:sz w:val="23"/>
        </w:rPr>
        <w:t>+2°-+8</w:t>
      </w:r>
      <w:r>
        <w:rPr>
          <w:spacing w:val="-6"/>
          <w:sz w:val="23"/>
        </w:rPr>
        <w:t> </w:t>
      </w:r>
      <w:r>
        <w:rPr>
          <w:sz w:val="23"/>
        </w:rPr>
        <w:t>°C,</w:t>
      </w:r>
      <w:r>
        <w:rPr>
          <w:spacing w:val="-8"/>
          <w:sz w:val="23"/>
        </w:rPr>
        <w:t> </w:t>
      </w:r>
      <w:r>
        <w:rPr>
          <w:sz w:val="23"/>
        </w:rPr>
        <w:t>более</w:t>
      </w:r>
      <w:r>
        <w:rPr>
          <w:spacing w:val="-7"/>
          <w:sz w:val="23"/>
        </w:rPr>
        <w:t> </w:t>
      </w:r>
      <w:r>
        <w:rPr>
          <w:sz w:val="23"/>
        </w:rPr>
        <w:t>–</w:t>
      </w:r>
      <w:r>
        <w:rPr>
          <w:spacing w:val="-9"/>
          <w:sz w:val="23"/>
        </w:rPr>
        <w:t> </w:t>
      </w:r>
      <w:r>
        <w:rPr>
          <w:sz w:val="23"/>
        </w:rPr>
        <w:t>при</w:t>
      </w:r>
      <w:r>
        <w:rPr>
          <w:spacing w:val="-8"/>
          <w:sz w:val="23"/>
        </w:rPr>
        <w:t> </w:t>
      </w:r>
      <w:r>
        <w:rPr>
          <w:sz w:val="23"/>
        </w:rPr>
        <w:t>-20</w:t>
      </w:r>
      <w:r>
        <w:rPr>
          <w:spacing w:val="-6"/>
          <w:sz w:val="23"/>
        </w:rPr>
        <w:t> </w:t>
      </w:r>
      <w:r>
        <w:rPr>
          <w:sz w:val="23"/>
        </w:rPr>
        <w:t>°C</w:t>
      </w:r>
      <w:r>
        <w:rPr>
          <w:spacing w:val="-8"/>
          <w:sz w:val="23"/>
        </w:rPr>
        <w:t> </w:t>
      </w:r>
      <w:r>
        <w:rPr>
          <w:sz w:val="23"/>
        </w:rPr>
        <w:t>или</w:t>
      </w:r>
    </w:p>
    <w:p>
      <w:pPr>
        <w:spacing w:before="1"/>
        <w:ind w:left="120" w:right="0" w:firstLine="0"/>
        <w:jc w:val="both"/>
        <w:rPr>
          <w:sz w:val="23"/>
        </w:rPr>
      </w:pPr>
      <w:r>
        <w:rPr>
          <w:sz w:val="23"/>
        </w:rPr>
        <w:t>-70 °C.</w:t>
      </w:r>
    </w:p>
    <w:p>
      <w:pPr>
        <w:spacing w:line="276" w:lineRule="auto" w:before="37"/>
        <w:ind w:left="120" w:right="157" w:firstLine="566"/>
        <w:jc w:val="both"/>
        <w:rPr>
          <w:sz w:val="23"/>
        </w:rPr>
      </w:pPr>
      <w:r>
        <w:rPr>
          <w:sz w:val="23"/>
        </w:rPr>
        <w:t>Для идентификации образцов контейнеры/пробирки маркируются в месте сбора с использованием самоклеящихся этикеток с информацией, обеспечивающей однозначную идентификацию образца и его соответствие направлению.</w:t>
      </w:r>
    </w:p>
    <w:p>
      <w:pPr>
        <w:spacing w:line="276" w:lineRule="auto" w:before="0"/>
        <w:ind w:left="120" w:right="156" w:firstLine="566"/>
        <w:jc w:val="both"/>
        <w:rPr>
          <w:sz w:val="23"/>
        </w:rPr>
      </w:pPr>
      <w:r>
        <w:rPr>
          <w:sz w:val="23"/>
        </w:rPr>
        <w:t>Транспортировка герметично закрытых контейнеров с образцами в лабораторию осуществляется в специальных контейнерах/биксах. Направления и другая документация на бумажных носителях передается в отдельном полиэтиленовом пакете.</w:t>
      </w:r>
    </w:p>
    <w:p>
      <w:pPr>
        <w:spacing w:line="276" w:lineRule="auto" w:before="2"/>
        <w:ind w:left="120" w:right="155" w:firstLine="566"/>
        <w:jc w:val="both"/>
        <w:rPr>
          <w:sz w:val="23"/>
        </w:rPr>
      </w:pPr>
      <w:r>
        <w:rPr>
          <w:sz w:val="23"/>
        </w:rPr>
        <w:t>При необходимости пересылки образцов в лабораторию другого медицинского учреждения выполняются требования к пересылке инфекционных материалов II группы патогенности (СП 1.2.036-95 «Порядок учета, хранения, передачи и транспортирования микроорганизмов I-IV групп патогенности»).</w:t>
      </w:r>
    </w:p>
    <w:p>
      <w:pPr>
        <w:spacing w:line="276" w:lineRule="auto" w:before="0"/>
        <w:ind w:left="120" w:right="153" w:firstLine="566"/>
        <w:jc w:val="both"/>
        <w:rPr>
          <w:sz w:val="23"/>
        </w:rPr>
      </w:pPr>
      <w:r>
        <w:rPr>
          <w:sz w:val="23"/>
        </w:rPr>
        <w:t>Пробирки/контейнеры с образцами вместе с крышкой герметизируют различными пластификаторами (парафин, парафильм и др.); емкость маркируют. Образцы каждого пациента помещают в индивидуальный герметичный пакет с адсорбирующим материалом и дополнительно упаковывают в общий герметичный пакет.</w:t>
      </w:r>
    </w:p>
    <w:p>
      <w:pPr>
        <w:spacing w:line="276" w:lineRule="auto" w:before="0"/>
        <w:ind w:left="120" w:right="154" w:firstLine="566"/>
        <w:jc w:val="both"/>
        <w:rPr>
          <w:sz w:val="23"/>
        </w:rPr>
      </w:pPr>
      <w:r>
        <w:rPr>
          <w:sz w:val="23"/>
        </w:rPr>
        <w:t>Два или более образца одного пациента могут быть упакованы в один пластиковый пакет.</w:t>
      </w:r>
      <w:r>
        <w:rPr>
          <w:spacing w:val="-8"/>
          <w:sz w:val="23"/>
        </w:rPr>
        <w:t> </w:t>
      </w:r>
      <w:r>
        <w:rPr>
          <w:sz w:val="23"/>
        </w:rPr>
        <w:t>Запрещается</w:t>
      </w:r>
      <w:r>
        <w:rPr>
          <w:spacing w:val="-5"/>
          <w:sz w:val="23"/>
        </w:rPr>
        <w:t> </w:t>
      </w:r>
      <w:r>
        <w:rPr>
          <w:sz w:val="23"/>
        </w:rPr>
        <w:t>упаковывать</w:t>
      </w:r>
      <w:r>
        <w:rPr>
          <w:spacing w:val="-7"/>
          <w:sz w:val="23"/>
        </w:rPr>
        <w:t> </w:t>
      </w:r>
      <w:r>
        <w:rPr>
          <w:sz w:val="23"/>
        </w:rPr>
        <w:t>образцы</w:t>
      </w:r>
      <w:r>
        <w:rPr>
          <w:spacing w:val="-6"/>
          <w:sz w:val="23"/>
        </w:rPr>
        <w:t> </w:t>
      </w:r>
      <w:r>
        <w:rPr>
          <w:sz w:val="23"/>
        </w:rPr>
        <w:t>клинического</w:t>
      </w:r>
      <w:r>
        <w:rPr>
          <w:spacing w:val="-7"/>
          <w:sz w:val="23"/>
        </w:rPr>
        <w:t> </w:t>
      </w:r>
      <w:r>
        <w:rPr>
          <w:sz w:val="23"/>
        </w:rPr>
        <w:t>материала</w:t>
      </w:r>
      <w:r>
        <w:rPr>
          <w:spacing w:val="-6"/>
          <w:sz w:val="23"/>
        </w:rPr>
        <w:t> </w:t>
      </w:r>
      <w:r>
        <w:rPr>
          <w:sz w:val="23"/>
        </w:rPr>
        <w:t>от</w:t>
      </w:r>
      <w:r>
        <w:rPr>
          <w:spacing w:val="-5"/>
          <w:sz w:val="23"/>
        </w:rPr>
        <w:t> </w:t>
      </w:r>
      <w:r>
        <w:rPr>
          <w:sz w:val="23"/>
        </w:rPr>
        <w:t>разных</w:t>
      </w:r>
      <w:r>
        <w:rPr>
          <w:spacing w:val="-5"/>
          <w:sz w:val="23"/>
        </w:rPr>
        <w:t> </w:t>
      </w:r>
      <w:r>
        <w:rPr>
          <w:sz w:val="23"/>
        </w:rPr>
        <w:t>людей</w:t>
      </w:r>
      <w:r>
        <w:rPr>
          <w:spacing w:val="-6"/>
          <w:sz w:val="23"/>
        </w:rPr>
        <w:t> </w:t>
      </w:r>
      <w:r>
        <w:rPr>
          <w:sz w:val="23"/>
        </w:rPr>
        <w:t>в</w:t>
      </w:r>
      <w:r>
        <w:rPr>
          <w:spacing w:val="-8"/>
          <w:sz w:val="23"/>
        </w:rPr>
        <w:t> </w:t>
      </w:r>
      <w:r>
        <w:rPr>
          <w:sz w:val="23"/>
        </w:rPr>
        <w:t>одну упаковку.</w:t>
      </w:r>
    </w:p>
    <w:p>
      <w:pPr>
        <w:spacing w:line="276" w:lineRule="auto" w:before="0"/>
        <w:ind w:left="120" w:right="153" w:firstLine="566"/>
        <w:jc w:val="both"/>
        <w:rPr>
          <w:sz w:val="23"/>
        </w:rPr>
      </w:pPr>
      <w:r>
        <w:rPr>
          <w:sz w:val="23"/>
        </w:rPr>
        <w:t>Пакет с контейнерами помещают в герметично закрывающийся контейнер для транспортировки биологических материалов. Контейнер помещают в пенопластовый термоконтейнер с охлаждающими термоэлементами. Транспортный контейнер опечатывается</w:t>
      </w:r>
      <w:r>
        <w:rPr>
          <w:spacing w:val="-13"/>
          <w:sz w:val="23"/>
        </w:rPr>
        <w:t> </w:t>
      </w:r>
      <w:r>
        <w:rPr>
          <w:sz w:val="23"/>
        </w:rPr>
        <w:t>и</w:t>
      </w:r>
      <w:r>
        <w:rPr>
          <w:spacing w:val="-13"/>
          <w:sz w:val="23"/>
        </w:rPr>
        <w:t> </w:t>
      </w:r>
      <w:r>
        <w:rPr>
          <w:sz w:val="23"/>
        </w:rPr>
        <w:t>маркируется.</w:t>
      </w:r>
      <w:r>
        <w:rPr>
          <w:spacing w:val="-12"/>
          <w:sz w:val="23"/>
        </w:rPr>
        <w:t> </w:t>
      </w:r>
      <w:r>
        <w:rPr>
          <w:sz w:val="23"/>
        </w:rPr>
        <w:t>В</w:t>
      </w:r>
      <w:r>
        <w:rPr>
          <w:spacing w:val="-12"/>
          <w:sz w:val="23"/>
        </w:rPr>
        <w:t> </w:t>
      </w:r>
      <w:r>
        <w:rPr>
          <w:sz w:val="23"/>
        </w:rPr>
        <w:t>контейнер</w:t>
      </w:r>
      <w:r>
        <w:rPr>
          <w:spacing w:val="-13"/>
          <w:sz w:val="23"/>
        </w:rPr>
        <w:t> </w:t>
      </w:r>
      <w:r>
        <w:rPr>
          <w:sz w:val="23"/>
        </w:rPr>
        <w:t>желательно</w:t>
      </w:r>
      <w:r>
        <w:rPr>
          <w:spacing w:val="-12"/>
          <w:sz w:val="23"/>
        </w:rPr>
        <w:t> </w:t>
      </w:r>
      <w:r>
        <w:rPr>
          <w:sz w:val="23"/>
        </w:rPr>
        <w:t>поместить</w:t>
      </w:r>
      <w:r>
        <w:rPr>
          <w:spacing w:val="-11"/>
          <w:sz w:val="23"/>
        </w:rPr>
        <w:t> </w:t>
      </w:r>
      <w:r>
        <w:rPr>
          <w:sz w:val="23"/>
        </w:rPr>
        <w:t>одноразовый</w:t>
      </w:r>
      <w:r>
        <w:rPr>
          <w:spacing w:val="-14"/>
          <w:sz w:val="23"/>
        </w:rPr>
        <w:t> </w:t>
      </w:r>
      <w:r>
        <w:rPr>
          <w:sz w:val="23"/>
        </w:rPr>
        <w:t>индикатор, контролирующий соблюдение температуры от +2° до +8</w:t>
      </w:r>
      <w:r>
        <w:rPr>
          <w:spacing w:val="-3"/>
          <w:sz w:val="23"/>
        </w:rPr>
        <w:t> </w:t>
      </w:r>
      <w:r>
        <w:rPr>
          <w:sz w:val="23"/>
        </w:rPr>
        <w:t>°С.</w:t>
      </w:r>
    </w:p>
    <w:p>
      <w:pPr>
        <w:spacing w:after="0" w:line="276" w:lineRule="auto"/>
        <w:jc w:val="both"/>
        <w:rPr>
          <w:sz w:val="23"/>
        </w:rPr>
        <w:sectPr>
          <w:pgSz w:w="11920" w:h="16850"/>
          <w:pgMar w:header="0" w:footer="700" w:top="1060" w:bottom="880" w:left="1580" w:right="1120"/>
        </w:sectPr>
      </w:pPr>
    </w:p>
    <w:p>
      <w:pPr>
        <w:spacing w:line="276" w:lineRule="auto" w:before="78"/>
        <w:ind w:left="121" w:right="157" w:firstLine="566"/>
        <w:jc w:val="both"/>
        <w:rPr>
          <w:sz w:val="23"/>
        </w:rPr>
      </w:pPr>
      <w:r>
        <w:rPr>
          <w:sz w:val="23"/>
        </w:rPr>
        <w:t>Сопроводительные</w:t>
      </w:r>
      <w:r>
        <w:rPr>
          <w:spacing w:val="-11"/>
          <w:sz w:val="23"/>
        </w:rPr>
        <w:t> </w:t>
      </w:r>
      <w:r>
        <w:rPr>
          <w:sz w:val="23"/>
        </w:rPr>
        <w:t>документы</w:t>
      </w:r>
      <w:r>
        <w:rPr>
          <w:spacing w:val="-12"/>
          <w:sz w:val="23"/>
        </w:rPr>
        <w:t> </w:t>
      </w:r>
      <w:r>
        <w:rPr>
          <w:sz w:val="23"/>
        </w:rPr>
        <w:t>помещаются</w:t>
      </w:r>
      <w:r>
        <w:rPr>
          <w:spacing w:val="-11"/>
          <w:sz w:val="23"/>
        </w:rPr>
        <w:t> </w:t>
      </w:r>
      <w:r>
        <w:rPr>
          <w:sz w:val="23"/>
        </w:rPr>
        <w:t>в</w:t>
      </w:r>
      <w:r>
        <w:rPr>
          <w:spacing w:val="-11"/>
          <w:sz w:val="23"/>
        </w:rPr>
        <w:t> </w:t>
      </w:r>
      <w:r>
        <w:rPr>
          <w:sz w:val="23"/>
        </w:rPr>
        <w:t>индивидуальную</w:t>
      </w:r>
      <w:r>
        <w:rPr>
          <w:spacing w:val="-8"/>
          <w:sz w:val="23"/>
        </w:rPr>
        <w:t> </w:t>
      </w:r>
      <w:r>
        <w:rPr>
          <w:sz w:val="23"/>
        </w:rPr>
        <w:t>упаковку</w:t>
      </w:r>
      <w:r>
        <w:rPr>
          <w:spacing w:val="-15"/>
          <w:sz w:val="23"/>
        </w:rPr>
        <w:t> </w:t>
      </w:r>
      <w:r>
        <w:rPr>
          <w:sz w:val="23"/>
        </w:rPr>
        <w:t>отдельно</w:t>
      </w:r>
      <w:r>
        <w:rPr>
          <w:spacing w:val="-13"/>
          <w:sz w:val="23"/>
        </w:rPr>
        <w:t> </w:t>
      </w:r>
      <w:r>
        <w:rPr>
          <w:sz w:val="23"/>
        </w:rPr>
        <w:t>от биологического материала и прочно прикрепляются снаружи</w:t>
      </w:r>
      <w:r>
        <w:rPr>
          <w:spacing w:val="-5"/>
          <w:sz w:val="23"/>
        </w:rPr>
        <w:t> </w:t>
      </w:r>
      <w:r>
        <w:rPr>
          <w:sz w:val="23"/>
        </w:rPr>
        <w:t>контейнера.</w:t>
      </w:r>
    </w:p>
    <w:p>
      <w:pPr>
        <w:pStyle w:val="BodyText"/>
        <w:spacing w:before="4"/>
        <w:ind w:left="0"/>
        <w:jc w:val="left"/>
        <w:rPr>
          <w:sz w:val="26"/>
        </w:rPr>
      </w:pPr>
    </w:p>
    <w:p>
      <w:pPr>
        <w:spacing w:before="0"/>
        <w:ind w:left="687" w:right="0" w:firstLine="0"/>
        <w:jc w:val="both"/>
        <w:rPr>
          <w:b/>
          <w:sz w:val="23"/>
        </w:rPr>
      </w:pPr>
      <w:r>
        <w:rPr>
          <w:b/>
          <w:sz w:val="23"/>
        </w:rPr>
        <w:t>Направление на исследование.</w:t>
      </w:r>
    </w:p>
    <w:p>
      <w:pPr>
        <w:spacing w:line="276" w:lineRule="auto" w:before="41"/>
        <w:ind w:left="121" w:right="153" w:firstLine="566"/>
        <w:jc w:val="both"/>
        <w:rPr>
          <w:sz w:val="23"/>
        </w:rPr>
      </w:pPr>
      <w:r>
        <w:rPr>
          <w:sz w:val="23"/>
        </w:rPr>
        <w:t>Направление на лабораторное исследование оформляется в электронном виде (через систему удаленной электронной регистрации, или в виде электронного заказа в программе МИС врачом-клиницистом), или на бумажном носителе.</w:t>
      </w:r>
    </w:p>
    <w:p>
      <w:pPr>
        <w:spacing w:line="264" w:lineRule="exact" w:before="0"/>
        <w:ind w:left="687" w:right="0" w:firstLine="0"/>
        <w:jc w:val="both"/>
        <w:rPr>
          <w:sz w:val="23"/>
        </w:rPr>
      </w:pPr>
      <w:r>
        <w:rPr>
          <w:sz w:val="23"/>
        </w:rPr>
        <w:t>Направление на лабораторное исследование должно содержать:</w:t>
      </w:r>
    </w:p>
    <w:p>
      <w:pPr>
        <w:pStyle w:val="BodyText"/>
        <w:spacing w:before="2"/>
        <w:ind w:left="0"/>
        <w:jc w:val="left"/>
        <w:rPr>
          <w:sz w:val="30"/>
        </w:rPr>
      </w:pPr>
    </w:p>
    <w:p>
      <w:pPr>
        <w:pStyle w:val="ListParagraph"/>
        <w:numPr>
          <w:ilvl w:val="1"/>
          <w:numId w:val="55"/>
        </w:numPr>
        <w:tabs>
          <w:tab w:pos="800" w:val="left" w:leader="none"/>
          <w:tab w:pos="801" w:val="left" w:leader="none"/>
          <w:tab w:pos="2564" w:val="left" w:leader="none"/>
          <w:tab w:pos="3637" w:val="left" w:leader="none"/>
          <w:tab w:pos="4960" w:val="left" w:leader="none"/>
          <w:tab w:pos="7038" w:val="left" w:leader="none"/>
          <w:tab w:pos="7684" w:val="left" w:leader="none"/>
        </w:tabs>
        <w:spacing w:line="304" w:lineRule="auto" w:before="0" w:after="0"/>
        <w:ind w:left="800" w:right="157" w:hanging="339"/>
        <w:jc w:val="left"/>
        <w:rPr>
          <w:sz w:val="24"/>
        </w:rPr>
      </w:pPr>
      <w:r>
        <w:rPr>
          <w:sz w:val="24"/>
        </w:rPr>
        <w:t>персональные</w:t>
        <w:tab/>
        <w:t>данные</w:t>
        <w:tab/>
        <w:t>пациента,</w:t>
        <w:tab/>
        <w:t>обеспечивающие</w:t>
        <w:tab/>
        <w:t>его</w:t>
        <w:tab/>
      </w:r>
      <w:r>
        <w:rPr>
          <w:spacing w:val="-3"/>
          <w:sz w:val="24"/>
        </w:rPr>
        <w:t>однозначную </w:t>
      </w:r>
      <w:r>
        <w:rPr>
          <w:sz w:val="24"/>
        </w:rPr>
        <w:t>идентификацию;</w:t>
      </w:r>
    </w:p>
    <w:p>
      <w:pPr>
        <w:pStyle w:val="ListParagraph"/>
        <w:numPr>
          <w:ilvl w:val="1"/>
          <w:numId w:val="55"/>
        </w:numPr>
        <w:tabs>
          <w:tab w:pos="800" w:val="left" w:leader="none"/>
          <w:tab w:pos="801" w:val="left" w:leader="none"/>
        </w:tabs>
        <w:spacing w:line="240" w:lineRule="auto" w:before="11" w:after="0"/>
        <w:ind w:left="800" w:right="0" w:hanging="339"/>
        <w:jc w:val="left"/>
        <w:rPr>
          <w:sz w:val="24"/>
        </w:rPr>
      </w:pPr>
      <w:r>
        <w:rPr>
          <w:sz w:val="24"/>
        </w:rPr>
        <w:t>наименование направившего биоматериал отделения</w:t>
      </w:r>
      <w:r>
        <w:rPr>
          <w:spacing w:val="-5"/>
          <w:sz w:val="24"/>
        </w:rPr>
        <w:t> </w:t>
      </w:r>
      <w:r>
        <w:rPr>
          <w:sz w:val="24"/>
        </w:rPr>
        <w:t>(организации);</w:t>
      </w:r>
    </w:p>
    <w:p>
      <w:pPr>
        <w:pStyle w:val="ListParagraph"/>
        <w:numPr>
          <w:ilvl w:val="1"/>
          <w:numId w:val="55"/>
        </w:numPr>
        <w:tabs>
          <w:tab w:pos="800" w:val="left" w:leader="none"/>
          <w:tab w:pos="801" w:val="left" w:leader="none"/>
          <w:tab w:pos="2828" w:val="left" w:leader="none"/>
          <w:tab w:pos="3848" w:val="left" w:leader="none"/>
          <w:tab w:pos="5398" w:val="left" w:leader="none"/>
          <w:tab w:pos="6970" w:val="left" w:leader="none"/>
          <w:tab w:pos="7575" w:val="left" w:leader="none"/>
          <w:tab w:pos="8672" w:val="left" w:leader="none"/>
        </w:tabs>
        <w:spacing w:line="240" w:lineRule="auto" w:before="80" w:after="0"/>
        <w:ind w:left="800" w:right="0" w:hanging="339"/>
        <w:jc w:val="left"/>
        <w:rPr>
          <w:sz w:val="24"/>
        </w:rPr>
      </w:pPr>
      <w:r>
        <w:rPr>
          <w:sz w:val="24"/>
        </w:rPr>
        <w:t>предварительный</w:t>
        <w:tab/>
        <w:t>диагноз</w:t>
        <w:tab/>
        <w:t>заболевания:</w:t>
        <w:tab/>
        <w:t>«пневмония»</w:t>
        <w:tab/>
        <w:t>или</w:t>
        <w:tab/>
        <w:t>«ОРВИ»</w:t>
        <w:tab/>
        <w:t>или</w:t>
      </w:r>
    </w:p>
    <w:p>
      <w:pPr>
        <w:pStyle w:val="BodyText"/>
        <w:spacing w:before="81"/>
        <w:ind w:left="800"/>
        <w:jc w:val="left"/>
      </w:pPr>
      <w:r>
        <w:rPr/>
        <w:t>«обследование контактировавших лиц на SARS-CoV-2»;</w:t>
      </w:r>
    </w:p>
    <w:p>
      <w:pPr>
        <w:pStyle w:val="ListParagraph"/>
        <w:numPr>
          <w:ilvl w:val="1"/>
          <w:numId w:val="55"/>
        </w:numPr>
        <w:tabs>
          <w:tab w:pos="800" w:val="left" w:leader="none"/>
          <w:tab w:pos="801" w:val="left" w:leader="none"/>
        </w:tabs>
        <w:spacing w:line="240" w:lineRule="auto" w:before="86" w:after="0"/>
        <w:ind w:left="800" w:right="0" w:hanging="339"/>
        <w:jc w:val="left"/>
        <w:rPr>
          <w:sz w:val="24"/>
        </w:rPr>
      </w:pPr>
      <w:r>
        <w:rPr>
          <w:sz w:val="24"/>
        </w:rPr>
        <w:t>указание вида диагностического</w:t>
      </w:r>
      <w:r>
        <w:rPr>
          <w:spacing w:val="-3"/>
          <w:sz w:val="24"/>
        </w:rPr>
        <w:t> </w:t>
      </w:r>
      <w:r>
        <w:rPr>
          <w:sz w:val="24"/>
        </w:rPr>
        <w:t>материала;</w:t>
      </w:r>
    </w:p>
    <w:p>
      <w:pPr>
        <w:pStyle w:val="ListParagraph"/>
        <w:numPr>
          <w:ilvl w:val="1"/>
          <w:numId w:val="55"/>
        </w:numPr>
        <w:tabs>
          <w:tab w:pos="800" w:val="left" w:leader="none"/>
          <w:tab w:pos="801" w:val="left" w:leader="none"/>
        </w:tabs>
        <w:spacing w:line="240" w:lineRule="auto" w:before="80" w:after="0"/>
        <w:ind w:left="800" w:right="0" w:hanging="339"/>
        <w:jc w:val="left"/>
        <w:rPr>
          <w:sz w:val="24"/>
        </w:rPr>
      </w:pPr>
      <w:r>
        <w:rPr>
          <w:sz w:val="24"/>
        </w:rPr>
        <w:t>дату и время назначения лабораторного</w:t>
      </w:r>
      <w:r>
        <w:rPr>
          <w:spacing w:val="-5"/>
          <w:sz w:val="24"/>
        </w:rPr>
        <w:t> </w:t>
      </w:r>
      <w:r>
        <w:rPr>
          <w:sz w:val="24"/>
        </w:rPr>
        <w:t>исследования;</w:t>
      </w:r>
    </w:p>
    <w:p>
      <w:pPr>
        <w:pStyle w:val="ListParagraph"/>
        <w:numPr>
          <w:ilvl w:val="1"/>
          <w:numId w:val="55"/>
        </w:numPr>
        <w:tabs>
          <w:tab w:pos="800" w:val="left" w:leader="none"/>
          <w:tab w:pos="801" w:val="left" w:leader="none"/>
        </w:tabs>
        <w:spacing w:line="240" w:lineRule="auto" w:before="83" w:after="0"/>
        <w:ind w:left="800" w:right="0" w:hanging="339"/>
        <w:jc w:val="left"/>
        <w:rPr>
          <w:sz w:val="24"/>
        </w:rPr>
      </w:pPr>
      <w:r>
        <w:rPr>
          <w:sz w:val="24"/>
        </w:rPr>
        <w:t>дату и время взятия</w:t>
      </w:r>
      <w:r>
        <w:rPr>
          <w:spacing w:val="-3"/>
          <w:sz w:val="24"/>
        </w:rPr>
        <w:t> </w:t>
      </w:r>
      <w:r>
        <w:rPr>
          <w:sz w:val="24"/>
        </w:rPr>
        <w:t>материала;</w:t>
      </w:r>
    </w:p>
    <w:p>
      <w:pPr>
        <w:pStyle w:val="ListParagraph"/>
        <w:numPr>
          <w:ilvl w:val="1"/>
          <w:numId w:val="55"/>
        </w:numPr>
        <w:tabs>
          <w:tab w:pos="800" w:val="left" w:leader="none"/>
          <w:tab w:pos="801" w:val="left" w:leader="none"/>
        </w:tabs>
        <w:spacing w:line="304" w:lineRule="auto" w:before="83" w:after="0"/>
        <w:ind w:left="800" w:right="157" w:hanging="339"/>
        <w:jc w:val="left"/>
        <w:rPr>
          <w:sz w:val="24"/>
        </w:rPr>
      </w:pPr>
      <w:r>
        <w:rPr>
          <w:sz w:val="24"/>
        </w:rPr>
        <w:t>фамилию, имя, отчество (при наличии) и должности врача либо другого уполномоченного представителя, назначившего лабораторное</w:t>
      </w:r>
      <w:r>
        <w:rPr>
          <w:spacing w:val="-6"/>
          <w:sz w:val="24"/>
        </w:rPr>
        <w:t> </w:t>
      </w:r>
      <w:r>
        <w:rPr>
          <w:sz w:val="24"/>
        </w:rPr>
        <w:t>исследование.</w:t>
      </w:r>
    </w:p>
    <w:p>
      <w:pPr>
        <w:pStyle w:val="ListParagraph"/>
        <w:numPr>
          <w:ilvl w:val="1"/>
          <w:numId w:val="55"/>
        </w:numPr>
        <w:tabs>
          <w:tab w:pos="800" w:val="left" w:leader="none"/>
          <w:tab w:pos="801" w:val="left" w:leader="none"/>
          <w:tab w:pos="2149" w:val="left" w:leader="none"/>
          <w:tab w:pos="2917" w:val="left" w:leader="none"/>
          <w:tab w:pos="4131" w:val="left" w:leader="none"/>
          <w:tab w:pos="4906" w:val="left" w:leader="none"/>
          <w:tab w:pos="6166" w:val="left" w:leader="none"/>
          <w:tab w:pos="7940" w:val="left" w:leader="none"/>
        </w:tabs>
        <w:spacing w:line="304" w:lineRule="auto" w:before="10" w:after="0"/>
        <w:ind w:left="800" w:right="155" w:hanging="339"/>
        <w:jc w:val="left"/>
        <w:rPr>
          <w:sz w:val="24"/>
        </w:rPr>
      </w:pPr>
      <w:r>
        <w:rPr>
          <w:sz w:val="24"/>
        </w:rPr>
        <w:t>фамилию,</w:t>
        <w:tab/>
        <w:t>имя,</w:t>
        <w:tab/>
        <w:t>отчество</w:t>
        <w:tab/>
        <w:t>(при</w:t>
        <w:tab/>
        <w:t>наличии)</w:t>
        <w:tab/>
        <w:t>медицинского</w:t>
        <w:tab/>
      </w:r>
      <w:r>
        <w:rPr>
          <w:spacing w:val="-3"/>
          <w:sz w:val="24"/>
        </w:rPr>
        <w:t>работника, </w:t>
      </w:r>
      <w:r>
        <w:rPr>
          <w:sz w:val="24"/>
        </w:rPr>
        <w:t>осуществившего забор биоматериала.</w:t>
      </w:r>
    </w:p>
    <w:p>
      <w:pPr>
        <w:pStyle w:val="BodyText"/>
        <w:spacing w:before="1"/>
        <w:ind w:left="0"/>
        <w:jc w:val="left"/>
        <w:rPr>
          <w:sz w:val="33"/>
        </w:rPr>
      </w:pPr>
    </w:p>
    <w:p>
      <w:pPr>
        <w:spacing w:line="276" w:lineRule="auto" w:before="0"/>
        <w:ind w:left="121" w:right="154" w:firstLine="566"/>
        <w:jc w:val="both"/>
        <w:rPr>
          <w:sz w:val="23"/>
        </w:rPr>
      </w:pPr>
      <w:r>
        <w:rPr>
          <w:sz w:val="23"/>
        </w:rPr>
        <w:t>При направлении диагностических материалов для исследования в лабораторию другой медицинской организации, помимо сведений, перечисленных выше, должно быть указано наименование медицинской организации, в которую направляется диагностический материал.</w:t>
      </w:r>
    </w:p>
    <w:p>
      <w:pPr>
        <w:spacing w:line="276" w:lineRule="auto" w:before="0"/>
        <w:ind w:left="121" w:right="155" w:firstLine="566"/>
        <w:jc w:val="both"/>
        <w:rPr>
          <w:sz w:val="23"/>
        </w:rPr>
      </w:pPr>
      <w:r>
        <w:rPr>
          <w:sz w:val="23"/>
        </w:rPr>
        <w:t>В направлениях образцов пациентов с респираторными симптомами, прибывших из стран с зарегистрированными случаями COVID-19, или относящихся к группам риска, должно  быть  отмечено  «Сito».  Эти  образцы  должны  направляться  в  лабораторию     и исследоваться в приоритетном</w:t>
      </w:r>
      <w:r>
        <w:rPr>
          <w:spacing w:val="-4"/>
          <w:sz w:val="23"/>
        </w:rPr>
        <w:t> </w:t>
      </w:r>
      <w:r>
        <w:rPr>
          <w:sz w:val="23"/>
        </w:rPr>
        <w:t>порядке.</w:t>
      </w:r>
    </w:p>
    <w:p>
      <w:pPr>
        <w:spacing w:line="276" w:lineRule="auto" w:before="0"/>
        <w:ind w:left="121" w:right="152" w:firstLine="708"/>
        <w:jc w:val="both"/>
        <w:rPr>
          <w:sz w:val="23"/>
        </w:rPr>
      </w:pPr>
      <w:r>
        <w:rPr>
          <w:sz w:val="23"/>
        </w:rPr>
        <w:t>Передача образцов диагностических материалов от пациентов с подозрением на COVID-19 проводится с предоставлением направлений и оформлением Акта приема- передачи, в котором должны содержаться:</w:t>
      </w:r>
    </w:p>
    <w:p>
      <w:pPr>
        <w:pStyle w:val="BodyText"/>
        <w:spacing w:before="8"/>
        <w:ind w:left="0"/>
        <w:jc w:val="left"/>
        <w:rPr>
          <w:sz w:val="26"/>
        </w:rPr>
      </w:pPr>
    </w:p>
    <w:p>
      <w:pPr>
        <w:pStyle w:val="ListParagraph"/>
        <w:numPr>
          <w:ilvl w:val="1"/>
          <w:numId w:val="55"/>
        </w:numPr>
        <w:tabs>
          <w:tab w:pos="800" w:val="left" w:leader="none"/>
          <w:tab w:pos="801" w:val="left" w:leader="none"/>
          <w:tab w:pos="2536" w:val="left" w:leader="none"/>
          <w:tab w:pos="4271" w:val="left" w:leader="none"/>
          <w:tab w:pos="4787" w:val="left" w:leader="none"/>
          <w:tab w:pos="6462" w:val="left" w:leader="none"/>
          <w:tab w:pos="7597" w:val="left" w:leader="none"/>
        </w:tabs>
        <w:spacing w:line="304" w:lineRule="auto" w:before="0" w:after="0"/>
        <w:ind w:left="800" w:right="154" w:hanging="339"/>
        <w:jc w:val="left"/>
        <w:rPr>
          <w:sz w:val="24"/>
        </w:rPr>
      </w:pPr>
      <w:r>
        <w:rPr>
          <w:sz w:val="24"/>
        </w:rPr>
        <w:t>наименование</w:t>
        <w:tab/>
        <w:t>направившего</w:t>
        <w:tab/>
        <w:t>на</w:t>
        <w:tab/>
        <w:t>исследование</w:t>
        <w:tab/>
        <w:t>образцы</w:t>
        <w:tab/>
      </w:r>
      <w:r>
        <w:rPr>
          <w:spacing w:val="-3"/>
          <w:sz w:val="24"/>
        </w:rPr>
        <w:t>медицинского </w:t>
      </w:r>
      <w:r>
        <w:rPr>
          <w:sz w:val="24"/>
        </w:rPr>
        <w:t>учреждения/отдела/подразделения;</w:t>
      </w:r>
    </w:p>
    <w:p>
      <w:pPr>
        <w:pStyle w:val="ListParagraph"/>
        <w:numPr>
          <w:ilvl w:val="1"/>
          <w:numId w:val="55"/>
        </w:numPr>
        <w:tabs>
          <w:tab w:pos="800" w:val="left" w:leader="none"/>
          <w:tab w:pos="801" w:val="left" w:leader="none"/>
          <w:tab w:pos="2578" w:val="left" w:leader="none"/>
          <w:tab w:pos="4138" w:val="left" w:leader="none"/>
          <w:tab w:pos="4697" w:val="left" w:leader="none"/>
          <w:tab w:pos="6418" w:val="left" w:leader="none"/>
          <w:tab w:pos="7596" w:val="left" w:leader="none"/>
        </w:tabs>
        <w:spacing w:line="304" w:lineRule="auto" w:before="11" w:after="0"/>
        <w:ind w:left="800" w:right="155" w:hanging="339"/>
        <w:jc w:val="left"/>
        <w:rPr>
          <w:sz w:val="24"/>
        </w:rPr>
      </w:pPr>
      <w:r>
        <w:rPr>
          <w:sz w:val="24"/>
        </w:rPr>
        <w:t>наименование</w:t>
        <w:tab/>
        <w:t>принявшего</w:t>
        <w:tab/>
        <w:t>на</w:t>
        <w:tab/>
        <w:t>исследование</w:t>
        <w:tab/>
        <w:t>образцы</w:t>
        <w:tab/>
      </w:r>
      <w:r>
        <w:rPr>
          <w:spacing w:val="-3"/>
          <w:sz w:val="24"/>
        </w:rPr>
        <w:t>медицинского </w:t>
      </w:r>
      <w:r>
        <w:rPr>
          <w:sz w:val="24"/>
        </w:rPr>
        <w:t>учреждения/отдела/подразделения;</w:t>
      </w:r>
    </w:p>
    <w:p>
      <w:pPr>
        <w:pStyle w:val="ListParagraph"/>
        <w:numPr>
          <w:ilvl w:val="1"/>
          <w:numId w:val="55"/>
        </w:numPr>
        <w:tabs>
          <w:tab w:pos="800" w:val="left" w:leader="none"/>
          <w:tab w:pos="801" w:val="left" w:leader="none"/>
        </w:tabs>
        <w:spacing w:line="240" w:lineRule="auto" w:before="10" w:after="0"/>
        <w:ind w:left="800" w:right="0" w:hanging="339"/>
        <w:jc w:val="left"/>
        <w:rPr>
          <w:sz w:val="24"/>
        </w:rPr>
      </w:pPr>
      <w:r>
        <w:rPr>
          <w:sz w:val="24"/>
        </w:rPr>
        <w:t>дату передачи</w:t>
      </w:r>
      <w:r>
        <w:rPr>
          <w:spacing w:val="-4"/>
          <w:sz w:val="24"/>
        </w:rPr>
        <w:t> </w:t>
      </w:r>
      <w:r>
        <w:rPr>
          <w:sz w:val="24"/>
        </w:rPr>
        <w:t>образцов;</w:t>
      </w:r>
    </w:p>
    <w:p>
      <w:pPr>
        <w:pStyle w:val="ListParagraph"/>
        <w:numPr>
          <w:ilvl w:val="1"/>
          <w:numId w:val="55"/>
        </w:numPr>
        <w:tabs>
          <w:tab w:pos="800" w:val="left" w:leader="none"/>
          <w:tab w:pos="801" w:val="left" w:leader="none"/>
        </w:tabs>
        <w:spacing w:line="240" w:lineRule="auto" w:before="83" w:after="0"/>
        <w:ind w:left="800" w:right="0" w:hanging="339"/>
        <w:jc w:val="left"/>
        <w:rPr>
          <w:sz w:val="24"/>
        </w:rPr>
      </w:pPr>
      <w:r>
        <w:rPr>
          <w:sz w:val="24"/>
        </w:rPr>
        <w:t>фамилию, имя, отчество и подпись передавшего образцы</w:t>
      </w:r>
      <w:r>
        <w:rPr>
          <w:spacing w:val="-6"/>
          <w:sz w:val="24"/>
        </w:rPr>
        <w:t> </w:t>
      </w:r>
      <w:r>
        <w:rPr>
          <w:sz w:val="24"/>
        </w:rPr>
        <w:t>сотрудника;</w:t>
      </w:r>
    </w:p>
    <w:p>
      <w:pPr>
        <w:pStyle w:val="ListParagraph"/>
        <w:numPr>
          <w:ilvl w:val="1"/>
          <w:numId w:val="55"/>
        </w:numPr>
        <w:tabs>
          <w:tab w:pos="800" w:val="left" w:leader="none"/>
          <w:tab w:pos="801" w:val="left" w:leader="none"/>
        </w:tabs>
        <w:spacing w:line="240" w:lineRule="auto" w:before="83" w:after="0"/>
        <w:ind w:left="800" w:right="0" w:hanging="339"/>
        <w:jc w:val="left"/>
        <w:rPr>
          <w:sz w:val="24"/>
        </w:rPr>
      </w:pPr>
      <w:r>
        <w:rPr>
          <w:sz w:val="24"/>
        </w:rPr>
        <w:t>фамилию имя, отчество и подпись принявшего образцы</w:t>
      </w:r>
      <w:r>
        <w:rPr>
          <w:spacing w:val="-8"/>
          <w:sz w:val="24"/>
        </w:rPr>
        <w:t> </w:t>
      </w:r>
      <w:r>
        <w:rPr>
          <w:sz w:val="24"/>
        </w:rPr>
        <w:t>сотрудника;</w:t>
      </w:r>
    </w:p>
    <w:p>
      <w:pPr>
        <w:spacing w:after="0" w:line="240" w:lineRule="auto"/>
        <w:jc w:val="left"/>
        <w:rPr>
          <w:sz w:val="24"/>
        </w:rPr>
        <w:sectPr>
          <w:pgSz w:w="11920" w:h="16850"/>
          <w:pgMar w:header="0" w:footer="700" w:top="1060" w:bottom="880" w:left="1580" w:right="1120"/>
        </w:sectPr>
      </w:pPr>
    </w:p>
    <w:p>
      <w:pPr>
        <w:pStyle w:val="ListParagraph"/>
        <w:numPr>
          <w:ilvl w:val="1"/>
          <w:numId w:val="55"/>
        </w:numPr>
        <w:tabs>
          <w:tab w:pos="800" w:val="left" w:leader="none"/>
          <w:tab w:pos="801" w:val="left" w:leader="none"/>
        </w:tabs>
        <w:spacing w:line="304" w:lineRule="auto" w:before="80" w:after="0"/>
        <w:ind w:left="800" w:right="153" w:hanging="339"/>
        <w:jc w:val="left"/>
        <w:rPr>
          <w:sz w:val="24"/>
        </w:rPr>
      </w:pPr>
      <w:r>
        <w:rPr>
          <w:sz w:val="24"/>
        </w:rPr>
        <w:t>перечень передаваемых образцов (с обозначением образцов, направленных на исследование «Сito») и их</w:t>
      </w:r>
      <w:r>
        <w:rPr>
          <w:spacing w:val="5"/>
          <w:sz w:val="24"/>
        </w:rPr>
        <w:t> </w:t>
      </w:r>
      <w:r>
        <w:rPr>
          <w:sz w:val="24"/>
        </w:rPr>
        <w:t>количество.</w:t>
      </w:r>
    </w:p>
    <w:p>
      <w:pPr>
        <w:pStyle w:val="BodyText"/>
        <w:spacing w:before="1"/>
        <w:ind w:left="0"/>
        <w:jc w:val="left"/>
        <w:rPr>
          <w:sz w:val="33"/>
        </w:rPr>
      </w:pPr>
    </w:p>
    <w:p>
      <w:pPr>
        <w:spacing w:line="276" w:lineRule="auto" w:before="0"/>
        <w:ind w:left="121" w:right="158" w:firstLine="566"/>
        <w:jc w:val="both"/>
        <w:rPr>
          <w:sz w:val="23"/>
        </w:rPr>
      </w:pPr>
      <w:r>
        <w:rPr>
          <w:sz w:val="23"/>
        </w:rPr>
        <w:t>Акт</w:t>
      </w:r>
      <w:r>
        <w:rPr>
          <w:spacing w:val="-17"/>
          <w:sz w:val="23"/>
        </w:rPr>
        <w:t> </w:t>
      </w:r>
      <w:r>
        <w:rPr>
          <w:sz w:val="23"/>
        </w:rPr>
        <w:t>оформляется</w:t>
      </w:r>
      <w:r>
        <w:rPr>
          <w:spacing w:val="-17"/>
          <w:sz w:val="23"/>
        </w:rPr>
        <w:t> </w:t>
      </w:r>
      <w:r>
        <w:rPr>
          <w:sz w:val="23"/>
        </w:rPr>
        <w:t>в</w:t>
      </w:r>
      <w:r>
        <w:rPr>
          <w:spacing w:val="-18"/>
          <w:sz w:val="23"/>
        </w:rPr>
        <w:t> </w:t>
      </w:r>
      <w:r>
        <w:rPr>
          <w:sz w:val="23"/>
        </w:rPr>
        <w:t>двух</w:t>
      </w:r>
      <w:r>
        <w:rPr>
          <w:spacing w:val="-14"/>
          <w:sz w:val="23"/>
        </w:rPr>
        <w:t> </w:t>
      </w:r>
      <w:r>
        <w:rPr>
          <w:sz w:val="23"/>
        </w:rPr>
        <w:t>экземплярах,</w:t>
      </w:r>
      <w:r>
        <w:rPr>
          <w:spacing w:val="-17"/>
          <w:sz w:val="23"/>
        </w:rPr>
        <w:t> </w:t>
      </w:r>
      <w:r>
        <w:rPr>
          <w:sz w:val="23"/>
        </w:rPr>
        <w:t>один</w:t>
      </w:r>
      <w:r>
        <w:rPr>
          <w:spacing w:val="-18"/>
          <w:sz w:val="23"/>
        </w:rPr>
        <w:t> </w:t>
      </w:r>
      <w:r>
        <w:rPr>
          <w:sz w:val="23"/>
        </w:rPr>
        <w:t>для</w:t>
      </w:r>
      <w:r>
        <w:rPr>
          <w:spacing w:val="-17"/>
          <w:sz w:val="23"/>
        </w:rPr>
        <w:t> </w:t>
      </w:r>
      <w:r>
        <w:rPr>
          <w:sz w:val="23"/>
        </w:rPr>
        <w:t>направившей</w:t>
      </w:r>
      <w:r>
        <w:rPr>
          <w:spacing w:val="-18"/>
          <w:sz w:val="23"/>
        </w:rPr>
        <w:t> </w:t>
      </w:r>
      <w:r>
        <w:rPr>
          <w:sz w:val="23"/>
        </w:rPr>
        <w:t>организации,</w:t>
      </w:r>
      <w:r>
        <w:rPr>
          <w:spacing w:val="-14"/>
          <w:sz w:val="23"/>
        </w:rPr>
        <w:t> </w:t>
      </w:r>
      <w:r>
        <w:rPr>
          <w:sz w:val="23"/>
        </w:rPr>
        <w:t>другой</w:t>
      </w:r>
      <w:r>
        <w:rPr>
          <w:spacing w:val="-18"/>
          <w:sz w:val="23"/>
        </w:rPr>
        <w:t> </w:t>
      </w:r>
      <w:r>
        <w:rPr>
          <w:sz w:val="23"/>
        </w:rPr>
        <w:t>для принявшей образцы</w:t>
      </w:r>
      <w:r>
        <w:rPr>
          <w:spacing w:val="-1"/>
          <w:sz w:val="23"/>
        </w:rPr>
        <w:t> </w:t>
      </w:r>
      <w:r>
        <w:rPr>
          <w:sz w:val="23"/>
        </w:rPr>
        <w:t>организации.</w:t>
      </w:r>
    </w:p>
    <w:p>
      <w:pPr>
        <w:pStyle w:val="BodyText"/>
        <w:spacing w:before="7"/>
        <w:ind w:left="0"/>
        <w:jc w:val="left"/>
        <w:rPr>
          <w:sz w:val="26"/>
        </w:rPr>
      </w:pPr>
    </w:p>
    <w:p>
      <w:pPr>
        <w:spacing w:before="0"/>
        <w:ind w:left="688" w:right="0" w:firstLine="0"/>
        <w:jc w:val="both"/>
        <w:rPr>
          <w:b/>
          <w:sz w:val="23"/>
        </w:rPr>
      </w:pPr>
      <w:r>
        <w:rPr>
          <w:b/>
          <w:sz w:val="23"/>
        </w:rPr>
        <w:t>Сроки выполнения исследования.</w:t>
      </w:r>
    </w:p>
    <w:p>
      <w:pPr>
        <w:spacing w:line="276" w:lineRule="auto" w:before="38"/>
        <w:ind w:left="121" w:right="153" w:firstLine="566"/>
        <w:jc w:val="both"/>
        <w:rPr>
          <w:sz w:val="23"/>
        </w:rPr>
      </w:pPr>
      <w:r>
        <w:rPr>
          <w:sz w:val="23"/>
        </w:rPr>
        <w:t>Время представления заключения по результатам исследования при получении отрицательных, сомнительных или положительных результатов  не  должно  превышать 48 часов с момента поступления образца биологического материала в лабораторию, за исключением случаев выбраковки образцов. При назначении исследования «Сito» результат должен быть предоставлен в течение нескольких часов, в зависимости от применяемых наборов</w:t>
      </w:r>
      <w:r>
        <w:rPr>
          <w:spacing w:val="-2"/>
          <w:sz w:val="23"/>
        </w:rPr>
        <w:t> </w:t>
      </w:r>
      <w:r>
        <w:rPr>
          <w:sz w:val="23"/>
        </w:rPr>
        <w:t>реагентов.</w:t>
      </w:r>
    </w:p>
    <w:p>
      <w:pPr>
        <w:pStyle w:val="BodyText"/>
        <w:spacing w:before="5"/>
        <w:ind w:left="0"/>
        <w:jc w:val="left"/>
        <w:rPr>
          <w:sz w:val="26"/>
        </w:rPr>
      </w:pPr>
    </w:p>
    <w:p>
      <w:pPr>
        <w:spacing w:before="0"/>
        <w:ind w:left="688" w:right="0" w:firstLine="0"/>
        <w:jc w:val="both"/>
        <w:rPr>
          <w:b/>
          <w:sz w:val="23"/>
        </w:rPr>
      </w:pPr>
      <w:r>
        <w:rPr>
          <w:b/>
          <w:sz w:val="23"/>
        </w:rPr>
        <w:t>Требования к помещениям и оснащению лабораторий.</w:t>
      </w:r>
    </w:p>
    <w:p>
      <w:pPr>
        <w:spacing w:line="276" w:lineRule="auto" w:before="40"/>
        <w:ind w:left="121" w:right="152" w:firstLine="566"/>
        <w:jc w:val="both"/>
        <w:rPr>
          <w:sz w:val="23"/>
        </w:rPr>
      </w:pPr>
      <w:r>
        <w:rPr>
          <w:sz w:val="23"/>
        </w:rPr>
        <w:t>Лабораторные исследования для обнаружения возбудителя COVID-19, отнесенного ко II группе патогенности, должны проводиться с соблюдением санитарно- эпидемиологических правил СП 1.3.3118-13 «Безопасность работы с микроорганизмами I-II групп патогенности (опасности)», а также при использовании молекулярно- генетических методов (без накопления возбудителя) в лабораториях, имеющих санитарно- эпидемиологическое заключение о возможности проведения работ с микроорганизмами III группы     патогенности     (п.     2.1.6.     СП       1.3.3118-13     «Безопасность     работы с</w:t>
      </w:r>
      <w:r>
        <w:rPr>
          <w:spacing w:val="-2"/>
          <w:sz w:val="23"/>
        </w:rPr>
        <w:t> </w:t>
      </w:r>
      <w:r>
        <w:rPr>
          <w:sz w:val="23"/>
        </w:rPr>
        <w:t>микроорганизмами</w:t>
      </w:r>
      <w:r>
        <w:rPr>
          <w:spacing w:val="-7"/>
          <w:sz w:val="23"/>
        </w:rPr>
        <w:t> </w:t>
      </w:r>
      <w:r>
        <w:rPr>
          <w:sz w:val="23"/>
        </w:rPr>
        <w:t>I-II</w:t>
      </w:r>
      <w:r>
        <w:rPr>
          <w:spacing w:val="-5"/>
          <w:sz w:val="23"/>
        </w:rPr>
        <w:t> </w:t>
      </w:r>
      <w:r>
        <w:rPr>
          <w:sz w:val="23"/>
        </w:rPr>
        <w:t>групп</w:t>
      </w:r>
      <w:r>
        <w:rPr>
          <w:spacing w:val="-4"/>
          <w:sz w:val="23"/>
        </w:rPr>
        <w:t> </w:t>
      </w:r>
      <w:r>
        <w:rPr>
          <w:sz w:val="23"/>
        </w:rPr>
        <w:t>патогенности</w:t>
      </w:r>
      <w:r>
        <w:rPr>
          <w:spacing w:val="-6"/>
          <w:sz w:val="23"/>
        </w:rPr>
        <w:t> </w:t>
      </w:r>
      <w:r>
        <w:rPr>
          <w:sz w:val="23"/>
        </w:rPr>
        <w:t>(опасности)»)</w:t>
      </w:r>
      <w:r>
        <w:rPr>
          <w:spacing w:val="-6"/>
          <w:sz w:val="23"/>
        </w:rPr>
        <w:t> </w:t>
      </w:r>
      <w:r>
        <w:rPr>
          <w:sz w:val="23"/>
        </w:rPr>
        <w:t>в</w:t>
      </w:r>
      <w:r>
        <w:rPr>
          <w:spacing w:val="-6"/>
          <w:sz w:val="23"/>
        </w:rPr>
        <w:t> </w:t>
      </w:r>
      <w:r>
        <w:rPr>
          <w:sz w:val="23"/>
        </w:rPr>
        <w:t>соответствии</w:t>
      </w:r>
      <w:r>
        <w:rPr>
          <w:spacing w:val="-6"/>
          <w:sz w:val="23"/>
        </w:rPr>
        <w:t> </w:t>
      </w:r>
      <w:r>
        <w:rPr>
          <w:sz w:val="23"/>
        </w:rPr>
        <w:t>с</w:t>
      </w:r>
      <w:r>
        <w:rPr>
          <w:spacing w:val="-5"/>
          <w:sz w:val="23"/>
        </w:rPr>
        <w:t> </w:t>
      </w:r>
      <w:r>
        <w:rPr>
          <w:sz w:val="23"/>
        </w:rPr>
        <w:t>требованиями СП 1.3.2518-09 (1.3.2322-08) «Безопасность работы с микроорганизмами III-IV групп патогенности (опасности) и возбудителями паразитарных</w:t>
      </w:r>
      <w:r>
        <w:rPr>
          <w:spacing w:val="-6"/>
          <w:sz w:val="23"/>
        </w:rPr>
        <w:t> </w:t>
      </w:r>
      <w:r>
        <w:rPr>
          <w:sz w:val="23"/>
        </w:rPr>
        <w:t>болезней».</w:t>
      </w:r>
    </w:p>
    <w:p>
      <w:pPr>
        <w:spacing w:line="276" w:lineRule="auto" w:before="2"/>
        <w:ind w:left="122" w:right="154" w:firstLine="566"/>
        <w:jc w:val="both"/>
        <w:rPr>
          <w:sz w:val="23"/>
        </w:rPr>
      </w:pPr>
      <w:r>
        <w:rPr>
          <w:sz w:val="23"/>
        </w:rPr>
        <w:t>Требования к помещению и оборудованию при проведении специфической лабораторной (этиологической) диагностики COVID-19 соответствуют</w:t>
      </w:r>
      <w:r>
        <w:rPr>
          <w:spacing w:val="-37"/>
          <w:sz w:val="23"/>
        </w:rPr>
        <w:t> </w:t>
      </w:r>
      <w:r>
        <w:rPr>
          <w:sz w:val="23"/>
        </w:rPr>
        <w:t>вышеприведенным санитарным правилам и правилам, изложенным в МУ 1.3.2569-09 «Организация работы лабораторий, использующих МАНК при работе с материалом, содержащим микроорганизмы I-IV групп патогенности». Для предотвращения перекрестной контаминации образцов амплифицированными продуктами рабочие зоны для выделения РНК и проведения МАНК с обратной транскрипцией и учета ее результатов при использовании гибридизационно-флуоресцентного метода детекции должны быть расположены в отдельных помещениях, удаленных друг от</w:t>
      </w:r>
      <w:r>
        <w:rPr>
          <w:spacing w:val="-4"/>
          <w:sz w:val="23"/>
        </w:rPr>
        <w:t> </w:t>
      </w:r>
      <w:r>
        <w:rPr>
          <w:sz w:val="23"/>
        </w:rPr>
        <w:t>друга.</w:t>
      </w:r>
    </w:p>
    <w:p>
      <w:pPr>
        <w:spacing w:line="276" w:lineRule="auto" w:before="0"/>
        <w:ind w:left="122" w:right="156" w:firstLine="566"/>
        <w:jc w:val="both"/>
        <w:rPr>
          <w:sz w:val="23"/>
        </w:rPr>
      </w:pPr>
      <w:r>
        <w:rPr>
          <w:sz w:val="23"/>
        </w:rPr>
        <w:t>Лаборатория должна иметь оборудование, достаточное для проведения МАНК для диагностики COVID-19, с учетом применяемых методов и объема работы.</w:t>
      </w:r>
    </w:p>
    <w:p>
      <w:pPr>
        <w:spacing w:line="276" w:lineRule="auto" w:before="0"/>
        <w:ind w:left="122" w:right="155" w:firstLine="566"/>
        <w:jc w:val="both"/>
        <w:rPr>
          <w:sz w:val="23"/>
        </w:rPr>
      </w:pPr>
      <w:r>
        <w:rPr>
          <w:sz w:val="23"/>
        </w:rPr>
        <w:t>Лаборатория должна иметь СИЗ (одноразовая защитный костюм IV типа, маски, респираторы,  защитные   очки,   одноразовые  латексные   (резиновые)  перчатки  и   др.) в достаточных количествах в соответствии с СП 1.3.3118-13, включающих необходимое количество комплектов для каждой рабочей зоны, возможность смены СИЗ в течение дня, запас СИЗ, обеспечивающий бесперебойное обеспечение</w:t>
      </w:r>
      <w:r>
        <w:rPr>
          <w:spacing w:val="-1"/>
          <w:sz w:val="23"/>
        </w:rPr>
        <w:t> </w:t>
      </w:r>
      <w:r>
        <w:rPr>
          <w:sz w:val="23"/>
        </w:rPr>
        <w:t>персонала.</w:t>
      </w:r>
    </w:p>
    <w:p>
      <w:pPr>
        <w:pStyle w:val="BodyText"/>
        <w:spacing w:before="4"/>
        <w:ind w:left="0"/>
        <w:jc w:val="left"/>
        <w:rPr>
          <w:sz w:val="26"/>
        </w:rPr>
      </w:pPr>
    </w:p>
    <w:p>
      <w:pPr>
        <w:spacing w:before="0"/>
        <w:ind w:left="688" w:right="0" w:firstLine="0"/>
        <w:jc w:val="both"/>
        <w:rPr>
          <w:b/>
          <w:sz w:val="23"/>
        </w:rPr>
      </w:pPr>
      <w:r>
        <w:rPr>
          <w:b/>
          <w:sz w:val="23"/>
        </w:rPr>
        <w:t>Лабораторные этапы диагностики.</w:t>
      </w:r>
    </w:p>
    <w:p>
      <w:pPr>
        <w:spacing w:line="276" w:lineRule="auto" w:before="40"/>
        <w:ind w:left="122" w:right="154" w:firstLine="708"/>
        <w:jc w:val="both"/>
        <w:rPr>
          <w:sz w:val="23"/>
        </w:rPr>
      </w:pPr>
      <w:r>
        <w:rPr>
          <w:sz w:val="23"/>
        </w:rPr>
        <w:t>На этапе приема, сортировки и регистрации материала лаборатория должна проводить выбраковку образцов, для которых информация в  направлении  не совпадает   с данными на этикетке или в Акте передачи, нарушены сроки и правила</w:t>
      </w:r>
      <w:r>
        <w:rPr>
          <w:spacing w:val="-3"/>
          <w:sz w:val="23"/>
        </w:rPr>
        <w:t> </w:t>
      </w:r>
      <w:r>
        <w:rPr>
          <w:sz w:val="23"/>
        </w:rPr>
        <w:t>транспортировки,</w:t>
      </w:r>
    </w:p>
    <w:p>
      <w:pPr>
        <w:spacing w:after="0" w:line="276" w:lineRule="auto"/>
        <w:jc w:val="both"/>
        <w:rPr>
          <w:sz w:val="23"/>
        </w:rPr>
        <w:sectPr>
          <w:pgSz w:w="11920" w:h="16850"/>
          <w:pgMar w:header="0" w:footer="700" w:top="1060" w:bottom="880" w:left="1580" w:right="1120"/>
        </w:sectPr>
      </w:pPr>
    </w:p>
    <w:p>
      <w:pPr>
        <w:spacing w:line="276" w:lineRule="auto" w:before="78"/>
        <w:ind w:left="121" w:right="153" w:firstLine="0"/>
        <w:jc w:val="both"/>
        <w:rPr>
          <w:sz w:val="23"/>
        </w:rPr>
      </w:pPr>
      <w:r>
        <w:rPr>
          <w:sz w:val="23"/>
        </w:rPr>
        <w:t>нарушена герметичность контейнеров. Лаборатория обязана сообщить в медицинское учреждение/отделение или направившему образцы врачу о выбраковке образцов и ее причине.</w:t>
      </w:r>
    </w:p>
    <w:p>
      <w:pPr>
        <w:spacing w:line="276" w:lineRule="auto" w:before="0"/>
        <w:ind w:left="121" w:right="155" w:firstLine="566"/>
        <w:jc w:val="both"/>
        <w:rPr>
          <w:sz w:val="23"/>
        </w:rPr>
      </w:pPr>
      <w:r>
        <w:rPr>
          <w:sz w:val="23"/>
        </w:rPr>
        <w:t>Для проведения МАНК лаборатории применяют зарегистрированные в Российской Федерации как изделия медицинского назначения тест-системы/реагенты. Специалисты лаборатории должны владеть МАНК.</w:t>
      </w:r>
    </w:p>
    <w:p>
      <w:pPr>
        <w:spacing w:line="276" w:lineRule="auto" w:before="0"/>
        <w:ind w:left="121" w:right="153" w:firstLine="566"/>
        <w:jc w:val="both"/>
        <w:rPr>
          <w:sz w:val="23"/>
        </w:rPr>
      </w:pPr>
      <w:r>
        <w:rPr>
          <w:sz w:val="23"/>
        </w:rPr>
        <w:t>При получении положительного результата на COVID-2019 необходимо незамедлительно информировать территориальные органы Роспотребнадзора в субъектах Российской Федерации и направлять биологический материал в федеральные бюджетные учреждения здравоохранения – центры гигиены и эпидемиологии в субъектах Российской Федерации.</w:t>
      </w:r>
    </w:p>
    <w:p>
      <w:pPr>
        <w:pStyle w:val="BodyText"/>
        <w:spacing w:before="5"/>
        <w:ind w:left="0"/>
        <w:jc w:val="left"/>
        <w:rPr>
          <w:sz w:val="26"/>
        </w:rPr>
      </w:pPr>
    </w:p>
    <w:p>
      <w:pPr>
        <w:spacing w:before="1"/>
        <w:ind w:left="688" w:right="0" w:firstLine="0"/>
        <w:jc w:val="both"/>
        <w:rPr>
          <w:b/>
          <w:sz w:val="23"/>
        </w:rPr>
      </w:pPr>
      <w:r>
        <w:rPr>
          <w:b/>
          <w:sz w:val="23"/>
        </w:rPr>
        <w:t>Дезинфекция, обращение с отходами.</w:t>
      </w:r>
    </w:p>
    <w:p>
      <w:pPr>
        <w:spacing w:line="276" w:lineRule="auto" w:before="37"/>
        <w:ind w:left="121" w:right="152" w:firstLine="566"/>
        <w:jc w:val="both"/>
        <w:rPr>
          <w:sz w:val="23"/>
        </w:rPr>
      </w:pPr>
      <w:r>
        <w:rPr>
          <w:sz w:val="23"/>
        </w:rPr>
        <w:t>В лаборатории проводится периодическая обработка помещений с применением бактерицидных УФ-излучателей (Руководство Р3.5.1904-04 «Использование ультрафиолетового    бактерицидного     излучения     для     обеззараживания     воздуха    в помещениях») и дезинфицирующих средств, в соответствии с СП 1.3.2518-09 (1.3.2322- 08). Обработка помещений проводится по окончанию</w:t>
      </w:r>
      <w:r>
        <w:rPr>
          <w:spacing w:val="-3"/>
          <w:sz w:val="23"/>
        </w:rPr>
        <w:t> </w:t>
      </w:r>
      <w:r>
        <w:rPr>
          <w:sz w:val="23"/>
        </w:rPr>
        <w:t>работы.</w:t>
      </w:r>
    </w:p>
    <w:p>
      <w:pPr>
        <w:spacing w:line="276" w:lineRule="auto" w:before="1"/>
        <w:ind w:left="122" w:right="153" w:firstLine="566"/>
        <w:jc w:val="both"/>
        <w:rPr>
          <w:sz w:val="23"/>
        </w:rPr>
      </w:pPr>
      <w:r>
        <w:rPr>
          <w:sz w:val="23"/>
        </w:rPr>
        <w:t>При проведении исследований образуются отходы, относящиеся к классам А, Б, В   и Г (СанПиН  2.1.7.2790-10  «Санитарно-эпидемиологические  требования  к  обращению с медицинскими</w:t>
      </w:r>
      <w:r>
        <w:rPr>
          <w:spacing w:val="-1"/>
          <w:sz w:val="23"/>
        </w:rPr>
        <w:t> </w:t>
      </w:r>
      <w:r>
        <w:rPr>
          <w:sz w:val="23"/>
        </w:rPr>
        <w:t>отходами»).</w:t>
      </w:r>
    </w:p>
    <w:p>
      <w:pPr>
        <w:spacing w:line="276" w:lineRule="auto" w:before="0"/>
        <w:ind w:left="122" w:right="152" w:firstLine="566"/>
        <w:jc w:val="both"/>
        <w:rPr>
          <w:sz w:val="23"/>
        </w:rPr>
      </w:pPr>
      <w:r>
        <w:rPr>
          <w:sz w:val="23"/>
        </w:rPr>
        <w:t>Все использованные одноразовые материалы и другие отходы подвергаются обработке дезинфицирующими средствами и последующей утилизации в соответствии     с СанПин 2.1.7.2527-09 (2.1.7.728-99) «Правила сбора, хранения и удаления отходов лечебно-профилактических учреждений» и МУ 287-113 «Методические указания по дезинфекции, предстерилизационной очистке и стерилизации изделий медицинского назначения».</w:t>
      </w:r>
    </w:p>
    <w:p>
      <w:pPr>
        <w:spacing w:after="0" w:line="276" w:lineRule="auto"/>
        <w:jc w:val="both"/>
        <w:rPr>
          <w:sz w:val="23"/>
        </w:rPr>
        <w:sectPr>
          <w:pgSz w:w="11920" w:h="16850"/>
          <w:pgMar w:header="0" w:footer="700" w:top="1060" w:bottom="880" w:left="1580" w:right="1120"/>
        </w:sectPr>
      </w:pPr>
    </w:p>
    <w:p>
      <w:pPr>
        <w:pStyle w:val="Heading3"/>
        <w:spacing w:before="78"/>
        <w:ind w:left="0" w:right="159"/>
        <w:jc w:val="right"/>
      </w:pPr>
      <w:bookmarkStart w:name="Приложение 3-2" w:id="206"/>
      <w:bookmarkEnd w:id="206"/>
      <w:r>
        <w:rPr>
          <w:b w:val="0"/>
        </w:rPr>
      </w:r>
      <w:bookmarkStart w:name="_bookmark48" w:id="207"/>
      <w:bookmarkEnd w:id="207"/>
      <w:r>
        <w:rPr>
          <w:b w:val="0"/>
        </w:rPr>
      </w:r>
      <w:r>
        <w:rPr>
          <w:color w:val="1F487C"/>
        </w:rPr>
        <w:t>Приложение 3-2</w:t>
      </w:r>
    </w:p>
    <w:p>
      <w:pPr>
        <w:spacing w:before="142"/>
        <w:ind w:left="3008" w:right="0" w:hanging="1762"/>
        <w:jc w:val="left"/>
        <w:rPr>
          <w:b/>
          <w:sz w:val="24"/>
        </w:rPr>
      </w:pPr>
      <w:bookmarkStart w:name="Инструкция по проведению диагностики   C" w:id="208"/>
      <w:bookmarkEnd w:id="208"/>
      <w:r>
        <w:rPr/>
      </w:r>
      <w:r>
        <w:rPr>
          <w:b/>
          <w:sz w:val="24"/>
        </w:rPr>
        <w:t>Инструкция по проведению диагностики COVID-19 с примением иммунохимических методов</w:t>
      </w:r>
    </w:p>
    <w:p>
      <w:pPr>
        <w:pStyle w:val="BodyText"/>
        <w:spacing w:before="6"/>
        <w:ind w:left="0"/>
        <w:jc w:val="left"/>
        <w:rPr>
          <w:b/>
          <w:sz w:val="27"/>
        </w:rPr>
      </w:pPr>
    </w:p>
    <w:p>
      <w:pPr>
        <w:spacing w:before="0"/>
        <w:ind w:left="829" w:right="0" w:firstLine="0"/>
        <w:jc w:val="both"/>
        <w:rPr>
          <w:b/>
          <w:sz w:val="24"/>
        </w:rPr>
      </w:pPr>
      <w:r>
        <w:rPr>
          <w:b/>
          <w:sz w:val="24"/>
        </w:rPr>
        <w:t>Общие положения</w:t>
      </w:r>
    </w:p>
    <w:p>
      <w:pPr>
        <w:pStyle w:val="BodyText"/>
        <w:spacing w:line="276" w:lineRule="auto" w:before="43"/>
        <w:ind w:left="121" w:right="154" w:firstLine="708"/>
      </w:pPr>
      <w:r>
        <w:rPr/>
        <w:t>Иммунохимические методы дополняют комплекс клинических, инструментальных и лабораторных методов диагностики COVID-19, включая молекулярно-генетические методы (ОТ-ПЦР-РВ, ОТ-LAMP).</w:t>
      </w:r>
    </w:p>
    <w:p>
      <w:pPr>
        <w:pStyle w:val="BodyText"/>
        <w:spacing w:line="276" w:lineRule="auto" w:before="13"/>
        <w:ind w:left="234" w:right="264" w:firstLine="566"/>
      </w:pPr>
      <w:r>
        <w:rPr/>
        <w:t>Иммунохимические исследования для диагностики COVID-19 могут проводится во всех лабораториях </w:t>
      </w:r>
      <w:r>
        <w:rPr>
          <w:spacing w:val="-4"/>
        </w:rPr>
        <w:t>Российской </w:t>
      </w:r>
      <w:r>
        <w:rPr/>
        <w:t>Федерации вне зависимости от их организационно‑правовой формы, имеющих санитарно‑эпидемиологическое заключение о возможности проведения работ с </w:t>
      </w:r>
      <w:r>
        <w:rPr>
          <w:spacing w:val="-4"/>
        </w:rPr>
        <w:t>возбудителями</w:t>
      </w:r>
      <w:r>
        <w:rPr>
          <w:spacing w:val="52"/>
        </w:rPr>
        <w:t> </w:t>
      </w:r>
      <w:r>
        <w:rPr/>
        <w:t>инфекционных заболеваний  человека   III   –   IV   патогенности   и   условия   для   исследований   с применением </w:t>
      </w:r>
      <w:r>
        <w:rPr>
          <w:spacing w:val="-4"/>
        </w:rPr>
        <w:t>иммунохимических</w:t>
      </w:r>
      <w:r>
        <w:rPr>
          <w:spacing w:val="-39"/>
        </w:rPr>
        <w:t> </w:t>
      </w:r>
      <w:r>
        <w:rPr>
          <w:spacing w:val="-3"/>
        </w:rPr>
        <w:t>методов.</w:t>
      </w:r>
    </w:p>
    <w:p>
      <w:pPr>
        <w:pStyle w:val="BodyText"/>
        <w:spacing w:before="2"/>
        <w:ind w:left="0"/>
        <w:jc w:val="left"/>
        <w:rPr>
          <w:sz w:val="30"/>
        </w:rPr>
      </w:pPr>
    </w:p>
    <w:p>
      <w:pPr>
        <w:pStyle w:val="Heading3"/>
        <w:ind w:left="829"/>
      </w:pPr>
      <w:r>
        <w:rPr/>
        <w:t>Иммунохимические методы диагностики COVID-19.</w:t>
      </w:r>
    </w:p>
    <w:p>
      <w:pPr>
        <w:pStyle w:val="BodyText"/>
        <w:tabs>
          <w:tab w:pos="2310" w:val="left" w:leader="none"/>
          <w:tab w:pos="3838" w:val="left" w:leader="none"/>
          <w:tab w:pos="6742" w:val="left" w:leader="none"/>
          <w:tab w:pos="8293" w:val="left" w:leader="none"/>
        </w:tabs>
        <w:spacing w:line="276" w:lineRule="auto" w:before="41"/>
        <w:ind w:left="121" w:right="152" w:firstLine="708"/>
      </w:pPr>
      <w:r>
        <w:rPr/>
        <w:t>Эффективность иммунохимических методов исследования зависит от стадии инфекционного процесса, состояния иммунной системы пациента, а также от иммунохимических характеристик применяемых диагностических наборов, условий хранения и сроков годности реагентов. Для выявления </w:t>
      </w:r>
      <w:r>
        <w:rPr>
          <w:spacing w:val="-3"/>
        </w:rPr>
        <w:t>антител </w:t>
      </w:r>
      <w:r>
        <w:rPr/>
        <w:t>к </w:t>
      </w:r>
      <w:r>
        <w:rPr>
          <w:spacing w:val="-3"/>
        </w:rPr>
        <w:t>SARS‑CoV‑2</w:t>
      </w:r>
      <w:r>
        <w:rPr>
          <w:spacing w:val="54"/>
        </w:rPr>
        <w:t> </w:t>
      </w:r>
      <w:r>
        <w:rPr/>
        <w:t>используются</w:t>
        <w:tab/>
        <w:t>методы</w:t>
        <w:tab/>
        <w:t>иммуноферментного</w:t>
        <w:tab/>
        <w:t>анализа</w:t>
        <w:tab/>
        <w:t>(ИФА), иммунохемилюминесцентные (ИХЛ) и иммунохроматографические методы. Для проведения исследования должны применяться зарегистрированные в установленном порядке   на   территории   Российской   Федерации   тест‑системы   в   соответствии   с инструкциями по их применению (</w:t>
      </w:r>
      <w:hyperlink w:history="true" w:anchor="_bookmark50">
        <w:r>
          <w:rPr>
            <w:color w:val="0562C1"/>
            <w:u w:val="single" w:color="0562C1"/>
          </w:rPr>
          <w:t>Приложение 5-1</w:t>
        </w:r>
      </w:hyperlink>
      <w:r>
        <w:rPr/>
        <w:t>,</w:t>
      </w:r>
      <w:r>
        <w:rPr>
          <w:spacing w:val="-12"/>
        </w:rPr>
        <w:t> </w:t>
      </w:r>
      <w:hyperlink w:history="true" w:anchor="_bookmark51">
        <w:r>
          <w:rPr>
            <w:color w:val="0562C1"/>
            <w:u w:val="single" w:color="0562C1"/>
          </w:rPr>
          <w:t>5-2</w:t>
        </w:r>
      </w:hyperlink>
      <w:r>
        <w:rPr/>
        <w:t>).</w:t>
      </w:r>
    </w:p>
    <w:p>
      <w:pPr>
        <w:pStyle w:val="BodyText"/>
        <w:spacing w:line="276" w:lineRule="auto"/>
        <w:ind w:left="121" w:right="155" w:firstLine="708"/>
      </w:pPr>
      <w:r>
        <w:rPr/>
        <w:t>Иммунохроматографические методы – быстрые диагностические тесты, рассматриваются как тесты </w:t>
      </w:r>
      <w:r>
        <w:rPr>
          <w:spacing w:val="-3"/>
        </w:rPr>
        <w:t>«у </w:t>
      </w:r>
      <w:r>
        <w:rPr/>
        <w:t>постели больного» (время получения результата  – 10-30 минут). Иммунохроматографические тесты являются качественными тестами    и позволяют определить наличие антител к SARS-CoV-2 (IgM, IgG, суммарные антитела).</w:t>
      </w:r>
    </w:p>
    <w:p>
      <w:pPr>
        <w:pStyle w:val="BodyText"/>
        <w:spacing w:line="276" w:lineRule="auto"/>
        <w:ind w:left="121" w:right="156" w:firstLine="708"/>
      </w:pPr>
      <w:r>
        <w:rPr/>
        <w:t>Разработанные</w:t>
      </w:r>
      <w:r>
        <w:rPr>
          <w:spacing w:val="-15"/>
        </w:rPr>
        <w:t> </w:t>
      </w:r>
      <w:r>
        <w:rPr/>
        <w:t>до</w:t>
      </w:r>
      <w:r>
        <w:rPr>
          <w:spacing w:val="-14"/>
        </w:rPr>
        <w:t> </w:t>
      </w:r>
      <w:r>
        <w:rPr/>
        <w:t>настоящего</w:t>
      </w:r>
      <w:r>
        <w:rPr>
          <w:spacing w:val="-13"/>
        </w:rPr>
        <w:t> </w:t>
      </w:r>
      <w:r>
        <w:rPr/>
        <w:t>времени</w:t>
      </w:r>
      <w:r>
        <w:rPr>
          <w:spacing w:val="-13"/>
        </w:rPr>
        <w:t> </w:t>
      </w:r>
      <w:r>
        <w:rPr/>
        <w:t>методы</w:t>
      </w:r>
      <w:r>
        <w:rPr>
          <w:spacing w:val="-13"/>
        </w:rPr>
        <w:t> </w:t>
      </w:r>
      <w:r>
        <w:rPr/>
        <w:t>ИФА</w:t>
      </w:r>
      <w:r>
        <w:rPr>
          <w:spacing w:val="-14"/>
        </w:rPr>
        <w:t> </w:t>
      </w:r>
      <w:r>
        <w:rPr/>
        <w:t>и</w:t>
      </w:r>
      <w:r>
        <w:rPr>
          <w:spacing w:val="-13"/>
        </w:rPr>
        <w:t> </w:t>
      </w:r>
      <w:r>
        <w:rPr/>
        <w:t>ИХЛ</w:t>
      </w:r>
      <w:r>
        <w:rPr>
          <w:spacing w:val="-14"/>
        </w:rPr>
        <w:t> </w:t>
      </w:r>
      <w:r>
        <w:rPr/>
        <w:t>позволяют</w:t>
      </w:r>
      <w:r>
        <w:rPr>
          <w:spacing w:val="-13"/>
        </w:rPr>
        <w:t> </w:t>
      </w:r>
      <w:r>
        <w:rPr/>
        <w:t>получать качественные, полуколичественные (коэффициент позитивности) и количественные результаты. Для проведения исследований требуется специальное оборудование. Время получения результата при применении ИФА тестов – 2-5 ч, ИХЛ – 1-2</w:t>
      </w:r>
      <w:r>
        <w:rPr>
          <w:spacing w:val="-12"/>
        </w:rPr>
        <w:t> </w:t>
      </w:r>
      <w:r>
        <w:rPr/>
        <w:t>ч.</w:t>
      </w:r>
    </w:p>
    <w:p>
      <w:pPr>
        <w:pStyle w:val="BodyText"/>
        <w:spacing w:line="276" w:lineRule="auto"/>
        <w:ind w:left="121" w:right="155" w:firstLine="708"/>
      </w:pPr>
      <w:r>
        <w:rPr/>
        <w:t>Определение уровня антител в диагностике COVID-19 позволяет определить различные фазы инфекционного процесса:</w:t>
      </w:r>
    </w:p>
    <w:p>
      <w:pPr>
        <w:pStyle w:val="ListParagraph"/>
        <w:numPr>
          <w:ilvl w:val="0"/>
          <w:numId w:val="56"/>
        </w:numPr>
        <w:tabs>
          <w:tab w:pos="1116" w:val="left" w:leader="none"/>
        </w:tabs>
        <w:spacing w:line="271" w:lineRule="auto" w:before="0" w:after="0"/>
        <w:ind w:left="1115" w:right="155" w:hanging="286"/>
        <w:jc w:val="both"/>
        <w:rPr>
          <w:sz w:val="24"/>
        </w:rPr>
      </w:pPr>
      <w:r>
        <w:rPr>
          <w:sz w:val="24"/>
        </w:rPr>
        <w:t>активная</w:t>
      </w:r>
      <w:r>
        <w:rPr>
          <w:spacing w:val="-11"/>
          <w:sz w:val="24"/>
        </w:rPr>
        <w:t> </w:t>
      </w:r>
      <w:r>
        <w:rPr>
          <w:sz w:val="24"/>
        </w:rPr>
        <w:t>фаза</w:t>
      </w:r>
      <w:r>
        <w:rPr>
          <w:spacing w:val="-11"/>
          <w:sz w:val="24"/>
        </w:rPr>
        <w:t> </w:t>
      </w:r>
      <w:r>
        <w:rPr>
          <w:sz w:val="24"/>
        </w:rPr>
        <w:t>—</w:t>
      </w:r>
      <w:r>
        <w:rPr>
          <w:spacing w:val="-10"/>
          <w:sz w:val="24"/>
        </w:rPr>
        <w:t> </w:t>
      </w:r>
      <w:r>
        <w:rPr>
          <w:sz w:val="24"/>
        </w:rPr>
        <w:t>при</w:t>
      </w:r>
      <w:r>
        <w:rPr>
          <w:spacing w:val="-10"/>
          <w:sz w:val="24"/>
        </w:rPr>
        <w:t> </w:t>
      </w:r>
      <w:r>
        <w:rPr>
          <w:sz w:val="24"/>
        </w:rPr>
        <w:t>определении</w:t>
      </w:r>
      <w:r>
        <w:rPr>
          <w:spacing w:val="-9"/>
          <w:sz w:val="24"/>
        </w:rPr>
        <w:t> </w:t>
      </w:r>
      <w:r>
        <w:rPr>
          <w:sz w:val="24"/>
        </w:rPr>
        <w:t>диагностически</w:t>
      </w:r>
      <w:r>
        <w:rPr>
          <w:spacing w:val="-9"/>
          <w:sz w:val="24"/>
        </w:rPr>
        <w:t> </w:t>
      </w:r>
      <w:r>
        <w:rPr>
          <w:sz w:val="24"/>
        </w:rPr>
        <w:t>значимого</w:t>
      </w:r>
      <w:r>
        <w:rPr>
          <w:spacing w:val="-7"/>
          <w:sz w:val="24"/>
        </w:rPr>
        <w:t> </w:t>
      </w:r>
      <w:r>
        <w:rPr>
          <w:sz w:val="24"/>
        </w:rPr>
        <w:t>уровня</w:t>
      </w:r>
      <w:r>
        <w:rPr>
          <w:spacing w:val="-8"/>
          <w:sz w:val="24"/>
        </w:rPr>
        <w:t> </w:t>
      </w:r>
      <w:r>
        <w:rPr>
          <w:sz w:val="24"/>
        </w:rPr>
        <w:t>IgA</w:t>
      </w:r>
      <w:r>
        <w:rPr>
          <w:spacing w:val="-10"/>
          <w:sz w:val="24"/>
        </w:rPr>
        <w:t> </w:t>
      </w:r>
      <w:r>
        <w:rPr>
          <w:sz w:val="24"/>
        </w:rPr>
        <w:t>или IgM</w:t>
      </w:r>
      <w:r>
        <w:rPr>
          <w:spacing w:val="-12"/>
          <w:sz w:val="24"/>
        </w:rPr>
        <w:t> </w:t>
      </w:r>
      <w:r>
        <w:rPr>
          <w:sz w:val="24"/>
        </w:rPr>
        <w:t>в</w:t>
      </w:r>
      <w:r>
        <w:rPr>
          <w:spacing w:val="-13"/>
          <w:sz w:val="24"/>
        </w:rPr>
        <w:t> </w:t>
      </w:r>
      <w:r>
        <w:rPr>
          <w:sz w:val="24"/>
        </w:rPr>
        <w:t>единственном</w:t>
      </w:r>
      <w:r>
        <w:rPr>
          <w:spacing w:val="-15"/>
          <w:sz w:val="24"/>
        </w:rPr>
        <w:t> </w:t>
      </w:r>
      <w:r>
        <w:rPr>
          <w:sz w:val="24"/>
        </w:rPr>
        <w:t>образце</w:t>
      </w:r>
      <w:r>
        <w:rPr>
          <w:spacing w:val="-15"/>
          <w:sz w:val="24"/>
        </w:rPr>
        <w:t> </w:t>
      </w:r>
      <w:r>
        <w:rPr>
          <w:sz w:val="24"/>
        </w:rPr>
        <w:t>или</w:t>
      </w:r>
      <w:r>
        <w:rPr>
          <w:spacing w:val="-13"/>
          <w:sz w:val="24"/>
        </w:rPr>
        <w:t> </w:t>
      </w:r>
      <w:r>
        <w:rPr>
          <w:sz w:val="24"/>
        </w:rPr>
        <w:t>значимым</w:t>
      </w:r>
      <w:r>
        <w:rPr>
          <w:spacing w:val="-15"/>
          <w:sz w:val="24"/>
        </w:rPr>
        <w:t> </w:t>
      </w:r>
      <w:r>
        <w:rPr>
          <w:sz w:val="24"/>
        </w:rPr>
        <w:t>нарастанием</w:t>
      </w:r>
      <w:r>
        <w:rPr>
          <w:spacing w:val="-10"/>
          <w:sz w:val="24"/>
        </w:rPr>
        <w:t> </w:t>
      </w:r>
      <w:r>
        <w:rPr>
          <w:sz w:val="24"/>
        </w:rPr>
        <w:t>уровня</w:t>
      </w:r>
      <w:r>
        <w:rPr>
          <w:spacing w:val="-12"/>
          <w:sz w:val="24"/>
        </w:rPr>
        <w:t> </w:t>
      </w:r>
      <w:r>
        <w:rPr>
          <w:sz w:val="24"/>
        </w:rPr>
        <w:t>IgG</w:t>
      </w:r>
      <w:r>
        <w:rPr>
          <w:spacing w:val="-12"/>
          <w:sz w:val="24"/>
        </w:rPr>
        <w:t> </w:t>
      </w:r>
      <w:r>
        <w:rPr>
          <w:sz w:val="24"/>
        </w:rPr>
        <w:t>в</w:t>
      </w:r>
      <w:r>
        <w:rPr>
          <w:spacing w:val="-10"/>
          <w:sz w:val="24"/>
        </w:rPr>
        <w:t> </w:t>
      </w:r>
      <w:r>
        <w:rPr>
          <w:sz w:val="24"/>
        </w:rPr>
        <w:t>парных сыворотках, взятых с интервалом в 2-4</w:t>
      </w:r>
      <w:r>
        <w:rPr>
          <w:spacing w:val="-2"/>
          <w:sz w:val="24"/>
        </w:rPr>
        <w:t> </w:t>
      </w:r>
      <w:r>
        <w:rPr>
          <w:sz w:val="24"/>
        </w:rPr>
        <w:t>недели;</w:t>
      </w:r>
    </w:p>
    <w:p>
      <w:pPr>
        <w:pStyle w:val="ListParagraph"/>
        <w:numPr>
          <w:ilvl w:val="0"/>
          <w:numId w:val="56"/>
        </w:numPr>
        <w:tabs>
          <w:tab w:pos="1116" w:val="left" w:leader="none"/>
        </w:tabs>
        <w:spacing w:line="264" w:lineRule="auto" w:before="1" w:after="0"/>
        <w:ind w:left="1115" w:right="153" w:hanging="284"/>
        <w:jc w:val="both"/>
        <w:rPr>
          <w:sz w:val="24"/>
        </w:rPr>
      </w:pPr>
      <w:r>
        <w:rPr>
          <w:sz w:val="24"/>
        </w:rPr>
        <w:t>фаза сероконверсии — антитела могут не выявляться в первичном образце   и выявляются во взятых через несколько дней</w:t>
      </w:r>
      <w:r>
        <w:rPr>
          <w:spacing w:val="-3"/>
          <w:sz w:val="24"/>
        </w:rPr>
        <w:t> </w:t>
      </w:r>
      <w:r>
        <w:rPr>
          <w:sz w:val="24"/>
        </w:rPr>
        <w:t>образцах;</w:t>
      </w:r>
    </w:p>
    <w:p>
      <w:pPr>
        <w:pStyle w:val="ListParagraph"/>
        <w:numPr>
          <w:ilvl w:val="0"/>
          <w:numId w:val="56"/>
        </w:numPr>
        <w:tabs>
          <w:tab w:pos="1176" w:val="left" w:leader="none"/>
        </w:tabs>
        <w:spacing w:line="271" w:lineRule="auto" w:before="13" w:after="0"/>
        <w:ind w:left="1115" w:right="156" w:hanging="284"/>
        <w:jc w:val="both"/>
        <w:rPr>
          <w:sz w:val="24"/>
        </w:rPr>
      </w:pPr>
      <w:r>
        <w:rPr/>
        <w:tab/>
      </w:r>
      <w:r>
        <w:rPr>
          <w:sz w:val="24"/>
        </w:rPr>
        <w:t>фаза реконвалесценции — концентрация IgA и </w:t>
      </w:r>
      <w:r>
        <w:rPr>
          <w:spacing w:val="-3"/>
          <w:sz w:val="24"/>
        </w:rPr>
        <w:t>IgM </w:t>
      </w:r>
      <w:r>
        <w:rPr>
          <w:sz w:val="24"/>
        </w:rPr>
        <w:t>существенно снижается (падение титра в 2-4 раза) во время выздоровления, при сохраняющихся </w:t>
      </w:r>
      <w:r>
        <w:rPr>
          <w:spacing w:val="-3"/>
          <w:sz w:val="24"/>
        </w:rPr>
        <w:t>IgG </w:t>
      </w:r>
      <w:r>
        <w:rPr>
          <w:sz w:val="24"/>
        </w:rPr>
        <w:t>через 2 недели после курса лечения и позднее;</w:t>
      </w:r>
    </w:p>
    <w:p>
      <w:pPr>
        <w:spacing w:after="0" w:line="271" w:lineRule="auto"/>
        <w:jc w:val="both"/>
        <w:rPr>
          <w:sz w:val="24"/>
        </w:rPr>
        <w:sectPr>
          <w:pgSz w:w="11920" w:h="16850"/>
          <w:pgMar w:header="0" w:footer="700" w:top="1060" w:bottom="880" w:left="1580" w:right="1120"/>
        </w:sectPr>
      </w:pPr>
    </w:p>
    <w:p>
      <w:pPr>
        <w:pStyle w:val="ListParagraph"/>
        <w:numPr>
          <w:ilvl w:val="0"/>
          <w:numId w:val="56"/>
        </w:numPr>
        <w:tabs>
          <w:tab w:pos="1116" w:val="left" w:leader="none"/>
        </w:tabs>
        <w:spacing w:line="264" w:lineRule="auto" w:before="58" w:after="0"/>
        <w:ind w:left="1115" w:right="157" w:hanging="284"/>
        <w:jc w:val="left"/>
        <w:rPr>
          <w:sz w:val="24"/>
        </w:rPr>
      </w:pPr>
      <w:r>
        <w:rPr>
          <w:sz w:val="24"/>
        </w:rPr>
        <w:t>перенесенная инфекция — персистенция </w:t>
      </w:r>
      <w:r>
        <w:rPr>
          <w:spacing w:val="-3"/>
          <w:sz w:val="24"/>
        </w:rPr>
        <w:t>IgG </w:t>
      </w:r>
      <w:r>
        <w:rPr>
          <w:sz w:val="24"/>
        </w:rPr>
        <w:t>без роста его уровня в парных сыворотках и отсутствие IgA и</w:t>
      </w:r>
      <w:r>
        <w:rPr>
          <w:spacing w:val="4"/>
          <w:sz w:val="24"/>
        </w:rPr>
        <w:t> </w:t>
      </w:r>
      <w:r>
        <w:rPr>
          <w:sz w:val="24"/>
        </w:rPr>
        <w:t>IgM.</w:t>
      </w:r>
    </w:p>
    <w:p>
      <w:pPr>
        <w:pStyle w:val="BodyText"/>
        <w:spacing w:line="278" w:lineRule="auto" w:before="13"/>
        <w:ind w:left="121" w:right="155" w:firstLine="566"/>
      </w:pPr>
      <w:r>
        <w:rPr/>
        <w:t>Определение уровня IgG в высоких титрах через 4 недели после вакцинации позволяет подтвердить наличие поствакцинального иммунитета.</w:t>
      </w:r>
    </w:p>
    <w:p>
      <w:pPr>
        <w:pStyle w:val="BodyText"/>
        <w:spacing w:before="6"/>
        <w:ind w:left="0"/>
        <w:jc w:val="left"/>
        <w:rPr>
          <w:sz w:val="37"/>
        </w:rPr>
      </w:pPr>
    </w:p>
    <w:p>
      <w:pPr>
        <w:pStyle w:val="Heading3"/>
        <w:spacing w:before="1"/>
        <w:ind w:left="688"/>
      </w:pPr>
      <w:r>
        <w:rPr/>
        <w:t>Сбор, хранение и транспортировка диагностического материала.</w:t>
      </w:r>
    </w:p>
    <w:p>
      <w:pPr>
        <w:pStyle w:val="BodyText"/>
        <w:spacing w:line="276" w:lineRule="auto" w:before="40"/>
        <w:ind w:left="121" w:right="154" w:firstLine="566"/>
      </w:pPr>
      <w:r>
        <w:rPr/>
        <w:t>Биоматериалом    при     иммунохимических     исследованиях     может     быть,  в зависимости от типа тестирования и согласно инструкциям производителей, капиллярная кровь, сыворотка, плазма, цельная венозная</w:t>
      </w:r>
      <w:r>
        <w:rPr>
          <w:spacing w:val="-4"/>
        </w:rPr>
        <w:t> </w:t>
      </w:r>
      <w:r>
        <w:rPr/>
        <w:t>кровь.</w:t>
      </w:r>
    </w:p>
    <w:p>
      <w:pPr>
        <w:pStyle w:val="BodyText"/>
        <w:spacing w:line="276" w:lineRule="auto" w:before="1"/>
        <w:ind w:left="121" w:right="154" w:firstLine="566"/>
      </w:pPr>
      <w:r>
        <w:rPr/>
        <w:t>Забор крови для серологических исследований проводят в утренние часы после 12-часового ночного голодания. Накануне взятия проб крови пациент должен воздержаться от физических нагрузок, приема алкоголя и лекарств. Оптимальным временем для взятия проб крови на лабораторные исследования является промежуток с 7 до 10 ч</w:t>
      </w:r>
      <w:r>
        <w:rPr>
          <w:spacing w:val="2"/>
        </w:rPr>
        <w:t> </w:t>
      </w:r>
      <w:r>
        <w:rPr/>
        <w:t>утра.</w:t>
      </w:r>
    </w:p>
    <w:p>
      <w:pPr>
        <w:pStyle w:val="BodyText"/>
        <w:spacing w:line="276" w:lineRule="auto"/>
        <w:ind w:left="121" w:right="157" w:firstLine="566"/>
      </w:pPr>
      <w:r>
        <w:rPr/>
        <w:t>Забор крови на исследование проводит медицинский персонал в процедурном кабинете медицинских организаций.</w:t>
      </w:r>
    </w:p>
    <w:p>
      <w:pPr>
        <w:pStyle w:val="BodyText"/>
        <w:spacing w:line="276" w:lineRule="auto" w:before="1"/>
        <w:ind w:left="121" w:right="154" w:firstLine="566"/>
      </w:pPr>
      <w:r>
        <w:rPr/>
        <w:t>Для проведения серологических исследований берется венозная кровь в объеме 3-5 мл в вакуумные пробирки (вакутейнеры), предназначенные для биохимических     и серологических исследований. Сразу после взятия необходимо осторожно перевернуть пробирку 8-10 раз, чтобы кровь в пробирке тщательно перемешалась. После плавного перемешивания пробирку помещают в</w:t>
      </w:r>
      <w:r>
        <w:rPr>
          <w:spacing w:val="-11"/>
        </w:rPr>
        <w:t> </w:t>
      </w:r>
      <w:r>
        <w:rPr/>
        <w:t>штатив.</w:t>
      </w:r>
    </w:p>
    <w:p>
      <w:pPr>
        <w:pStyle w:val="BodyText"/>
        <w:spacing w:line="276" w:lineRule="auto"/>
        <w:ind w:left="121" w:right="155" w:firstLine="566"/>
      </w:pPr>
      <w:r>
        <w:rPr/>
        <w:t>На пробирке указывают ФИО, дату и время сбора материала, номер анализа или используют штрихкодирование пробирки.</w:t>
      </w:r>
    </w:p>
    <w:p>
      <w:pPr>
        <w:pStyle w:val="BodyText"/>
        <w:spacing w:line="276" w:lineRule="auto"/>
        <w:ind w:left="121" w:right="154" w:firstLine="566"/>
      </w:pPr>
      <w:r>
        <w:rPr/>
        <w:t>При транспортировке пробирки с кровью должны быть плотно закрыты, прочно установлены в штативы в вертикальном положении, чтобы предотвратить их встряхивание или опрокидывание, установлены вдали от нагревательных приборов и защищены от воздействия яркого солнечного света. Пробирки с кровью для серологических анализов транспортируют в термоконтейнерах с надписью: «пробы крови для лабораторных исследований». В термоконтейнере должна поддерживаться температура от 4 до 8 °С. Пробы крови от больного с установленным диагнозом COVID-19    помещают    в    дополнительный    вторичный    контейнер,    затем    –    в термоконтейнер с надписью: «пробы с инфицированным</w:t>
      </w:r>
      <w:r>
        <w:rPr>
          <w:spacing w:val="-6"/>
        </w:rPr>
        <w:t> </w:t>
      </w:r>
      <w:r>
        <w:rPr/>
        <w:t>материалом».</w:t>
      </w:r>
    </w:p>
    <w:p>
      <w:pPr>
        <w:pStyle w:val="BodyText"/>
        <w:spacing w:line="276" w:lineRule="auto"/>
        <w:ind w:left="121" w:right="154" w:firstLine="566"/>
      </w:pPr>
      <w:r>
        <w:rPr/>
        <w:t>Образцы крови должны быть доставлены в лабораторию в кратчайшие сроки.    В журнале учета  лабораторных  исследований  регистрируют  время  доставки  проб  в</w:t>
      </w:r>
      <w:r>
        <w:rPr>
          <w:spacing w:val="-1"/>
        </w:rPr>
        <w:t> </w:t>
      </w:r>
      <w:r>
        <w:rPr/>
        <w:t>лабораторию.</w:t>
      </w:r>
    </w:p>
    <w:p>
      <w:pPr>
        <w:pStyle w:val="BodyText"/>
        <w:ind w:left="688"/>
      </w:pPr>
      <w:r>
        <w:rPr/>
        <w:t>Допустимо хранение образцов цельной крови:</w:t>
      </w:r>
    </w:p>
    <w:p>
      <w:pPr>
        <w:pStyle w:val="ListParagraph"/>
        <w:numPr>
          <w:ilvl w:val="1"/>
          <w:numId w:val="56"/>
        </w:numPr>
        <w:tabs>
          <w:tab w:pos="1408" w:val="left" w:leader="none"/>
        </w:tabs>
        <w:spacing w:line="240" w:lineRule="auto" w:before="40" w:after="0"/>
        <w:ind w:left="1408" w:right="0" w:hanging="360"/>
        <w:jc w:val="both"/>
        <w:rPr>
          <w:sz w:val="24"/>
        </w:rPr>
      </w:pPr>
      <w:r>
        <w:rPr>
          <w:sz w:val="24"/>
        </w:rPr>
        <w:t>при температуре 20-25°С — не более 2</w:t>
      </w:r>
      <w:r>
        <w:rPr>
          <w:spacing w:val="-3"/>
          <w:sz w:val="24"/>
        </w:rPr>
        <w:t> </w:t>
      </w:r>
      <w:r>
        <w:rPr>
          <w:sz w:val="24"/>
        </w:rPr>
        <w:t>часов;</w:t>
      </w:r>
    </w:p>
    <w:p>
      <w:pPr>
        <w:pStyle w:val="ListParagraph"/>
        <w:numPr>
          <w:ilvl w:val="1"/>
          <w:numId w:val="56"/>
        </w:numPr>
        <w:tabs>
          <w:tab w:pos="1408" w:val="left" w:leader="none"/>
        </w:tabs>
        <w:spacing w:line="240" w:lineRule="auto" w:before="31" w:after="0"/>
        <w:ind w:left="1408" w:right="0" w:hanging="360"/>
        <w:jc w:val="both"/>
        <w:rPr>
          <w:sz w:val="24"/>
        </w:rPr>
      </w:pPr>
      <w:r>
        <w:rPr>
          <w:sz w:val="24"/>
        </w:rPr>
        <w:t>при температуре 2-8°С — не более 6 ч с момента взятия</w:t>
      </w:r>
      <w:r>
        <w:rPr>
          <w:spacing w:val="-5"/>
          <w:sz w:val="24"/>
        </w:rPr>
        <w:t> </w:t>
      </w:r>
      <w:r>
        <w:rPr>
          <w:sz w:val="24"/>
        </w:rPr>
        <w:t>материала</w:t>
      </w:r>
    </w:p>
    <w:p>
      <w:pPr>
        <w:pStyle w:val="BodyText"/>
        <w:spacing w:line="276" w:lineRule="auto" w:before="28"/>
        <w:ind w:left="121" w:right="154" w:firstLine="566"/>
      </w:pPr>
      <w:r>
        <w:rPr/>
        <w:t>Сроки хранения проб сыворотки при температуре 2-8°С – не более 4 дней. Хранение проб сывороток от 5 дней до 1 года осуществляют в замороженном виде при температуре не выше минус 18 °С. Длительное хранение проб (более года) осуществляется при температуре не выше минус 40 °С.</w:t>
      </w:r>
    </w:p>
    <w:p>
      <w:pPr>
        <w:spacing w:after="0" w:line="276" w:lineRule="auto"/>
        <w:sectPr>
          <w:pgSz w:w="11920" w:h="16850"/>
          <w:pgMar w:header="0" w:footer="700" w:top="1080" w:bottom="880" w:left="1580" w:right="1120"/>
        </w:sectPr>
      </w:pPr>
    </w:p>
    <w:p>
      <w:pPr>
        <w:pStyle w:val="Heading3"/>
        <w:spacing w:before="78"/>
        <w:ind w:left="829"/>
      </w:pPr>
      <w:bookmarkStart w:name="Лабораторные этапы диагностики." w:id="209"/>
      <w:bookmarkEnd w:id="209"/>
      <w:r>
        <w:rPr>
          <w:b w:val="0"/>
        </w:rPr>
      </w:r>
      <w:r>
        <w:rPr/>
        <w:t>Лабораторные этапы диагностики.</w:t>
      </w:r>
    </w:p>
    <w:p>
      <w:pPr>
        <w:pStyle w:val="BodyText"/>
        <w:spacing w:line="276" w:lineRule="auto" w:before="55"/>
        <w:ind w:left="121" w:right="270" w:firstLine="708"/>
      </w:pPr>
      <w:bookmarkStart w:name="Преаналитический, аналитический и постан" w:id="210"/>
      <w:bookmarkEnd w:id="210"/>
      <w:r>
        <w:rPr/>
      </w:r>
      <w:r>
        <w:rPr/>
        <w:t>Преаналитический, аналитический и постаналитические этапы исследований проводятся в строгом соответствии с инструкциями производителей применяемых наборов реагентов.</w:t>
      </w:r>
    </w:p>
    <w:p>
      <w:pPr>
        <w:pStyle w:val="BodyText"/>
        <w:spacing w:before="7"/>
        <w:ind w:left="0"/>
        <w:jc w:val="left"/>
        <w:rPr>
          <w:sz w:val="27"/>
        </w:rPr>
      </w:pPr>
    </w:p>
    <w:p>
      <w:pPr>
        <w:pStyle w:val="Heading3"/>
        <w:spacing w:line="276" w:lineRule="auto"/>
        <w:ind w:left="1350" w:right="871" w:hanging="512"/>
        <w:jc w:val="left"/>
      </w:pPr>
      <w:r>
        <w:rPr/>
        <w:t>Интерпретация результатов исследований методами амплификации нуклеиновых кислот и определения антител к SARS-CoV-2</w:t>
      </w:r>
    </w:p>
    <w:p>
      <w:pPr>
        <w:pStyle w:val="BodyText"/>
        <w:spacing w:before="9"/>
        <w:ind w:left="0"/>
        <w:jc w:val="left"/>
        <w:rPr>
          <w:b/>
          <w:sz w:val="27"/>
        </w:rPr>
      </w:pPr>
    </w:p>
    <w:tbl>
      <w:tblPr>
        <w:tblW w:w="0" w:type="auto"/>
        <w:jc w:val="left"/>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794"/>
        <w:gridCol w:w="849"/>
        <w:gridCol w:w="851"/>
        <w:gridCol w:w="707"/>
        <w:gridCol w:w="5725"/>
      </w:tblGrid>
      <w:tr>
        <w:trPr>
          <w:trHeight w:val="794" w:hRule="atLeast"/>
        </w:trPr>
        <w:tc>
          <w:tcPr>
            <w:tcW w:w="3201" w:type="dxa"/>
            <w:gridSpan w:val="4"/>
            <w:shd w:val="clear" w:color="auto" w:fill="F1F1F1"/>
          </w:tcPr>
          <w:p>
            <w:pPr>
              <w:pStyle w:val="TableParagraph"/>
              <w:spacing w:line="276" w:lineRule="auto"/>
              <w:ind w:left="921" w:right="174" w:hanging="735"/>
              <w:rPr>
                <w:b/>
                <w:sz w:val="24"/>
              </w:rPr>
            </w:pPr>
            <w:r>
              <w:rPr>
                <w:b/>
                <w:sz w:val="24"/>
              </w:rPr>
              <w:t>Результаты исследования SARS-CoV-2</w:t>
            </w:r>
          </w:p>
        </w:tc>
        <w:tc>
          <w:tcPr>
            <w:tcW w:w="5725" w:type="dxa"/>
            <w:shd w:val="clear" w:color="auto" w:fill="F1F1F1"/>
          </w:tcPr>
          <w:p>
            <w:pPr>
              <w:pStyle w:val="TableParagraph"/>
              <w:spacing w:before="6"/>
              <w:rPr>
                <w:b/>
                <w:sz w:val="20"/>
              </w:rPr>
            </w:pPr>
          </w:p>
          <w:p>
            <w:pPr>
              <w:pStyle w:val="TableParagraph"/>
              <w:ind w:left="1993" w:right="1975"/>
              <w:jc w:val="center"/>
              <w:rPr>
                <w:b/>
                <w:sz w:val="24"/>
              </w:rPr>
            </w:pPr>
            <w:r>
              <w:rPr>
                <w:b/>
                <w:sz w:val="24"/>
              </w:rPr>
              <w:t>Интерпретация</w:t>
            </w:r>
          </w:p>
        </w:tc>
      </w:tr>
      <w:tr>
        <w:trPr>
          <w:trHeight w:val="793" w:hRule="atLeast"/>
        </w:trPr>
        <w:tc>
          <w:tcPr>
            <w:tcW w:w="794" w:type="dxa"/>
            <w:shd w:val="clear" w:color="auto" w:fill="F1F1F1"/>
          </w:tcPr>
          <w:p>
            <w:pPr>
              <w:pStyle w:val="TableParagraph"/>
              <w:spacing w:before="6"/>
              <w:rPr>
                <w:b/>
                <w:sz w:val="20"/>
              </w:rPr>
            </w:pPr>
          </w:p>
          <w:p>
            <w:pPr>
              <w:pStyle w:val="TableParagraph"/>
              <w:ind w:left="122" w:right="114"/>
              <w:jc w:val="center"/>
              <w:rPr>
                <w:b/>
                <w:sz w:val="24"/>
              </w:rPr>
            </w:pPr>
            <w:r>
              <w:rPr>
                <w:b/>
                <w:sz w:val="24"/>
              </w:rPr>
              <w:t>РНК</w:t>
            </w:r>
          </w:p>
        </w:tc>
        <w:tc>
          <w:tcPr>
            <w:tcW w:w="849" w:type="dxa"/>
            <w:shd w:val="clear" w:color="auto" w:fill="F1F1F1"/>
          </w:tcPr>
          <w:p>
            <w:pPr>
              <w:pStyle w:val="TableParagraph"/>
              <w:spacing w:line="276" w:lineRule="auto" w:before="78"/>
              <w:ind w:left="249" w:right="110" w:hanging="108"/>
              <w:rPr>
                <w:b/>
                <w:sz w:val="24"/>
              </w:rPr>
            </w:pPr>
            <w:r>
              <w:rPr>
                <w:b/>
                <w:sz w:val="24"/>
              </w:rPr>
              <w:t>Анти ген</w:t>
            </w:r>
          </w:p>
        </w:tc>
        <w:tc>
          <w:tcPr>
            <w:tcW w:w="851" w:type="dxa"/>
            <w:shd w:val="clear" w:color="auto" w:fill="F1F1F1"/>
          </w:tcPr>
          <w:p>
            <w:pPr>
              <w:pStyle w:val="TableParagraph"/>
              <w:spacing w:line="276" w:lineRule="auto" w:before="78"/>
              <w:ind w:left="231" w:right="143" w:hanging="60"/>
              <w:rPr>
                <w:b/>
                <w:sz w:val="24"/>
              </w:rPr>
            </w:pPr>
            <w:r>
              <w:rPr>
                <w:b/>
                <w:sz w:val="24"/>
              </w:rPr>
              <w:t>IgM/ IgA</w:t>
            </w:r>
          </w:p>
        </w:tc>
        <w:tc>
          <w:tcPr>
            <w:tcW w:w="707" w:type="dxa"/>
            <w:shd w:val="clear" w:color="auto" w:fill="F1F1F1"/>
          </w:tcPr>
          <w:p>
            <w:pPr>
              <w:pStyle w:val="TableParagraph"/>
              <w:spacing w:before="6"/>
              <w:rPr>
                <w:b/>
                <w:sz w:val="20"/>
              </w:rPr>
            </w:pPr>
          </w:p>
          <w:p>
            <w:pPr>
              <w:pStyle w:val="TableParagraph"/>
              <w:ind w:left="88" w:right="167"/>
              <w:jc w:val="center"/>
              <w:rPr>
                <w:b/>
                <w:sz w:val="24"/>
              </w:rPr>
            </w:pPr>
            <w:r>
              <w:rPr>
                <w:b/>
                <w:sz w:val="24"/>
              </w:rPr>
              <w:t>IgG</w:t>
            </w:r>
          </w:p>
        </w:tc>
        <w:tc>
          <w:tcPr>
            <w:tcW w:w="5725" w:type="dxa"/>
            <w:shd w:val="clear" w:color="auto" w:fill="F1F1F1"/>
          </w:tcPr>
          <w:p>
            <w:pPr>
              <w:pStyle w:val="TableParagraph"/>
              <w:rPr>
                <w:sz w:val="22"/>
              </w:rPr>
            </w:pPr>
          </w:p>
        </w:tc>
      </w:tr>
      <w:tr>
        <w:trPr>
          <w:trHeight w:val="633" w:hRule="atLeast"/>
        </w:trPr>
        <w:tc>
          <w:tcPr>
            <w:tcW w:w="794" w:type="dxa"/>
          </w:tcPr>
          <w:p>
            <w:pPr>
              <w:pStyle w:val="TableParagraph"/>
              <w:spacing w:before="157"/>
              <w:ind w:left="10"/>
              <w:jc w:val="center"/>
              <w:rPr>
                <w:b/>
                <w:sz w:val="24"/>
              </w:rPr>
            </w:pPr>
            <w:r>
              <w:rPr>
                <w:b/>
                <w:sz w:val="24"/>
              </w:rPr>
              <w:t>-</w:t>
            </w:r>
          </w:p>
        </w:tc>
        <w:tc>
          <w:tcPr>
            <w:tcW w:w="849" w:type="dxa"/>
          </w:tcPr>
          <w:p>
            <w:pPr>
              <w:pStyle w:val="TableParagraph"/>
              <w:spacing w:before="157"/>
              <w:ind w:left="14"/>
              <w:jc w:val="center"/>
              <w:rPr>
                <w:b/>
                <w:sz w:val="24"/>
              </w:rPr>
            </w:pPr>
            <w:r>
              <w:rPr>
                <w:b/>
                <w:sz w:val="24"/>
              </w:rPr>
              <w:t>-</w:t>
            </w:r>
          </w:p>
        </w:tc>
        <w:tc>
          <w:tcPr>
            <w:tcW w:w="851" w:type="dxa"/>
          </w:tcPr>
          <w:p>
            <w:pPr>
              <w:pStyle w:val="TableParagraph"/>
              <w:spacing w:before="157"/>
              <w:ind w:left="8"/>
              <w:jc w:val="center"/>
              <w:rPr>
                <w:b/>
                <w:sz w:val="24"/>
              </w:rPr>
            </w:pPr>
            <w:r>
              <w:rPr>
                <w:b/>
                <w:sz w:val="24"/>
              </w:rPr>
              <w:t>-</w:t>
            </w:r>
          </w:p>
        </w:tc>
        <w:tc>
          <w:tcPr>
            <w:tcW w:w="707" w:type="dxa"/>
          </w:tcPr>
          <w:p>
            <w:pPr>
              <w:pStyle w:val="TableParagraph"/>
              <w:spacing w:before="157"/>
              <w:ind w:left="10"/>
              <w:jc w:val="center"/>
              <w:rPr>
                <w:b/>
                <w:sz w:val="24"/>
              </w:rPr>
            </w:pPr>
            <w:r>
              <w:rPr>
                <w:b/>
                <w:sz w:val="24"/>
              </w:rPr>
              <w:t>-</w:t>
            </w:r>
          </w:p>
        </w:tc>
        <w:tc>
          <w:tcPr>
            <w:tcW w:w="5725" w:type="dxa"/>
          </w:tcPr>
          <w:p>
            <w:pPr>
              <w:pStyle w:val="TableParagraph"/>
              <w:spacing w:line="275" w:lineRule="exact"/>
              <w:ind w:left="110"/>
              <w:rPr>
                <w:sz w:val="24"/>
              </w:rPr>
            </w:pPr>
            <w:r>
              <w:rPr>
                <w:sz w:val="24"/>
              </w:rPr>
              <w:t>Отсутствие инфекции COVID-19. Ранее COVID-19</w:t>
            </w:r>
          </w:p>
          <w:p>
            <w:pPr>
              <w:pStyle w:val="TableParagraph"/>
              <w:spacing w:before="41"/>
              <w:ind w:left="110"/>
              <w:rPr>
                <w:sz w:val="24"/>
              </w:rPr>
            </w:pPr>
            <w:r>
              <w:rPr>
                <w:sz w:val="24"/>
              </w:rPr>
              <w:t>не болел</w:t>
            </w:r>
          </w:p>
        </w:tc>
      </w:tr>
      <w:tr>
        <w:trPr>
          <w:trHeight w:val="952" w:hRule="atLeast"/>
        </w:trPr>
        <w:tc>
          <w:tcPr>
            <w:tcW w:w="794" w:type="dxa"/>
            <w:shd w:val="clear" w:color="auto" w:fill="F1F1F1"/>
          </w:tcPr>
          <w:p>
            <w:pPr>
              <w:pStyle w:val="TableParagraph"/>
              <w:spacing w:before="7"/>
              <w:rPr>
                <w:b/>
                <w:sz w:val="27"/>
              </w:rPr>
            </w:pPr>
          </w:p>
          <w:p>
            <w:pPr>
              <w:pStyle w:val="TableParagraph"/>
              <w:ind w:left="9"/>
              <w:jc w:val="center"/>
              <w:rPr>
                <w:b/>
                <w:sz w:val="24"/>
              </w:rPr>
            </w:pPr>
            <w:r>
              <w:rPr>
                <w:b/>
                <w:sz w:val="24"/>
              </w:rPr>
              <w:t>+</w:t>
            </w:r>
          </w:p>
        </w:tc>
        <w:tc>
          <w:tcPr>
            <w:tcW w:w="849" w:type="dxa"/>
            <w:shd w:val="clear" w:color="auto" w:fill="F1F1F1"/>
          </w:tcPr>
          <w:p>
            <w:pPr>
              <w:pStyle w:val="TableParagraph"/>
              <w:spacing w:before="7"/>
              <w:rPr>
                <w:b/>
                <w:sz w:val="27"/>
              </w:rPr>
            </w:pPr>
          </w:p>
          <w:p>
            <w:pPr>
              <w:pStyle w:val="TableParagraph"/>
              <w:ind w:left="13"/>
              <w:jc w:val="center"/>
              <w:rPr>
                <w:b/>
                <w:sz w:val="24"/>
              </w:rPr>
            </w:pPr>
            <w:r>
              <w:rPr>
                <w:b/>
                <w:sz w:val="24"/>
              </w:rPr>
              <w:t>+</w:t>
            </w:r>
          </w:p>
        </w:tc>
        <w:tc>
          <w:tcPr>
            <w:tcW w:w="851" w:type="dxa"/>
            <w:shd w:val="clear" w:color="auto" w:fill="F1F1F1"/>
          </w:tcPr>
          <w:p>
            <w:pPr>
              <w:pStyle w:val="TableParagraph"/>
              <w:spacing w:before="7"/>
              <w:rPr>
                <w:b/>
                <w:sz w:val="27"/>
              </w:rPr>
            </w:pPr>
          </w:p>
          <w:p>
            <w:pPr>
              <w:pStyle w:val="TableParagraph"/>
              <w:ind w:left="8"/>
              <w:jc w:val="center"/>
              <w:rPr>
                <w:b/>
                <w:sz w:val="24"/>
              </w:rPr>
            </w:pPr>
            <w:r>
              <w:rPr>
                <w:b/>
                <w:sz w:val="24"/>
              </w:rPr>
              <w:t>-</w:t>
            </w:r>
          </w:p>
        </w:tc>
        <w:tc>
          <w:tcPr>
            <w:tcW w:w="707" w:type="dxa"/>
            <w:shd w:val="clear" w:color="auto" w:fill="F1F1F1"/>
          </w:tcPr>
          <w:p>
            <w:pPr>
              <w:pStyle w:val="TableParagraph"/>
              <w:spacing w:before="7"/>
              <w:rPr>
                <w:b/>
                <w:sz w:val="27"/>
              </w:rPr>
            </w:pPr>
          </w:p>
          <w:p>
            <w:pPr>
              <w:pStyle w:val="TableParagraph"/>
              <w:ind w:left="10"/>
              <w:jc w:val="center"/>
              <w:rPr>
                <w:b/>
                <w:sz w:val="24"/>
              </w:rPr>
            </w:pPr>
            <w:r>
              <w:rPr>
                <w:b/>
                <w:sz w:val="24"/>
              </w:rPr>
              <w:t>-</w:t>
            </w:r>
          </w:p>
        </w:tc>
        <w:tc>
          <w:tcPr>
            <w:tcW w:w="5725" w:type="dxa"/>
            <w:shd w:val="clear" w:color="auto" w:fill="F1F1F1"/>
          </w:tcPr>
          <w:p>
            <w:pPr>
              <w:pStyle w:val="TableParagraph"/>
              <w:tabs>
                <w:tab w:pos="1469" w:val="left" w:leader="none"/>
                <w:tab w:pos="2479" w:val="left" w:leader="none"/>
                <w:tab w:pos="4486" w:val="left" w:leader="none"/>
              </w:tabs>
              <w:spacing w:line="276" w:lineRule="auto" w:before="1"/>
              <w:ind w:left="110" w:right="89"/>
              <w:rPr>
                <w:sz w:val="24"/>
              </w:rPr>
            </w:pPr>
            <w:r>
              <w:rPr>
                <w:sz w:val="24"/>
              </w:rPr>
              <w:t>Острая фаза инфекции. Серонегативный период. Результат</w:t>
              <w:tab/>
              <w:t>может</w:t>
              <w:tab/>
              <w:t>предшествовать</w:t>
              <w:tab/>
            </w:r>
            <w:r>
              <w:rPr>
                <w:spacing w:val="-1"/>
                <w:sz w:val="24"/>
              </w:rPr>
              <w:t>появлению</w:t>
            </w:r>
          </w:p>
          <w:p>
            <w:pPr>
              <w:pStyle w:val="TableParagraph"/>
              <w:spacing w:line="275" w:lineRule="exact"/>
              <w:ind w:left="110"/>
              <w:rPr>
                <w:sz w:val="24"/>
              </w:rPr>
            </w:pPr>
            <w:r>
              <w:rPr>
                <w:sz w:val="24"/>
              </w:rPr>
              <w:t>симптомов COVID-19</w:t>
            </w:r>
          </w:p>
        </w:tc>
      </w:tr>
      <w:tr>
        <w:trPr>
          <w:trHeight w:val="635" w:hRule="atLeast"/>
        </w:trPr>
        <w:tc>
          <w:tcPr>
            <w:tcW w:w="794" w:type="dxa"/>
          </w:tcPr>
          <w:p>
            <w:pPr>
              <w:pStyle w:val="TableParagraph"/>
              <w:spacing w:before="159"/>
              <w:ind w:left="9"/>
              <w:jc w:val="center"/>
              <w:rPr>
                <w:b/>
                <w:sz w:val="24"/>
              </w:rPr>
            </w:pPr>
            <w:r>
              <w:rPr>
                <w:b/>
                <w:sz w:val="24"/>
              </w:rPr>
              <w:t>+</w:t>
            </w:r>
          </w:p>
        </w:tc>
        <w:tc>
          <w:tcPr>
            <w:tcW w:w="849" w:type="dxa"/>
          </w:tcPr>
          <w:p>
            <w:pPr>
              <w:pStyle w:val="TableParagraph"/>
              <w:spacing w:before="159"/>
              <w:ind w:left="13"/>
              <w:jc w:val="center"/>
              <w:rPr>
                <w:b/>
                <w:sz w:val="24"/>
              </w:rPr>
            </w:pPr>
            <w:r>
              <w:rPr>
                <w:b/>
                <w:sz w:val="24"/>
              </w:rPr>
              <w:t>+</w:t>
            </w:r>
          </w:p>
        </w:tc>
        <w:tc>
          <w:tcPr>
            <w:tcW w:w="851" w:type="dxa"/>
          </w:tcPr>
          <w:p>
            <w:pPr>
              <w:pStyle w:val="TableParagraph"/>
              <w:spacing w:before="159"/>
              <w:ind w:left="7"/>
              <w:jc w:val="center"/>
              <w:rPr>
                <w:b/>
                <w:sz w:val="24"/>
              </w:rPr>
            </w:pPr>
            <w:r>
              <w:rPr>
                <w:b/>
                <w:sz w:val="24"/>
              </w:rPr>
              <w:t>+</w:t>
            </w:r>
          </w:p>
        </w:tc>
        <w:tc>
          <w:tcPr>
            <w:tcW w:w="707" w:type="dxa"/>
          </w:tcPr>
          <w:p>
            <w:pPr>
              <w:pStyle w:val="TableParagraph"/>
              <w:spacing w:before="159"/>
              <w:ind w:left="10"/>
              <w:jc w:val="center"/>
              <w:rPr>
                <w:b/>
                <w:sz w:val="24"/>
              </w:rPr>
            </w:pPr>
            <w:r>
              <w:rPr>
                <w:b/>
                <w:sz w:val="24"/>
              </w:rPr>
              <w:t>-</w:t>
            </w:r>
          </w:p>
        </w:tc>
        <w:tc>
          <w:tcPr>
            <w:tcW w:w="5725" w:type="dxa"/>
          </w:tcPr>
          <w:p>
            <w:pPr>
              <w:pStyle w:val="TableParagraph"/>
              <w:spacing w:line="275" w:lineRule="exact"/>
              <w:ind w:left="110"/>
              <w:rPr>
                <w:sz w:val="24"/>
              </w:rPr>
            </w:pPr>
            <w:r>
              <w:rPr>
                <w:sz w:val="24"/>
              </w:rPr>
              <w:t>Острая фаза инфекции, Начало развития иммунного</w:t>
            </w:r>
          </w:p>
          <w:p>
            <w:pPr>
              <w:pStyle w:val="TableParagraph"/>
              <w:spacing w:before="43"/>
              <w:ind w:left="110"/>
              <w:rPr>
                <w:sz w:val="24"/>
              </w:rPr>
            </w:pPr>
            <w:r>
              <w:rPr>
                <w:sz w:val="24"/>
              </w:rPr>
              <w:t>ответа</w:t>
            </w:r>
          </w:p>
        </w:tc>
      </w:tr>
      <w:tr>
        <w:trPr>
          <w:trHeight w:val="635" w:hRule="atLeast"/>
        </w:trPr>
        <w:tc>
          <w:tcPr>
            <w:tcW w:w="794" w:type="dxa"/>
            <w:shd w:val="clear" w:color="auto" w:fill="F1F1F1"/>
          </w:tcPr>
          <w:p>
            <w:pPr>
              <w:pStyle w:val="TableParagraph"/>
              <w:spacing w:before="157"/>
              <w:ind w:left="9"/>
              <w:jc w:val="center"/>
              <w:rPr>
                <w:b/>
                <w:sz w:val="24"/>
              </w:rPr>
            </w:pPr>
            <w:r>
              <w:rPr>
                <w:b/>
                <w:sz w:val="24"/>
              </w:rPr>
              <w:t>+</w:t>
            </w:r>
          </w:p>
        </w:tc>
        <w:tc>
          <w:tcPr>
            <w:tcW w:w="849" w:type="dxa"/>
            <w:shd w:val="clear" w:color="auto" w:fill="F1F1F1"/>
          </w:tcPr>
          <w:p>
            <w:pPr>
              <w:pStyle w:val="TableParagraph"/>
              <w:spacing w:before="157"/>
              <w:ind w:left="13"/>
              <w:jc w:val="center"/>
              <w:rPr>
                <w:b/>
                <w:sz w:val="24"/>
              </w:rPr>
            </w:pPr>
            <w:r>
              <w:rPr>
                <w:b/>
                <w:sz w:val="24"/>
              </w:rPr>
              <w:t>+</w:t>
            </w:r>
          </w:p>
        </w:tc>
        <w:tc>
          <w:tcPr>
            <w:tcW w:w="851" w:type="dxa"/>
            <w:shd w:val="clear" w:color="auto" w:fill="F1F1F1"/>
          </w:tcPr>
          <w:p>
            <w:pPr>
              <w:pStyle w:val="TableParagraph"/>
              <w:spacing w:before="157"/>
              <w:ind w:left="7"/>
              <w:jc w:val="center"/>
              <w:rPr>
                <w:b/>
                <w:sz w:val="24"/>
              </w:rPr>
            </w:pPr>
            <w:r>
              <w:rPr>
                <w:b/>
                <w:sz w:val="24"/>
              </w:rPr>
              <w:t>+</w:t>
            </w:r>
          </w:p>
        </w:tc>
        <w:tc>
          <w:tcPr>
            <w:tcW w:w="707" w:type="dxa"/>
            <w:shd w:val="clear" w:color="auto" w:fill="F1F1F1"/>
          </w:tcPr>
          <w:p>
            <w:pPr>
              <w:pStyle w:val="TableParagraph"/>
              <w:spacing w:before="157"/>
              <w:ind w:left="9"/>
              <w:jc w:val="center"/>
              <w:rPr>
                <w:b/>
                <w:sz w:val="24"/>
              </w:rPr>
            </w:pPr>
            <w:r>
              <w:rPr>
                <w:b/>
                <w:sz w:val="24"/>
              </w:rPr>
              <w:t>+</w:t>
            </w:r>
          </w:p>
        </w:tc>
        <w:tc>
          <w:tcPr>
            <w:tcW w:w="5725" w:type="dxa"/>
            <w:shd w:val="clear" w:color="auto" w:fill="F1F1F1"/>
          </w:tcPr>
          <w:p>
            <w:pPr>
              <w:pStyle w:val="TableParagraph"/>
              <w:spacing w:line="275" w:lineRule="exact"/>
              <w:ind w:left="110"/>
              <w:rPr>
                <w:sz w:val="24"/>
              </w:rPr>
            </w:pPr>
            <w:r>
              <w:rPr>
                <w:sz w:val="24"/>
              </w:rPr>
              <w:t>Острая фаза инфекции, выраженный иммунный ответ</w:t>
            </w:r>
          </w:p>
          <w:p>
            <w:pPr>
              <w:pStyle w:val="TableParagraph"/>
              <w:spacing w:before="41"/>
              <w:ind w:left="110"/>
              <w:rPr>
                <w:sz w:val="24"/>
              </w:rPr>
            </w:pPr>
            <w:r>
              <w:rPr>
                <w:sz w:val="24"/>
              </w:rPr>
              <w:t>на инфекцию COVID-19</w:t>
            </w:r>
          </w:p>
        </w:tc>
      </w:tr>
      <w:tr>
        <w:trPr>
          <w:trHeight w:val="633" w:hRule="atLeast"/>
        </w:trPr>
        <w:tc>
          <w:tcPr>
            <w:tcW w:w="794" w:type="dxa"/>
          </w:tcPr>
          <w:p>
            <w:pPr>
              <w:pStyle w:val="TableParagraph"/>
              <w:spacing w:before="157"/>
              <w:ind w:left="10"/>
              <w:jc w:val="center"/>
              <w:rPr>
                <w:b/>
                <w:sz w:val="24"/>
              </w:rPr>
            </w:pPr>
            <w:r>
              <w:rPr>
                <w:b/>
                <w:sz w:val="24"/>
              </w:rPr>
              <w:t>-</w:t>
            </w:r>
          </w:p>
        </w:tc>
        <w:tc>
          <w:tcPr>
            <w:tcW w:w="849" w:type="dxa"/>
          </w:tcPr>
          <w:p>
            <w:pPr>
              <w:pStyle w:val="TableParagraph"/>
              <w:spacing w:before="157"/>
              <w:ind w:left="14"/>
              <w:jc w:val="center"/>
              <w:rPr>
                <w:b/>
                <w:sz w:val="24"/>
              </w:rPr>
            </w:pPr>
            <w:r>
              <w:rPr>
                <w:b/>
                <w:sz w:val="24"/>
              </w:rPr>
              <w:t>-</w:t>
            </w:r>
          </w:p>
        </w:tc>
        <w:tc>
          <w:tcPr>
            <w:tcW w:w="851" w:type="dxa"/>
          </w:tcPr>
          <w:p>
            <w:pPr>
              <w:pStyle w:val="TableParagraph"/>
              <w:spacing w:before="157"/>
              <w:ind w:left="7"/>
              <w:jc w:val="center"/>
              <w:rPr>
                <w:b/>
                <w:sz w:val="24"/>
              </w:rPr>
            </w:pPr>
            <w:r>
              <w:rPr>
                <w:b/>
                <w:sz w:val="24"/>
              </w:rPr>
              <w:t>+</w:t>
            </w:r>
          </w:p>
        </w:tc>
        <w:tc>
          <w:tcPr>
            <w:tcW w:w="707" w:type="dxa"/>
          </w:tcPr>
          <w:p>
            <w:pPr>
              <w:pStyle w:val="TableParagraph"/>
              <w:spacing w:before="157"/>
              <w:ind w:left="9"/>
              <w:jc w:val="center"/>
              <w:rPr>
                <w:b/>
                <w:sz w:val="24"/>
              </w:rPr>
            </w:pPr>
            <w:r>
              <w:rPr>
                <w:b/>
                <w:sz w:val="24"/>
              </w:rPr>
              <w:t>+</w:t>
            </w:r>
          </w:p>
        </w:tc>
        <w:tc>
          <w:tcPr>
            <w:tcW w:w="5725" w:type="dxa"/>
          </w:tcPr>
          <w:p>
            <w:pPr>
              <w:pStyle w:val="TableParagraph"/>
              <w:tabs>
                <w:tab w:pos="1207" w:val="left" w:leader="none"/>
                <w:tab w:pos="1905" w:val="left" w:leader="none"/>
                <w:tab w:pos="3396" w:val="left" w:leader="none"/>
                <w:tab w:pos="4010" w:val="left" w:leader="none"/>
              </w:tabs>
              <w:spacing w:line="275" w:lineRule="exact"/>
              <w:ind w:left="110"/>
              <w:rPr>
                <w:sz w:val="24"/>
              </w:rPr>
            </w:pPr>
            <w:r>
              <w:rPr>
                <w:sz w:val="24"/>
              </w:rPr>
              <w:t>Поздняя</w:t>
              <w:tab/>
              <w:t>фаза</w:t>
              <w:tab/>
              <w:t>заболевания</w:t>
              <w:tab/>
              <w:t>или</w:t>
              <w:tab/>
              <w:t>выздоровление,</w:t>
            </w:r>
          </w:p>
          <w:p>
            <w:pPr>
              <w:pStyle w:val="TableParagraph"/>
              <w:spacing w:before="41"/>
              <w:ind w:left="110"/>
              <w:rPr>
                <w:sz w:val="24"/>
              </w:rPr>
            </w:pPr>
            <w:r>
              <w:rPr>
                <w:sz w:val="24"/>
              </w:rPr>
              <w:t>выраженный иммунный ответ.</w:t>
            </w:r>
          </w:p>
        </w:tc>
      </w:tr>
      <w:tr>
        <w:trPr>
          <w:trHeight w:val="952" w:hRule="atLeast"/>
        </w:trPr>
        <w:tc>
          <w:tcPr>
            <w:tcW w:w="794" w:type="dxa"/>
            <w:shd w:val="clear" w:color="auto" w:fill="F1F1F1"/>
          </w:tcPr>
          <w:p>
            <w:pPr>
              <w:pStyle w:val="TableParagraph"/>
              <w:spacing w:before="7"/>
              <w:rPr>
                <w:b/>
                <w:sz w:val="27"/>
              </w:rPr>
            </w:pPr>
          </w:p>
          <w:p>
            <w:pPr>
              <w:pStyle w:val="TableParagraph"/>
              <w:ind w:left="10"/>
              <w:jc w:val="center"/>
              <w:rPr>
                <w:b/>
                <w:sz w:val="24"/>
              </w:rPr>
            </w:pPr>
            <w:r>
              <w:rPr>
                <w:b/>
                <w:sz w:val="24"/>
              </w:rPr>
              <w:t>-</w:t>
            </w:r>
          </w:p>
        </w:tc>
        <w:tc>
          <w:tcPr>
            <w:tcW w:w="849" w:type="dxa"/>
            <w:shd w:val="clear" w:color="auto" w:fill="F1F1F1"/>
          </w:tcPr>
          <w:p>
            <w:pPr>
              <w:pStyle w:val="TableParagraph"/>
              <w:spacing w:before="7"/>
              <w:rPr>
                <w:b/>
                <w:sz w:val="27"/>
              </w:rPr>
            </w:pPr>
          </w:p>
          <w:p>
            <w:pPr>
              <w:pStyle w:val="TableParagraph"/>
              <w:ind w:left="14"/>
              <w:jc w:val="center"/>
              <w:rPr>
                <w:b/>
                <w:sz w:val="24"/>
              </w:rPr>
            </w:pPr>
            <w:r>
              <w:rPr>
                <w:b/>
                <w:sz w:val="24"/>
              </w:rPr>
              <w:t>-</w:t>
            </w:r>
          </w:p>
        </w:tc>
        <w:tc>
          <w:tcPr>
            <w:tcW w:w="851" w:type="dxa"/>
            <w:shd w:val="clear" w:color="auto" w:fill="F1F1F1"/>
          </w:tcPr>
          <w:p>
            <w:pPr>
              <w:pStyle w:val="TableParagraph"/>
              <w:spacing w:before="7"/>
              <w:rPr>
                <w:b/>
                <w:sz w:val="27"/>
              </w:rPr>
            </w:pPr>
          </w:p>
          <w:p>
            <w:pPr>
              <w:pStyle w:val="TableParagraph"/>
              <w:ind w:left="8"/>
              <w:jc w:val="center"/>
              <w:rPr>
                <w:b/>
                <w:sz w:val="24"/>
              </w:rPr>
            </w:pPr>
            <w:r>
              <w:rPr>
                <w:b/>
                <w:sz w:val="24"/>
              </w:rPr>
              <w:t>-</w:t>
            </w:r>
          </w:p>
        </w:tc>
        <w:tc>
          <w:tcPr>
            <w:tcW w:w="707" w:type="dxa"/>
            <w:shd w:val="clear" w:color="auto" w:fill="F1F1F1"/>
          </w:tcPr>
          <w:p>
            <w:pPr>
              <w:pStyle w:val="TableParagraph"/>
              <w:spacing w:before="7"/>
              <w:rPr>
                <w:b/>
                <w:sz w:val="27"/>
              </w:rPr>
            </w:pPr>
          </w:p>
          <w:p>
            <w:pPr>
              <w:pStyle w:val="TableParagraph"/>
              <w:ind w:left="9"/>
              <w:jc w:val="center"/>
              <w:rPr>
                <w:b/>
                <w:sz w:val="24"/>
              </w:rPr>
            </w:pPr>
            <w:r>
              <w:rPr>
                <w:b/>
                <w:sz w:val="24"/>
              </w:rPr>
              <w:t>+</w:t>
            </w:r>
          </w:p>
        </w:tc>
        <w:tc>
          <w:tcPr>
            <w:tcW w:w="5725" w:type="dxa"/>
            <w:shd w:val="clear" w:color="auto" w:fill="F1F1F1"/>
          </w:tcPr>
          <w:p>
            <w:pPr>
              <w:pStyle w:val="TableParagraph"/>
              <w:spacing w:line="278" w:lineRule="auto"/>
              <w:ind w:left="110" w:right="80"/>
              <w:rPr>
                <w:sz w:val="24"/>
              </w:rPr>
            </w:pPr>
            <w:r>
              <w:rPr>
                <w:sz w:val="24"/>
              </w:rPr>
              <w:t>Наличие инфекции COVID-19 в прошлом или период выздоровления. Сформирован иммунитет</w:t>
            </w:r>
          </w:p>
          <w:p>
            <w:pPr>
              <w:pStyle w:val="TableParagraph"/>
              <w:spacing w:line="272" w:lineRule="exact"/>
              <w:ind w:left="110"/>
              <w:rPr>
                <w:sz w:val="24"/>
              </w:rPr>
            </w:pPr>
            <w:r>
              <w:rPr>
                <w:sz w:val="24"/>
              </w:rPr>
              <w:t>к SARS-CoV-2.</w:t>
            </w:r>
          </w:p>
        </w:tc>
      </w:tr>
    </w:tbl>
    <w:p>
      <w:pPr>
        <w:pStyle w:val="BodyText"/>
        <w:spacing w:before="5"/>
        <w:ind w:left="0"/>
        <w:jc w:val="left"/>
        <w:rPr>
          <w:b/>
          <w:sz w:val="27"/>
        </w:rPr>
      </w:pPr>
    </w:p>
    <w:p>
      <w:pPr>
        <w:pStyle w:val="BodyText"/>
        <w:ind w:left="121" w:right="153" w:firstLine="708"/>
      </w:pPr>
      <w:r>
        <w:rPr/>
        <w:t>Интерпретация результатов иммунохимических исследований должна проводиться с учетом анамнеза и клинических данных, а также результатов других лабораторных и инструментальных исследований.</w:t>
      </w:r>
    </w:p>
    <w:p>
      <w:pPr>
        <w:pStyle w:val="BodyText"/>
        <w:ind w:left="121" w:right="157" w:firstLine="566"/>
      </w:pPr>
      <w:r>
        <w:rPr/>
        <w:t>Необходимо  также  учитывать  вероятность  получения  ложноположительных  и ложноотрицательных результатов.</w:t>
      </w:r>
    </w:p>
    <w:p>
      <w:pPr>
        <w:pStyle w:val="BodyText"/>
        <w:ind w:left="121" w:right="154" w:firstLine="708"/>
      </w:pPr>
      <w:r>
        <w:rPr/>
        <w:t>Ложноположительные результаты могут появиться при наличии в крови пациента так называемых «перекрестно-реагирующих» антител, сходных по своим иммунохимическим</w:t>
      </w:r>
      <w:r>
        <w:rPr>
          <w:spacing w:val="-17"/>
        </w:rPr>
        <w:t> </w:t>
      </w:r>
      <w:r>
        <w:rPr/>
        <w:t>свойствам</w:t>
      </w:r>
      <w:r>
        <w:rPr>
          <w:spacing w:val="-16"/>
        </w:rPr>
        <w:t> </w:t>
      </w:r>
      <w:r>
        <w:rPr/>
        <w:t>со</w:t>
      </w:r>
      <w:r>
        <w:rPr>
          <w:spacing w:val="-15"/>
        </w:rPr>
        <w:t> </w:t>
      </w:r>
      <w:r>
        <w:rPr/>
        <w:t>специфическими</w:t>
      </w:r>
      <w:r>
        <w:rPr>
          <w:spacing w:val="-14"/>
        </w:rPr>
        <w:t> </w:t>
      </w:r>
      <w:r>
        <w:rPr/>
        <w:t>антителами</w:t>
      </w:r>
      <w:r>
        <w:rPr>
          <w:spacing w:val="-14"/>
        </w:rPr>
        <w:t> </w:t>
      </w:r>
      <w:r>
        <w:rPr/>
        <w:t>(других</w:t>
      </w:r>
      <w:r>
        <w:rPr>
          <w:spacing w:val="-15"/>
        </w:rPr>
        <w:t> </w:t>
      </w:r>
      <w:r>
        <w:rPr/>
        <w:t>коронавирусов, ревматоидным фактором</w:t>
      </w:r>
      <w:r>
        <w:rPr>
          <w:spacing w:val="-1"/>
        </w:rPr>
        <w:t> </w:t>
      </w:r>
      <w:r>
        <w:rPr/>
        <w:t>IgM).</w:t>
      </w:r>
    </w:p>
    <w:p>
      <w:pPr>
        <w:pStyle w:val="BodyText"/>
        <w:ind w:left="121" w:right="154" w:firstLine="708"/>
      </w:pPr>
      <w:r>
        <w:rPr/>
        <w:t>Ложноотрицательные результаты могут быть при исследовании биологических образцов, взятых на серонегативном этапе развития инфекции, или при применении тест-систем/наборов реагентов с низким уровнем чувствительности. Ложноотрицательные результаты могут быть получены при обследовании пациентов со сниженным иммунитетом.</w:t>
      </w:r>
    </w:p>
    <w:p>
      <w:pPr>
        <w:pStyle w:val="BodyText"/>
        <w:ind w:left="121" w:right="155" w:firstLine="708"/>
      </w:pPr>
      <w:r>
        <w:rPr/>
        <w:t>Ложноположительные и ложноотрицательные результаты могут также появляться при нарушении правил проведения лабораторных исследований на всех этапах. Для исключения ложноположительных результатов необходимо ввести алгоритм последовательного тестирования пациентов, у которых получены первоначальные положительные результаты, с использованием другого теста. С этой</w:t>
      </w:r>
    </w:p>
    <w:p>
      <w:pPr>
        <w:spacing w:after="0"/>
        <w:sectPr>
          <w:pgSz w:w="11920" w:h="16850"/>
          <w:pgMar w:header="0" w:footer="700" w:top="1060" w:bottom="880" w:left="1580" w:right="1120"/>
        </w:sectPr>
      </w:pPr>
    </w:p>
    <w:p>
      <w:pPr>
        <w:pStyle w:val="BodyText"/>
        <w:spacing w:before="78"/>
        <w:ind w:left="121" w:right="155"/>
      </w:pPr>
      <w:r>
        <w:rPr/>
        <w:t>целью необходимо использовать тест-систему с максимальными чувствительностью  и специфичностью, а также с одновременным выявлением антител классов A, M, G, которая будет играть роль референтной (верифицирующей)</w:t>
      </w:r>
      <w:r>
        <w:rPr>
          <w:spacing w:val="-5"/>
        </w:rPr>
        <w:t> </w:t>
      </w:r>
      <w:r>
        <w:rPr/>
        <w:t>тест-системы.</w:t>
      </w:r>
    </w:p>
    <w:p>
      <w:pPr>
        <w:pStyle w:val="BodyText"/>
        <w:ind w:left="0"/>
        <w:jc w:val="left"/>
      </w:pPr>
    </w:p>
    <w:p>
      <w:pPr>
        <w:pStyle w:val="BodyText"/>
        <w:ind w:left="234" w:right="336" w:firstLine="566"/>
      </w:pPr>
      <w:bookmarkStart w:name="Дезинфекция, обращение с отходами при пр" w:id="211"/>
      <w:bookmarkEnd w:id="211"/>
      <w:r>
        <w:rPr/>
      </w:r>
      <w:r>
        <w:rPr>
          <w:b/>
        </w:rPr>
        <w:t>Дезинфекция,</w:t>
      </w:r>
      <w:r>
        <w:rPr>
          <w:b/>
          <w:spacing w:val="-20"/>
        </w:rPr>
        <w:t> </w:t>
      </w:r>
      <w:r>
        <w:rPr>
          <w:b/>
        </w:rPr>
        <w:t>обращение</w:t>
      </w:r>
      <w:r>
        <w:rPr>
          <w:b/>
          <w:spacing w:val="-20"/>
        </w:rPr>
        <w:t> </w:t>
      </w:r>
      <w:r>
        <w:rPr>
          <w:b/>
        </w:rPr>
        <w:t>с</w:t>
      </w:r>
      <w:r>
        <w:rPr>
          <w:b/>
          <w:spacing w:val="-20"/>
        </w:rPr>
        <w:t> </w:t>
      </w:r>
      <w:r>
        <w:rPr>
          <w:b/>
          <w:spacing w:val="-3"/>
        </w:rPr>
        <w:t>отходами</w:t>
      </w:r>
      <w:r>
        <w:rPr>
          <w:b/>
          <w:spacing w:val="-23"/>
        </w:rPr>
        <w:t> </w:t>
      </w:r>
      <w:r>
        <w:rPr/>
        <w:t>при</w:t>
      </w:r>
      <w:r>
        <w:rPr>
          <w:spacing w:val="-19"/>
        </w:rPr>
        <w:t> </w:t>
      </w:r>
      <w:r>
        <w:rPr/>
        <w:t>проведении</w:t>
      </w:r>
      <w:r>
        <w:rPr>
          <w:spacing w:val="-18"/>
        </w:rPr>
        <w:t> </w:t>
      </w:r>
      <w:r>
        <w:rPr/>
        <w:t>диагностики</w:t>
      </w:r>
      <w:r>
        <w:rPr>
          <w:spacing w:val="-13"/>
        </w:rPr>
        <w:t> </w:t>
      </w:r>
      <w:r>
        <w:rPr/>
        <w:t>COVID‑19 с примением  иммунохимических  методов  проводится  аналогично  требованиям  к дзинфекции и обращению с отходами с применением методов амплификации нуклеиновых</w:t>
      </w:r>
      <w:r>
        <w:rPr>
          <w:spacing w:val="1"/>
        </w:rPr>
        <w:t> </w:t>
      </w:r>
      <w:r>
        <w:rPr/>
        <w:t>кислот.</w:t>
      </w:r>
    </w:p>
    <w:p>
      <w:pPr>
        <w:spacing w:after="0"/>
        <w:sectPr>
          <w:pgSz w:w="11920" w:h="16850"/>
          <w:pgMar w:header="0" w:footer="700" w:top="1060" w:bottom="880" w:left="1580" w:right="1120"/>
        </w:sectPr>
      </w:pPr>
    </w:p>
    <w:p>
      <w:pPr>
        <w:pStyle w:val="Heading3"/>
        <w:spacing w:before="169"/>
        <w:ind w:left="12965"/>
        <w:jc w:val="left"/>
      </w:pPr>
      <w:bookmarkStart w:name="Приложение 4" w:id="212"/>
      <w:bookmarkEnd w:id="212"/>
      <w:r>
        <w:rPr>
          <w:b w:val="0"/>
        </w:rPr>
      </w:r>
      <w:bookmarkStart w:name="_bookmark49" w:id="213"/>
      <w:bookmarkEnd w:id="213"/>
      <w:r>
        <w:rPr>
          <w:b w:val="0"/>
        </w:rPr>
      </w:r>
      <w:r>
        <w:rPr>
          <w:color w:val="1F487C"/>
        </w:rPr>
        <w:t>Приложение 4</w:t>
      </w:r>
    </w:p>
    <w:p>
      <w:pPr>
        <w:spacing w:before="143"/>
        <w:ind w:left="3413" w:right="2275" w:hanging="1954"/>
        <w:jc w:val="left"/>
        <w:rPr>
          <w:b/>
          <w:sz w:val="28"/>
        </w:rPr>
      </w:pPr>
      <w:r>
        <w:rPr>
          <w:b/>
          <w:sz w:val="28"/>
        </w:rPr>
        <w:t>Перечень зарегистрированных в Российской Федерации диагностических наборов реагентов для выявления РНК SARS-CoV-2 (по состоянию на 25.08.2020)</w:t>
      </w:r>
    </w:p>
    <w:p>
      <w:pPr>
        <w:pStyle w:val="BodyText"/>
        <w:spacing w:before="1"/>
        <w:ind w:left="0"/>
        <w:jc w:val="left"/>
        <w:rPr>
          <w:b/>
          <w:sz w:val="28"/>
        </w:rPr>
      </w:pPr>
    </w:p>
    <w:tbl>
      <w:tblPr>
        <w:tblW w:w="0" w:type="auto"/>
        <w:jc w:val="left"/>
        <w:tblInd w:w="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39"/>
        <w:gridCol w:w="1653"/>
        <w:gridCol w:w="1627"/>
        <w:gridCol w:w="6470"/>
        <w:gridCol w:w="2251"/>
        <w:gridCol w:w="2669"/>
      </w:tblGrid>
      <w:tr>
        <w:trPr>
          <w:trHeight w:val="1770" w:hRule="atLeast"/>
        </w:trPr>
        <w:tc>
          <w:tcPr>
            <w:tcW w:w="439" w:type="dxa"/>
            <w:shd w:val="clear" w:color="auto" w:fill="F1F1F1"/>
          </w:tcPr>
          <w:p>
            <w:pPr>
              <w:pStyle w:val="TableParagraph"/>
              <w:rPr>
                <w:b/>
                <w:sz w:val="24"/>
              </w:rPr>
            </w:pPr>
          </w:p>
          <w:p>
            <w:pPr>
              <w:pStyle w:val="TableParagraph"/>
              <w:rPr>
                <w:b/>
                <w:sz w:val="24"/>
              </w:rPr>
            </w:pPr>
          </w:p>
          <w:p>
            <w:pPr>
              <w:pStyle w:val="TableParagraph"/>
              <w:spacing w:before="205"/>
              <w:ind w:left="107"/>
              <w:rPr>
                <w:b/>
                <w:sz w:val="22"/>
              </w:rPr>
            </w:pPr>
            <w:r>
              <w:rPr>
                <w:b/>
                <w:w w:val="100"/>
                <w:sz w:val="22"/>
              </w:rPr>
              <w:t>№</w:t>
            </w:r>
          </w:p>
        </w:tc>
        <w:tc>
          <w:tcPr>
            <w:tcW w:w="1653" w:type="dxa"/>
            <w:shd w:val="clear" w:color="auto" w:fill="F1F1F1"/>
          </w:tcPr>
          <w:p>
            <w:pPr>
              <w:pStyle w:val="TableParagraph"/>
              <w:spacing w:before="9"/>
              <w:rPr>
                <w:b/>
                <w:sz w:val="32"/>
              </w:rPr>
            </w:pPr>
          </w:p>
          <w:p>
            <w:pPr>
              <w:pStyle w:val="TableParagraph"/>
              <w:ind w:left="107" w:right="105"/>
              <w:rPr>
                <w:b/>
                <w:sz w:val="22"/>
              </w:rPr>
            </w:pPr>
            <w:r>
              <w:rPr>
                <w:b/>
                <w:sz w:val="22"/>
              </w:rPr>
              <w:t>Дата гос. регистрации медицинского изделия</w:t>
            </w:r>
          </w:p>
        </w:tc>
        <w:tc>
          <w:tcPr>
            <w:tcW w:w="1627" w:type="dxa"/>
            <w:shd w:val="clear" w:color="auto" w:fill="F1F1F1"/>
          </w:tcPr>
          <w:p>
            <w:pPr>
              <w:pStyle w:val="TableParagraph"/>
              <w:spacing w:before="9"/>
              <w:rPr>
                <w:b/>
                <w:sz w:val="32"/>
              </w:rPr>
            </w:pPr>
          </w:p>
          <w:p>
            <w:pPr>
              <w:pStyle w:val="TableParagraph"/>
              <w:ind w:left="108" w:right="78"/>
              <w:rPr>
                <w:b/>
                <w:sz w:val="22"/>
              </w:rPr>
            </w:pPr>
            <w:r>
              <w:rPr>
                <w:b/>
                <w:sz w:val="22"/>
              </w:rPr>
              <w:t>Регистрац. номер медицинского изделия</w:t>
            </w:r>
          </w:p>
        </w:tc>
        <w:tc>
          <w:tcPr>
            <w:tcW w:w="6470" w:type="dxa"/>
            <w:shd w:val="clear" w:color="auto" w:fill="F1F1F1"/>
          </w:tcPr>
          <w:p>
            <w:pPr>
              <w:pStyle w:val="TableParagraph"/>
              <w:rPr>
                <w:b/>
                <w:sz w:val="24"/>
              </w:rPr>
            </w:pPr>
          </w:p>
          <w:p>
            <w:pPr>
              <w:pStyle w:val="TableParagraph"/>
              <w:rPr>
                <w:b/>
                <w:sz w:val="24"/>
              </w:rPr>
            </w:pPr>
          </w:p>
          <w:p>
            <w:pPr>
              <w:pStyle w:val="TableParagraph"/>
              <w:spacing w:before="205"/>
              <w:ind w:left="108"/>
              <w:rPr>
                <w:b/>
                <w:sz w:val="22"/>
              </w:rPr>
            </w:pPr>
            <w:r>
              <w:rPr>
                <w:b/>
                <w:sz w:val="22"/>
              </w:rPr>
              <w:t>Наименование медицинского изделия</w:t>
            </w:r>
          </w:p>
        </w:tc>
        <w:tc>
          <w:tcPr>
            <w:tcW w:w="2251" w:type="dxa"/>
            <w:shd w:val="clear" w:color="auto" w:fill="F1F1F1"/>
          </w:tcPr>
          <w:p>
            <w:pPr>
              <w:pStyle w:val="TableParagraph"/>
              <w:ind w:left="109" w:right="205"/>
              <w:rPr>
                <w:b/>
                <w:sz w:val="22"/>
              </w:rPr>
            </w:pPr>
            <w:r>
              <w:rPr>
                <w:b/>
                <w:sz w:val="22"/>
              </w:rPr>
              <w:t>Наименование организации- производителя или организации- изготовителя медицинского</w:t>
            </w:r>
          </w:p>
          <w:p>
            <w:pPr>
              <w:pStyle w:val="TableParagraph"/>
              <w:spacing w:line="235" w:lineRule="exact"/>
              <w:ind w:left="109"/>
              <w:rPr>
                <w:b/>
                <w:sz w:val="22"/>
              </w:rPr>
            </w:pPr>
            <w:r>
              <w:rPr>
                <w:b/>
                <w:sz w:val="22"/>
              </w:rPr>
              <w:t>изделия</w:t>
            </w:r>
          </w:p>
        </w:tc>
        <w:tc>
          <w:tcPr>
            <w:tcW w:w="2669" w:type="dxa"/>
            <w:shd w:val="clear" w:color="auto" w:fill="F1F1F1"/>
          </w:tcPr>
          <w:p>
            <w:pPr>
              <w:pStyle w:val="TableParagraph"/>
              <w:spacing w:before="125"/>
              <w:ind w:left="109" w:right="287"/>
              <w:rPr>
                <w:b/>
                <w:sz w:val="22"/>
              </w:rPr>
            </w:pPr>
            <w:r>
              <w:rPr>
                <w:b/>
                <w:sz w:val="22"/>
              </w:rPr>
              <w:t>Место нахождения организации- производителя или организации - изготовителя медицинского изделия</w:t>
            </w:r>
          </w:p>
        </w:tc>
      </w:tr>
      <w:tr>
        <w:trPr>
          <w:trHeight w:val="702" w:hRule="atLeast"/>
        </w:trPr>
        <w:tc>
          <w:tcPr>
            <w:tcW w:w="439" w:type="dxa"/>
          </w:tcPr>
          <w:p>
            <w:pPr>
              <w:pStyle w:val="TableParagraph"/>
              <w:spacing w:before="5"/>
              <w:rPr>
                <w:b/>
                <w:sz w:val="20"/>
              </w:rPr>
            </w:pPr>
          </w:p>
          <w:p>
            <w:pPr>
              <w:pStyle w:val="TableParagraph"/>
              <w:ind w:left="107"/>
              <w:rPr>
                <w:sz w:val="20"/>
              </w:rPr>
            </w:pPr>
            <w:r>
              <w:rPr>
                <w:w w:val="99"/>
                <w:sz w:val="20"/>
              </w:rPr>
              <w:t>1</w:t>
            </w:r>
          </w:p>
        </w:tc>
        <w:tc>
          <w:tcPr>
            <w:tcW w:w="1653" w:type="dxa"/>
          </w:tcPr>
          <w:p>
            <w:pPr>
              <w:pStyle w:val="TableParagraph"/>
              <w:rPr>
                <w:b/>
                <w:sz w:val="20"/>
              </w:rPr>
            </w:pPr>
          </w:p>
          <w:p>
            <w:pPr>
              <w:pStyle w:val="TableParagraph"/>
              <w:ind w:left="117"/>
              <w:rPr>
                <w:sz w:val="20"/>
              </w:rPr>
            </w:pPr>
            <w:r>
              <w:rPr>
                <w:sz w:val="20"/>
              </w:rPr>
              <w:t>11.02.2020</w:t>
            </w:r>
          </w:p>
        </w:tc>
        <w:tc>
          <w:tcPr>
            <w:tcW w:w="1627" w:type="dxa"/>
          </w:tcPr>
          <w:p>
            <w:pPr>
              <w:pStyle w:val="TableParagraph"/>
              <w:rPr>
                <w:b/>
                <w:sz w:val="20"/>
              </w:rPr>
            </w:pPr>
          </w:p>
          <w:p>
            <w:pPr>
              <w:pStyle w:val="TableParagraph"/>
              <w:ind w:left="118"/>
              <w:rPr>
                <w:sz w:val="20"/>
              </w:rPr>
            </w:pPr>
            <w:r>
              <w:rPr>
                <w:sz w:val="20"/>
              </w:rPr>
              <w:t>РЗН 2020/9677</w:t>
            </w:r>
          </w:p>
        </w:tc>
        <w:tc>
          <w:tcPr>
            <w:tcW w:w="6470" w:type="dxa"/>
          </w:tcPr>
          <w:p>
            <w:pPr>
              <w:pStyle w:val="TableParagraph"/>
              <w:ind w:left="118" w:right="159"/>
              <w:rPr>
                <w:sz w:val="20"/>
              </w:rPr>
            </w:pPr>
            <w:r>
              <w:rPr>
                <w:sz w:val="20"/>
              </w:rPr>
              <w:t>Набор реагентов для выявления РНК коронавируса 2019-nCoV методом ПЦР с гибридизационно-флуоресцентной детекцией</w:t>
            </w:r>
          </w:p>
          <w:p>
            <w:pPr>
              <w:pStyle w:val="TableParagraph"/>
              <w:spacing w:line="222" w:lineRule="exact" w:before="1"/>
              <w:ind w:left="118"/>
              <w:rPr>
                <w:sz w:val="20"/>
              </w:rPr>
            </w:pPr>
            <w:r>
              <w:rPr>
                <w:sz w:val="20"/>
              </w:rPr>
              <w:t>"Вектор-ПЦРрв-2019-nCoV-RG"</w:t>
            </w:r>
          </w:p>
        </w:tc>
        <w:tc>
          <w:tcPr>
            <w:tcW w:w="2251" w:type="dxa"/>
          </w:tcPr>
          <w:p>
            <w:pPr>
              <w:pStyle w:val="TableParagraph"/>
              <w:ind w:left="118"/>
              <w:rPr>
                <w:sz w:val="20"/>
              </w:rPr>
            </w:pPr>
            <w:r>
              <w:rPr>
                <w:sz w:val="20"/>
              </w:rPr>
              <w:t>ФБУН ГНЦ ВБ</w:t>
            </w:r>
          </w:p>
          <w:p>
            <w:pPr>
              <w:pStyle w:val="TableParagraph"/>
              <w:spacing w:line="230" w:lineRule="atLeast"/>
              <w:ind w:left="118" w:right="552"/>
              <w:rPr>
                <w:sz w:val="20"/>
              </w:rPr>
            </w:pPr>
            <w:r>
              <w:rPr>
                <w:sz w:val="20"/>
              </w:rPr>
              <w:t>"Вектор" Роспотребнадзора</w:t>
            </w:r>
          </w:p>
        </w:tc>
        <w:tc>
          <w:tcPr>
            <w:tcW w:w="2669" w:type="dxa"/>
          </w:tcPr>
          <w:p>
            <w:pPr>
              <w:pStyle w:val="TableParagraph"/>
              <w:spacing w:line="230" w:lineRule="atLeast"/>
              <w:ind w:left="119" w:right="252"/>
              <w:rPr>
                <w:sz w:val="20"/>
              </w:rPr>
            </w:pPr>
            <w:r>
              <w:rPr>
                <w:sz w:val="20"/>
              </w:rPr>
              <w:t>630559, Россия, Новосибирская область, р. п. Кольцово</w:t>
            </w:r>
          </w:p>
        </w:tc>
      </w:tr>
      <w:tr>
        <w:trPr>
          <w:trHeight w:val="705" w:hRule="atLeast"/>
        </w:trPr>
        <w:tc>
          <w:tcPr>
            <w:tcW w:w="439" w:type="dxa"/>
            <w:shd w:val="clear" w:color="auto" w:fill="F1F1F1"/>
          </w:tcPr>
          <w:p>
            <w:pPr>
              <w:pStyle w:val="TableParagraph"/>
              <w:spacing w:before="7"/>
              <w:rPr>
                <w:b/>
                <w:sz w:val="20"/>
              </w:rPr>
            </w:pPr>
          </w:p>
          <w:p>
            <w:pPr>
              <w:pStyle w:val="TableParagraph"/>
              <w:spacing w:before="1"/>
              <w:ind w:left="107"/>
              <w:rPr>
                <w:sz w:val="20"/>
              </w:rPr>
            </w:pPr>
            <w:r>
              <w:rPr>
                <w:w w:val="99"/>
                <w:sz w:val="20"/>
              </w:rPr>
              <w:t>2</w:t>
            </w:r>
          </w:p>
        </w:tc>
        <w:tc>
          <w:tcPr>
            <w:tcW w:w="1653" w:type="dxa"/>
            <w:shd w:val="clear" w:color="auto" w:fill="F1F1F1"/>
          </w:tcPr>
          <w:p>
            <w:pPr>
              <w:pStyle w:val="TableParagraph"/>
              <w:rPr>
                <w:b/>
                <w:sz w:val="20"/>
              </w:rPr>
            </w:pPr>
          </w:p>
          <w:p>
            <w:pPr>
              <w:pStyle w:val="TableParagraph"/>
              <w:ind w:left="117"/>
              <w:rPr>
                <w:sz w:val="20"/>
              </w:rPr>
            </w:pPr>
            <w:r>
              <w:rPr>
                <w:sz w:val="20"/>
              </w:rPr>
              <w:t>14.02.2020</w:t>
            </w:r>
          </w:p>
        </w:tc>
        <w:tc>
          <w:tcPr>
            <w:tcW w:w="1627" w:type="dxa"/>
            <w:shd w:val="clear" w:color="auto" w:fill="F1F1F1"/>
          </w:tcPr>
          <w:p>
            <w:pPr>
              <w:pStyle w:val="TableParagraph"/>
              <w:rPr>
                <w:b/>
                <w:sz w:val="20"/>
              </w:rPr>
            </w:pPr>
          </w:p>
          <w:p>
            <w:pPr>
              <w:pStyle w:val="TableParagraph"/>
              <w:ind w:left="118"/>
              <w:rPr>
                <w:sz w:val="20"/>
              </w:rPr>
            </w:pPr>
            <w:r>
              <w:rPr>
                <w:sz w:val="20"/>
              </w:rPr>
              <w:t>РЗН 2020/9700</w:t>
            </w:r>
          </w:p>
        </w:tc>
        <w:tc>
          <w:tcPr>
            <w:tcW w:w="6470" w:type="dxa"/>
            <w:shd w:val="clear" w:color="auto" w:fill="F1F1F1"/>
          </w:tcPr>
          <w:p>
            <w:pPr>
              <w:pStyle w:val="TableParagraph"/>
              <w:spacing w:line="230" w:lineRule="atLeast"/>
              <w:ind w:left="118" w:right="258"/>
              <w:rPr>
                <w:sz w:val="20"/>
              </w:rPr>
            </w:pPr>
            <w:r>
              <w:rPr>
                <w:sz w:val="20"/>
              </w:rPr>
              <w:t>Набор реагентов для выявления РНК коронавирусов SARS/COVID-19 методом ПЦР с гибридизационно-флуоресцентной детекцией "Вектор- OneStepПЦР-CoV-RG"</w:t>
            </w:r>
          </w:p>
        </w:tc>
        <w:tc>
          <w:tcPr>
            <w:tcW w:w="2251" w:type="dxa"/>
            <w:shd w:val="clear" w:color="auto" w:fill="F1F1F1"/>
          </w:tcPr>
          <w:p>
            <w:pPr>
              <w:pStyle w:val="TableParagraph"/>
              <w:ind w:left="118"/>
              <w:rPr>
                <w:sz w:val="20"/>
              </w:rPr>
            </w:pPr>
            <w:r>
              <w:rPr>
                <w:sz w:val="20"/>
              </w:rPr>
              <w:t>ФБУН ГНЦ ВБ</w:t>
            </w:r>
          </w:p>
          <w:p>
            <w:pPr>
              <w:pStyle w:val="TableParagraph"/>
              <w:spacing w:line="230" w:lineRule="atLeast"/>
              <w:ind w:left="118" w:right="552"/>
              <w:rPr>
                <w:sz w:val="20"/>
              </w:rPr>
            </w:pPr>
            <w:r>
              <w:rPr>
                <w:sz w:val="20"/>
              </w:rPr>
              <w:t>"Вектор" Роспотребнадзора</w:t>
            </w:r>
          </w:p>
        </w:tc>
        <w:tc>
          <w:tcPr>
            <w:tcW w:w="2669" w:type="dxa"/>
            <w:shd w:val="clear" w:color="auto" w:fill="F1F1F1"/>
          </w:tcPr>
          <w:p>
            <w:pPr>
              <w:pStyle w:val="TableParagraph"/>
              <w:spacing w:line="230" w:lineRule="atLeast"/>
              <w:ind w:left="119" w:right="252"/>
              <w:rPr>
                <w:sz w:val="20"/>
              </w:rPr>
            </w:pPr>
            <w:r>
              <w:rPr>
                <w:sz w:val="20"/>
              </w:rPr>
              <w:t>630559, Россия, Новосибирская область, р. п. Кольцово</w:t>
            </w:r>
          </w:p>
        </w:tc>
      </w:tr>
      <w:tr>
        <w:trPr>
          <w:trHeight w:val="702" w:hRule="atLeast"/>
        </w:trPr>
        <w:tc>
          <w:tcPr>
            <w:tcW w:w="439" w:type="dxa"/>
          </w:tcPr>
          <w:p>
            <w:pPr>
              <w:pStyle w:val="TableParagraph"/>
              <w:spacing w:before="5"/>
              <w:rPr>
                <w:b/>
                <w:sz w:val="20"/>
              </w:rPr>
            </w:pPr>
          </w:p>
          <w:p>
            <w:pPr>
              <w:pStyle w:val="TableParagraph"/>
              <w:ind w:left="107"/>
              <w:rPr>
                <w:sz w:val="20"/>
              </w:rPr>
            </w:pPr>
            <w:r>
              <w:rPr>
                <w:w w:val="99"/>
                <w:sz w:val="20"/>
              </w:rPr>
              <w:t>3</w:t>
            </w:r>
          </w:p>
        </w:tc>
        <w:tc>
          <w:tcPr>
            <w:tcW w:w="1653" w:type="dxa"/>
          </w:tcPr>
          <w:p>
            <w:pPr>
              <w:pStyle w:val="TableParagraph"/>
              <w:rPr>
                <w:b/>
                <w:sz w:val="20"/>
              </w:rPr>
            </w:pPr>
          </w:p>
          <w:p>
            <w:pPr>
              <w:pStyle w:val="TableParagraph"/>
              <w:ind w:left="117"/>
              <w:rPr>
                <w:sz w:val="20"/>
              </w:rPr>
            </w:pPr>
            <w:r>
              <w:rPr>
                <w:sz w:val="20"/>
              </w:rPr>
              <w:t>20.03.2020</w:t>
            </w:r>
          </w:p>
        </w:tc>
        <w:tc>
          <w:tcPr>
            <w:tcW w:w="1627" w:type="dxa"/>
          </w:tcPr>
          <w:p>
            <w:pPr>
              <w:pStyle w:val="TableParagraph"/>
              <w:rPr>
                <w:b/>
                <w:sz w:val="20"/>
              </w:rPr>
            </w:pPr>
          </w:p>
          <w:p>
            <w:pPr>
              <w:pStyle w:val="TableParagraph"/>
              <w:ind w:left="118"/>
              <w:rPr>
                <w:sz w:val="20"/>
              </w:rPr>
            </w:pPr>
            <w:r>
              <w:rPr>
                <w:sz w:val="20"/>
              </w:rPr>
              <w:t>РЗН 2020/9845</w:t>
            </w:r>
          </w:p>
        </w:tc>
        <w:tc>
          <w:tcPr>
            <w:tcW w:w="6470" w:type="dxa"/>
          </w:tcPr>
          <w:p>
            <w:pPr>
              <w:pStyle w:val="TableParagraph"/>
              <w:spacing w:line="230" w:lineRule="atLeast"/>
              <w:ind w:left="118" w:right="182"/>
              <w:jc w:val="both"/>
              <w:rPr>
                <w:sz w:val="20"/>
              </w:rPr>
            </w:pPr>
            <w:r>
              <w:rPr>
                <w:sz w:val="20"/>
              </w:rPr>
              <w:t>Набор для выявления РНК коронавируса SARS-CoV-2 в биологическом материале методом изотермической амплификации в режиме реального времени в вариантах исполнения</w:t>
            </w:r>
          </w:p>
        </w:tc>
        <w:tc>
          <w:tcPr>
            <w:tcW w:w="2251" w:type="dxa"/>
          </w:tcPr>
          <w:p>
            <w:pPr>
              <w:pStyle w:val="TableParagraph"/>
              <w:spacing w:before="115"/>
              <w:ind w:left="118" w:right="205"/>
              <w:rPr>
                <w:sz w:val="20"/>
              </w:rPr>
            </w:pPr>
            <w:r>
              <w:rPr>
                <w:sz w:val="20"/>
              </w:rPr>
              <w:t>ООО </w:t>
            </w:r>
            <w:r>
              <w:rPr>
                <w:w w:val="95"/>
                <w:sz w:val="20"/>
              </w:rPr>
              <w:t>"СМАРТЛАЙФКЕА"</w:t>
            </w:r>
          </w:p>
        </w:tc>
        <w:tc>
          <w:tcPr>
            <w:tcW w:w="2669" w:type="dxa"/>
          </w:tcPr>
          <w:p>
            <w:pPr>
              <w:pStyle w:val="TableParagraph"/>
              <w:spacing w:line="230" w:lineRule="atLeast"/>
              <w:ind w:left="119" w:right="122"/>
              <w:rPr>
                <w:sz w:val="20"/>
              </w:rPr>
            </w:pPr>
            <w:r>
              <w:rPr>
                <w:sz w:val="20"/>
              </w:rPr>
              <w:t>109316, Россия, Москва, Волгоградский пр-кт., д. 42, к. 24, ком. 27.2</w:t>
            </w:r>
          </w:p>
        </w:tc>
      </w:tr>
      <w:tr>
        <w:trPr>
          <w:trHeight w:val="705" w:hRule="atLeast"/>
        </w:trPr>
        <w:tc>
          <w:tcPr>
            <w:tcW w:w="439" w:type="dxa"/>
            <w:shd w:val="clear" w:color="auto" w:fill="F1F1F1"/>
          </w:tcPr>
          <w:p>
            <w:pPr>
              <w:pStyle w:val="TableParagraph"/>
              <w:spacing w:before="7"/>
              <w:rPr>
                <w:b/>
                <w:sz w:val="20"/>
              </w:rPr>
            </w:pPr>
          </w:p>
          <w:p>
            <w:pPr>
              <w:pStyle w:val="TableParagraph"/>
              <w:spacing w:before="1"/>
              <w:ind w:left="107"/>
              <w:rPr>
                <w:sz w:val="20"/>
              </w:rPr>
            </w:pPr>
            <w:r>
              <w:rPr>
                <w:w w:val="99"/>
                <w:sz w:val="20"/>
              </w:rPr>
              <w:t>4</w:t>
            </w:r>
          </w:p>
        </w:tc>
        <w:tc>
          <w:tcPr>
            <w:tcW w:w="1653" w:type="dxa"/>
            <w:shd w:val="clear" w:color="auto" w:fill="F1F1F1"/>
          </w:tcPr>
          <w:p>
            <w:pPr>
              <w:pStyle w:val="TableParagraph"/>
              <w:rPr>
                <w:b/>
                <w:sz w:val="20"/>
              </w:rPr>
            </w:pPr>
          </w:p>
          <w:p>
            <w:pPr>
              <w:pStyle w:val="TableParagraph"/>
              <w:ind w:left="117"/>
              <w:rPr>
                <w:sz w:val="20"/>
              </w:rPr>
            </w:pPr>
            <w:r>
              <w:rPr>
                <w:sz w:val="20"/>
              </w:rPr>
              <w:t>27.03.2020</w:t>
            </w:r>
          </w:p>
        </w:tc>
        <w:tc>
          <w:tcPr>
            <w:tcW w:w="1627" w:type="dxa"/>
            <w:shd w:val="clear" w:color="auto" w:fill="F1F1F1"/>
          </w:tcPr>
          <w:p>
            <w:pPr>
              <w:pStyle w:val="TableParagraph"/>
              <w:rPr>
                <w:b/>
                <w:sz w:val="20"/>
              </w:rPr>
            </w:pPr>
          </w:p>
          <w:p>
            <w:pPr>
              <w:pStyle w:val="TableParagraph"/>
              <w:ind w:left="118"/>
              <w:rPr>
                <w:sz w:val="20"/>
              </w:rPr>
            </w:pPr>
            <w:r>
              <w:rPr>
                <w:sz w:val="20"/>
              </w:rPr>
              <w:t>РЗН 2020/9896</w:t>
            </w:r>
          </w:p>
        </w:tc>
        <w:tc>
          <w:tcPr>
            <w:tcW w:w="6470" w:type="dxa"/>
            <w:shd w:val="clear" w:color="auto" w:fill="F1F1F1"/>
          </w:tcPr>
          <w:p>
            <w:pPr>
              <w:pStyle w:val="TableParagraph"/>
              <w:ind w:left="118" w:right="774"/>
              <w:rPr>
                <w:sz w:val="20"/>
              </w:rPr>
            </w:pPr>
            <w:r>
              <w:rPr>
                <w:sz w:val="20"/>
              </w:rPr>
              <w:t>Набор реагентов для выявления РНК коронавируса SARS-CoV-2 методом ОТ-ПЦР в режиме реального времени</w:t>
            </w:r>
          </w:p>
          <w:p>
            <w:pPr>
              <w:pStyle w:val="TableParagraph"/>
              <w:spacing w:line="224" w:lineRule="exact" w:before="1"/>
              <w:ind w:left="118"/>
              <w:rPr>
                <w:sz w:val="20"/>
              </w:rPr>
            </w:pPr>
            <w:r>
              <w:rPr>
                <w:sz w:val="20"/>
              </w:rPr>
              <w:t>(РеалБест РНК SARS-CoV-2)</w:t>
            </w:r>
          </w:p>
        </w:tc>
        <w:tc>
          <w:tcPr>
            <w:tcW w:w="2251" w:type="dxa"/>
            <w:shd w:val="clear" w:color="auto" w:fill="F1F1F1"/>
          </w:tcPr>
          <w:p>
            <w:pPr>
              <w:pStyle w:val="TableParagraph"/>
              <w:rPr>
                <w:b/>
                <w:sz w:val="20"/>
              </w:rPr>
            </w:pPr>
          </w:p>
          <w:p>
            <w:pPr>
              <w:pStyle w:val="TableParagraph"/>
              <w:ind w:left="118"/>
              <w:rPr>
                <w:sz w:val="20"/>
              </w:rPr>
            </w:pPr>
            <w:r>
              <w:rPr>
                <w:sz w:val="20"/>
              </w:rPr>
              <w:t>АО "Вектор-Бест"</w:t>
            </w:r>
          </w:p>
        </w:tc>
        <w:tc>
          <w:tcPr>
            <w:tcW w:w="2669" w:type="dxa"/>
            <w:shd w:val="clear" w:color="auto" w:fill="F1F1F1"/>
          </w:tcPr>
          <w:p>
            <w:pPr>
              <w:pStyle w:val="TableParagraph"/>
              <w:spacing w:line="230" w:lineRule="atLeast"/>
              <w:ind w:left="119" w:right="252"/>
              <w:rPr>
                <w:sz w:val="20"/>
              </w:rPr>
            </w:pPr>
            <w:r>
              <w:rPr>
                <w:sz w:val="20"/>
              </w:rPr>
              <w:t>630559, Россия, Новосибирская область, р. п. Кольцово, а/я 121</w:t>
            </w:r>
          </w:p>
        </w:tc>
      </w:tr>
      <w:tr>
        <w:trPr>
          <w:trHeight w:val="702" w:hRule="atLeast"/>
        </w:trPr>
        <w:tc>
          <w:tcPr>
            <w:tcW w:w="439" w:type="dxa"/>
          </w:tcPr>
          <w:p>
            <w:pPr>
              <w:pStyle w:val="TableParagraph"/>
              <w:spacing w:before="5"/>
              <w:rPr>
                <w:b/>
                <w:sz w:val="20"/>
              </w:rPr>
            </w:pPr>
          </w:p>
          <w:p>
            <w:pPr>
              <w:pStyle w:val="TableParagraph"/>
              <w:ind w:left="107"/>
              <w:rPr>
                <w:sz w:val="20"/>
              </w:rPr>
            </w:pPr>
            <w:r>
              <w:rPr>
                <w:w w:val="99"/>
                <w:sz w:val="20"/>
              </w:rPr>
              <w:t>5</w:t>
            </w:r>
          </w:p>
        </w:tc>
        <w:tc>
          <w:tcPr>
            <w:tcW w:w="1653" w:type="dxa"/>
          </w:tcPr>
          <w:p>
            <w:pPr>
              <w:pStyle w:val="TableParagraph"/>
              <w:rPr>
                <w:b/>
                <w:sz w:val="20"/>
              </w:rPr>
            </w:pPr>
          </w:p>
          <w:p>
            <w:pPr>
              <w:pStyle w:val="TableParagraph"/>
              <w:ind w:left="117"/>
              <w:rPr>
                <w:sz w:val="20"/>
              </w:rPr>
            </w:pPr>
            <w:r>
              <w:rPr>
                <w:sz w:val="20"/>
              </w:rPr>
              <w:t>27.03.2020</w:t>
            </w:r>
          </w:p>
        </w:tc>
        <w:tc>
          <w:tcPr>
            <w:tcW w:w="1627" w:type="dxa"/>
          </w:tcPr>
          <w:p>
            <w:pPr>
              <w:pStyle w:val="TableParagraph"/>
              <w:rPr>
                <w:b/>
                <w:sz w:val="20"/>
              </w:rPr>
            </w:pPr>
          </w:p>
          <w:p>
            <w:pPr>
              <w:pStyle w:val="TableParagraph"/>
              <w:ind w:left="118"/>
              <w:rPr>
                <w:sz w:val="20"/>
              </w:rPr>
            </w:pPr>
            <w:r>
              <w:rPr>
                <w:sz w:val="20"/>
              </w:rPr>
              <w:t>РЗН 2020/9765</w:t>
            </w:r>
          </w:p>
        </w:tc>
        <w:tc>
          <w:tcPr>
            <w:tcW w:w="6470" w:type="dxa"/>
          </w:tcPr>
          <w:p>
            <w:pPr>
              <w:pStyle w:val="TableParagraph"/>
              <w:ind w:left="118" w:right="684"/>
              <w:rPr>
                <w:sz w:val="20"/>
              </w:rPr>
            </w:pPr>
            <w:r>
              <w:rPr>
                <w:sz w:val="20"/>
              </w:rPr>
              <w:t>Набор реагентов для выявления РНК коронавируса SARS-CoV-2 тяжелого острого респираторного синдрома (COVID-19) методом</w:t>
            </w:r>
          </w:p>
          <w:p>
            <w:pPr>
              <w:pStyle w:val="TableParagraph"/>
              <w:spacing w:line="223" w:lineRule="exact"/>
              <w:ind w:left="118"/>
              <w:rPr>
                <w:sz w:val="20"/>
              </w:rPr>
            </w:pPr>
            <w:r>
              <w:rPr>
                <w:sz w:val="20"/>
              </w:rPr>
              <w:t>полимеразной цепной реакции "АмплиТест SARS-CoV-2"</w:t>
            </w:r>
          </w:p>
        </w:tc>
        <w:tc>
          <w:tcPr>
            <w:tcW w:w="2251" w:type="dxa"/>
          </w:tcPr>
          <w:p>
            <w:pPr>
              <w:pStyle w:val="TableParagraph"/>
              <w:spacing w:before="115"/>
              <w:ind w:left="118"/>
              <w:rPr>
                <w:sz w:val="20"/>
              </w:rPr>
            </w:pPr>
            <w:r>
              <w:rPr>
                <w:sz w:val="20"/>
              </w:rPr>
              <w:t>ФГБУ "ЦСП"</w:t>
            </w:r>
          </w:p>
          <w:p>
            <w:pPr>
              <w:pStyle w:val="TableParagraph"/>
              <w:spacing w:before="1"/>
              <w:ind w:left="118"/>
              <w:rPr>
                <w:sz w:val="20"/>
              </w:rPr>
            </w:pPr>
            <w:r>
              <w:rPr>
                <w:sz w:val="20"/>
              </w:rPr>
              <w:t>Минздрава России</w:t>
            </w:r>
          </w:p>
        </w:tc>
        <w:tc>
          <w:tcPr>
            <w:tcW w:w="2669" w:type="dxa"/>
          </w:tcPr>
          <w:p>
            <w:pPr>
              <w:pStyle w:val="TableParagraph"/>
              <w:spacing w:before="115"/>
              <w:ind w:left="118" w:right="136"/>
              <w:rPr>
                <w:sz w:val="20"/>
              </w:rPr>
            </w:pPr>
            <w:r>
              <w:rPr>
                <w:sz w:val="20"/>
              </w:rPr>
              <w:t>119121, Россия, Москва, ул. Погодинская, д. 10, стр. 1</w:t>
            </w:r>
          </w:p>
        </w:tc>
      </w:tr>
      <w:tr>
        <w:trPr>
          <w:trHeight w:val="705" w:hRule="atLeast"/>
        </w:trPr>
        <w:tc>
          <w:tcPr>
            <w:tcW w:w="439" w:type="dxa"/>
            <w:shd w:val="clear" w:color="auto" w:fill="F1F1F1"/>
          </w:tcPr>
          <w:p>
            <w:pPr>
              <w:pStyle w:val="TableParagraph"/>
              <w:spacing w:before="7"/>
              <w:rPr>
                <w:b/>
                <w:sz w:val="20"/>
              </w:rPr>
            </w:pPr>
          </w:p>
          <w:p>
            <w:pPr>
              <w:pStyle w:val="TableParagraph"/>
              <w:spacing w:before="1"/>
              <w:ind w:left="107"/>
              <w:rPr>
                <w:sz w:val="20"/>
              </w:rPr>
            </w:pPr>
            <w:r>
              <w:rPr>
                <w:w w:val="99"/>
                <w:sz w:val="20"/>
              </w:rPr>
              <w:t>6</w:t>
            </w:r>
          </w:p>
        </w:tc>
        <w:tc>
          <w:tcPr>
            <w:tcW w:w="1653" w:type="dxa"/>
            <w:shd w:val="clear" w:color="auto" w:fill="F1F1F1"/>
          </w:tcPr>
          <w:p>
            <w:pPr>
              <w:pStyle w:val="TableParagraph"/>
              <w:rPr>
                <w:b/>
                <w:sz w:val="20"/>
              </w:rPr>
            </w:pPr>
          </w:p>
          <w:p>
            <w:pPr>
              <w:pStyle w:val="TableParagraph"/>
              <w:ind w:left="117"/>
              <w:rPr>
                <w:sz w:val="20"/>
              </w:rPr>
            </w:pPr>
            <w:r>
              <w:rPr>
                <w:sz w:val="20"/>
              </w:rPr>
              <w:t>27.03.2020</w:t>
            </w:r>
          </w:p>
        </w:tc>
        <w:tc>
          <w:tcPr>
            <w:tcW w:w="1627" w:type="dxa"/>
            <w:shd w:val="clear" w:color="auto" w:fill="F1F1F1"/>
          </w:tcPr>
          <w:p>
            <w:pPr>
              <w:pStyle w:val="TableParagraph"/>
              <w:rPr>
                <w:b/>
                <w:sz w:val="20"/>
              </w:rPr>
            </w:pPr>
          </w:p>
          <w:p>
            <w:pPr>
              <w:pStyle w:val="TableParagraph"/>
              <w:ind w:left="118"/>
              <w:rPr>
                <w:sz w:val="20"/>
              </w:rPr>
            </w:pPr>
            <w:r>
              <w:rPr>
                <w:sz w:val="20"/>
              </w:rPr>
              <w:t>РЗН 2020/9904</w:t>
            </w:r>
          </w:p>
        </w:tc>
        <w:tc>
          <w:tcPr>
            <w:tcW w:w="6470" w:type="dxa"/>
            <w:shd w:val="clear" w:color="auto" w:fill="F1F1F1"/>
          </w:tcPr>
          <w:p>
            <w:pPr>
              <w:pStyle w:val="TableParagraph"/>
              <w:spacing w:line="230" w:lineRule="atLeast"/>
              <w:ind w:left="118" w:right="593"/>
              <w:rPr>
                <w:sz w:val="20"/>
              </w:rPr>
            </w:pPr>
            <w:r>
              <w:rPr>
                <w:sz w:val="20"/>
              </w:rPr>
              <w:t>Набор реагентов для выявления РНК коронавируса SARS-CoV-2 методом полимеразной цепной реакции с обратной транскрипцией ПОЛИВИР SARS-CoV-2</w:t>
            </w:r>
          </w:p>
        </w:tc>
        <w:tc>
          <w:tcPr>
            <w:tcW w:w="2251" w:type="dxa"/>
            <w:shd w:val="clear" w:color="auto" w:fill="F1F1F1"/>
          </w:tcPr>
          <w:p>
            <w:pPr>
              <w:pStyle w:val="TableParagraph"/>
              <w:rPr>
                <w:b/>
                <w:sz w:val="20"/>
              </w:rPr>
            </w:pPr>
          </w:p>
          <w:p>
            <w:pPr>
              <w:pStyle w:val="TableParagraph"/>
              <w:ind w:left="118"/>
              <w:rPr>
                <w:sz w:val="20"/>
              </w:rPr>
            </w:pPr>
            <w:r>
              <w:rPr>
                <w:sz w:val="20"/>
              </w:rPr>
              <w:t>ООО НПФ "Литех"</w:t>
            </w:r>
          </w:p>
        </w:tc>
        <w:tc>
          <w:tcPr>
            <w:tcW w:w="2669" w:type="dxa"/>
            <w:shd w:val="clear" w:color="auto" w:fill="F1F1F1"/>
          </w:tcPr>
          <w:p>
            <w:pPr>
              <w:pStyle w:val="TableParagraph"/>
              <w:spacing w:line="230" w:lineRule="atLeast"/>
              <w:ind w:left="119" w:right="126"/>
              <w:rPr>
                <w:sz w:val="20"/>
              </w:rPr>
            </w:pPr>
            <w:r>
              <w:rPr>
                <w:sz w:val="20"/>
              </w:rPr>
              <w:t>119435, Россия, г. Москва, ул. Малая Пироговская, д.1, стр.3</w:t>
            </w:r>
          </w:p>
        </w:tc>
      </w:tr>
      <w:tr>
        <w:trPr>
          <w:trHeight w:val="702" w:hRule="atLeast"/>
        </w:trPr>
        <w:tc>
          <w:tcPr>
            <w:tcW w:w="439" w:type="dxa"/>
          </w:tcPr>
          <w:p>
            <w:pPr>
              <w:pStyle w:val="TableParagraph"/>
              <w:spacing w:before="5"/>
              <w:rPr>
                <w:b/>
                <w:sz w:val="20"/>
              </w:rPr>
            </w:pPr>
          </w:p>
          <w:p>
            <w:pPr>
              <w:pStyle w:val="TableParagraph"/>
              <w:ind w:left="107"/>
              <w:rPr>
                <w:sz w:val="20"/>
              </w:rPr>
            </w:pPr>
            <w:r>
              <w:rPr>
                <w:w w:val="99"/>
                <w:sz w:val="20"/>
              </w:rPr>
              <w:t>7</w:t>
            </w:r>
          </w:p>
        </w:tc>
        <w:tc>
          <w:tcPr>
            <w:tcW w:w="1653" w:type="dxa"/>
          </w:tcPr>
          <w:p>
            <w:pPr>
              <w:pStyle w:val="TableParagraph"/>
              <w:rPr>
                <w:b/>
                <w:sz w:val="20"/>
              </w:rPr>
            </w:pPr>
          </w:p>
          <w:p>
            <w:pPr>
              <w:pStyle w:val="TableParagraph"/>
              <w:ind w:left="117"/>
              <w:rPr>
                <w:sz w:val="20"/>
              </w:rPr>
            </w:pPr>
            <w:r>
              <w:rPr>
                <w:sz w:val="20"/>
              </w:rPr>
              <w:t>01.04.2020</w:t>
            </w:r>
          </w:p>
        </w:tc>
        <w:tc>
          <w:tcPr>
            <w:tcW w:w="1627" w:type="dxa"/>
          </w:tcPr>
          <w:p>
            <w:pPr>
              <w:pStyle w:val="TableParagraph"/>
              <w:rPr>
                <w:b/>
                <w:sz w:val="20"/>
              </w:rPr>
            </w:pPr>
          </w:p>
          <w:p>
            <w:pPr>
              <w:pStyle w:val="TableParagraph"/>
              <w:ind w:left="118"/>
              <w:rPr>
                <w:sz w:val="20"/>
              </w:rPr>
            </w:pPr>
            <w:r>
              <w:rPr>
                <w:sz w:val="20"/>
              </w:rPr>
              <w:t>РЗН 2020/9948</w:t>
            </w:r>
          </w:p>
        </w:tc>
        <w:tc>
          <w:tcPr>
            <w:tcW w:w="6470" w:type="dxa"/>
          </w:tcPr>
          <w:p>
            <w:pPr>
              <w:pStyle w:val="TableParagraph"/>
              <w:ind w:left="118"/>
              <w:rPr>
                <w:sz w:val="20"/>
              </w:rPr>
            </w:pPr>
            <w:r>
              <w:rPr>
                <w:sz w:val="20"/>
              </w:rPr>
              <w:t>Набор реагентов для выявления РНК коронавирусов SARS-CoV-2 и подобных SARS-CoV методом обратной транскрипции и</w:t>
            </w:r>
            <w:r>
              <w:rPr>
                <w:spacing w:val="-17"/>
                <w:sz w:val="20"/>
              </w:rPr>
              <w:t> </w:t>
            </w:r>
            <w:r>
              <w:rPr>
                <w:sz w:val="20"/>
              </w:rPr>
              <w:t>полимеразной</w:t>
            </w:r>
          </w:p>
          <w:p>
            <w:pPr>
              <w:pStyle w:val="TableParagraph"/>
              <w:spacing w:line="223" w:lineRule="exact"/>
              <w:ind w:left="118"/>
              <w:rPr>
                <w:sz w:val="20"/>
              </w:rPr>
            </w:pPr>
            <w:r>
              <w:rPr>
                <w:sz w:val="20"/>
              </w:rPr>
              <w:t>цепной реакции в режиме реального времени</w:t>
            </w:r>
            <w:r>
              <w:rPr>
                <w:spacing w:val="-25"/>
                <w:sz w:val="20"/>
              </w:rPr>
              <w:t> </w:t>
            </w:r>
            <w:r>
              <w:rPr>
                <w:sz w:val="20"/>
              </w:rPr>
              <w:t>(SARS-CoV-2/SARS-CoV)</w:t>
            </w:r>
          </w:p>
        </w:tc>
        <w:tc>
          <w:tcPr>
            <w:tcW w:w="2251" w:type="dxa"/>
          </w:tcPr>
          <w:p>
            <w:pPr>
              <w:pStyle w:val="TableParagraph"/>
              <w:spacing w:before="113"/>
              <w:ind w:left="118"/>
              <w:rPr>
                <w:sz w:val="20"/>
              </w:rPr>
            </w:pPr>
            <w:r>
              <w:rPr>
                <w:sz w:val="20"/>
              </w:rPr>
              <w:t>ООО "ДНК-</w:t>
            </w:r>
          </w:p>
          <w:p>
            <w:pPr>
              <w:pStyle w:val="TableParagraph"/>
              <w:ind w:left="118"/>
              <w:rPr>
                <w:sz w:val="20"/>
              </w:rPr>
            </w:pPr>
            <w:r>
              <w:rPr>
                <w:sz w:val="20"/>
              </w:rPr>
              <w:t>Технология ТС"</w:t>
            </w:r>
          </w:p>
        </w:tc>
        <w:tc>
          <w:tcPr>
            <w:tcW w:w="2669" w:type="dxa"/>
          </w:tcPr>
          <w:p>
            <w:pPr>
              <w:pStyle w:val="TableParagraph"/>
              <w:spacing w:before="113"/>
              <w:ind w:left="118"/>
              <w:rPr>
                <w:sz w:val="20"/>
              </w:rPr>
            </w:pPr>
            <w:r>
              <w:rPr>
                <w:sz w:val="20"/>
              </w:rPr>
              <w:t>117246, Россия, Москва,</w:t>
            </w:r>
          </w:p>
          <w:p>
            <w:pPr>
              <w:pStyle w:val="TableParagraph"/>
              <w:ind w:left="118"/>
              <w:rPr>
                <w:sz w:val="20"/>
              </w:rPr>
            </w:pPr>
            <w:r>
              <w:rPr>
                <w:sz w:val="20"/>
              </w:rPr>
              <w:t>Научный пр-д, д. 20, стр. 4</w:t>
            </w:r>
          </w:p>
        </w:tc>
      </w:tr>
      <w:tr>
        <w:trPr>
          <w:trHeight w:val="935" w:hRule="atLeast"/>
        </w:trPr>
        <w:tc>
          <w:tcPr>
            <w:tcW w:w="439" w:type="dxa"/>
            <w:shd w:val="clear" w:color="auto" w:fill="F1F1F1"/>
          </w:tcPr>
          <w:p>
            <w:pPr>
              <w:pStyle w:val="TableParagraph"/>
              <w:spacing w:before="8"/>
              <w:rPr>
                <w:b/>
                <w:sz w:val="30"/>
              </w:rPr>
            </w:pPr>
          </w:p>
          <w:p>
            <w:pPr>
              <w:pStyle w:val="TableParagraph"/>
              <w:ind w:left="107"/>
              <w:rPr>
                <w:sz w:val="20"/>
              </w:rPr>
            </w:pPr>
            <w:r>
              <w:rPr>
                <w:w w:val="99"/>
                <w:sz w:val="20"/>
              </w:rPr>
              <w:t>8</w:t>
            </w:r>
          </w:p>
        </w:tc>
        <w:tc>
          <w:tcPr>
            <w:tcW w:w="1653" w:type="dxa"/>
            <w:shd w:val="clear" w:color="auto" w:fill="F1F1F1"/>
          </w:tcPr>
          <w:p>
            <w:pPr>
              <w:pStyle w:val="TableParagraph"/>
              <w:rPr>
                <w:b/>
                <w:sz w:val="30"/>
              </w:rPr>
            </w:pPr>
          </w:p>
          <w:p>
            <w:pPr>
              <w:pStyle w:val="TableParagraph"/>
              <w:spacing w:before="1"/>
              <w:ind w:left="117"/>
              <w:rPr>
                <w:sz w:val="20"/>
              </w:rPr>
            </w:pPr>
            <w:r>
              <w:rPr>
                <w:sz w:val="20"/>
              </w:rPr>
              <w:t>02.04.2020</w:t>
            </w:r>
          </w:p>
        </w:tc>
        <w:tc>
          <w:tcPr>
            <w:tcW w:w="1627" w:type="dxa"/>
            <w:shd w:val="clear" w:color="auto" w:fill="F1F1F1"/>
          </w:tcPr>
          <w:p>
            <w:pPr>
              <w:pStyle w:val="TableParagraph"/>
              <w:rPr>
                <w:b/>
                <w:sz w:val="30"/>
              </w:rPr>
            </w:pPr>
          </w:p>
          <w:p>
            <w:pPr>
              <w:pStyle w:val="TableParagraph"/>
              <w:spacing w:before="1"/>
              <w:ind w:left="118"/>
              <w:rPr>
                <w:sz w:val="20"/>
              </w:rPr>
            </w:pPr>
            <w:r>
              <w:rPr>
                <w:sz w:val="20"/>
              </w:rPr>
              <w:t>РЗН 2020/9957</w:t>
            </w:r>
          </w:p>
        </w:tc>
        <w:tc>
          <w:tcPr>
            <w:tcW w:w="6470" w:type="dxa"/>
            <w:shd w:val="clear" w:color="auto" w:fill="F1F1F1"/>
          </w:tcPr>
          <w:p>
            <w:pPr>
              <w:pStyle w:val="TableParagraph"/>
              <w:rPr>
                <w:b/>
                <w:sz w:val="20"/>
              </w:rPr>
            </w:pPr>
          </w:p>
          <w:p>
            <w:pPr>
              <w:pStyle w:val="TableParagraph"/>
              <w:ind w:left="118" w:right="391"/>
              <w:rPr>
                <w:sz w:val="20"/>
              </w:rPr>
            </w:pPr>
            <w:r>
              <w:rPr>
                <w:sz w:val="20"/>
              </w:rPr>
              <w:t>Набор реагентов для выявления РНК SARS-CoV-2 методом петлевой изотермальной амплификации "Изотерм SARS-CoV-2 РНК-скрин"</w:t>
            </w:r>
          </w:p>
        </w:tc>
        <w:tc>
          <w:tcPr>
            <w:tcW w:w="2251" w:type="dxa"/>
            <w:shd w:val="clear" w:color="auto" w:fill="F1F1F1"/>
          </w:tcPr>
          <w:p>
            <w:pPr>
              <w:pStyle w:val="TableParagraph"/>
              <w:rPr>
                <w:b/>
                <w:sz w:val="30"/>
              </w:rPr>
            </w:pPr>
          </w:p>
          <w:p>
            <w:pPr>
              <w:pStyle w:val="TableParagraph"/>
              <w:spacing w:before="1"/>
              <w:ind w:left="118"/>
              <w:rPr>
                <w:sz w:val="20"/>
              </w:rPr>
            </w:pPr>
            <w:r>
              <w:rPr>
                <w:sz w:val="20"/>
              </w:rPr>
              <w:t>АО "ГЕНЕРИУМ"</w:t>
            </w:r>
          </w:p>
        </w:tc>
        <w:tc>
          <w:tcPr>
            <w:tcW w:w="2669" w:type="dxa"/>
            <w:shd w:val="clear" w:color="auto" w:fill="F1F1F1"/>
          </w:tcPr>
          <w:p>
            <w:pPr>
              <w:pStyle w:val="TableParagraph"/>
              <w:spacing w:line="230" w:lineRule="atLeast"/>
              <w:ind w:left="119"/>
              <w:rPr>
                <w:sz w:val="20"/>
              </w:rPr>
            </w:pPr>
            <w:r>
              <w:rPr>
                <w:sz w:val="20"/>
              </w:rPr>
              <w:t>601125, Россия, Владимирская область, п. Вольгинский, ул. Заводская, стр. 273</w:t>
            </w:r>
          </w:p>
        </w:tc>
      </w:tr>
    </w:tbl>
    <w:p>
      <w:pPr>
        <w:spacing w:after="0" w:line="230" w:lineRule="atLeast"/>
        <w:rPr>
          <w:sz w:val="20"/>
        </w:rPr>
        <w:sectPr>
          <w:footerReference w:type="default" r:id="rId96"/>
          <w:pgSz w:w="16850" w:h="11920" w:orient="landscape"/>
          <w:pgMar w:footer="1110" w:header="0" w:top="1100" w:bottom="1300" w:left="880" w:right="360"/>
          <w:pgNumType w:start="183"/>
        </w:sectPr>
      </w:pPr>
    </w:p>
    <w:tbl>
      <w:tblPr>
        <w:tblW w:w="0" w:type="auto"/>
        <w:jc w:val="left"/>
        <w:tblInd w:w="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39"/>
        <w:gridCol w:w="1653"/>
        <w:gridCol w:w="1627"/>
        <w:gridCol w:w="6470"/>
        <w:gridCol w:w="2251"/>
        <w:gridCol w:w="2669"/>
      </w:tblGrid>
      <w:tr>
        <w:trPr>
          <w:trHeight w:val="1192" w:hRule="atLeast"/>
        </w:trPr>
        <w:tc>
          <w:tcPr>
            <w:tcW w:w="439" w:type="dxa"/>
          </w:tcPr>
          <w:p>
            <w:pPr>
              <w:pStyle w:val="TableParagraph"/>
              <w:rPr>
                <w:b/>
                <w:sz w:val="22"/>
              </w:rPr>
            </w:pPr>
          </w:p>
          <w:p>
            <w:pPr>
              <w:pStyle w:val="TableParagraph"/>
              <w:spacing w:before="10"/>
              <w:rPr>
                <w:b/>
                <w:sz w:val="18"/>
              </w:rPr>
            </w:pPr>
          </w:p>
          <w:p>
            <w:pPr>
              <w:pStyle w:val="TableParagraph"/>
              <w:ind w:right="111"/>
              <w:jc w:val="center"/>
              <w:rPr>
                <w:sz w:val="20"/>
              </w:rPr>
            </w:pPr>
            <w:r>
              <w:rPr>
                <w:w w:val="99"/>
                <w:sz w:val="20"/>
              </w:rPr>
              <w:t>9</w:t>
            </w:r>
          </w:p>
        </w:tc>
        <w:tc>
          <w:tcPr>
            <w:tcW w:w="1653" w:type="dxa"/>
          </w:tcPr>
          <w:p>
            <w:pPr>
              <w:pStyle w:val="TableParagraph"/>
              <w:rPr>
                <w:b/>
                <w:sz w:val="22"/>
              </w:rPr>
            </w:pPr>
          </w:p>
          <w:p>
            <w:pPr>
              <w:pStyle w:val="TableParagraph"/>
              <w:spacing w:before="10"/>
              <w:rPr>
                <w:b/>
                <w:sz w:val="18"/>
              </w:rPr>
            </w:pPr>
          </w:p>
          <w:p>
            <w:pPr>
              <w:pStyle w:val="TableParagraph"/>
              <w:ind w:left="108"/>
              <w:rPr>
                <w:sz w:val="20"/>
              </w:rPr>
            </w:pPr>
            <w:r>
              <w:rPr>
                <w:sz w:val="20"/>
              </w:rPr>
              <w:t>03.04.2020</w:t>
            </w:r>
          </w:p>
        </w:tc>
        <w:tc>
          <w:tcPr>
            <w:tcW w:w="1627" w:type="dxa"/>
          </w:tcPr>
          <w:p>
            <w:pPr>
              <w:pStyle w:val="TableParagraph"/>
              <w:rPr>
                <w:b/>
                <w:sz w:val="22"/>
              </w:rPr>
            </w:pPr>
          </w:p>
          <w:p>
            <w:pPr>
              <w:pStyle w:val="TableParagraph"/>
              <w:spacing w:before="10"/>
              <w:rPr>
                <w:b/>
                <w:sz w:val="18"/>
              </w:rPr>
            </w:pPr>
          </w:p>
          <w:p>
            <w:pPr>
              <w:pStyle w:val="TableParagraph"/>
              <w:ind w:left="81" w:right="214"/>
              <w:jc w:val="center"/>
              <w:rPr>
                <w:sz w:val="20"/>
              </w:rPr>
            </w:pPr>
            <w:r>
              <w:rPr>
                <w:sz w:val="20"/>
              </w:rPr>
              <w:t>РЗН 2020/9969</w:t>
            </w:r>
          </w:p>
        </w:tc>
        <w:tc>
          <w:tcPr>
            <w:tcW w:w="6470" w:type="dxa"/>
          </w:tcPr>
          <w:p>
            <w:pPr>
              <w:pStyle w:val="TableParagraph"/>
              <w:spacing w:before="10"/>
              <w:rPr>
                <w:b/>
                <w:sz w:val="30"/>
              </w:rPr>
            </w:pPr>
          </w:p>
          <w:p>
            <w:pPr>
              <w:pStyle w:val="TableParagraph"/>
              <w:ind w:left="108"/>
              <w:rPr>
                <w:sz w:val="20"/>
              </w:rPr>
            </w:pPr>
            <w:r>
              <w:rPr>
                <w:sz w:val="20"/>
              </w:rPr>
              <w:t>Набор реагентов для выявления РНК короновируса 2019-nCoV методом полимеразной цепной реакции в реальном времени (ПЦР-РВ-2019-nCov)</w:t>
            </w:r>
          </w:p>
        </w:tc>
        <w:tc>
          <w:tcPr>
            <w:tcW w:w="2251" w:type="dxa"/>
          </w:tcPr>
          <w:p>
            <w:pPr>
              <w:pStyle w:val="TableParagraph"/>
              <w:spacing w:before="10"/>
              <w:rPr>
                <w:b/>
                <w:sz w:val="30"/>
              </w:rPr>
            </w:pPr>
          </w:p>
          <w:p>
            <w:pPr>
              <w:pStyle w:val="TableParagraph"/>
              <w:ind w:left="108"/>
              <w:rPr>
                <w:sz w:val="20"/>
              </w:rPr>
            </w:pPr>
            <w:r>
              <w:rPr>
                <w:sz w:val="20"/>
              </w:rPr>
              <w:t>ФГБУ "48 ЦНИИ"</w:t>
            </w:r>
          </w:p>
          <w:p>
            <w:pPr>
              <w:pStyle w:val="TableParagraph"/>
              <w:spacing w:before="1"/>
              <w:ind w:left="108"/>
              <w:rPr>
                <w:sz w:val="20"/>
              </w:rPr>
            </w:pPr>
            <w:r>
              <w:rPr>
                <w:sz w:val="20"/>
              </w:rPr>
              <w:t>Минобороны России</w:t>
            </w:r>
          </w:p>
        </w:tc>
        <w:tc>
          <w:tcPr>
            <w:tcW w:w="2669" w:type="dxa"/>
          </w:tcPr>
          <w:p>
            <w:pPr>
              <w:pStyle w:val="TableParagraph"/>
              <w:spacing w:before="12"/>
              <w:ind w:left="109" w:right="117"/>
              <w:rPr>
                <w:sz w:val="20"/>
              </w:rPr>
            </w:pPr>
            <w:r>
              <w:rPr>
                <w:sz w:val="20"/>
              </w:rPr>
              <w:t>141306, Россия, Московская область, Сергиево- Посадский район, г.</w:t>
            </w:r>
          </w:p>
          <w:p>
            <w:pPr>
              <w:pStyle w:val="TableParagraph"/>
              <w:ind w:left="109" w:right="745"/>
              <w:rPr>
                <w:sz w:val="20"/>
              </w:rPr>
            </w:pPr>
            <w:r>
              <w:rPr>
                <w:sz w:val="20"/>
              </w:rPr>
              <w:t>Сергиев Посад-6, ул. Октябрьская, д. 11</w:t>
            </w:r>
          </w:p>
        </w:tc>
      </w:tr>
      <w:tr>
        <w:trPr>
          <w:trHeight w:val="1379" w:hRule="atLeast"/>
        </w:trPr>
        <w:tc>
          <w:tcPr>
            <w:tcW w:w="439" w:type="dxa"/>
            <w:shd w:val="clear" w:color="auto" w:fill="F1F1F1"/>
          </w:tcPr>
          <w:p>
            <w:pPr>
              <w:pStyle w:val="TableParagraph"/>
              <w:rPr>
                <w:b/>
                <w:sz w:val="22"/>
              </w:rPr>
            </w:pPr>
          </w:p>
          <w:p>
            <w:pPr>
              <w:pStyle w:val="TableParagraph"/>
              <w:rPr>
                <w:b/>
                <w:sz w:val="27"/>
              </w:rPr>
            </w:pPr>
          </w:p>
          <w:p>
            <w:pPr>
              <w:pStyle w:val="TableParagraph"/>
              <w:spacing w:before="1"/>
              <w:ind w:left="72" w:right="81"/>
              <w:jc w:val="center"/>
              <w:rPr>
                <w:sz w:val="20"/>
              </w:rPr>
            </w:pPr>
            <w:r>
              <w:rPr>
                <w:sz w:val="20"/>
              </w:rPr>
              <w:t>10</w:t>
            </w:r>
          </w:p>
        </w:tc>
        <w:tc>
          <w:tcPr>
            <w:tcW w:w="1653" w:type="dxa"/>
            <w:shd w:val="clear" w:color="auto" w:fill="F1F1F1"/>
          </w:tcPr>
          <w:p>
            <w:pPr>
              <w:pStyle w:val="TableParagraph"/>
              <w:rPr>
                <w:b/>
                <w:sz w:val="22"/>
              </w:rPr>
            </w:pPr>
          </w:p>
          <w:p>
            <w:pPr>
              <w:pStyle w:val="TableParagraph"/>
              <w:rPr>
                <w:b/>
                <w:sz w:val="27"/>
              </w:rPr>
            </w:pPr>
          </w:p>
          <w:p>
            <w:pPr>
              <w:pStyle w:val="TableParagraph"/>
              <w:spacing w:before="1"/>
              <w:ind w:left="107"/>
              <w:rPr>
                <w:sz w:val="20"/>
              </w:rPr>
            </w:pPr>
            <w:r>
              <w:rPr>
                <w:sz w:val="20"/>
              </w:rPr>
              <w:t>07.04.2020</w:t>
            </w:r>
          </w:p>
        </w:tc>
        <w:tc>
          <w:tcPr>
            <w:tcW w:w="1627" w:type="dxa"/>
            <w:shd w:val="clear" w:color="auto" w:fill="F1F1F1"/>
          </w:tcPr>
          <w:p>
            <w:pPr>
              <w:pStyle w:val="TableParagraph"/>
              <w:rPr>
                <w:b/>
                <w:sz w:val="22"/>
              </w:rPr>
            </w:pPr>
          </w:p>
          <w:p>
            <w:pPr>
              <w:pStyle w:val="TableParagraph"/>
              <w:rPr>
                <w:b/>
                <w:sz w:val="27"/>
              </w:rPr>
            </w:pPr>
          </w:p>
          <w:p>
            <w:pPr>
              <w:pStyle w:val="TableParagraph"/>
              <w:spacing w:before="1"/>
              <w:ind w:left="81" w:right="214"/>
              <w:jc w:val="center"/>
              <w:rPr>
                <w:sz w:val="20"/>
              </w:rPr>
            </w:pPr>
            <w:r>
              <w:rPr>
                <w:sz w:val="20"/>
              </w:rPr>
              <w:t>РЗН 2014/1987</w:t>
            </w:r>
          </w:p>
        </w:tc>
        <w:tc>
          <w:tcPr>
            <w:tcW w:w="6470" w:type="dxa"/>
            <w:shd w:val="clear" w:color="auto" w:fill="F1F1F1"/>
          </w:tcPr>
          <w:p>
            <w:pPr>
              <w:pStyle w:val="TableParagraph"/>
              <w:ind w:left="108" w:right="142"/>
              <w:rPr>
                <w:sz w:val="20"/>
              </w:rPr>
            </w:pPr>
            <w:r>
              <w:rPr>
                <w:sz w:val="20"/>
              </w:rPr>
              <w:t>Набор реагентов для выявления РНК коронавирусов, вызывающих тяжелую респираторную инфекцию: MERS-Cov (Middle East respiratory syndrome coronavirus) и SARS-Cov (Severe acute respiratory syndrome coronavirus), в биологическом материале методом полимеразной цепной реакции (ПЦР) с гибридизационно-флуоресцентной детекцией</w:t>
            </w:r>
          </w:p>
          <w:p>
            <w:pPr>
              <w:pStyle w:val="TableParagraph"/>
              <w:spacing w:line="219" w:lineRule="exact"/>
              <w:ind w:left="108"/>
              <w:rPr>
                <w:sz w:val="20"/>
              </w:rPr>
            </w:pPr>
            <w:r>
              <w:rPr>
                <w:sz w:val="20"/>
              </w:rPr>
              <w:t>"АмплиСенс® Cov-Bat-FL"</w:t>
            </w:r>
          </w:p>
        </w:tc>
        <w:tc>
          <w:tcPr>
            <w:tcW w:w="2251" w:type="dxa"/>
            <w:shd w:val="clear" w:color="auto" w:fill="F1F1F1"/>
          </w:tcPr>
          <w:p>
            <w:pPr>
              <w:pStyle w:val="TableParagraph"/>
              <w:rPr>
                <w:b/>
                <w:sz w:val="29"/>
              </w:rPr>
            </w:pPr>
          </w:p>
          <w:p>
            <w:pPr>
              <w:pStyle w:val="TableParagraph"/>
              <w:ind w:left="109"/>
              <w:rPr>
                <w:sz w:val="20"/>
              </w:rPr>
            </w:pPr>
            <w:r>
              <w:rPr>
                <w:sz w:val="20"/>
              </w:rPr>
              <w:t>ФБУН ЦНИИ</w:t>
            </w:r>
          </w:p>
          <w:p>
            <w:pPr>
              <w:pStyle w:val="TableParagraph"/>
              <w:spacing w:before="1"/>
              <w:ind w:left="109" w:right="561"/>
              <w:rPr>
                <w:sz w:val="20"/>
              </w:rPr>
            </w:pPr>
            <w:r>
              <w:rPr>
                <w:sz w:val="20"/>
              </w:rPr>
              <w:t>Эпидемиологии Роспотребнадзора</w:t>
            </w:r>
          </w:p>
        </w:tc>
        <w:tc>
          <w:tcPr>
            <w:tcW w:w="2669" w:type="dxa"/>
            <w:shd w:val="clear" w:color="auto" w:fill="F1F1F1"/>
          </w:tcPr>
          <w:p>
            <w:pPr>
              <w:pStyle w:val="TableParagraph"/>
              <w:rPr>
                <w:b/>
                <w:sz w:val="22"/>
              </w:rPr>
            </w:pPr>
          </w:p>
          <w:p>
            <w:pPr>
              <w:pStyle w:val="TableParagraph"/>
              <w:spacing w:before="196"/>
              <w:ind w:left="109" w:right="145"/>
              <w:rPr>
                <w:sz w:val="20"/>
              </w:rPr>
            </w:pPr>
            <w:r>
              <w:rPr>
                <w:sz w:val="20"/>
              </w:rPr>
              <w:t>111123, Россия, Москва, ул. Новогиреевская, д. 3А</w:t>
            </w:r>
          </w:p>
        </w:tc>
      </w:tr>
      <w:tr>
        <w:trPr>
          <w:trHeight w:val="918" w:hRule="atLeast"/>
        </w:trPr>
        <w:tc>
          <w:tcPr>
            <w:tcW w:w="439" w:type="dxa"/>
          </w:tcPr>
          <w:p>
            <w:pPr>
              <w:pStyle w:val="TableParagraph"/>
              <w:rPr>
                <w:b/>
                <w:sz w:val="29"/>
              </w:rPr>
            </w:pPr>
          </w:p>
          <w:p>
            <w:pPr>
              <w:pStyle w:val="TableParagraph"/>
              <w:ind w:left="72" w:right="81"/>
              <w:jc w:val="center"/>
              <w:rPr>
                <w:sz w:val="20"/>
              </w:rPr>
            </w:pPr>
            <w:r>
              <w:rPr>
                <w:sz w:val="20"/>
              </w:rPr>
              <w:t>11</w:t>
            </w:r>
          </w:p>
        </w:tc>
        <w:tc>
          <w:tcPr>
            <w:tcW w:w="1653" w:type="dxa"/>
          </w:tcPr>
          <w:p>
            <w:pPr>
              <w:pStyle w:val="TableParagraph"/>
              <w:rPr>
                <w:b/>
                <w:sz w:val="29"/>
              </w:rPr>
            </w:pPr>
          </w:p>
          <w:p>
            <w:pPr>
              <w:pStyle w:val="TableParagraph"/>
              <w:ind w:left="108"/>
              <w:rPr>
                <w:sz w:val="20"/>
              </w:rPr>
            </w:pPr>
            <w:r>
              <w:rPr>
                <w:sz w:val="20"/>
              </w:rPr>
              <w:t>14.04.2020</w:t>
            </w:r>
          </w:p>
        </w:tc>
        <w:tc>
          <w:tcPr>
            <w:tcW w:w="1627" w:type="dxa"/>
          </w:tcPr>
          <w:p>
            <w:pPr>
              <w:pStyle w:val="TableParagraph"/>
              <w:rPr>
                <w:b/>
                <w:sz w:val="29"/>
              </w:rPr>
            </w:pPr>
          </w:p>
          <w:p>
            <w:pPr>
              <w:pStyle w:val="TableParagraph"/>
              <w:ind w:left="80" w:right="115"/>
              <w:jc w:val="center"/>
              <w:rPr>
                <w:sz w:val="20"/>
              </w:rPr>
            </w:pPr>
            <w:r>
              <w:rPr>
                <w:sz w:val="20"/>
              </w:rPr>
              <w:t>РЗН 2020/10032</w:t>
            </w:r>
          </w:p>
        </w:tc>
        <w:tc>
          <w:tcPr>
            <w:tcW w:w="6470" w:type="dxa"/>
          </w:tcPr>
          <w:p>
            <w:pPr>
              <w:pStyle w:val="TableParagraph"/>
              <w:spacing w:before="105"/>
              <w:ind w:left="108" w:right="68"/>
              <w:rPr>
                <w:sz w:val="20"/>
              </w:rPr>
            </w:pPr>
            <w:r>
              <w:rPr>
                <w:sz w:val="20"/>
              </w:rPr>
              <w:t>Набор реагентов для выявления РНК вируса SARS-CoV-2 в биологическом материале методом полимеразной цепной реакции (ПЦР) с гибридизационно-флуоресцентной детекцией "SARS-CoV-2-ПЦР"</w:t>
            </w:r>
          </w:p>
        </w:tc>
        <w:tc>
          <w:tcPr>
            <w:tcW w:w="2251" w:type="dxa"/>
          </w:tcPr>
          <w:p>
            <w:pPr>
              <w:pStyle w:val="TableParagraph"/>
              <w:rPr>
                <w:b/>
                <w:sz w:val="29"/>
              </w:rPr>
            </w:pPr>
          </w:p>
          <w:p>
            <w:pPr>
              <w:pStyle w:val="TableParagraph"/>
              <w:ind w:left="109"/>
              <w:rPr>
                <w:sz w:val="20"/>
              </w:rPr>
            </w:pPr>
            <w:r>
              <w:rPr>
                <w:sz w:val="20"/>
              </w:rPr>
              <w:t>ООО "МедипалТех"</w:t>
            </w:r>
          </w:p>
        </w:tc>
        <w:tc>
          <w:tcPr>
            <w:tcW w:w="2669" w:type="dxa"/>
          </w:tcPr>
          <w:p>
            <w:pPr>
              <w:pStyle w:val="TableParagraph"/>
              <w:ind w:left="109" w:right="117"/>
              <w:rPr>
                <w:sz w:val="20"/>
              </w:rPr>
            </w:pPr>
            <w:r>
              <w:rPr>
                <w:sz w:val="20"/>
              </w:rPr>
              <w:t>141980, Россия, Московская область, г. Дубна, ул.</w:t>
            </w:r>
          </w:p>
          <w:p>
            <w:pPr>
              <w:pStyle w:val="TableParagraph"/>
              <w:spacing w:line="230" w:lineRule="exact"/>
              <w:ind w:left="109" w:right="156"/>
              <w:rPr>
                <w:sz w:val="20"/>
              </w:rPr>
            </w:pPr>
            <w:r>
              <w:rPr>
                <w:sz w:val="20"/>
              </w:rPr>
              <w:t>Программистов, д. 4, стр. 1, пом. 30/3</w:t>
            </w:r>
          </w:p>
        </w:tc>
      </w:tr>
      <w:tr>
        <w:trPr>
          <w:trHeight w:val="920" w:hRule="atLeast"/>
        </w:trPr>
        <w:tc>
          <w:tcPr>
            <w:tcW w:w="439" w:type="dxa"/>
            <w:shd w:val="clear" w:color="auto" w:fill="F1F1F1"/>
          </w:tcPr>
          <w:p>
            <w:pPr>
              <w:pStyle w:val="TableParagraph"/>
              <w:spacing w:before="1"/>
              <w:rPr>
                <w:b/>
                <w:sz w:val="29"/>
              </w:rPr>
            </w:pPr>
          </w:p>
          <w:p>
            <w:pPr>
              <w:pStyle w:val="TableParagraph"/>
              <w:ind w:left="72" w:right="81"/>
              <w:jc w:val="center"/>
              <w:rPr>
                <w:sz w:val="20"/>
              </w:rPr>
            </w:pPr>
            <w:r>
              <w:rPr>
                <w:sz w:val="20"/>
              </w:rPr>
              <w:t>12</w:t>
            </w:r>
          </w:p>
        </w:tc>
        <w:tc>
          <w:tcPr>
            <w:tcW w:w="1653" w:type="dxa"/>
            <w:shd w:val="clear" w:color="auto" w:fill="F1F1F1"/>
          </w:tcPr>
          <w:p>
            <w:pPr>
              <w:pStyle w:val="TableParagraph"/>
              <w:spacing w:before="1"/>
              <w:rPr>
                <w:b/>
                <w:sz w:val="29"/>
              </w:rPr>
            </w:pPr>
          </w:p>
          <w:p>
            <w:pPr>
              <w:pStyle w:val="TableParagraph"/>
              <w:ind w:left="107"/>
              <w:rPr>
                <w:sz w:val="20"/>
              </w:rPr>
            </w:pPr>
            <w:r>
              <w:rPr>
                <w:sz w:val="20"/>
              </w:rPr>
              <w:t>16.04.2020</w:t>
            </w:r>
          </w:p>
        </w:tc>
        <w:tc>
          <w:tcPr>
            <w:tcW w:w="1627" w:type="dxa"/>
            <w:shd w:val="clear" w:color="auto" w:fill="F1F1F1"/>
          </w:tcPr>
          <w:p>
            <w:pPr>
              <w:pStyle w:val="TableParagraph"/>
              <w:spacing w:before="1"/>
              <w:rPr>
                <w:b/>
                <w:sz w:val="29"/>
              </w:rPr>
            </w:pPr>
          </w:p>
          <w:p>
            <w:pPr>
              <w:pStyle w:val="TableParagraph"/>
              <w:ind w:left="80" w:right="115"/>
              <w:jc w:val="center"/>
              <w:rPr>
                <w:sz w:val="20"/>
              </w:rPr>
            </w:pPr>
            <w:r>
              <w:rPr>
                <w:sz w:val="20"/>
              </w:rPr>
              <w:t>РЗН 2020/10064</w:t>
            </w:r>
          </w:p>
        </w:tc>
        <w:tc>
          <w:tcPr>
            <w:tcW w:w="6470" w:type="dxa"/>
            <w:shd w:val="clear" w:color="auto" w:fill="F1F1F1"/>
          </w:tcPr>
          <w:p>
            <w:pPr>
              <w:pStyle w:val="TableParagraph"/>
              <w:ind w:left="108" w:right="529"/>
              <w:rPr>
                <w:sz w:val="20"/>
              </w:rPr>
            </w:pPr>
            <w:r>
              <w:rPr>
                <w:sz w:val="20"/>
              </w:rPr>
              <w:t>Набор реагентов для выявления РНК коронавирусов SARS-CoV-2, вызывающих тяжелую респираторную инфекцию, в биологическом</w:t>
            </w:r>
          </w:p>
          <w:p>
            <w:pPr>
              <w:pStyle w:val="TableParagraph"/>
              <w:spacing w:line="230" w:lineRule="atLeast"/>
              <w:ind w:left="108" w:right="286"/>
              <w:rPr>
                <w:sz w:val="20"/>
              </w:rPr>
            </w:pPr>
            <w:r>
              <w:rPr>
                <w:sz w:val="20"/>
              </w:rPr>
              <w:t>материале методом полимеразной цепной реакции (ПЦР) с гибридизационно-флуоресцентной детекцией «SBT-DX-SARS-CoV-2»</w:t>
            </w:r>
          </w:p>
        </w:tc>
        <w:tc>
          <w:tcPr>
            <w:tcW w:w="2251" w:type="dxa"/>
            <w:shd w:val="clear" w:color="auto" w:fill="F1F1F1"/>
          </w:tcPr>
          <w:p>
            <w:pPr>
              <w:pStyle w:val="TableParagraph"/>
              <w:spacing w:before="1"/>
              <w:rPr>
                <w:b/>
                <w:sz w:val="19"/>
              </w:rPr>
            </w:pPr>
          </w:p>
          <w:p>
            <w:pPr>
              <w:pStyle w:val="TableParagraph"/>
              <w:ind w:left="109" w:right="759"/>
              <w:rPr>
                <w:sz w:val="20"/>
              </w:rPr>
            </w:pPr>
            <w:r>
              <w:rPr>
                <w:sz w:val="20"/>
              </w:rPr>
              <w:t>ООО "Система- БиоТех"</w:t>
            </w:r>
          </w:p>
        </w:tc>
        <w:tc>
          <w:tcPr>
            <w:tcW w:w="2669" w:type="dxa"/>
            <w:shd w:val="clear" w:color="auto" w:fill="F1F1F1"/>
          </w:tcPr>
          <w:p>
            <w:pPr>
              <w:pStyle w:val="TableParagraph"/>
              <w:spacing w:before="104"/>
              <w:ind w:left="109" w:right="462"/>
              <w:jc w:val="both"/>
              <w:rPr>
                <w:sz w:val="20"/>
              </w:rPr>
            </w:pPr>
            <w:r>
              <w:rPr>
                <w:sz w:val="20"/>
              </w:rPr>
              <w:t>119034, Россия, Москва, пер. Гагаринский, д. 29, пом. I</w:t>
            </w:r>
          </w:p>
        </w:tc>
      </w:tr>
      <w:tr>
        <w:trPr>
          <w:trHeight w:val="688" w:hRule="atLeast"/>
        </w:trPr>
        <w:tc>
          <w:tcPr>
            <w:tcW w:w="439" w:type="dxa"/>
          </w:tcPr>
          <w:p>
            <w:pPr>
              <w:pStyle w:val="TableParagraph"/>
              <w:rPr>
                <w:b/>
                <w:sz w:val="19"/>
              </w:rPr>
            </w:pPr>
          </w:p>
          <w:p>
            <w:pPr>
              <w:pStyle w:val="TableParagraph"/>
              <w:ind w:left="72" w:right="81"/>
              <w:jc w:val="center"/>
              <w:rPr>
                <w:sz w:val="20"/>
              </w:rPr>
            </w:pPr>
            <w:r>
              <w:rPr>
                <w:sz w:val="20"/>
              </w:rPr>
              <w:t>13</w:t>
            </w:r>
          </w:p>
        </w:tc>
        <w:tc>
          <w:tcPr>
            <w:tcW w:w="1653" w:type="dxa"/>
          </w:tcPr>
          <w:p>
            <w:pPr>
              <w:pStyle w:val="TableParagraph"/>
              <w:rPr>
                <w:b/>
                <w:sz w:val="19"/>
              </w:rPr>
            </w:pPr>
          </w:p>
          <w:p>
            <w:pPr>
              <w:pStyle w:val="TableParagraph"/>
              <w:ind w:left="108"/>
              <w:rPr>
                <w:sz w:val="20"/>
              </w:rPr>
            </w:pPr>
            <w:r>
              <w:rPr>
                <w:sz w:val="20"/>
              </w:rPr>
              <w:t>17.04.2020</w:t>
            </w:r>
          </w:p>
        </w:tc>
        <w:tc>
          <w:tcPr>
            <w:tcW w:w="1627" w:type="dxa"/>
          </w:tcPr>
          <w:p>
            <w:pPr>
              <w:pStyle w:val="TableParagraph"/>
              <w:rPr>
                <w:b/>
                <w:sz w:val="19"/>
              </w:rPr>
            </w:pPr>
          </w:p>
          <w:p>
            <w:pPr>
              <w:pStyle w:val="TableParagraph"/>
              <w:ind w:left="80" w:right="115"/>
              <w:jc w:val="center"/>
              <w:rPr>
                <w:sz w:val="20"/>
              </w:rPr>
            </w:pPr>
            <w:r>
              <w:rPr>
                <w:sz w:val="20"/>
              </w:rPr>
              <w:t>РЗН 2020/10088</w:t>
            </w:r>
          </w:p>
        </w:tc>
        <w:tc>
          <w:tcPr>
            <w:tcW w:w="6470" w:type="dxa"/>
          </w:tcPr>
          <w:p>
            <w:pPr>
              <w:pStyle w:val="TableParagraph"/>
              <w:spacing w:line="237" w:lineRule="auto"/>
              <w:ind w:left="108" w:right="172"/>
              <w:rPr>
                <w:sz w:val="20"/>
              </w:rPr>
            </w:pPr>
            <w:r>
              <w:rPr>
                <w:sz w:val="20"/>
              </w:rPr>
              <w:t>Набор для выявления РНК коронавируса SARS-CoV-2 в биологическом материале методом изотермической амплификации в режиме реального</w:t>
            </w:r>
          </w:p>
          <w:p>
            <w:pPr>
              <w:pStyle w:val="TableParagraph"/>
              <w:spacing w:line="219" w:lineRule="exact"/>
              <w:ind w:left="108"/>
              <w:rPr>
                <w:sz w:val="20"/>
              </w:rPr>
            </w:pPr>
            <w:r>
              <w:rPr>
                <w:sz w:val="20"/>
              </w:rPr>
              <w:t>времени в вариантах исполнения</w:t>
            </w:r>
          </w:p>
        </w:tc>
        <w:tc>
          <w:tcPr>
            <w:tcW w:w="2251" w:type="dxa"/>
          </w:tcPr>
          <w:p>
            <w:pPr>
              <w:pStyle w:val="TableParagraph"/>
              <w:spacing w:before="106"/>
              <w:ind w:left="109" w:right="142"/>
              <w:rPr>
                <w:sz w:val="20"/>
              </w:rPr>
            </w:pPr>
            <w:r>
              <w:rPr>
                <w:sz w:val="20"/>
              </w:rPr>
              <w:t>ООО "ЭВОТЭК- МИРАЙ ГЕНОМИКС"</w:t>
            </w:r>
          </w:p>
        </w:tc>
        <w:tc>
          <w:tcPr>
            <w:tcW w:w="2669" w:type="dxa"/>
          </w:tcPr>
          <w:p>
            <w:pPr>
              <w:pStyle w:val="TableParagraph"/>
              <w:spacing w:line="237" w:lineRule="auto"/>
              <w:ind w:left="109" w:right="145"/>
              <w:rPr>
                <w:sz w:val="20"/>
              </w:rPr>
            </w:pPr>
            <w:r>
              <w:rPr>
                <w:sz w:val="20"/>
              </w:rPr>
              <w:t>117437, Россия, Москва, ул. Академика Арцимовича, д.</w:t>
            </w:r>
          </w:p>
          <w:p>
            <w:pPr>
              <w:pStyle w:val="TableParagraph"/>
              <w:spacing w:line="219" w:lineRule="exact"/>
              <w:ind w:left="109"/>
              <w:rPr>
                <w:sz w:val="20"/>
              </w:rPr>
            </w:pPr>
            <w:r>
              <w:rPr>
                <w:sz w:val="20"/>
              </w:rPr>
              <w:t>3Б, офис 11</w:t>
            </w:r>
          </w:p>
        </w:tc>
      </w:tr>
      <w:tr>
        <w:trPr>
          <w:trHeight w:val="690" w:hRule="atLeast"/>
        </w:trPr>
        <w:tc>
          <w:tcPr>
            <w:tcW w:w="439" w:type="dxa"/>
            <w:shd w:val="clear" w:color="auto" w:fill="F1F1F1"/>
          </w:tcPr>
          <w:p>
            <w:pPr>
              <w:pStyle w:val="TableParagraph"/>
              <w:spacing w:before="2"/>
              <w:rPr>
                <w:b/>
                <w:sz w:val="19"/>
              </w:rPr>
            </w:pPr>
          </w:p>
          <w:p>
            <w:pPr>
              <w:pStyle w:val="TableParagraph"/>
              <w:ind w:left="72" w:right="81"/>
              <w:jc w:val="center"/>
              <w:rPr>
                <w:sz w:val="20"/>
              </w:rPr>
            </w:pPr>
            <w:r>
              <w:rPr>
                <w:sz w:val="20"/>
              </w:rPr>
              <w:t>14</w:t>
            </w:r>
          </w:p>
        </w:tc>
        <w:tc>
          <w:tcPr>
            <w:tcW w:w="1653" w:type="dxa"/>
            <w:shd w:val="clear" w:color="auto" w:fill="F1F1F1"/>
          </w:tcPr>
          <w:p>
            <w:pPr>
              <w:pStyle w:val="TableParagraph"/>
              <w:spacing w:before="2"/>
              <w:rPr>
                <w:b/>
                <w:sz w:val="19"/>
              </w:rPr>
            </w:pPr>
          </w:p>
          <w:p>
            <w:pPr>
              <w:pStyle w:val="TableParagraph"/>
              <w:ind w:left="107"/>
              <w:rPr>
                <w:sz w:val="20"/>
              </w:rPr>
            </w:pPr>
            <w:r>
              <w:rPr>
                <w:sz w:val="20"/>
              </w:rPr>
              <w:t>17.04.2020</w:t>
            </w:r>
          </w:p>
        </w:tc>
        <w:tc>
          <w:tcPr>
            <w:tcW w:w="1627" w:type="dxa"/>
            <w:shd w:val="clear" w:color="auto" w:fill="F1F1F1"/>
          </w:tcPr>
          <w:p>
            <w:pPr>
              <w:pStyle w:val="TableParagraph"/>
              <w:spacing w:before="2"/>
              <w:rPr>
                <w:b/>
                <w:sz w:val="19"/>
              </w:rPr>
            </w:pPr>
          </w:p>
          <w:p>
            <w:pPr>
              <w:pStyle w:val="TableParagraph"/>
              <w:ind w:left="80" w:right="115"/>
              <w:jc w:val="center"/>
              <w:rPr>
                <w:sz w:val="20"/>
              </w:rPr>
            </w:pPr>
            <w:r>
              <w:rPr>
                <w:sz w:val="20"/>
              </w:rPr>
              <w:t>РЗН 2020/10087</w:t>
            </w:r>
          </w:p>
        </w:tc>
        <w:tc>
          <w:tcPr>
            <w:tcW w:w="6470" w:type="dxa"/>
            <w:shd w:val="clear" w:color="auto" w:fill="F1F1F1"/>
          </w:tcPr>
          <w:p>
            <w:pPr>
              <w:pStyle w:val="TableParagraph"/>
              <w:spacing w:before="106"/>
              <w:ind w:left="108" w:right="1136"/>
              <w:rPr>
                <w:sz w:val="20"/>
              </w:rPr>
            </w:pPr>
            <w:r>
              <w:rPr>
                <w:sz w:val="20"/>
              </w:rPr>
              <w:t>Набор реагентов для выделения РНК вируса SARS-CoV-2 из биологического материала в вариантах исполнения</w:t>
            </w:r>
          </w:p>
        </w:tc>
        <w:tc>
          <w:tcPr>
            <w:tcW w:w="2251" w:type="dxa"/>
            <w:shd w:val="clear" w:color="auto" w:fill="F1F1F1"/>
          </w:tcPr>
          <w:p>
            <w:pPr>
              <w:pStyle w:val="TableParagraph"/>
              <w:spacing w:before="106"/>
              <w:ind w:left="109" w:right="142"/>
              <w:rPr>
                <w:sz w:val="20"/>
              </w:rPr>
            </w:pPr>
            <w:r>
              <w:rPr>
                <w:sz w:val="20"/>
              </w:rPr>
              <w:t>ООО "ЭВОТЭК- МИРАЙ ГЕНОМИКС"</w:t>
            </w:r>
          </w:p>
        </w:tc>
        <w:tc>
          <w:tcPr>
            <w:tcW w:w="2669" w:type="dxa"/>
            <w:shd w:val="clear" w:color="auto" w:fill="F1F1F1"/>
          </w:tcPr>
          <w:p>
            <w:pPr>
              <w:pStyle w:val="TableParagraph"/>
              <w:ind w:left="109" w:right="145"/>
              <w:rPr>
                <w:sz w:val="20"/>
              </w:rPr>
            </w:pPr>
            <w:r>
              <w:rPr>
                <w:sz w:val="20"/>
              </w:rPr>
              <w:t>117437, Россия, Москва, ул. Академика Арцимовича, д.</w:t>
            </w:r>
          </w:p>
          <w:p>
            <w:pPr>
              <w:pStyle w:val="TableParagraph"/>
              <w:spacing w:line="219" w:lineRule="exact"/>
              <w:ind w:left="109"/>
              <w:rPr>
                <w:sz w:val="20"/>
              </w:rPr>
            </w:pPr>
            <w:r>
              <w:rPr>
                <w:sz w:val="20"/>
              </w:rPr>
              <w:t>3Б, офис 11</w:t>
            </w:r>
          </w:p>
        </w:tc>
      </w:tr>
      <w:tr>
        <w:trPr>
          <w:trHeight w:val="1077" w:hRule="atLeast"/>
        </w:trPr>
        <w:tc>
          <w:tcPr>
            <w:tcW w:w="439" w:type="dxa"/>
          </w:tcPr>
          <w:p>
            <w:pPr>
              <w:pStyle w:val="TableParagraph"/>
              <w:rPr>
                <w:b/>
                <w:sz w:val="22"/>
              </w:rPr>
            </w:pPr>
          </w:p>
          <w:p>
            <w:pPr>
              <w:pStyle w:val="TableParagraph"/>
              <w:spacing w:before="160"/>
              <w:ind w:left="72" w:right="81"/>
              <w:jc w:val="center"/>
              <w:rPr>
                <w:sz w:val="20"/>
              </w:rPr>
            </w:pPr>
            <w:r>
              <w:rPr>
                <w:sz w:val="20"/>
              </w:rPr>
              <w:t>15</w:t>
            </w:r>
          </w:p>
        </w:tc>
        <w:tc>
          <w:tcPr>
            <w:tcW w:w="1653" w:type="dxa"/>
          </w:tcPr>
          <w:p>
            <w:pPr>
              <w:pStyle w:val="TableParagraph"/>
              <w:rPr>
                <w:b/>
                <w:sz w:val="22"/>
              </w:rPr>
            </w:pPr>
          </w:p>
          <w:p>
            <w:pPr>
              <w:pStyle w:val="TableParagraph"/>
              <w:spacing w:before="160"/>
              <w:ind w:left="108"/>
              <w:rPr>
                <w:sz w:val="20"/>
              </w:rPr>
            </w:pPr>
            <w:r>
              <w:rPr>
                <w:sz w:val="20"/>
              </w:rPr>
              <w:t>21.04.2020</w:t>
            </w:r>
          </w:p>
        </w:tc>
        <w:tc>
          <w:tcPr>
            <w:tcW w:w="1627" w:type="dxa"/>
          </w:tcPr>
          <w:p>
            <w:pPr>
              <w:pStyle w:val="TableParagraph"/>
              <w:rPr>
                <w:b/>
                <w:sz w:val="22"/>
              </w:rPr>
            </w:pPr>
          </w:p>
          <w:p>
            <w:pPr>
              <w:pStyle w:val="TableParagraph"/>
              <w:spacing w:before="160"/>
              <w:ind w:left="80" w:right="115"/>
              <w:jc w:val="center"/>
              <w:rPr>
                <w:sz w:val="20"/>
              </w:rPr>
            </w:pPr>
            <w:r>
              <w:rPr>
                <w:sz w:val="20"/>
              </w:rPr>
              <w:t>РЗН 2020/10118</w:t>
            </w:r>
          </w:p>
        </w:tc>
        <w:tc>
          <w:tcPr>
            <w:tcW w:w="6470" w:type="dxa"/>
          </w:tcPr>
          <w:p>
            <w:pPr>
              <w:pStyle w:val="TableParagraph"/>
              <w:spacing w:before="70"/>
              <w:ind w:left="108" w:right="612"/>
              <w:rPr>
                <w:sz w:val="20"/>
              </w:rPr>
            </w:pPr>
            <w:r>
              <w:rPr>
                <w:sz w:val="20"/>
              </w:rPr>
              <w:t>Набор реагентов для выявления РНК коронавируса SARS-CoV-2 тяжелого острого респираторного синдрома (COVID-19) методом полимеразной цепной реакции с автоматической экстракцией РНК</w:t>
            </w:r>
          </w:p>
          <w:p>
            <w:pPr>
              <w:pStyle w:val="TableParagraph"/>
              <w:spacing w:line="229" w:lineRule="exact"/>
              <w:ind w:left="108"/>
              <w:rPr>
                <w:sz w:val="20"/>
              </w:rPr>
            </w:pPr>
            <w:r>
              <w:rPr>
                <w:sz w:val="20"/>
              </w:rPr>
              <w:t>«АмплиТест SARS-CoV-2 авто»</w:t>
            </w:r>
          </w:p>
        </w:tc>
        <w:tc>
          <w:tcPr>
            <w:tcW w:w="2251" w:type="dxa"/>
          </w:tcPr>
          <w:p>
            <w:pPr>
              <w:pStyle w:val="TableParagraph"/>
              <w:spacing w:before="10"/>
              <w:rPr>
                <w:b/>
                <w:sz w:val="25"/>
              </w:rPr>
            </w:pPr>
          </w:p>
          <w:p>
            <w:pPr>
              <w:pStyle w:val="TableParagraph"/>
              <w:ind w:left="109"/>
              <w:rPr>
                <w:sz w:val="20"/>
              </w:rPr>
            </w:pPr>
            <w:r>
              <w:rPr>
                <w:sz w:val="20"/>
              </w:rPr>
              <w:t>ФГБУ "ЦСП"</w:t>
            </w:r>
          </w:p>
          <w:p>
            <w:pPr>
              <w:pStyle w:val="TableParagraph"/>
              <w:spacing w:before="1"/>
              <w:ind w:left="109"/>
              <w:rPr>
                <w:sz w:val="20"/>
              </w:rPr>
            </w:pPr>
            <w:r>
              <w:rPr>
                <w:sz w:val="20"/>
              </w:rPr>
              <w:t>Минздрава России</w:t>
            </w:r>
          </w:p>
        </w:tc>
        <w:tc>
          <w:tcPr>
            <w:tcW w:w="2669" w:type="dxa"/>
          </w:tcPr>
          <w:p>
            <w:pPr>
              <w:pStyle w:val="TableParagraph"/>
              <w:spacing w:before="10"/>
              <w:rPr>
                <w:b/>
                <w:sz w:val="25"/>
              </w:rPr>
            </w:pPr>
          </w:p>
          <w:p>
            <w:pPr>
              <w:pStyle w:val="TableParagraph"/>
              <w:ind w:left="109" w:right="145"/>
              <w:rPr>
                <w:sz w:val="20"/>
              </w:rPr>
            </w:pPr>
            <w:r>
              <w:rPr>
                <w:sz w:val="20"/>
              </w:rPr>
              <w:t>119121, Россия, Москва, ул. Погодинская, д. 10, стр. 1</w:t>
            </w:r>
          </w:p>
        </w:tc>
      </w:tr>
      <w:tr>
        <w:trPr>
          <w:trHeight w:val="827" w:hRule="atLeast"/>
        </w:trPr>
        <w:tc>
          <w:tcPr>
            <w:tcW w:w="439" w:type="dxa"/>
            <w:shd w:val="clear" w:color="auto" w:fill="F1F1F1"/>
          </w:tcPr>
          <w:p>
            <w:pPr>
              <w:pStyle w:val="TableParagraph"/>
              <w:rPr>
                <w:b/>
                <w:sz w:val="25"/>
              </w:rPr>
            </w:pPr>
          </w:p>
          <w:p>
            <w:pPr>
              <w:pStyle w:val="TableParagraph"/>
              <w:ind w:left="72" w:right="81"/>
              <w:jc w:val="center"/>
              <w:rPr>
                <w:sz w:val="20"/>
              </w:rPr>
            </w:pPr>
            <w:r>
              <w:rPr>
                <w:sz w:val="20"/>
              </w:rPr>
              <w:t>16</w:t>
            </w:r>
          </w:p>
        </w:tc>
        <w:tc>
          <w:tcPr>
            <w:tcW w:w="1653" w:type="dxa"/>
            <w:shd w:val="clear" w:color="auto" w:fill="F1F1F1"/>
          </w:tcPr>
          <w:p>
            <w:pPr>
              <w:pStyle w:val="TableParagraph"/>
              <w:rPr>
                <w:b/>
                <w:sz w:val="25"/>
              </w:rPr>
            </w:pPr>
          </w:p>
          <w:p>
            <w:pPr>
              <w:pStyle w:val="TableParagraph"/>
              <w:ind w:left="107"/>
              <w:rPr>
                <w:sz w:val="20"/>
              </w:rPr>
            </w:pPr>
            <w:r>
              <w:rPr>
                <w:sz w:val="20"/>
              </w:rPr>
              <w:t>23.04.2020</w:t>
            </w:r>
          </w:p>
        </w:tc>
        <w:tc>
          <w:tcPr>
            <w:tcW w:w="1627" w:type="dxa"/>
            <w:shd w:val="clear" w:color="auto" w:fill="F1F1F1"/>
          </w:tcPr>
          <w:p>
            <w:pPr>
              <w:pStyle w:val="TableParagraph"/>
              <w:rPr>
                <w:b/>
                <w:sz w:val="25"/>
              </w:rPr>
            </w:pPr>
          </w:p>
          <w:p>
            <w:pPr>
              <w:pStyle w:val="TableParagraph"/>
              <w:ind w:left="80" w:right="115"/>
              <w:jc w:val="center"/>
              <w:rPr>
                <w:sz w:val="20"/>
              </w:rPr>
            </w:pPr>
            <w:r>
              <w:rPr>
                <w:sz w:val="20"/>
              </w:rPr>
              <w:t>РЗН 2020/10152</w:t>
            </w:r>
          </w:p>
        </w:tc>
        <w:tc>
          <w:tcPr>
            <w:tcW w:w="6470" w:type="dxa"/>
            <w:shd w:val="clear" w:color="auto" w:fill="F1F1F1"/>
          </w:tcPr>
          <w:p>
            <w:pPr>
              <w:pStyle w:val="TableParagraph"/>
              <w:spacing w:before="173"/>
              <w:ind w:left="108" w:right="333"/>
              <w:rPr>
                <w:sz w:val="20"/>
              </w:rPr>
            </w:pPr>
            <w:r>
              <w:rPr>
                <w:sz w:val="20"/>
              </w:rPr>
              <w:t>Набор реагентов для выявления РНК коронавирусов SARS/COVID-19 методом ПЦР GeneFinder COVID-19 Plus RealAmp Kit (IFMR-45)</w:t>
            </w:r>
          </w:p>
        </w:tc>
        <w:tc>
          <w:tcPr>
            <w:tcW w:w="2251" w:type="dxa"/>
            <w:shd w:val="clear" w:color="auto" w:fill="F1F1F1"/>
          </w:tcPr>
          <w:p>
            <w:pPr>
              <w:pStyle w:val="TableParagraph"/>
              <w:rPr>
                <w:b/>
                <w:sz w:val="25"/>
              </w:rPr>
            </w:pPr>
          </w:p>
          <w:p>
            <w:pPr>
              <w:pStyle w:val="TableParagraph"/>
              <w:ind w:left="109"/>
              <w:rPr>
                <w:sz w:val="20"/>
              </w:rPr>
            </w:pPr>
            <w:r>
              <w:rPr>
                <w:sz w:val="20"/>
              </w:rPr>
              <w:t>ООО "АВИВИР"</w:t>
            </w:r>
          </w:p>
        </w:tc>
        <w:tc>
          <w:tcPr>
            <w:tcW w:w="2669" w:type="dxa"/>
            <w:shd w:val="clear" w:color="auto" w:fill="F1F1F1"/>
          </w:tcPr>
          <w:p>
            <w:pPr>
              <w:pStyle w:val="TableParagraph"/>
              <w:spacing w:before="173"/>
              <w:ind w:left="109" w:right="186"/>
              <w:rPr>
                <w:sz w:val="20"/>
              </w:rPr>
            </w:pPr>
            <w:r>
              <w:rPr>
                <w:sz w:val="20"/>
              </w:rPr>
              <w:t>Республика Корея, OSANG Healthcare Co., Ltd., 132</w:t>
            </w:r>
          </w:p>
        </w:tc>
      </w:tr>
      <w:tr>
        <w:trPr>
          <w:trHeight w:val="690" w:hRule="atLeast"/>
        </w:trPr>
        <w:tc>
          <w:tcPr>
            <w:tcW w:w="439" w:type="dxa"/>
          </w:tcPr>
          <w:p>
            <w:pPr>
              <w:pStyle w:val="TableParagraph"/>
              <w:spacing w:before="2"/>
              <w:rPr>
                <w:b/>
                <w:sz w:val="19"/>
              </w:rPr>
            </w:pPr>
          </w:p>
          <w:p>
            <w:pPr>
              <w:pStyle w:val="TableParagraph"/>
              <w:ind w:left="72" w:right="81"/>
              <w:jc w:val="center"/>
              <w:rPr>
                <w:sz w:val="20"/>
              </w:rPr>
            </w:pPr>
            <w:r>
              <w:rPr>
                <w:sz w:val="20"/>
              </w:rPr>
              <w:t>17</w:t>
            </w:r>
          </w:p>
        </w:tc>
        <w:tc>
          <w:tcPr>
            <w:tcW w:w="1653" w:type="dxa"/>
          </w:tcPr>
          <w:p>
            <w:pPr>
              <w:pStyle w:val="TableParagraph"/>
              <w:spacing w:before="2"/>
              <w:rPr>
                <w:b/>
                <w:sz w:val="19"/>
              </w:rPr>
            </w:pPr>
          </w:p>
          <w:p>
            <w:pPr>
              <w:pStyle w:val="TableParagraph"/>
              <w:ind w:left="108"/>
              <w:rPr>
                <w:sz w:val="20"/>
              </w:rPr>
            </w:pPr>
            <w:r>
              <w:rPr>
                <w:sz w:val="20"/>
              </w:rPr>
              <w:t>30.04.2020</w:t>
            </w:r>
          </w:p>
        </w:tc>
        <w:tc>
          <w:tcPr>
            <w:tcW w:w="1627" w:type="dxa"/>
          </w:tcPr>
          <w:p>
            <w:pPr>
              <w:pStyle w:val="TableParagraph"/>
              <w:spacing w:before="2"/>
              <w:rPr>
                <w:b/>
                <w:sz w:val="19"/>
              </w:rPr>
            </w:pPr>
          </w:p>
          <w:p>
            <w:pPr>
              <w:pStyle w:val="TableParagraph"/>
              <w:ind w:left="80" w:right="115"/>
              <w:jc w:val="center"/>
              <w:rPr>
                <w:sz w:val="20"/>
              </w:rPr>
            </w:pPr>
            <w:r>
              <w:rPr>
                <w:sz w:val="20"/>
              </w:rPr>
              <w:t>РЗН 2020/10216</w:t>
            </w:r>
          </w:p>
        </w:tc>
        <w:tc>
          <w:tcPr>
            <w:tcW w:w="6470" w:type="dxa"/>
          </w:tcPr>
          <w:p>
            <w:pPr>
              <w:pStyle w:val="TableParagraph"/>
              <w:ind w:left="108" w:right="3"/>
              <w:rPr>
                <w:sz w:val="20"/>
              </w:rPr>
            </w:pPr>
            <w:r>
              <w:rPr>
                <w:sz w:val="20"/>
              </w:rPr>
              <w:t>Набор реагентов для выявления РНК коронавируса SARS-CoV-2 методом полимеразной цепной реакции с флуоресцентной детекцией "COVID-19</w:t>
            </w:r>
          </w:p>
          <w:p>
            <w:pPr>
              <w:pStyle w:val="TableParagraph"/>
              <w:spacing w:line="219" w:lineRule="exact"/>
              <w:ind w:left="108"/>
              <w:rPr>
                <w:sz w:val="20"/>
              </w:rPr>
            </w:pPr>
            <w:r>
              <w:rPr>
                <w:sz w:val="20"/>
              </w:rPr>
              <w:t>OneStep"</w:t>
            </w:r>
          </w:p>
        </w:tc>
        <w:tc>
          <w:tcPr>
            <w:tcW w:w="2251" w:type="dxa"/>
          </w:tcPr>
          <w:p>
            <w:pPr>
              <w:pStyle w:val="TableParagraph"/>
              <w:spacing w:before="2"/>
              <w:rPr>
                <w:b/>
                <w:sz w:val="19"/>
              </w:rPr>
            </w:pPr>
          </w:p>
          <w:p>
            <w:pPr>
              <w:pStyle w:val="TableParagraph"/>
              <w:ind w:left="109"/>
              <w:rPr>
                <w:sz w:val="20"/>
              </w:rPr>
            </w:pPr>
            <w:r>
              <w:rPr>
                <w:sz w:val="20"/>
              </w:rPr>
              <w:t>ООО "Генотек"</w:t>
            </w:r>
          </w:p>
        </w:tc>
        <w:tc>
          <w:tcPr>
            <w:tcW w:w="2669" w:type="dxa"/>
          </w:tcPr>
          <w:p>
            <w:pPr>
              <w:pStyle w:val="TableParagraph"/>
              <w:ind w:left="109" w:right="186"/>
              <w:rPr>
                <w:sz w:val="20"/>
              </w:rPr>
            </w:pPr>
            <w:r>
              <w:rPr>
                <w:sz w:val="20"/>
              </w:rPr>
              <w:t>105120, Россия, Москва, Наставнический пер., д. 17,</w:t>
            </w:r>
          </w:p>
          <w:p>
            <w:pPr>
              <w:pStyle w:val="TableParagraph"/>
              <w:spacing w:line="219" w:lineRule="exact"/>
              <w:ind w:left="109"/>
              <w:rPr>
                <w:sz w:val="20"/>
              </w:rPr>
            </w:pPr>
            <w:r>
              <w:rPr>
                <w:sz w:val="20"/>
              </w:rPr>
              <w:t>стр. 1, пом. I, эт. 2, ком. 9</w:t>
            </w:r>
          </w:p>
        </w:tc>
      </w:tr>
      <w:tr>
        <w:trPr>
          <w:trHeight w:val="918" w:hRule="atLeast"/>
        </w:trPr>
        <w:tc>
          <w:tcPr>
            <w:tcW w:w="439" w:type="dxa"/>
            <w:shd w:val="clear" w:color="auto" w:fill="F1F1F1"/>
          </w:tcPr>
          <w:p>
            <w:pPr>
              <w:pStyle w:val="TableParagraph"/>
              <w:rPr>
                <w:b/>
                <w:sz w:val="29"/>
              </w:rPr>
            </w:pPr>
          </w:p>
          <w:p>
            <w:pPr>
              <w:pStyle w:val="TableParagraph"/>
              <w:ind w:left="72" w:right="81"/>
              <w:jc w:val="center"/>
              <w:rPr>
                <w:sz w:val="20"/>
              </w:rPr>
            </w:pPr>
            <w:r>
              <w:rPr>
                <w:sz w:val="20"/>
              </w:rPr>
              <w:t>18</w:t>
            </w:r>
          </w:p>
        </w:tc>
        <w:tc>
          <w:tcPr>
            <w:tcW w:w="1653" w:type="dxa"/>
            <w:shd w:val="clear" w:color="auto" w:fill="F1F1F1"/>
          </w:tcPr>
          <w:p>
            <w:pPr>
              <w:pStyle w:val="TableParagraph"/>
              <w:rPr>
                <w:b/>
                <w:sz w:val="29"/>
              </w:rPr>
            </w:pPr>
          </w:p>
          <w:p>
            <w:pPr>
              <w:pStyle w:val="TableParagraph"/>
              <w:ind w:left="107"/>
              <w:rPr>
                <w:sz w:val="20"/>
              </w:rPr>
            </w:pPr>
            <w:r>
              <w:rPr>
                <w:sz w:val="20"/>
              </w:rPr>
              <w:t>15.05.2020</w:t>
            </w:r>
          </w:p>
        </w:tc>
        <w:tc>
          <w:tcPr>
            <w:tcW w:w="1627" w:type="dxa"/>
            <w:shd w:val="clear" w:color="auto" w:fill="F1F1F1"/>
          </w:tcPr>
          <w:p>
            <w:pPr>
              <w:pStyle w:val="TableParagraph"/>
              <w:rPr>
                <w:b/>
                <w:sz w:val="29"/>
              </w:rPr>
            </w:pPr>
          </w:p>
          <w:p>
            <w:pPr>
              <w:pStyle w:val="TableParagraph"/>
              <w:ind w:left="80" w:right="115"/>
              <w:jc w:val="center"/>
              <w:rPr>
                <w:sz w:val="20"/>
              </w:rPr>
            </w:pPr>
            <w:r>
              <w:rPr>
                <w:sz w:val="20"/>
              </w:rPr>
              <w:t>РЗН 2020/10364</w:t>
            </w:r>
          </w:p>
        </w:tc>
        <w:tc>
          <w:tcPr>
            <w:tcW w:w="6470" w:type="dxa"/>
            <w:shd w:val="clear" w:color="auto" w:fill="F1F1F1"/>
          </w:tcPr>
          <w:p>
            <w:pPr>
              <w:pStyle w:val="TableParagraph"/>
              <w:rPr>
                <w:b/>
                <w:sz w:val="19"/>
              </w:rPr>
            </w:pPr>
          </w:p>
          <w:p>
            <w:pPr>
              <w:pStyle w:val="TableParagraph"/>
              <w:ind w:left="108" w:right="530"/>
              <w:rPr>
                <w:sz w:val="20"/>
              </w:rPr>
            </w:pPr>
            <w:r>
              <w:rPr>
                <w:sz w:val="20"/>
              </w:rPr>
              <w:t>Набор реагентов для качественного выявления РНК коронавируса (SARS-CoV-2) методом ОТ-ПЦР в реальном времени «CoV-2-Тест»</w:t>
            </w:r>
          </w:p>
        </w:tc>
        <w:tc>
          <w:tcPr>
            <w:tcW w:w="2251" w:type="dxa"/>
            <w:shd w:val="clear" w:color="auto" w:fill="F1F1F1"/>
          </w:tcPr>
          <w:p>
            <w:pPr>
              <w:pStyle w:val="TableParagraph"/>
              <w:rPr>
                <w:b/>
                <w:sz w:val="29"/>
              </w:rPr>
            </w:pPr>
          </w:p>
          <w:p>
            <w:pPr>
              <w:pStyle w:val="TableParagraph"/>
              <w:ind w:left="109"/>
              <w:rPr>
                <w:sz w:val="20"/>
              </w:rPr>
            </w:pPr>
            <w:r>
              <w:rPr>
                <w:sz w:val="20"/>
              </w:rPr>
              <w:t>ООО "ТестГен"</w:t>
            </w:r>
          </w:p>
        </w:tc>
        <w:tc>
          <w:tcPr>
            <w:tcW w:w="2669" w:type="dxa"/>
            <w:shd w:val="clear" w:color="auto" w:fill="F1F1F1"/>
          </w:tcPr>
          <w:p>
            <w:pPr>
              <w:pStyle w:val="TableParagraph"/>
              <w:ind w:left="109" w:right="530"/>
              <w:rPr>
                <w:sz w:val="20"/>
              </w:rPr>
            </w:pPr>
            <w:r>
              <w:rPr>
                <w:sz w:val="20"/>
              </w:rPr>
              <w:t>432072, Россия, г. Ульяновск, 44-й Инженерный пр-д, д. 9,</w:t>
            </w:r>
          </w:p>
          <w:p>
            <w:pPr>
              <w:pStyle w:val="TableParagraph"/>
              <w:spacing w:line="218" w:lineRule="exact"/>
              <w:ind w:left="109"/>
              <w:rPr>
                <w:sz w:val="20"/>
              </w:rPr>
            </w:pPr>
            <w:r>
              <w:rPr>
                <w:sz w:val="20"/>
              </w:rPr>
              <w:t>офис 13</w:t>
            </w:r>
          </w:p>
        </w:tc>
      </w:tr>
    </w:tbl>
    <w:p>
      <w:pPr>
        <w:spacing w:after="0" w:line="218" w:lineRule="exact"/>
        <w:rPr>
          <w:sz w:val="20"/>
        </w:rPr>
        <w:sectPr>
          <w:pgSz w:w="16850" w:h="11920" w:orient="landscape"/>
          <w:pgMar w:header="0" w:footer="1110" w:top="1040" w:bottom="1300" w:left="880" w:right="360"/>
        </w:sectPr>
      </w:pPr>
    </w:p>
    <w:tbl>
      <w:tblPr>
        <w:tblW w:w="0" w:type="auto"/>
        <w:jc w:val="left"/>
        <w:tblInd w:w="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39"/>
        <w:gridCol w:w="1653"/>
        <w:gridCol w:w="1627"/>
        <w:gridCol w:w="6470"/>
        <w:gridCol w:w="2251"/>
        <w:gridCol w:w="2669"/>
      </w:tblGrid>
      <w:tr>
        <w:trPr>
          <w:trHeight w:val="933" w:hRule="atLeast"/>
        </w:trPr>
        <w:tc>
          <w:tcPr>
            <w:tcW w:w="439" w:type="dxa"/>
          </w:tcPr>
          <w:p>
            <w:pPr>
              <w:pStyle w:val="TableParagraph"/>
              <w:spacing w:before="10"/>
              <w:rPr>
                <w:b/>
                <w:sz w:val="29"/>
              </w:rPr>
            </w:pPr>
          </w:p>
          <w:p>
            <w:pPr>
              <w:pStyle w:val="TableParagraph"/>
              <w:ind w:left="72" w:right="81"/>
              <w:jc w:val="center"/>
              <w:rPr>
                <w:sz w:val="20"/>
              </w:rPr>
            </w:pPr>
            <w:r>
              <w:rPr>
                <w:sz w:val="20"/>
              </w:rPr>
              <w:t>19</w:t>
            </w:r>
          </w:p>
        </w:tc>
        <w:tc>
          <w:tcPr>
            <w:tcW w:w="1653" w:type="dxa"/>
          </w:tcPr>
          <w:p>
            <w:pPr>
              <w:pStyle w:val="TableParagraph"/>
              <w:spacing w:before="2"/>
              <w:rPr>
                <w:b/>
                <w:sz w:val="29"/>
              </w:rPr>
            </w:pPr>
          </w:p>
          <w:p>
            <w:pPr>
              <w:pStyle w:val="TableParagraph"/>
              <w:spacing w:before="1"/>
              <w:ind w:left="117"/>
              <w:rPr>
                <w:sz w:val="20"/>
              </w:rPr>
            </w:pPr>
            <w:r>
              <w:rPr>
                <w:sz w:val="20"/>
              </w:rPr>
              <w:t>26.05.2020</w:t>
            </w:r>
          </w:p>
        </w:tc>
        <w:tc>
          <w:tcPr>
            <w:tcW w:w="1627" w:type="dxa"/>
          </w:tcPr>
          <w:p>
            <w:pPr>
              <w:pStyle w:val="TableParagraph"/>
              <w:spacing w:before="2"/>
              <w:rPr>
                <w:b/>
                <w:sz w:val="29"/>
              </w:rPr>
            </w:pPr>
          </w:p>
          <w:p>
            <w:pPr>
              <w:pStyle w:val="TableParagraph"/>
              <w:spacing w:before="1"/>
              <w:ind w:left="90" w:right="106"/>
              <w:jc w:val="center"/>
              <w:rPr>
                <w:sz w:val="20"/>
              </w:rPr>
            </w:pPr>
            <w:r>
              <w:rPr>
                <w:sz w:val="20"/>
              </w:rPr>
              <w:t>РЗН 2020/10498</w:t>
            </w:r>
          </w:p>
        </w:tc>
        <w:tc>
          <w:tcPr>
            <w:tcW w:w="6470" w:type="dxa"/>
          </w:tcPr>
          <w:p>
            <w:pPr>
              <w:pStyle w:val="TableParagraph"/>
              <w:spacing w:before="106"/>
              <w:ind w:left="118" w:right="696"/>
              <w:rPr>
                <w:sz w:val="20"/>
              </w:rPr>
            </w:pPr>
            <w:r>
              <w:rPr>
                <w:sz w:val="20"/>
              </w:rPr>
              <w:t>Набор реагентов для выявления РНК коронавируса SARS-CoV-2 в клиническом материале методом полимеразной цепной</w:t>
            </w:r>
            <w:r>
              <w:rPr>
                <w:spacing w:val="-19"/>
                <w:sz w:val="20"/>
              </w:rPr>
              <w:t> </w:t>
            </w:r>
            <w:r>
              <w:rPr>
                <w:sz w:val="20"/>
              </w:rPr>
              <w:t>реакции в реальном времени (COVID-2019</w:t>
            </w:r>
            <w:r>
              <w:rPr>
                <w:spacing w:val="-1"/>
                <w:sz w:val="20"/>
              </w:rPr>
              <w:t> </w:t>
            </w:r>
            <w:r>
              <w:rPr>
                <w:sz w:val="20"/>
              </w:rPr>
              <w:t>Amp)</w:t>
            </w:r>
          </w:p>
        </w:tc>
        <w:tc>
          <w:tcPr>
            <w:tcW w:w="2251" w:type="dxa"/>
          </w:tcPr>
          <w:p>
            <w:pPr>
              <w:pStyle w:val="TableParagraph"/>
              <w:spacing w:line="221" w:lineRule="exact"/>
              <w:ind w:left="118"/>
              <w:rPr>
                <w:sz w:val="20"/>
              </w:rPr>
            </w:pPr>
            <w:r>
              <w:rPr>
                <w:sz w:val="20"/>
              </w:rPr>
              <w:t>ФБУН НИИ</w:t>
            </w:r>
          </w:p>
          <w:p>
            <w:pPr>
              <w:pStyle w:val="TableParagraph"/>
              <w:ind w:left="118" w:right="181"/>
              <w:rPr>
                <w:sz w:val="20"/>
              </w:rPr>
            </w:pPr>
            <w:r>
              <w:rPr>
                <w:sz w:val="20"/>
              </w:rPr>
              <w:t>эпидемиологии и микробиологии имени Пастера</w:t>
            </w:r>
          </w:p>
        </w:tc>
        <w:tc>
          <w:tcPr>
            <w:tcW w:w="2669" w:type="dxa"/>
          </w:tcPr>
          <w:p>
            <w:pPr>
              <w:pStyle w:val="TableParagraph"/>
              <w:spacing w:before="2"/>
              <w:rPr>
                <w:b/>
                <w:sz w:val="19"/>
              </w:rPr>
            </w:pPr>
          </w:p>
          <w:p>
            <w:pPr>
              <w:pStyle w:val="TableParagraph"/>
              <w:ind w:left="119" w:right="251"/>
              <w:rPr>
                <w:sz w:val="20"/>
              </w:rPr>
            </w:pPr>
            <w:r>
              <w:rPr>
                <w:sz w:val="20"/>
              </w:rPr>
              <w:t>197101, Россия, г. Санкт- Петербург, ул. Мира, д. 14</w:t>
            </w:r>
          </w:p>
        </w:tc>
      </w:tr>
      <w:tr>
        <w:trPr>
          <w:trHeight w:val="705" w:hRule="atLeast"/>
        </w:trPr>
        <w:tc>
          <w:tcPr>
            <w:tcW w:w="439" w:type="dxa"/>
            <w:shd w:val="clear" w:color="auto" w:fill="F1F1F1"/>
          </w:tcPr>
          <w:p>
            <w:pPr>
              <w:pStyle w:val="TableParagraph"/>
              <w:spacing w:before="9"/>
              <w:rPr>
                <w:b/>
                <w:sz w:val="19"/>
              </w:rPr>
            </w:pPr>
          </w:p>
          <w:p>
            <w:pPr>
              <w:pStyle w:val="TableParagraph"/>
              <w:ind w:left="72" w:right="81"/>
              <w:jc w:val="center"/>
              <w:rPr>
                <w:sz w:val="20"/>
              </w:rPr>
            </w:pPr>
            <w:r>
              <w:rPr>
                <w:sz w:val="20"/>
              </w:rPr>
              <w:t>20</w:t>
            </w:r>
          </w:p>
        </w:tc>
        <w:tc>
          <w:tcPr>
            <w:tcW w:w="1653" w:type="dxa"/>
            <w:shd w:val="clear" w:color="auto" w:fill="F1F1F1"/>
          </w:tcPr>
          <w:p>
            <w:pPr>
              <w:pStyle w:val="TableParagraph"/>
              <w:spacing w:before="2"/>
              <w:rPr>
                <w:b/>
                <w:sz w:val="19"/>
              </w:rPr>
            </w:pPr>
          </w:p>
          <w:p>
            <w:pPr>
              <w:pStyle w:val="TableParagraph"/>
              <w:ind w:left="117"/>
              <w:rPr>
                <w:sz w:val="20"/>
              </w:rPr>
            </w:pPr>
            <w:r>
              <w:rPr>
                <w:sz w:val="20"/>
              </w:rPr>
              <w:t>29.05.2020</w:t>
            </w:r>
          </w:p>
        </w:tc>
        <w:tc>
          <w:tcPr>
            <w:tcW w:w="1627" w:type="dxa"/>
            <w:shd w:val="clear" w:color="auto" w:fill="F1F1F1"/>
          </w:tcPr>
          <w:p>
            <w:pPr>
              <w:pStyle w:val="TableParagraph"/>
              <w:spacing w:before="2"/>
              <w:rPr>
                <w:b/>
                <w:sz w:val="19"/>
              </w:rPr>
            </w:pPr>
          </w:p>
          <w:p>
            <w:pPr>
              <w:pStyle w:val="TableParagraph"/>
              <w:ind w:left="90" w:right="106"/>
              <w:jc w:val="center"/>
              <w:rPr>
                <w:sz w:val="20"/>
              </w:rPr>
            </w:pPr>
            <w:r>
              <w:rPr>
                <w:sz w:val="20"/>
              </w:rPr>
              <w:t>РЗН 2020/10550</w:t>
            </w:r>
          </w:p>
        </w:tc>
        <w:tc>
          <w:tcPr>
            <w:tcW w:w="6470" w:type="dxa"/>
            <w:shd w:val="clear" w:color="auto" w:fill="F1F1F1"/>
          </w:tcPr>
          <w:p>
            <w:pPr>
              <w:pStyle w:val="TableParagraph"/>
              <w:spacing w:before="106"/>
              <w:ind w:left="118" w:right="532"/>
              <w:rPr>
                <w:sz w:val="20"/>
              </w:rPr>
            </w:pPr>
            <w:r>
              <w:rPr>
                <w:sz w:val="20"/>
              </w:rPr>
              <w:t>Набор реагентов для экстракции и качественного определения РНК коронавируса SARS-CoV-2 методом ОТ-ПЦР "SARS-CoV-2 FRT"</w:t>
            </w:r>
          </w:p>
        </w:tc>
        <w:tc>
          <w:tcPr>
            <w:tcW w:w="2251" w:type="dxa"/>
            <w:shd w:val="clear" w:color="auto" w:fill="F1F1F1"/>
          </w:tcPr>
          <w:p>
            <w:pPr>
              <w:pStyle w:val="TableParagraph"/>
              <w:spacing w:line="221" w:lineRule="exact"/>
              <w:ind w:left="118"/>
              <w:rPr>
                <w:sz w:val="20"/>
              </w:rPr>
            </w:pPr>
            <w:r>
              <w:rPr>
                <w:sz w:val="20"/>
              </w:rPr>
              <w:t>ФГБУ "НИЦЭМ им.</w:t>
            </w:r>
          </w:p>
          <w:p>
            <w:pPr>
              <w:pStyle w:val="TableParagraph"/>
              <w:ind w:left="118" w:right="505"/>
              <w:rPr>
                <w:sz w:val="20"/>
              </w:rPr>
            </w:pPr>
            <w:r>
              <w:rPr>
                <w:sz w:val="20"/>
              </w:rPr>
              <w:t>Н.Ф. Гамалеи" Минздрава России</w:t>
            </w:r>
          </w:p>
        </w:tc>
        <w:tc>
          <w:tcPr>
            <w:tcW w:w="2669" w:type="dxa"/>
            <w:shd w:val="clear" w:color="auto" w:fill="F1F1F1"/>
          </w:tcPr>
          <w:p>
            <w:pPr>
              <w:pStyle w:val="TableParagraph"/>
              <w:spacing w:before="106"/>
              <w:ind w:left="119" w:right="135"/>
              <w:rPr>
                <w:sz w:val="20"/>
              </w:rPr>
            </w:pPr>
            <w:r>
              <w:rPr>
                <w:sz w:val="20"/>
              </w:rPr>
              <w:t>123098, Россия, Москва, ул. Гамалеи, д. 18</w:t>
            </w:r>
          </w:p>
        </w:tc>
      </w:tr>
      <w:tr>
        <w:trPr>
          <w:trHeight w:val="702" w:hRule="atLeast"/>
        </w:trPr>
        <w:tc>
          <w:tcPr>
            <w:tcW w:w="439" w:type="dxa"/>
          </w:tcPr>
          <w:p>
            <w:pPr>
              <w:pStyle w:val="TableParagraph"/>
              <w:spacing w:before="9"/>
              <w:rPr>
                <w:b/>
                <w:sz w:val="19"/>
              </w:rPr>
            </w:pPr>
          </w:p>
          <w:p>
            <w:pPr>
              <w:pStyle w:val="TableParagraph"/>
              <w:ind w:left="72" w:right="81"/>
              <w:jc w:val="center"/>
              <w:rPr>
                <w:sz w:val="20"/>
              </w:rPr>
            </w:pPr>
            <w:r>
              <w:rPr>
                <w:sz w:val="20"/>
              </w:rPr>
              <w:t>21</w:t>
            </w:r>
          </w:p>
        </w:tc>
        <w:tc>
          <w:tcPr>
            <w:tcW w:w="1653" w:type="dxa"/>
          </w:tcPr>
          <w:p>
            <w:pPr>
              <w:pStyle w:val="TableParagraph"/>
              <w:spacing w:before="2"/>
              <w:rPr>
                <w:b/>
                <w:sz w:val="19"/>
              </w:rPr>
            </w:pPr>
          </w:p>
          <w:p>
            <w:pPr>
              <w:pStyle w:val="TableParagraph"/>
              <w:ind w:left="117"/>
              <w:rPr>
                <w:sz w:val="20"/>
              </w:rPr>
            </w:pPr>
            <w:r>
              <w:rPr>
                <w:sz w:val="20"/>
              </w:rPr>
              <w:t>03.06.2020</w:t>
            </w:r>
          </w:p>
        </w:tc>
        <w:tc>
          <w:tcPr>
            <w:tcW w:w="1627" w:type="dxa"/>
          </w:tcPr>
          <w:p>
            <w:pPr>
              <w:pStyle w:val="TableParagraph"/>
              <w:spacing w:before="106"/>
              <w:ind w:left="118" w:right="523"/>
              <w:rPr>
                <w:sz w:val="20"/>
              </w:rPr>
            </w:pPr>
            <w:r>
              <w:rPr>
                <w:sz w:val="20"/>
              </w:rPr>
              <w:t>РЗН 2020/10632</w:t>
            </w:r>
          </w:p>
        </w:tc>
        <w:tc>
          <w:tcPr>
            <w:tcW w:w="6470" w:type="dxa"/>
          </w:tcPr>
          <w:p>
            <w:pPr>
              <w:pStyle w:val="TableParagraph"/>
              <w:ind w:left="118" w:right="109"/>
              <w:rPr>
                <w:sz w:val="20"/>
              </w:rPr>
            </w:pPr>
            <w:r>
              <w:rPr>
                <w:sz w:val="20"/>
              </w:rPr>
              <w:t>Набор реагентов для качественного выявления РНК вируса</w:t>
            </w:r>
            <w:r>
              <w:rPr>
                <w:spacing w:val="-28"/>
                <w:sz w:val="20"/>
              </w:rPr>
              <w:t> </w:t>
            </w:r>
            <w:r>
              <w:rPr>
                <w:sz w:val="20"/>
              </w:rPr>
              <w:t>SARS-CoV-2 методом полимеразной цепной реакции в режиме реального времени для диагностики in vitro</w:t>
            </w:r>
            <w:r>
              <w:rPr>
                <w:spacing w:val="1"/>
                <w:sz w:val="20"/>
              </w:rPr>
              <w:t> </w:t>
            </w:r>
            <w:r>
              <w:rPr>
                <w:sz w:val="20"/>
              </w:rPr>
              <w:t>"SARS-CoV-2-тест"</w:t>
            </w:r>
          </w:p>
        </w:tc>
        <w:tc>
          <w:tcPr>
            <w:tcW w:w="2251" w:type="dxa"/>
          </w:tcPr>
          <w:p>
            <w:pPr>
              <w:pStyle w:val="TableParagraph"/>
              <w:spacing w:before="106"/>
              <w:ind w:left="118" w:right="305"/>
              <w:rPr>
                <w:sz w:val="20"/>
              </w:rPr>
            </w:pPr>
            <w:r>
              <w:rPr>
                <w:sz w:val="20"/>
              </w:rPr>
              <w:t>ФГБУ "ГНИИИ ВМ" МО РФ</w:t>
            </w:r>
          </w:p>
        </w:tc>
        <w:tc>
          <w:tcPr>
            <w:tcW w:w="2669" w:type="dxa"/>
          </w:tcPr>
          <w:p>
            <w:pPr>
              <w:pStyle w:val="TableParagraph"/>
              <w:ind w:left="119" w:right="369"/>
              <w:rPr>
                <w:sz w:val="20"/>
              </w:rPr>
            </w:pPr>
            <w:r>
              <w:rPr>
                <w:sz w:val="20"/>
              </w:rPr>
              <w:t>195043, Россия, г. Санкт- Петербург, ул.</w:t>
            </w:r>
          </w:p>
          <w:p>
            <w:pPr>
              <w:pStyle w:val="TableParagraph"/>
              <w:ind w:left="119"/>
              <w:rPr>
                <w:sz w:val="20"/>
              </w:rPr>
            </w:pPr>
            <w:r>
              <w:rPr>
                <w:sz w:val="20"/>
              </w:rPr>
              <w:t>Лесопарковая, д. 4</w:t>
            </w:r>
          </w:p>
        </w:tc>
      </w:tr>
      <w:tr>
        <w:trPr>
          <w:trHeight w:val="887" w:hRule="atLeast"/>
        </w:trPr>
        <w:tc>
          <w:tcPr>
            <w:tcW w:w="439" w:type="dxa"/>
            <w:shd w:val="clear" w:color="auto" w:fill="F1F1F1"/>
          </w:tcPr>
          <w:p>
            <w:pPr>
              <w:pStyle w:val="TableParagraph"/>
              <w:spacing w:before="8"/>
              <w:rPr>
                <w:b/>
                <w:sz w:val="27"/>
              </w:rPr>
            </w:pPr>
          </w:p>
          <w:p>
            <w:pPr>
              <w:pStyle w:val="TableParagraph"/>
              <w:spacing w:before="1"/>
              <w:ind w:left="72" w:right="81"/>
              <w:jc w:val="center"/>
              <w:rPr>
                <w:sz w:val="20"/>
              </w:rPr>
            </w:pPr>
            <w:r>
              <w:rPr>
                <w:sz w:val="20"/>
              </w:rPr>
              <w:t>22</w:t>
            </w:r>
          </w:p>
        </w:tc>
        <w:tc>
          <w:tcPr>
            <w:tcW w:w="1653" w:type="dxa"/>
            <w:shd w:val="clear" w:color="auto" w:fill="F1F1F1"/>
          </w:tcPr>
          <w:p>
            <w:pPr>
              <w:pStyle w:val="TableParagraph"/>
              <w:spacing w:before="4"/>
              <w:rPr>
                <w:b/>
                <w:sz w:val="27"/>
              </w:rPr>
            </w:pPr>
          </w:p>
          <w:p>
            <w:pPr>
              <w:pStyle w:val="TableParagraph"/>
              <w:ind w:left="117"/>
              <w:rPr>
                <w:sz w:val="20"/>
              </w:rPr>
            </w:pPr>
            <w:r>
              <w:rPr>
                <w:sz w:val="20"/>
              </w:rPr>
              <w:t>04.06.2020</w:t>
            </w:r>
          </w:p>
        </w:tc>
        <w:tc>
          <w:tcPr>
            <w:tcW w:w="1627" w:type="dxa"/>
            <w:shd w:val="clear" w:color="auto" w:fill="F1F1F1"/>
          </w:tcPr>
          <w:p>
            <w:pPr>
              <w:pStyle w:val="TableParagraph"/>
              <w:spacing w:before="4"/>
              <w:rPr>
                <w:b/>
                <w:sz w:val="27"/>
              </w:rPr>
            </w:pPr>
          </w:p>
          <w:p>
            <w:pPr>
              <w:pStyle w:val="TableParagraph"/>
              <w:ind w:left="90" w:right="106"/>
              <w:jc w:val="center"/>
              <w:rPr>
                <w:sz w:val="20"/>
              </w:rPr>
            </w:pPr>
            <w:r>
              <w:rPr>
                <w:sz w:val="20"/>
              </w:rPr>
              <w:t>РЗН 2020/10720</w:t>
            </w:r>
          </w:p>
        </w:tc>
        <w:tc>
          <w:tcPr>
            <w:tcW w:w="6470" w:type="dxa"/>
            <w:shd w:val="clear" w:color="auto" w:fill="F1F1F1"/>
          </w:tcPr>
          <w:p>
            <w:pPr>
              <w:pStyle w:val="TableParagraph"/>
              <w:spacing w:before="84"/>
              <w:ind w:left="118" w:right="516"/>
              <w:rPr>
                <w:sz w:val="20"/>
              </w:rPr>
            </w:pPr>
            <w:r>
              <w:rPr>
                <w:sz w:val="20"/>
              </w:rPr>
              <w:t>Набор реагентов для выявления РНК коронавируса SARS-CoV-2 методом изотермической амплификации с обратной транскрипцией IsoAmp SARS-CoV-2</w:t>
            </w:r>
          </w:p>
        </w:tc>
        <w:tc>
          <w:tcPr>
            <w:tcW w:w="2251" w:type="dxa"/>
            <w:shd w:val="clear" w:color="auto" w:fill="F1F1F1"/>
          </w:tcPr>
          <w:p>
            <w:pPr>
              <w:pStyle w:val="TableParagraph"/>
              <w:spacing w:before="4"/>
              <w:rPr>
                <w:b/>
                <w:sz w:val="27"/>
              </w:rPr>
            </w:pPr>
          </w:p>
          <w:p>
            <w:pPr>
              <w:pStyle w:val="TableParagraph"/>
              <w:ind w:left="118"/>
              <w:rPr>
                <w:sz w:val="20"/>
              </w:rPr>
            </w:pPr>
            <w:r>
              <w:rPr>
                <w:sz w:val="20"/>
              </w:rPr>
              <w:t>ООО НПФ "Литех"</w:t>
            </w:r>
          </w:p>
        </w:tc>
        <w:tc>
          <w:tcPr>
            <w:tcW w:w="2669" w:type="dxa"/>
            <w:shd w:val="clear" w:color="auto" w:fill="F1F1F1"/>
          </w:tcPr>
          <w:p>
            <w:pPr>
              <w:pStyle w:val="TableParagraph"/>
              <w:spacing w:before="84"/>
              <w:ind w:left="119" w:right="76"/>
              <w:rPr>
                <w:sz w:val="20"/>
              </w:rPr>
            </w:pPr>
            <w:r>
              <w:rPr>
                <w:sz w:val="20"/>
              </w:rPr>
              <w:t>119435, Россия, г. Москва, ул. Малая Пироговская, д. 1, стр. 3</w:t>
            </w:r>
          </w:p>
        </w:tc>
      </w:tr>
      <w:tr>
        <w:trPr>
          <w:trHeight w:val="705" w:hRule="atLeast"/>
        </w:trPr>
        <w:tc>
          <w:tcPr>
            <w:tcW w:w="439" w:type="dxa"/>
          </w:tcPr>
          <w:p>
            <w:pPr>
              <w:pStyle w:val="TableParagraph"/>
              <w:spacing w:before="9"/>
              <w:rPr>
                <w:b/>
                <w:sz w:val="19"/>
              </w:rPr>
            </w:pPr>
          </w:p>
          <w:p>
            <w:pPr>
              <w:pStyle w:val="TableParagraph"/>
              <w:ind w:left="72" w:right="81"/>
              <w:jc w:val="center"/>
              <w:rPr>
                <w:sz w:val="20"/>
              </w:rPr>
            </w:pPr>
            <w:r>
              <w:rPr>
                <w:sz w:val="20"/>
              </w:rPr>
              <w:t>23</w:t>
            </w:r>
          </w:p>
        </w:tc>
        <w:tc>
          <w:tcPr>
            <w:tcW w:w="1653" w:type="dxa"/>
          </w:tcPr>
          <w:p>
            <w:pPr>
              <w:pStyle w:val="TableParagraph"/>
              <w:spacing w:before="2"/>
              <w:rPr>
                <w:b/>
                <w:sz w:val="19"/>
              </w:rPr>
            </w:pPr>
          </w:p>
          <w:p>
            <w:pPr>
              <w:pStyle w:val="TableParagraph"/>
              <w:ind w:left="117"/>
              <w:rPr>
                <w:sz w:val="20"/>
              </w:rPr>
            </w:pPr>
            <w:r>
              <w:rPr>
                <w:sz w:val="20"/>
              </w:rPr>
              <w:t>15.06.2020</w:t>
            </w:r>
          </w:p>
        </w:tc>
        <w:tc>
          <w:tcPr>
            <w:tcW w:w="1627" w:type="dxa"/>
          </w:tcPr>
          <w:p>
            <w:pPr>
              <w:pStyle w:val="TableParagraph"/>
              <w:spacing w:before="2"/>
              <w:rPr>
                <w:b/>
                <w:sz w:val="19"/>
              </w:rPr>
            </w:pPr>
          </w:p>
          <w:p>
            <w:pPr>
              <w:pStyle w:val="TableParagraph"/>
              <w:ind w:left="90" w:right="106"/>
              <w:jc w:val="center"/>
              <w:rPr>
                <w:sz w:val="20"/>
              </w:rPr>
            </w:pPr>
            <w:r>
              <w:rPr>
                <w:sz w:val="20"/>
              </w:rPr>
              <w:t>РЗН 2020/10837</w:t>
            </w:r>
          </w:p>
        </w:tc>
        <w:tc>
          <w:tcPr>
            <w:tcW w:w="6470" w:type="dxa"/>
          </w:tcPr>
          <w:p>
            <w:pPr>
              <w:pStyle w:val="TableParagraph"/>
              <w:ind w:left="118" w:right="500"/>
              <w:rPr>
                <w:sz w:val="20"/>
              </w:rPr>
            </w:pPr>
            <w:r>
              <w:rPr>
                <w:sz w:val="20"/>
              </w:rPr>
              <w:t>Набор реагентов для выявления РНК коронавируса SARS-CoV-2 тяжелого острого респираторного синдрома (COVID-19) методом полимеразной цепной реакции «АмплиПрайм® SARS-CoV-2 DUO»</w:t>
            </w:r>
          </w:p>
        </w:tc>
        <w:tc>
          <w:tcPr>
            <w:tcW w:w="2251" w:type="dxa"/>
          </w:tcPr>
          <w:p>
            <w:pPr>
              <w:pStyle w:val="TableParagraph"/>
              <w:spacing w:before="2"/>
              <w:rPr>
                <w:b/>
                <w:sz w:val="19"/>
              </w:rPr>
            </w:pPr>
          </w:p>
          <w:p>
            <w:pPr>
              <w:pStyle w:val="TableParagraph"/>
              <w:ind w:left="118"/>
              <w:rPr>
                <w:sz w:val="20"/>
              </w:rPr>
            </w:pPr>
            <w:r>
              <w:rPr>
                <w:sz w:val="20"/>
              </w:rPr>
              <w:t>ООО "НекстБио"</w:t>
            </w:r>
          </w:p>
        </w:tc>
        <w:tc>
          <w:tcPr>
            <w:tcW w:w="2669" w:type="dxa"/>
          </w:tcPr>
          <w:p>
            <w:pPr>
              <w:pStyle w:val="TableParagraph"/>
              <w:spacing w:before="106"/>
              <w:ind w:left="119" w:right="135"/>
              <w:rPr>
                <w:sz w:val="20"/>
              </w:rPr>
            </w:pPr>
            <w:r>
              <w:rPr>
                <w:sz w:val="20"/>
              </w:rPr>
              <w:t>111394, Россия, Москва, ул. Полимерная, д. 8, стр. 2</w:t>
            </w:r>
          </w:p>
        </w:tc>
      </w:tr>
      <w:tr>
        <w:trPr>
          <w:trHeight w:val="1081" w:hRule="atLeast"/>
        </w:trPr>
        <w:tc>
          <w:tcPr>
            <w:tcW w:w="439" w:type="dxa"/>
            <w:shd w:val="clear" w:color="auto" w:fill="F1F1F1"/>
          </w:tcPr>
          <w:p>
            <w:pPr>
              <w:pStyle w:val="TableParagraph"/>
              <w:rPr>
                <w:b/>
                <w:sz w:val="22"/>
              </w:rPr>
            </w:pPr>
          </w:p>
          <w:p>
            <w:pPr>
              <w:pStyle w:val="TableParagraph"/>
              <w:spacing w:before="165"/>
              <w:ind w:left="72" w:right="81"/>
              <w:jc w:val="center"/>
              <w:rPr>
                <w:sz w:val="20"/>
              </w:rPr>
            </w:pPr>
            <w:r>
              <w:rPr>
                <w:sz w:val="20"/>
              </w:rPr>
              <w:t>24</w:t>
            </w:r>
          </w:p>
        </w:tc>
        <w:tc>
          <w:tcPr>
            <w:tcW w:w="1653" w:type="dxa"/>
            <w:shd w:val="clear" w:color="auto" w:fill="F1F1F1"/>
          </w:tcPr>
          <w:p>
            <w:pPr>
              <w:pStyle w:val="TableParagraph"/>
              <w:rPr>
                <w:b/>
                <w:sz w:val="22"/>
              </w:rPr>
            </w:pPr>
          </w:p>
          <w:p>
            <w:pPr>
              <w:pStyle w:val="TableParagraph"/>
              <w:spacing w:before="157"/>
              <w:ind w:left="117"/>
              <w:rPr>
                <w:sz w:val="20"/>
              </w:rPr>
            </w:pPr>
            <w:r>
              <w:rPr>
                <w:sz w:val="20"/>
              </w:rPr>
              <w:t>19.06.2020</w:t>
            </w:r>
          </w:p>
        </w:tc>
        <w:tc>
          <w:tcPr>
            <w:tcW w:w="1627" w:type="dxa"/>
            <w:shd w:val="clear" w:color="auto" w:fill="F1F1F1"/>
          </w:tcPr>
          <w:p>
            <w:pPr>
              <w:pStyle w:val="TableParagraph"/>
              <w:rPr>
                <w:b/>
                <w:sz w:val="22"/>
              </w:rPr>
            </w:pPr>
          </w:p>
          <w:p>
            <w:pPr>
              <w:pStyle w:val="TableParagraph"/>
              <w:spacing w:before="157"/>
              <w:ind w:left="90" w:right="106"/>
              <w:jc w:val="center"/>
              <w:rPr>
                <w:sz w:val="20"/>
              </w:rPr>
            </w:pPr>
            <w:r>
              <w:rPr>
                <w:sz w:val="20"/>
              </w:rPr>
              <w:t>РЗН 2020/10088</w:t>
            </w:r>
          </w:p>
        </w:tc>
        <w:tc>
          <w:tcPr>
            <w:tcW w:w="6470" w:type="dxa"/>
            <w:shd w:val="clear" w:color="auto" w:fill="F1F1F1"/>
          </w:tcPr>
          <w:p>
            <w:pPr>
              <w:pStyle w:val="TableParagraph"/>
              <w:spacing w:before="180"/>
              <w:ind w:left="118" w:right="182"/>
              <w:jc w:val="both"/>
              <w:rPr>
                <w:sz w:val="20"/>
              </w:rPr>
            </w:pPr>
            <w:r>
              <w:rPr>
                <w:sz w:val="20"/>
              </w:rPr>
              <w:t>Набор для выявления РНК коронавируса SARS-CoV-2 в биологическом материале методом изотермической амплификации в режиме реального времени</w:t>
            </w:r>
          </w:p>
        </w:tc>
        <w:tc>
          <w:tcPr>
            <w:tcW w:w="2251" w:type="dxa"/>
            <w:shd w:val="clear" w:color="auto" w:fill="F1F1F1"/>
          </w:tcPr>
          <w:p>
            <w:pPr>
              <w:pStyle w:val="TableParagraph"/>
              <w:spacing w:before="7"/>
              <w:rPr>
                <w:b/>
                <w:sz w:val="25"/>
              </w:rPr>
            </w:pPr>
          </w:p>
          <w:p>
            <w:pPr>
              <w:pStyle w:val="TableParagraph"/>
              <w:spacing w:before="1"/>
              <w:ind w:left="118" w:right="133"/>
              <w:rPr>
                <w:sz w:val="20"/>
              </w:rPr>
            </w:pPr>
            <w:r>
              <w:rPr>
                <w:sz w:val="20"/>
              </w:rPr>
              <w:t>ООО "ЭВОТЭК- МИРАЙ ГЕНОМИКС"</w:t>
            </w:r>
          </w:p>
        </w:tc>
        <w:tc>
          <w:tcPr>
            <w:tcW w:w="2669" w:type="dxa"/>
            <w:shd w:val="clear" w:color="auto" w:fill="F1F1F1"/>
          </w:tcPr>
          <w:p>
            <w:pPr>
              <w:pStyle w:val="TableParagraph"/>
              <w:spacing w:before="65"/>
              <w:ind w:left="119" w:right="141"/>
              <w:rPr>
                <w:sz w:val="20"/>
              </w:rPr>
            </w:pPr>
            <w:r>
              <w:rPr>
                <w:sz w:val="20"/>
              </w:rPr>
              <w:t>420500, Россия, Республика Татарстан, г. Иннополис, ул. Университетская, д. 7, помещ. 68</w:t>
            </w:r>
          </w:p>
        </w:tc>
      </w:tr>
      <w:tr>
        <w:trPr>
          <w:trHeight w:val="935" w:hRule="atLeast"/>
        </w:trPr>
        <w:tc>
          <w:tcPr>
            <w:tcW w:w="439" w:type="dxa"/>
          </w:tcPr>
          <w:p>
            <w:pPr>
              <w:pStyle w:val="TableParagraph"/>
              <w:spacing w:before="10"/>
              <w:rPr>
                <w:b/>
                <w:sz w:val="29"/>
              </w:rPr>
            </w:pPr>
          </w:p>
          <w:p>
            <w:pPr>
              <w:pStyle w:val="TableParagraph"/>
              <w:ind w:left="72" w:right="81"/>
              <w:jc w:val="center"/>
              <w:rPr>
                <w:sz w:val="20"/>
              </w:rPr>
            </w:pPr>
            <w:r>
              <w:rPr>
                <w:sz w:val="20"/>
              </w:rPr>
              <w:t>25</w:t>
            </w:r>
          </w:p>
        </w:tc>
        <w:tc>
          <w:tcPr>
            <w:tcW w:w="1653" w:type="dxa"/>
          </w:tcPr>
          <w:p>
            <w:pPr>
              <w:pStyle w:val="TableParagraph"/>
              <w:spacing w:before="2"/>
              <w:rPr>
                <w:b/>
                <w:sz w:val="29"/>
              </w:rPr>
            </w:pPr>
          </w:p>
          <w:p>
            <w:pPr>
              <w:pStyle w:val="TableParagraph"/>
              <w:spacing w:before="1"/>
              <w:ind w:left="117"/>
              <w:rPr>
                <w:sz w:val="20"/>
              </w:rPr>
            </w:pPr>
            <w:r>
              <w:rPr>
                <w:sz w:val="20"/>
              </w:rPr>
              <w:t>19.06.2020</w:t>
            </w:r>
          </w:p>
        </w:tc>
        <w:tc>
          <w:tcPr>
            <w:tcW w:w="1627" w:type="dxa"/>
          </w:tcPr>
          <w:p>
            <w:pPr>
              <w:pStyle w:val="TableParagraph"/>
              <w:spacing w:before="2"/>
              <w:rPr>
                <w:b/>
                <w:sz w:val="29"/>
              </w:rPr>
            </w:pPr>
          </w:p>
          <w:p>
            <w:pPr>
              <w:pStyle w:val="TableParagraph"/>
              <w:spacing w:before="1"/>
              <w:ind w:left="90" w:right="106"/>
              <w:jc w:val="center"/>
              <w:rPr>
                <w:sz w:val="20"/>
              </w:rPr>
            </w:pPr>
            <w:r>
              <w:rPr>
                <w:sz w:val="20"/>
              </w:rPr>
              <w:t>РЗН 2020/10087</w:t>
            </w:r>
          </w:p>
        </w:tc>
        <w:tc>
          <w:tcPr>
            <w:tcW w:w="6470" w:type="dxa"/>
          </w:tcPr>
          <w:p>
            <w:pPr>
              <w:pStyle w:val="TableParagraph"/>
              <w:spacing w:before="106"/>
              <w:ind w:left="118" w:right="1126"/>
              <w:rPr>
                <w:sz w:val="20"/>
              </w:rPr>
            </w:pPr>
            <w:r>
              <w:rPr>
                <w:sz w:val="20"/>
              </w:rPr>
              <w:t>Набор реагентов для выделения РНК вируса SARS-CoV-2 из биологического материала в вариантах исполнения</w:t>
            </w:r>
          </w:p>
          <w:p>
            <w:pPr>
              <w:pStyle w:val="TableParagraph"/>
              <w:spacing w:before="1"/>
              <w:ind w:left="118"/>
              <w:rPr>
                <w:sz w:val="20"/>
              </w:rPr>
            </w:pPr>
            <w:r>
              <w:rPr>
                <w:sz w:val="20"/>
              </w:rPr>
              <w:t>по ТУ 21.10.60-002-06931260-2020</w:t>
            </w:r>
          </w:p>
        </w:tc>
        <w:tc>
          <w:tcPr>
            <w:tcW w:w="2251" w:type="dxa"/>
          </w:tcPr>
          <w:p>
            <w:pPr>
              <w:pStyle w:val="TableParagraph"/>
              <w:spacing w:before="2"/>
              <w:rPr>
                <w:b/>
                <w:sz w:val="19"/>
              </w:rPr>
            </w:pPr>
          </w:p>
          <w:p>
            <w:pPr>
              <w:pStyle w:val="TableParagraph"/>
              <w:ind w:left="118" w:right="133"/>
              <w:rPr>
                <w:sz w:val="20"/>
              </w:rPr>
            </w:pPr>
            <w:r>
              <w:rPr>
                <w:sz w:val="20"/>
              </w:rPr>
              <w:t>ООО "ЭВОТЭК- МИРАЙ ГЕНОМИКС"</w:t>
            </w:r>
          </w:p>
        </w:tc>
        <w:tc>
          <w:tcPr>
            <w:tcW w:w="2669" w:type="dxa"/>
          </w:tcPr>
          <w:p>
            <w:pPr>
              <w:pStyle w:val="TableParagraph"/>
              <w:ind w:left="119" w:right="141"/>
              <w:rPr>
                <w:sz w:val="20"/>
              </w:rPr>
            </w:pPr>
            <w:r>
              <w:rPr>
                <w:sz w:val="20"/>
              </w:rPr>
              <w:t>420500, Россия, Республика Татарстан, г. Иннополис, ул. Университетская, д. 7, помещ. 68</w:t>
            </w:r>
          </w:p>
        </w:tc>
      </w:tr>
      <w:tr>
        <w:trPr>
          <w:trHeight w:val="717" w:hRule="atLeast"/>
        </w:trPr>
        <w:tc>
          <w:tcPr>
            <w:tcW w:w="439" w:type="dxa"/>
            <w:shd w:val="clear" w:color="auto" w:fill="F1F1F1"/>
          </w:tcPr>
          <w:p>
            <w:pPr>
              <w:pStyle w:val="TableParagraph"/>
              <w:spacing w:before="3"/>
              <w:rPr>
                <w:b/>
                <w:sz w:val="20"/>
              </w:rPr>
            </w:pPr>
          </w:p>
          <w:p>
            <w:pPr>
              <w:pStyle w:val="TableParagraph"/>
              <w:ind w:left="72" w:right="81"/>
              <w:jc w:val="center"/>
              <w:rPr>
                <w:sz w:val="20"/>
              </w:rPr>
            </w:pPr>
            <w:r>
              <w:rPr>
                <w:sz w:val="20"/>
              </w:rPr>
              <w:t>26</w:t>
            </w:r>
          </w:p>
        </w:tc>
        <w:tc>
          <w:tcPr>
            <w:tcW w:w="1653" w:type="dxa"/>
            <w:shd w:val="clear" w:color="auto" w:fill="F1F1F1"/>
          </w:tcPr>
          <w:p>
            <w:pPr>
              <w:pStyle w:val="TableParagraph"/>
              <w:spacing w:before="9"/>
              <w:rPr>
                <w:b/>
                <w:sz w:val="19"/>
              </w:rPr>
            </w:pPr>
          </w:p>
          <w:p>
            <w:pPr>
              <w:pStyle w:val="TableParagraph"/>
              <w:ind w:left="117"/>
              <w:rPr>
                <w:sz w:val="20"/>
              </w:rPr>
            </w:pPr>
            <w:r>
              <w:rPr>
                <w:sz w:val="20"/>
              </w:rPr>
              <w:t>30.06.2020</w:t>
            </w:r>
          </w:p>
        </w:tc>
        <w:tc>
          <w:tcPr>
            <w:tcW w:w="1627" w:type="dxa"/>
            <w:shd w:val="clear" w:color="auto" w:fill="F1F1F1"/>
          </w:tcPr>
          <w:p>
            <w:pPr>
              <w:pStyle w:val="TableParagraph"/>
              <w:spacing w:before="9"/>
              <w:rPr>
                <w:b/>
                <w:sz w:val="19"/>
              </w:rPr>
            </w:pPr>
          </w:p>
          <w:p>
            <w:pPr>
              <w:pStyle w:val="TableParagraph"/>
              <w:ind w:left="90" w:right="106"/>
              <w:jc w:val="center"/>
              <w:rPr>
                <w:sz w:val="20"/>
              </w:rPr>
            </w:pPr>
            <w:r>
              <w:rPr>
                <w:sz w:val="20"/>
              </w:rPr>
              <w:t>РЗН 2020/11100</w:t>
            </w:r>
          </w:p>
        </w:tc>
        <w:tc>
          <w:tcPr>
            <w:tcW w:w="6470" w:type="dxa"/>
            <w:shd w:val="clear" w:color="auto" w:fill="F1F1F1"/>
          </w:tcPr>
          <w:p>
            <w:pPr>
              <w:pStyle w:val="TableParagraph"/>
              <w:ind w:left="118" w:right="794"/>
              <w:rPr>
                <w:sz w:val="20"/>
              </w:rPr>
            </w:pPr>
            <w:r>
              <w:rPr>
                <w:sz w:val="20"/>
              </w:rPr>
              <w:t>Набор реагентов для выявления РНК коронавируса SARS-CoV-2 методом полимеразной цепной реакции в реальном времени (ОТ-ПЦР-РВ-SARS-CoV-2)</w:t>
            </w:r>
          </w:p>
        </w:tc>
        <w:tc>
          <w:tcPr>
            <w:tcW w:w="2251" w:type="dxa"/>
            <w:shd w:val="clear" w:color="auto" w:fill="F1F1F1"/>
          </w:tcPr>
          <w:p>
            <w:pPr>
              <w:pStyle w:val="TableParagraph"/>
              <w:spacing w:before="2"/>
              <w:rPr>
                <w:b/>
                <w:sz w:val="19"/>
              </w:rPr>
            </w:pPr>
          </w:p>
          <w:p>
            <w:pPr>
              <w:pStyle w:val="TableParagraph"/>
              <w:ind w:left="118"/>
              <w:rPr>
                <w:sz w:val="20"/>
              </w:rPr>
            </w:pPr>
            <w:r>
              <w:rPr>
                <w:sz w:val="20"/>
              </w:rPr>
              <w:t>ООО "НПФ Синтол"</w:t>
            </w:r>
          </w:p>
        </w:tc>
        <w:tc>
          <w:tcPr>
            <w:tcW w:w="2669" w:type="dxa"/>
            <w:shd w:val="clear" w:color="auto" w:fill="F1F1F1"/>
          </w:tcPr>
          <w:p>
            <w:pPr>
              <w:pStyle w:val="TableParagraph"/>
              <w:ind w:left="119" w:right="180"/>
              <w:rPr>
                <w:sz w:val="20"/>
              </w:rPr>
            </w:pPr>
            <w:r>
              <w:rPr>
                <w:sz w:val="20"/>
              </w:rPr>
              <w:t>25499, Россия, г. Москва, Кронштадский б-р, д. 39, к. 1, пом. I, ком. 43/РМ 12-3</w:t>
            </w:r>
          </w:p>
        </w:tc>
      </w:tr>
      <w:tr>
        <w:trPr>
          <w:trHeight w:val="947" w:hRule="atLeast"/>
        </w:trPr>
        <w:tc>
          <w:tcPr>
            <w:tcW w:w="439" w:type="dxa"/>
          </w:tcPr>
          <w:p>
            <w:pPr>
              <w:pStyle w:val="TableParagraph"/>
              <w:spacing w:before="5"/>
              <w:rPr>
                <w:b/>
                <w:sz w:val="30"/>
              </w:rPr>
            </w:pPr>
          </w:p>
          <w:p>
            <w:pPr>
              <w:pStyle w:val="TableParagraph"/>
              <w:ind w:left="72" w:right="81"/>
              <w:jc w:val="center"/>
              <w:rPr>
                <w:sz w:val="20"/>
              </w:rPr>
            </w:pPr>
            <w:r>
              <w:rPr>
                <w:sz w:val="20"/>
              </w:rPr>
              <w:t>27</w:t>
            </w:r>
          </w:p>
        </w:tc>
        <w:tc>
          <w:tcPr>
            <w:tcW w:w="1653" w:type="dxa"/>
          </w:tcPr>
          <w:p>
            <w:pPr>
              <w:pStyle w:val="TableParagraph"/>
              <w:spacing w:before="10"/>
              <w:rPr>
                <w:b/>
                <w:sz w:val="29"/>
              </w:rPr>
            </w:pPr>
          </w:p>
          <w:p>
            <w:pPr>
              <w:pStyle w:val="TableParagraph"/>
              <w:ind w:left="117"/>
              <w:rPr>
                <w:sz w:val="20"/>
              </w:rPr>
            </w:pPr>
            <w:r>
              <w:rPr>
                <w:sz w:val="20"/>
              </w:rPr>
              <w:t>30.06.2020</w:t>
            </w:r>
          </w:p>
        </w:tc>
        <w:tc>
          <w:tcPr>
            <w:tcW w:w="1627" w:type="dxa"/>
          </w:tcPr>
          <w:p>
            <w:pPr>
              <w:pStyle w:val="TableParagraph"/>
              <w:spacing w:before="9"/>
              <w:rPr>
                <w:b/>
                <w:sz w:val="29"/>
              </w:rPr>
            </w:pPr>
          </w:p>
          <w:p>
            <w:pPr>
              <w:pStyle w:val="TableParagraph"/>
              <w:spacing w:before="1"/>
              <w:ind w:left="90" w:right="203"/>
              <w:jc w:val="center"/>
              <w:rPr>
                <w:sz w:val="20"/>
              </w:rPr>
            </w:pPr>
            <w:r>
              <w:rPr>
                <w:sz w:val="20"/>
              </w:rPr>
              <w:t>РЗН 2020/9765</w:t>
            </w:r>
          </w:p>
        </w:tc>
        <w:tc>
          <w:tcPr>
            <w:tcW w:w="6470" w:type="dxa"/>
          </w:tcPr>
          <w:p>
            <w:pPr>
              <w:pStyle w:val="TableParagraph"/>
              <w:spacing w:before="113"/>
              <w:ind w:left="118" w:right="684"/>
              <w:rPr>
                <w:sz w:val="20"/>
              </w:rPr>
            </w:pPr>
            <w:r>
              <w:rPr>
                <w:sz w:val="20"/>
              </w:rPr>
              <w:t>Набор реагентов для выявления РНК коронавируса SARS-CoV-2 тяжелого острого респираторного синдрома (COVID-19) методом полимеразной цепной реакции "АмплиТест SARS-CoV-2"</w:t>
            </w:r>
          </w:p>
        </w:tc>
        <w:tc>
          <w:tcPr>
            <w:tcW w:w="2251" w:type="dxa"/>
          </w:tcPr>
          <w:p>
            <w:pPr>
              <w:pStyle w:val="TableParagraph"/>
              <w:spacing w:before="2"/>
              <w:rPr>
                <w:b/>
                <w:sz w:val="19"/>
              </w:rPr>
            </w:pPr>
          </w:p>
          <w:p>
            <w:pPr>
              <w:pStyle w:val="TableParagraph"/>
              <w:ind w:left="118"/>
              <w:rPr>
                <w:sz w:val="20"/>
              </w:rPr>
            </w:pPr>
            <w:r>
              <w:rPr>
                <w:sz w:val="20"/>
              </w:rPr>
              <w:t>ФГБУ "ЦСП" ФМБА</w:t>
            </w:r>
          </w:p>
          <w:p>
            <w:pPr>
              <w:pStyle w:val="TableParagraph"/>
              <w:spacing w:before="1"/>
              <w:ind w:left="118"/>
              <w:rPr>
                <w:sz w:val="20"/>
              </w:rPr>
            </w:pPr>
            <w:r>
              <w:rPr>
                <w:sz w:val="20"/>
              </w:rPr>
              <w:t>России</w:t>
            </w:r>
          </w:p>
        </w:tc>
        <w:tc>
          <w:tcPr>
            <w:tcW w:w="2669" w:type="dxa"/>
          </w:tcPr>
          <w:p>
            <w:pPr>
              <w:pStyle w:val="TableParagraph"/>
              <w:spacing w:before="9"/>
              <w:rPr>
                <w:b/>
                <w:sz w:val="19"/>
              </w:rPr>
            </w:pPr>
          </w:p>
          <w:p>
            <w:pPr>
              <w:pStyle w:val="TableParagraph"/>
              <w:ind w:left="119" w:right="135"/>
              <w:rPr>
                <w:sz w:val="20"/>
              </w:rPr>
            </w:pPr>
            <w:r>
              <w:rPr>
                <w:sz w:val="20"/>
              </w:rPr>
              <w:t>119121, Россия, Москва, ул. Погодинская, д. 10, стр. 1</w:t>
            </w:r>
          </w:p>
        </w:tc>
      </w:tr>
      <w:tr>
        <w:trPr>
          <w:trHeight w:val="935" w:hRule="atLeast"/>
        </w:trPr>
        <w:tc>
          <w:tcPr>
            <w:tcW w:w="439" w:type="dxa"/>
            <w:shd w:val="clear" w:color="auto" w:fill="F1F1F1"/>
          </w:tcPr>
          <w:p>
            <w:pPr>
              <w:pStyle w:val="TableParagraph"/>
              <w:spacing w:before="9"/>
              <w:rPr>
                <w:b/>
                <w:sz w:val="29"/>
              </w:rPr>
            </w:pPr>
          </w:p>
          <w:p>
            <w:pPr>
              <w:pStyle w:val="TableParagraph"/>
              <w:spacing w:before="1"/>
              <w:ind w:left="72" w:right="81"/>
              <w:jc w:val="center"/>
              <w:rPr>
                <w:sz w:val="20"/>
              </w:rPr>
            </w:pPr>
            <w:r>
              <w:rPr>
                <w:sz w:val="20"/>
              </w:rPr>
              <w:t>28</w:t>
            </w:r>
          </w:p>
        </w:tc>
        <w:tc>
          <w:tcPr>
            <w:tcW w:w="1653" w:type="dxa"/>
            <w:shd w:val="clear" w:color="auto" w:fill="F1F1F1"/>
          </w:tcPr>
          <w:p>
            <w:pPr>
              <w:pStyle w:val="TableParagraph"/>
              <w:spacing w:before="2"/>
              <w:rPr>
                <w:b/>
                <w:sz w:val="29"/>
              </w:rPr>
            </w:pPr>
          </w:p>
          <w:p>
            <w:pPr>
              <w:pStyle w:val="TableParagraph"/>
              <w:ind w:left="117"/>
              <w:rPr>
                <w:sz w:val="20"/>
              </w:rPr>
            </w:pPr>
            <w:r>
              <w:rPr>
                <w:sz w:val="20"/>
              </w:rPr>
              <w:t>10.07.2020</w:t>
            </w:r>
          </w:p>
        </w:tc>
        <w:tc>
          <w:tcPr>
            <w:tcW w:w="1627" w:type="dxa"/>
            <w:shd w:val="clear" w:color="auto" w:fill="F1F1F1"/>
          </w:tcPr>
          <w:p>
            <w:pPr>
              <w:pStyle w:val="TableParagraph"/>
              <w:spacing w:before="2"/>
              <w:rPr>
                <w:b/>
                <w:sz w:val="29"/>
              </w:rPr>
            </w:pPr>
          </w:p>
          <w:p>
            <w:pPr>
              <w:pStyle w:val="TableParagraph"/>
              <w:ind w:left="90" w:right="106"/>
              <w:jc w:val="center"/>
              <w:rPr>
                <w:sz w:val="20"/>
              </w:rPr>
            </w:pPr>
            <w:r>
              <w:rPr>
                <w:sz w:val="20"/>
              </w:rPr>
              <w:t>РЗН 2020/10118</w:t>
            </w:r>
          </w:p>
        </w:tc>
        <w:tc>
          <w:tcPr>
            <w:tcW w:w="6470" w:type="dxa"/>
            <w:shd w:val="clear" w:color="auto" w:fill="F1F1F1"/>
          </w:tcPr>
          <w:p>
            <w:pPr>
              <w:pStyle w:val="TableParagraph"/>
              <w:ind w:left="118" w:right="602"/>
              <w:rPr>
                <w:sz w:val="20"/>
              </w:rPr>
            </w:pPr>
            <w:r>
              <w:rPr>
                <w:sz w:val="20"/>
              </w:rPr>
              <w:t>Набор реагентов для выявления РНК коронавируса SARS-CoV-2 тяжелого острого респираторного синдрома (COVID-19) методом полимеразной цепной реакции с автоматической экстракцией РНК "АмплиТест SARS-CoV-2 авто"</w:t>
            </w:r>
          </w:p>
        </w:tc>
        <w:tc>
          <w:tcPr>
            <w:tcW w:w="2251" w:type="dxa"/>
            <w:shd w:val="clear" w:color="auto" w:fill="F1F1F1"/>
          </w:tcPr>
          <w:p>
            <w:pPr>
              <w:pStyle w:val="TableParagraph"/>
              <w:spacing w:before="2"/>
              <w:rPr>
                <w:b/>
                <w:sz w:val="19"/>
              </w:rPr>
            </w:pPr>
          </w:p>
          <w:p>
            <w:pPr>
              <w:pStyle w:val="TableParagraph"/>
              <w:ind w:left="118"/>
              <w:rPr>
                <w:sz w:val="20"/>
              </w:rPr>
            </w:pPr>
            <w:r>
              <w:rPr>
                <w:sz w:val="20"/>
              </w:rPr>
              <w:t>ФГБУ "ЦСП" ФМБА</w:t>
            </w:r>
          </w:p>
          <w:p>
            <w:pPr>
              <w:pStyle w:val="TableParagraph"/>
              <w:spacing w:before="1"/>
              <w:ind w:left="118"/>
              <w:rPr>
                <w:sz w:val="20"/>
              </w:rPr>
            </w:pPr>
            <w:r>
              <w:rPr>
                <w:sz w:val="20"/>
              </w:rPr>
              <w:t>России</w:t>
            </w:r>
          </w:p>
        </w:tc>
        <w:tc>
          <w:tcPr>
            <w:tcW w:w="2669" w:type="dxa"/>
            <w:shd w:val="clear" w:color="auto" w:fill="F1F1F1"/>
          </w:tcPr>
          <w:p>
            <w:pPr>
              <w:pStyle w:val="TableParagraph"/>
              <w:spacing w:before="2"/>
              <w:rPr>
                <w:b/>
                <w:sz w:val="19"/>
              </w:rPr>
            </w:pPr>
          </w:p>
          <w:p>
            <w:pPr>
              <w:pStyle w:val="TableParagraph"/>
              <w:ind w:left="119" w:right="135"/>
              <w:rPr>
                <w:sz w:val="20"/>
              </w:rPr>
            </w:pPr>
            <w:r>
              <w:rPr>
                <w:sz w:val="20"/>
              </w:rPr>
              <w:t>119121, Россия, Москва, ул. Погодинская, д. 10, стр. 1</w:t>
            </w:r>
          </w:p>
        </w:tc>
      </w:tr>
    </w:tbl>
    <w:p>
      <w:pPr>
        <w:spacing w:after="0"/>
        <w:rPr>
          <w:sz w:val="20"/>
        </w:rPr>
        <w:sectPr>
          <w:pgSz w:w="16850" w:h="11920" w:orient="landscape"/>
          <w:pgMar w:header="0" w:footer="1110" w:top="1040" w:bottom="1300" w:left="880" w:right="360"/>
        </w:sectPr>
      </w:pPr>
    </w:p>
    <w:tbl>
      <w:tblPr>
        <w:tblW w:w="0" w:type="auto"/>
        <w:jc w:val="left"/>
        <w:tblInd w:w="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39"/>
        <w:gridCol w:w="1653"/>
        <w:gridCol w:w="1627"/>
        <w:gridCol w:w="6470"/>
        <w:gridCol w:w="2251"/>
        <w:gridCol w:w="2669"/>
      </w:tblGrid>
      <w:tr>
        <w:trPr>
          <w:trHeight w:val="1055" w:hRule="atLeast"/>
        </w:trPr>
        <w:tc>
          <w:tcPr>
            <w:tcW w:w="439" w:type="dxa"/>
          </w:tcPr>
          <w:p>
            <w:pPr>
              <w:pStyle w:val="TableParagraph"/>
              <w:rPr>
                <w:b/>
                <w:sz w:val="22"/>
              </w:rPr>
            </w:pPr>
          </w:p>
          <w:p>
            <w:pPr>
              <w:pStyle w:val="TableParagraph"/>
              <w:spacing w:before="150"/>
              <w:ind w:left="72" w:right="81"/>
              <w:jc w:val="center"/>
              <w:rPr>
                <w:sz w:val="20"/>
              </w:rPr>
            </w:pPr>
            <w:r>
              <w:rPr>
                <w:sz w:val="20"/>
              </w:rPr>
              <w:t>29</w:t>
            </w:r>
          </w:p>
        </w:tc>
        <w:tc>
          <w:tcPr>
            <w:tcW w:w="1653" w:type="dxa"/>
          </w:tcPr>
          <w:p>
            <w:pPr>
              <w:pStyle w:val="TableParagraph"/>
              <w:rPr>
                <w:b/>
                <w:sz w:val="22"/>
              </w:rPr>
            </w:pPr>
          </w:p>
          <w:p>
            <w:pPr>
              <w:pStyle w:val="TableParagraph"/>
              <w:spacing w:before="143"/>
              <w:ind w:left="117"/>
              <w:rPr>
                <w:sz w:val="20"/>
              </w:rPr>
            </w:pPr>
            <w:r>
              <w:rPr>
                <w:sz w:val="20"/>
              </w:rPr>
              <w:t>14.07.2020</w:t>
            </w:r>
          </w:p>
        </w:tc>
        <w:tc>
          <w:tcPr>
            <w:tcW w:w="1627" w:type="dxa"/>
          </w:tcPr>
          <w:p>
            <w:pPr>
              <w:pStyle w:val="TableParagraph"/>
              <w:spacing w:before="5"/>
              <w:rPr>
                <w:b/>
                <w:sz w:val="24"/>
              </w:rPr>
            </w:pPr>
          </w:p>
          <w:p>
            <w:pPr>
              <w:pStyle w:val="TableParagraph"/>
              <w:ind w:left="118" w:right="523"/>
              <w:rPr>
                <w:sz w:val="20"/>
              </w:rPr>
            </w:pPr>
            <w:r>
              <w:rPr>
                <w:sz w:val="20"/>
              </w:rPr>
              <w:t>РЗН 2020/11290</w:t>
            </w:r>
          </w:p>
        </w:tc>
        <w:tc>
          <w:tcPr>
            <w:tcW w:w="6470" w:type="dxa"/>
          </w:tcPr>
          <w:p>
            <w:pPr>
              <w:pStyle w:val="TableParagraph"/>
              <w:spacing w:before="166"/>
              <w:ind w:left="118" w:right="532"/>
              <w:rPr>
                <w:sz w:val="20"/>
              </w:rPr>
            </w:pPr>
            <w:r>
              <w:rPr>
                <w:sz w:val="20"/>
              </w:rPr>
              <w:t>Набор реагентов для выявления РНК коронавируса SARS-CoV-2 методом ОТ-ПЦР с флуоресцентной детекцией в режиме реального времени "Интифика SARS-CoV-2"</w:t>
            </w:r>
          </w:p>
        </w:tc>
        <w:tc>
          <w:tcPr>
            <w:tcW w:w="2251" w:type="dxa"/>
          </w:tcPr>
          <w:p>
            <w:pPr>
              <w:pStyle w:val="TableParagraph"/>
              <w:spacing w:before="5"/>
              <w:rPr>
                <w:b/>
                <w:sz w:val="24"/>
              </w:rPr>
            </w:pPr>
          </w:p>
          <w:p>
            <w:pPr>
              <w:pStyle w:val="TableParagraph"/>
              <w:ind w:left="118" w:right="84"/>
              <w:rPr>
                <w:sz w:val="20"/>
              </w:rPr>
            </w:pPr>
            <w:r>
              <w:rPr>
                <w:sz w:val="20"/>
              </w:rPr>
              <w:t>ООО "Компания Алкор Био"</w:t>
            </w:r>
          </w:p>
        </w:tc>
        <w:tc>
          <w:tcPr>
            <w:tcW w:w="2669" w:type="dxa"/>
          </w:tcPr>
          <w:p>
            <w:pPr>
              <w:pStyle w:val="TableParagraph"/>
              <w:spacing w:before="51"/>
              <w:ind w:left="118" w:right="80"/>
              <w:rPr>
                <w:sz w:val="20"/>
              </w:rPr>
            </w:pPr>
            <w:r>
              <w:rPr>
                <w:sz w:val="20"/>
              </w:rPr>
              <w:t>192148, Россия, г. Санкт- Петербург, Железнодорожный пр-кт., д. 40, лит. А, оф. 217</w:t>
            </w:r>
          </w:p>
        </w:tc>
      </w:tr>
      <w:tr>
        <w:trPr>
          <w:trHeight w:val="1055" w:hRule="atLeast"/>
        </w:trPr>
        <w:tc>
          <w:tcPr>
            <w:tcW w:w="439" w:type="dxa"/>
            <w:shd w:val="clear" w:color="auto" w:fill="F1F1F1"/>
          </w:tcPr>
          <w:p>
            <w:pPr>
              <w:pStyle w:val="TableParagraph"/>
              <w:rPr>
                <w:b/>
                <w:sz w:val="22"/>
              </w:rPr>
            </w:pPr>
          </w:p>
          <w:p>
            <w:pPr>
              <w:pStyle w:val="TableParagraph"/>
              <w:spacing w:before="150"/>
              <w:ind w:left="72" w:right="81"/>
              <w:jc w:val="center"/>
              <w:rPr>
                <w:sz w:val="20"/>
              </w:rPr>
            </w:pPr>
            <w:r>
              <w:rPr>
                <w:sz w:val="20"/>
              </w:rPr>
              <w:t>30</w:t>
            </w:r>
          </w:p>
        </w:tc>
        <w:tc>
          <w:tcPr>
            <w:tcW w:w="1653" w:type="dxa"/>
            <w:shd w:val="clear" w:color="auto" w:fill="F1F1F1"/>
          </w:tcPr>
          <w:p>
            <w:pPr>
              <w:pStyle w:val="TableParagraph"/>
              <w:rPr>
                <w:b/>
                <w:sz w:val="22"/>
              </w:rPr>
            </w:pPr>
          </w:p>
          <w:p>
            <w:pPr>
              <w:pStyle w:val="TableParagraph"/>
              <w:spacing w:before="143"/>
              <w:ind w:left="117"/>
              <w:rPr>
                <w:sz w:val="20"/>
              </w:rPr>
            </w:pPr>
            <w:r>
              <w:rPr>
                <w:sz w:val="20"/>
              </w:rPr>
              <w:t>31.07.2020</w:t>
            </w:r>
          </w:p>
        </w:tc>
        <w:tc>
          <w:tcPr>
            <w:tcW w:w="1627" w:type="dxa"/>
            <w:shd w:val="clear" w:color="auto" w:fill="F1F1F1"/>
          </w:tcPr>
          <w:p>
            <w:pPr>
              <w:pStyle w:val="TableParagraph"/>
              <w:rPr>
                <w:b/>
                <w:sz w:val="22"/>
              </w:rPr>
            </w:pPr>
          </w:p>
          <w:p>
            <w:pPr>
              <w:pStyle w:val="TableParagraph"/>
              <w:spacing w:before="143"/>
              <w:ind w:left="90" w:right="106"/>
              <w:jc w:val="center"/>
              <w:rPr>
                <w:sz w:val="20"/>
              </w:rPr>
            </w:pPr>
            <w:r>
              <w:rPr>
                <w:sz w:val="20"/>
              </w:rPr>
              <w:t>РЗН 2020/11532</w:t>
            </w:r>
          </w:p>
        </w:tc>
        <w:tc>
          <w:tcPr>
            <w:tcW w:w="6470" w:type="dxa"/>
            <w:shd w:val="clear" w:color="auto" w:fill="F1F1F1"/>
          </w:tcPr>
          <w:p>
            <w:pPr>
              <w:pStyle w:val="TableParagraph"/>
              <w:spacing w:before="50"/>
              <w:ind w:left="118" w:right="525"/>
              <w:rPr>
                <w:sz w:val="20"/>
              </w:rPr>
            </w:pPr>
            <w:r>
              <w:rPr>
                <w:sz w:val="20"/>
              </w:rPr>
              <w:t>Набор реагентов для экспресс-выявления РНК коронавируса SARS- CoV-2, вызывающего тяжелую респираторную инфекцию, в биологическом материале методом петлевой изотермической амплификации "SBT-DX-SARS-CoV-2 FAST COLOR"</w:t>
            </w:r>
          </w:p>
        </w:tc>
        <w:tc>
          <w:tcPr>
            <w:tcW w:w="2251" w:type="dxa"/>
            <w:shd w:val="clear" w:color="auto" w:fill="F1F1F1"/>
          </w:tcPr>
          <w:p>
            <w:pPr>
              <w:pStyle w:val="TableParagraph"/>
              <w:spacing w:before="5"/>
              <w:rPr>
                <w:b/>
                <w:sz w:val="24"/>
              </w:rPr>
            </w:pPr>
          </w:p>
          <w:p>
            <w:pPr>
              <w:pStyle w:val="TableParagraph"/>
              <w:ind w:left="118" w:right="750"/>
              <w:rPr>
                <w:sz w:val="20"/>
              </w:rPr>
            </w:pPr>
            <w:r>
              <w:rPr>
                <w:sz w:val="20"/>
              </w:rPr>
              <w:t>ООО "Система- БиоТех"</w:t>
            </w:r>
          </w:p>
        </w:tc>
        <w:tc>
          <w:tcPr>
            <w:tcW w:w="2669" w:type="dxa"/>
            <w:shd w:val="clear" w:color="auto" w:fill="F1F1F1"/>
          </w:tcPr>
          <w:p>
            <w:pPr>
              <w:pStyle w:val="TableParagraph"/>
              <w:spacing w:before="166"/>
              <w:ind w:left="119" w:right="453"/>
              <w:jc w:val="both"/>
              <w:rPr>
                <w:sz w:val="20"/>
              </w:rPr>
            </w:pPr>
            <w:r>
              <w:rPr>
                <w:sz w:val="20"/>
              </w:rPr>
              <w:t>119034, Россия, Москва, пер. Гагаринский, д. 29, пом. I</w:t>
            </w:r>
          </w:p>
        </w:tc>
      </w:tr>
      <w:tr>
        <w:trPr>
          <w:trHeight w:val="1163" w:hRule="atLeast"/>
        </w:trPr>
        <w:tc>
          <w:tcPr>
            <w:tcW w:w="439" w:type="dxa"/>
          </w:tcPr>
          <w:p>
            <w:pPr>
              <w:pStyle w:val="TableParagraph"/>
              <w:rPr>
                <w:b/>
                <w:sz w:val="24"/>
              </w:rPr>
            </w:pPr>
          </w:p>
          <w:p>
            <w:pPr>
              <w:pStyle w:val="TableParagraph"/>
              <w:spacing w:before="169"/>
              <w:ind w:left="88" w:right="81"/>
              <w:jc w:val="center"/>
              <w:rPr>
                <w:sz w:val="22"/>
              </w:rPr>
            </w:pPr>
            <w:r>
              <w:rPr>
                <w:sz w:val="22"/>
              </w:rPr>
              <w:t>31</w:t>
            </w:r>
          </w:p>
        </w:tc>
        <w:tc>
          <w:tcPr>
            <w:tcW w:w="1653" w:type="dxa"/>
          </w:tcPr>
          <w:p>
            <w:pPr>
              <w:pStyle w:val="TableParagraph"/>
              <w:rPr>
                <w:b/>
                <w:sz w:val="22"/>
              </w:rPr>
            </w:pPr>
          </w:p>
          <w:p>
            <w:pPr>
              <w:pStyle w:val="TableParagraph"/>
              <w:spacing w:before="196"/>
              <w:ind w:left="117"/>
              <w:rPr>
                <w:sz w:val="20"/>
              </w:rPr>
            </w:pPr>
            <w:r>
              <w:rPr>
                <w:sz w:val="20"/>
              </w:rPr>
              <w:t>05.08.2020</w:t>
            </w:r>
          </w:p>
        </w:tc>
        <w:tc>
          <w:tcPr>
            <w:tcW w:w="1627" w:type="dxa"/>
          </w:tcPr>
          <w:p>
            <w:pPr>
              <w:pStyle w:val="TableParagraph"/>
              <w:rPr>
                <w:b/>
                <w:sz w:val="22"/>
              </w:rPr>
            </w:pPr>
          </w:p>
          <w:p>
            <w:pPr>
              <w:pStyle w:val="TableParagraph"/>
              <w:spacing w:before="196"/>
              <w:ind w:left="90" w:right="106"/>
              <w:jc w:val="center"/>
              <w:rPr>
                <w:sz w:val="20"/>
              </w:rPr>
            </w:pPr>
            <w:r>
              <w:rPr>
                <w:sz w:val="20"/>
              </w:rPr>
              <w:t>РЗН 2020/11608</w:t>
            </w:r>
          </w:p>
        </w:tc>
        <w:tc>
          <w:tcPr>
            <w:tcW w:w="6470" w:type="dxa"/>
          </w:tcPr>
          <w:p>
            <w:pPr>
              <w:pStyle w:val="TableParagraph"/>
              <w:rPr>
                <w:b/>
                <w:sz w:val="19"/>
              </w:rPr>
            </w:pPr>
          </w:p>
          <w:p>
            <w:pPr>
              <w:pStyle w:val="TableParagraph"/>
              <w:ind w:left="118" w:right="388"/>
              <w:rPr>
                <w:sz w:val="20"/>
              </w:rPr>
            </w:pPr>
            <w:r>
              <w:rPr>
                <w:sz w:val="20"/>
              </w:rPr>
              <w:t>Реагенты в кассете для обнаружения РНК SARS-CoV-2 методом real- time PCR в мазках из носа, носоглотки и ротоглотки на системе автоматизированной cobas® 6800 (cobas® SARS-CoV-2)</w:t>
            </w:r>
          </w:p>
        </w:tc>
        <w:tc>
          <w:tcPr>
            <w:tcW w:w="2251" w:type="dxa"/>
          </w:tcPr>
          <w:p>
            <w:pPr>
              <w:pStyle w:val="TableParagraph"/>
              <w:rPr>
                <w:b/>
                <w:sz w:val="29"/>
              </w:rPr>
            </w:pPr>
          </w:p>
          <w:p>
            <w:pPr>
              <w:pStyle w:val="TableParagraph"/>
              <w:ind w:left="118" w:right="205"/>
              <w:rPr>
                <w:sz w:val="20"/>
              </w:rPr>
            </w:pPr>
            <w:r>
              <w:rPr>
                <w:sz w:val="20"/>
              </w:rPr>
              <w:t>"Рош Молекуляр Системс, Инк."</w:t>
            </w:r>
          </w:p>
        </w:tc>
        <w:tc>
          <w:tcPr>
            <w:tcW w:w="2669" w:type="dxa"/>
          </w:tcPr>
          <w:p>
            <w:pPr>
              <w:pStyle w:val="TableParagraph"/>
              <w:ind w:left="119" w:right="548"/>
              <w:rPr>
                <w:sz w:val="20"/>
              </w:rPr>
            </w:pPr>
            <w:r>
              <w:rPr>
                <w:sz w:val="20"/>
              </w:rPr>
              <w:t>США, Roche Molecular Systems, Inc., 1080 US Highway 202 South, Branchburg, New Jersey 08876, USA</w:t>
            </w:r>
          </w:p>
        </w:tc>
      </w:tr>
      <w:tr>
        <w:trPr>
          <w:trHeight w:val="1055" w:hRule="atLeast"/>
        </w:trPr>
        <w:tc>
          <w:tcPr>
            <w:tcW w:w="439" w:type="dxa"/>
            <w:shd w:val="clear" w:color="auto" w:fill="F1F1F1"/>
          </w:tcPr>
          <w:p>
            <w:pPr>
              <w:pStyle w:val="TableParagraph"/>
              <w:spacing w:before="10"/>
              <w:rPr>
                <w:b/>
                <w:sz w:val="33"/>
              </w:rPr>
            </w:pPr>
          </w:p>
          <w:p>
            <w:pPr>
              <w:pStyle w:val="TableParagraph"/>
              <w:ind w:left="88" w:right="81"/>
              <w:jc w:val="center"/>
              <w:rPr>
                <w:sz w:val="22"/>
              </w:rPr>
            </w:pPr>
            <w:r>
              <w:rPr>
                <w:sz w:val="22"/>
              </w:rPr>
              <w:t>32</w:t>
            </w:r>
          </w:p>
        </w:tc>
        <w:tc>
          <w:tcPr>
            <w:tcW w:w="1653" w:type="dxa"/>
            <w:shd w:val="clear" w:color="auto" w:fill="F1F1F1"/>
          </w:tcPr>
          <w:p>
            <w:pPr>
              <w:pStyle w:val="TableParagraph"/>
              <w:rPr>
                <w:b/>
                <w:sz w:val="22"/>
              </w:rPr>
            </w:pPr>
          </w:p>
          <w:p>
            <w:pPr>
              <w:pStyle w:val="TableParagraph"/>
              <w:spacing w:before="143"/>
              <w:ind w:left="117"/>
              <w:rPr>
                <w:sz w:val="20"/>
              </w:rPr>
            </w:pPr>
            <w:r>
              <w:rPr>
                <w:sz w:val="20"/>
              </w:rPr>
              <w:t>14.08.2020</w:t>
            </w:r>
          </w:p>
        </w:tc>
        <w:tc>
          <w:tcPr>
            <w:tcW w:w="1627" w:type="dxa"/>
            <w:shd w:val="clear" w:color="auto" w:fill="F1F1F1"/>
          </w:tcPr>
          <w:p>
            <w:pPr>
              <w:pStyle w:val="TableParagraph"/>
              <w:rPr>
                <w:b/>
                <w:sz w:val="22"/>
              </w:rPr>
            </w:pPr>
          </w:p>
          <w:p>
            <w:pPr>
              <w:pStyle w:val="TableParagraph"/>
              <w:spacing w:before="143"/>
              <w:ind w:left="90" w:right="107"/>
              <w:jc w:val="center"/>
              <w:rPr>
                <w:sz w:val="20"/>
              </w:rPr>
            </w:pPr>
            <w:r>
              <w:rPr>
                <w:sz w:val="20"/>
              </w:rPr>
              <w:t>РЗН 2020/11748</w:t>
            </w:r>
          </w:p>
        </w:tc>
        <w:tc>
          <w:tcPr>
            <w:tcW w:w="6470" w:type="dxa"/>
            <w:shd w:val="clear" w:color="auto" w:fill="F1F1F1"/>
          </w:tcPr>
          <w:p>
            <w:pPr>
              <w:pStyle w:val="TableParagraph"/>
              <w:spacing w:before="50"/>
              <w:ind w:left="118"/>
              <w:rPr>
                <w:sz w:val="20"/>
              </w:rPr>
            </w:pPr>
            <w:r>
              <w:rPr>
                <w:sz w:val="20"/>
              </w:rPr>
              <w:t>Набор реагентов для выявления РНК коронавируса SARS-CoV-2, вызывающего тяжелую респираторную инфекцию, в биологическом материале методом петлевой изотермической амплификации</w:t>
            </w:r>
          </w:p>
          <w:p>
            <w:pPr>
              <w:pStyle w:val="TableParagraph"/>
              <w:spacing w:before="2"/>
              <w:ind w:left="118"/>
              <w:rPr>
                <w:sz w:val="20"/>
              </w:rPr>
            </w:pPr>
            <w:r>
              <w:rPr>
                <w:sz w:val="20"/>
              </w:rPr>
              <w:t>"SBT-DX-SARS-CoV-2 RNA REAL"</w:t>
            </w:r>
          </w:p>
        </w:tc>
        <w:tc>
          <w:tcPr>
            <w:tcW w:w="2251" w:type="dxa"/>
            <w:shd w:val="clear" w:color="auto" w:fill="F1F1F1"/>
          </w:tcPr>
          <w:p>
            <w:pPr>
              <w:pStyle w:val="TableParagraph"/>
              <w:spacing w:before="5"/>
              <w:rPr>
                <w:b/>
                <w:sz w:val="24"/>
              </w:rPr>
            </w:pPr>
          </w:p>
          <w:p>
            <w:pPr>
              <w:pStyle w:val="TableParagraph"/>
              <w:ind w:left="118" w:right="750"/>
              <w:rPr>
                <w:sz w:val="20"/>
              </w:rPr>
            </w:pPr>
            <w:r>
              <w:rPr>
                <w:sz w:val="20"/>
              </w:rPr>
              <w:t>ООО "Система- БиоТех"</w:t>
            </w:r>
          </w:p>
        </w:tc>
        <w:tc>
          <w:tcPr>
            <w:tcW w:w="2669" w:type="dxa"/>
            <w:shd w:val="clear" w:color="auto" w:fill="F1F1F1"/>
          </w:tcPr>
          <w:p>
            <w:pPr>
              <w:pStyle w:val="TableParagraph"/>
              <w:spacing w:before="166"/>
              <w:ind w:left="119" w:right="453"/>
              <w:jc w:val="both"/>
              <w:rPr>
                <w:sz w:val="20"/>
              </w:rPr>
            </w:pPr>
            <w:r>
              <w:rPr>
                <w:sz w:val="20"/>
              </w:rPr>
              <w:t>119034, Россия, Москва, пер. Гагаринский, д. 29, пом. 1</w:t>
            </w:r>
          </w:p>
        </w:tc>
      </w:tr>
      <w:tr>
        <w:trPr>
          <w:trHeight w:val="1053" w:hRule="atLeast"/>
        </w:trPr>
        <w:tc>
          <w:tcPr>
            <w:tcW w:w="439" w:type="dxa"/>
          </w:tcPr>
          <w:p>
            <w:pPr>
              <w:pStyle w:val="TableParagraph"/>
              <w:spacing w:before="10"/>
              <w:rPr>
                <w:b/>
                <w:sz w:val="33"/>
              </w:rPr>
            </w:pPr>
          </w:p>
          <w:p>
            <w:pPr>
              <w:pStyle w:val="TableParagraph"/>
              <w:ind w:left="88" w:right="81"/>
              <w:jc w:val="center"/>
              <w:rPr>
                <w:sz w:val="22"/>
              </w:rPr>
            </w:pPr>
            <w:r>
              <w:rPr>
                <w:sz w:val="22"/>
              </w:rPr>
              <w:t>33</w:t>
            </w:r>
          </w:p>
        </w:tc>
        <w:tc>
          <w:tcPr>
            <w:tcW w:w="1653" w:type="dxa"/>
          </w:tcPr>
          <w:p>
            <w:pPr>
              <w:pStyle w:val="TableParagraph"/>
              <w:rPr>
                <w:b/>
                <w:sz w:val="22"/>
              </w:rPr>
            </w:pPr>
          </w:p>
          <w:p>
            <w:pPr>
              <w:pStyle w:val="TableParagraph"/>
              <w:spacing w:before="143"/>
              <w:ind w:left="117"/>
              <w:rPr>
                <w:sz w:val="20"/>
              </w:rPr>
            </w:pPr>
            <w:r>
              <w:rPr>
                <w:sz w:val="20"/>
              </w:rPr>
              <w:t>20.08.2020</w:t>
            </w:r>
          </w:p>
        </w:tc>
        <w:tc>
          <w:tcPr>
            <w:tcW w:w="1627" w:type="dxa"/>
          </w:tcPr>
          <w:p>
            <w:pPr>
              <w:pStyle w:val="TableParagraph"/>
              <w:rPr>
                <w:b/>
                <w:sz w:val="22"/>
              </w:rPr>
            </w:pPr>
          </w:p>
          <w:p>
            <w:pPr>
              <w:pStyle w:val="TableParagraph"/>
              <w:spacing w:before="143"/>
              <w:ind w:left="90" w:right="106"/>
              <w:jc w:val="center"/>
              <w:rPr>
                <w:sz w:val="20"/>
              </w:rPr>
            </w:pPr>
            <w:r>
              <w:rPr>
                <w:sz w:val="20"/>
              </w:rPr>
              <w:t>РЗН 2020/11783</w:t>
            </w:r>
          </w:p>
        </w:tc>
        <w:tc>
          <w:tcPr>
            <w:tcW w:w="6470" w:type="dxa"/>
          </w:tcPr>
          <w:p>
            <w:pPr>
              <w:pStyle w:val="TableParagraph"/>
              <w:spacing w:before="50"/>
              <w:ind w:left="118" w:right="324"/>
              <w:rPr>
                <w:sz w:val="20"/>
              </w:rPr>
            </w:pPr>
            <w:r>
              <w:rPr>
                <w:sz w:val="20"/>
              </w:rPr>
              <w:t>Набор реагентов для выявления РНК коронавируса SARS-CoV-2, вызывающего тяжелую респираторную инфекцию, в биологическом материале методом полимерной цепной реакции (ПЦР) с гибридизационно-флуоресцентной детекцией "SBT-DX-SARS-CoV-2"</w:t>
            </w:r>
          </w:p>
        </w:tc>
        <w:tc>
          <w:tcPr>
            <w:tcW w:w="2251" w:type="dxa"/>
          </w:tcPr>
          <w:p>
            <w:pPr>
              <w:pStyle w:val="TableParagraph"/>
              <w:spacing w:before="5"/>
              <w:rPr>
                <w:b/>
                <w:sz w:val="24"/>
              </w:rPr>
            </w:pPr>
          </w:p>
          <w:p>
            <w:pPr>
              <w:pStyle w:val="TableParagraph"/>
              <w:ind w:left="118" w:right="750"/>
              <w:rPr>
                <w:sz w:val="20"/>
              </w:rPr>
            </w:pPr>
            <w:r>
              <w:rPr>
                <w:sz w:val="20"/>
              </w:rPr>
              <w:t>ООО "Система- БиоТех"</w:t>
            </w:r>
          </w:p>
        </w:tc>
        <w:tc>
          <w:tcPr>
            <w:tcW w:w="2669" w:type="dxa"/>
          </w:tcPr>
          <w:p>
            <w:pPr>
              <w:pStyle w:val="TableParagraph"/>
              <w:spacing w:before="166"/>
              <w:ind w:left="118" w:right="453"/>
              <w:jc w:val="both"/>
              <w:rPr>
                <w:sz w:val="20"/>
              </w:rPr>
            </w:pPr>
            <w:r>
              <w:rPr>
                <w:sz w:val="20"/>
              </w:rPr>
              <w:t>119034, Россия, Москва, пер. Гагаринский, д. 29, пом. I</w:t>
            </w:r>
          </w:p>
        </w:tc>
      </w:tr>
      <w:tr>
        <w:trPr>
          <w:trHeight w:val="1055" w:hRule="atLeast"/>
        </w:trPr>
        <w:tc>
          <w:tcPr>
            <w:tcW w:w="439" w:type="dxa"/>
            <w:shd w:val="clear" w:color="auto" w:fill="F1F1F1"/>
          </w:tcPr>
          <w:p>
            <w:pPr>
              <w:pStyle w:val="TableParagraph"/>
              <w:spacing w:before="1"/>
              <w:rPr>
                <w:b/>
                <w:sz w:val="34"/>
              </w:rPr>
            </w:pPr>
          </w:p>
          <w:p>
            <w:pPr>
              <w:pStyle w:val="TableParagraph"/>
              <w:ind w:left="88" w:right="81"/>
              <w:jc w:val="center"/>
              <w:rPr>
                <w:sz w:val="22"/>
              </w:rPr>
            </w:pPr>
            <w:r>
              <w:rPr>
                <w:sz w:val="22"/>
              </w:rPr>
              <w:t>34</w:t>
            </w:r>
          </w:p>
        </w:tc>
        <w:tc>
          <w:tcPr>
            <w:tcW w:w="1653" w:type="dxa"/>
            <w:shd w:val="clear" w:color="auto" w:fill="F1F1F1"/>
          </w:tcPr>
          <w:p>
            <w:pPr>
              <w:pStyle w:val="TableParagraph"/>
              <w:rPr>
                <w:b/>
                <w:sz w:val="22"/>
              </w:rPr>
            </w:pPr>
          </w:p>
          <w:p>
            <w:pPr>
              <w:pStyle w:val="TableParagraph"/>
              <w:spacing w:before="143"/>
              <w:ind w:left="117"/>
              <w:rPr>
                <w:sz w:val="20"/>
              </w:rPr>
            </w:pPr>
            <w:r>
              <w:rPr>
                <w:sz w:val="20"/>
              </w:rPr>
              <w:t>20.08.2020</w:t>
            </w:r>
          </w:p>
        </w:tc>
        <w:tc>
          <w:tcPr>
            <w:tcW w:w="1627" w:type="dxa"/>
            <w:shd w:val="clear" w:color="auto" w:fill="F1F1F1"/>
          </w:tcPr>
          <w:p>
            <w:pPr>
              <w:pStyle w:val="TableParagraph"/>
              <w:rPr>
                <w:b/>
                <w:sz w:val="22"/>
              </w:rPr>
            </w:pPr>
          </w:p>
          <w:p>
            <w:pPr>
              <w:pStyle w:val="TableParagraph"/>
              <w:spacing w:before="143"/>
              <w:ind w:left="90" w:right="106"/>
              <w:jc w:val="center"/>
              <w:rPr>
                <w:sz w:val="20"/>
              </w:rPr>
            </w:pPr>
            <w:r>
              <w:rPr>
                <w:sz w:val="20"/>
              </w:rPr>
              <w:t>РЗН 2020/11787</w:t>
            </w:r>
          </w:p>
        </w:tc>
        <w:tc>
          <w:tcPr>
            <w:tcW w:w="6470" w:type="dxa"/>
            <w:shd w:val="clear" w:color="auto" w:fill="F1F1F1"/>
          </w:tcPr>
          <w:p>
            <w:pPr>
              <w:pStyle w:val="TableParagraph"/>
              <w:spacing w:before="166"/>
              <w:ind w:left="118" w:right="1461"/>
              <w:rPr>
                <w:sz w:val="20"/>
              </w:rPr>
            </w:pPr>
            <w:r>
              <w:rPr>
                <w:sz w:val="20"/>
              </w:rPr>
              <w:t>Набор реагентов для in vitro качественного обнаружения РНК SARS-CoV-2 в образцах мазков из носоглотки</w:t>
            </w:r>
          </w:p>
          <w:p>
            <w:pPr>
              <w:pStyle w:val="TableParagraph"/>
              <w:ind w:left="118"/>
              <w:rPr>
                <w:sz w:val="20"/>
              </w:rPr>
            </w:pPr>
            <w:r>
              <w:rPr>
                <w:sz w:val="20"/>
              </w:rPr>
              <w:t>Xpert Xpress SARS-CoV-2 методом ПЦР в режиме реального времени</w:t>
            </w:r>
          </w:p>
        </w:tc>
        <w:tc>
          <w:tcPr>
            <w:tcW w:w="2251" w:type="dxa"/>
            <w:shd w:val="clear" w:color="auto" w:fill="F1F1F1"/>
          </w:tcPr>
          <w:p>
            <w:pPr>
              <w:pStyle w:val="TableParagraph"/>
              <w:rPr>
                <w:b/>
                <w:sz w:val="22"/>
              </w:rPr>
            </w:pPr>
          </w:p>
          <w:p>
            <w:pPr>
              <w:pStyle w:val="TableParagraph"/>
              <w:spacing w:before="143"/>
              <w:ind w:left="118"/>
              <w:rPr>
                <w:sz w:val="20"/>
              </w:rPr>
            </w:pPr>
            <w:r>
              <w:rPr>
                <w:sz w:val="20"/>
              </w:rPr>
              <w:t>"Сефид"</w:t>
            </w:r>
          </w:p>
        </w:tc>
        <w:tc>
          <w:tcPr>
            <w:tcW w:w="2669" w:type="dxa"/>
            <w:shd w:val="clear" w:color="auto" w:fill="F1F1F1"/>
          </w:tcPr>
          <w:p>
            <w:pPr>
              <w:pStyle w:val="TableParagraph"/>
              <w:spacing w:before="166"/>
              <w:ind w:left="119" w:right="198"/>
              <w:rPr>
                <w:sz w:val="20"/>
              </w:rPr>
            </w:pPr>
            <w:r>
              <w:rPr>
                <w:sz w:val="20"/>
              </w:rPr>
              <w:t>США, Cepheid, 904 Caribbean Drive, Sunnyvale, California, 94089, USA</w:t>
            </w:r>
          </w:p>
        </w:tc>
      </w:tr>
    </w:tbl>
    <w:p>
      <w:pPr>
        <w:pStyle w:val="BodyText"/>
        <w:spacing w:before="2"/>
        <w:ind w:left="0"/>
        <w:jc w:val="left"/>
        <w:rPr>
          <w:b/>
          <w:sz w:val="12"/>
        </w:rPr>
      </w:pPr>
    </w:p>
    <w:p>
      <w:pPr>
        <w:spacing w:line="168" w:lineRule="auto" w:before="147"/>
        <w:ind w:left="259" w:right="1410" w:firstLine="0"/>
        <w:jc w:val="left"/>
        <w:rPr>
          <w:sz w:val="20"/>
        </w:rPr>
      </w:pPr>
      <w:r>
        <w:rPr>
          <w:sz w:val="20"/>
        </w:rPr>
        <w:t>Зарегистрированные в настоящее время на территории Российской Федерации наборы реагентов для выявления РНК SARS-CoV-2 могут отличаться следующими характеристиками:</w:t>
      </w:r>
    </w:p>
    <w:p>
      <w:pPr>
        <w:pStyle w:val="ListParagraph"/>
        <w:numPr>
          <w:ilvl w:val="2"/>
          <w:numId w:val="55"/>
        </w:numPr>
        <w:tabs>
          <w:tab w:pos="827" w:val="left" w:leader="none"/>
        </w:tabs>
        <w:spacing w:line="223" w:lineRule="exact" w:before="0" w:after="0"/>
        <w:ind w:left="826" w:right="0" w:hanging="210"/>
        <w:jc w:val="left"/>
        <w:rPr>
          <w:sz w:val="20"/>
        </w:rPr>
      </w:pPr>
      <w:r>
        <w:rPr>
          <w:sz w:val="20"/>
        </w:rPr>
        <w:t>МАНК (ПЦР и петлевая изотермическая</w:t>
      </w:r>
      <w:r>
        <w:rPr>
          <w:spacing w:val="-3"/>
          <w:sz w:val="20"/>
        </w:rPr>
        <w:t> </w:t>
      </w:r>
      <w:r>
        <w:rPr>
          <w:sz w:val="20"/>
        </w:rPr>
        <w:t>амплификация);</w:t>
      </w:r>
    </w:p>
    <w:p>
      <w:pPr>
        <w:pStyle w:val="ListParagraph"/>
        <w:numPr>
          <w:ilvl w:val="2"/>
          <w:numId w:val="55"/>
        </w:numPr>
        <w:tabs>
          <w:tab w:pos="827" w:val="left" w:leader="none"/>
        </w:tabs>
        <w:spacing w:line="236" w:lineRule="exact" w:before="0" w:after="0"/>
        <w:ind w:left="826" w:right="0" w:hanging="210"/>
        <w:jc w:val="left"/>
        <w:rPr>
          <w:sz w:val="20"/>
        </w:rPr>
      </w:pPr>
      <w:r>
        <w:rPr>
          <w:sz w:val="20"/>
        </w:rPr>
        <w:t>чувствительность наборов (от 5 х 10</w:t>
      </w:r>
      <w:r>
        <w:rPr>
          <w:sz w:val="20"/>
          <w:vertAlign w:val="superscript"/>
        </w:rPr>
        <w:t>2</w:t>
      </w:r>
      <w:r>
        <w:rPr>
          <w:sz w:val="20"/>
          <w:vertAlign w:val="baseline"/>
        </w:rPr>
        <w:t> до</w:t>
      </w:r>
      <w:r>
        <w:rPr>
          <w:spacing w:val="-2"/>
          <w:sz w:val="20"/>
          <w:vertAlign w:val="baseline"/>
        </w:rPr>
        <w:t> </w:t>
      </w:r>
      <w:r>
        <w:rPr>
          <w:sz w:val="20"/>
          <w:vertAlign w:val="baseline"/>
        </w:rPr>
        <w:t>10</w:t>
      </w:r>
      <w:r>
        <w:rPr>
          <w:sz w:val="20"/>
          <w:vertAlign w:val="superscript"/>
        </w:rPr>
        <w:t>5</w:t>
      </w:r>
      <w:r>
        <w:rPr>
          <w:sz w:val="20"/>
          <w:vertAlign w:val="baseline"/>
        </w:rPr>
        <w:t>);</w:t>
      </w:r>
    </w:p>
    <w:p>
      <w:pPr>
        <w:pStyle w:val="ListParagraph"/>
        <w:numPr>
          <w:ilvl w:val="2"/>
          <w:numId w:val="55"/>
        </w:numPr>
        <w:tabs>
          <w:tab w:pos="827" w:val="left" w:leader="none"/>
        </w:tabs>
        <w:spacing w:line="235" w:lineRule="exact" w:before="0" w:after="0"/>
        <w:ind w:left="826" w:right="0" w:hanging="210"/>
        <w:jc w:val="left"/>
        <w:rPr>
          <w:sz w:val="20"/>
        </w:rPr>
      </w:pPr>
      <w:r>
        <w:rPr>
          <w:sz w:val="20"/>
        </w:rPr>
        <w:t>наличие полной комплектации от этапа выделения до получения конечного результата (только этап ПЦР или все</w:t>
      </w:r>
      <w:r>
        <w:rPr>
          <w:spacing w:val="-2"/>
          <w:sz w:val="20"/>
        </w:rPr>
        <w:t> </w:t>
      </w:r>
      <w:r>
        <w:rPr>
          <w:sz w:val="20"/>
        </w:rPr>
        <w:t>этапы);</w:t>
      </w:r>
    </w:p>
    <w:p>
      <w:pPr>
        <w:pStyle w:val="ListParagraph"/>
        <w:numPr>
          <w:ilvl w:val="2"/>
          <w:numId w:val="55"/>
        </w:numPr>
        <w:tabs>
          <w:tab w:pos="827" w:val="left" w:leader="none"/>
        </w:tabs>
        <w:spacing w:line="235" w:lineRule="exact" w:before="0" w:after="0"/>
        <w:ind w:left="826" w:right="0" w:hanging="210"/>
        <w:jc w:val="left"/>
        <w:rPr>
          <w:sz w:val="20"/>
        </w:rPr>
      </w:pPr>
      <w:r>
        <w:rPr>
          <w:sz w:val="20"/>
        </w:rPr>
        <w:t>наличие внутреннего контрольного образца (есть или</w:t>
      </w:r>
      <w:r>
        <w:rPr>
          <w:spacing w:val="2"/>
          <w:sz w:val="20"/>
        </w:rPr>
        <w:t> </w:t>
      </w:r>
      <w:r>
        <w:rPr>
          <w:sz w:val="20"/>
        </w:rPr>
        <w:t>нет);</w:t>
      </w:r>
    </w:p>
    <w:p>
      <w:pPr>
        <w:pStyle w:val="ListParagraph"/>
        <w:numPr>
          <w:ilvl w:val="2"/>
          <w:numId w:val="55"/>
        </w:numPr>
        <w:tabs>
          <w:tab w:pos="827" w:val="left" w:leader="none"/>
        </w:tabs>
        <w:spacing w:line="235" w:lineRule="exact" w:before="0" w:after="0"/>
        <w:ind w:left="826" w:right="0" w:hanging="210"/>
        <w:jc w:val="left"/>
        <w:rPr>
          <w:sz w:val="20"/>
        </w:rPr>
      </w:pPr>
      <w:r>
        <w:rPr>
          <w:sz w:val="20"/>
        </w:rPr>
        <w:t>дизайн набора (детекция нескольких таргетных участков генома SARS-CoV-2, детекция одного таргетного участка генома SARS-CoV-2,</w:t>
      </w:r>
      <w:r>
        <w:rPr>
          <w:spacing w:val="-6"/>
          <w:sz w:val="20"/>
        </w:rPr>
        <w:t> </w:t>
      </w:r>
      <w:r>
        <w:rPr>
          <w:sz w:val="20"/>
        </w:rPr>
        <w:t>детекция</w:t>
      </w:r>
    </w:p>
    <w:p>
      <w:pPr>
        <w:spacing w:line="153" w:lineRule="exact" w:before="0"/>
        <w:ind w:left="826" w:right="0" w:firstLine="0"/>
        <w:jc w:val="left"/>
        <w:rPr>
          <w:sz w:val="20"/>
        </w:rPr>
      </w:pPr>
      <w:r>
        <w:rPr>
          <w:sz w:val="20"/>
        </w:rPr>
        <w:t>SARS-подобных участков генома коронавирусов);</w:t>
      </w:r>
    </w:p>
    <w:p>
      <w:pPr>
        <w:pStyle w:val="ListParagraph"/>
        <w:numPr>
          <w:ilvl w:val="2"/>
          <w:numId w:val="55"/>
        </w:numPr>
        <w:tabs>
          <w:tab w:pos="827" w:val="left" w:leader="none"/>
        </w:tabs>
        <w:spacing w:line="245" w:lineRule="exact" w:before="0" w:after="0"/>
        <w:ind w:left="826" w:right="0" w:hanging="210"/>
        <w:jc w:val="left"/>
        <w:rPr>
          <w:sz w:val="20"/>
        </w:rPr>
      </w:pPr>
      <w:r>
        <w:rPr>
          <w:sz w:val="20"/>
        </w:rPr>
        <w:t>выдаваемый результат (SARS-CoV-2, или SARS-подобные вирусы без</w:t>
      </w:r>
      <w:r>
        <w:rPr>
          <w:spacing w:val="-1"/>
          <w:sz w:val="20"/>
        </w:rPr>
        <w:t> </w:t>
      </w:r>
      <w:r>
        <w:rPr>
          <w:sz w:val="20"/>
        </w:rPr>
        <w:t>дифференцировки);</w:t>
      </w:r>
    </w:p>
    <w:p>
      <w:pPr>
        <w:pStyle w:val="ListParagraph"/>
        <w:numPr>
          <w:ilvl w:val="2"/>
          <w:numId w:val="55"/>
        </w:numPr>
        <w:tabs>
          <w:tab w:pos="877" w:val="left" w:leader="none"/>
        </w:tabs>
        <w:spacing w:line="279" w:lineRule="exact" w:before="0" w:after="0"/>
        <w:ind w:left="876" w:right="0" w:hanging="260"/>
        <w:jc w:val="left"/>
        <w:rPr>
          <w:sz w:val="20"/>
        </w:rPr>
      </w:pPr>
      <w:r>
        <w:rPr>
          <w:sz w:val="20"/>
        </w:rPr>
        <w:t>длительность проведения исследования (от 1 ч до 6</w:t>
      </w:r>
      <w:r>
        <w:rPr>
          <w:spacing w:val="6"/>
          <w:sz w:val="20"/>
        </w:rPr>
        <w:t> </w:t>
      </w:r>
      <w:r>
        <w:rPr>
          <w:sz w:val="20"/>
        </w:rPr>
        <w:t>ч).</w:t>
      </w:r>
    </w:p>
    <w:p>
      <w:pPr>
        <w:spacing w:after="0" w:line="279" w:lineRule="exact"/>
        <w:jc w:val="left"/>
        <w:rPr>
          <w:sz w:val="20"/>
        </w:rPr>
        <w:sectPr>
          <w:pgSz w:w="16850" w:h="11920" w:orient="landscape"/>
          <w:pgMar w:header="0" w:footer="1110" w:top="1040" w:bottom="1300" w:left="880" w:right="360"/>
        </w:sectPr>
      </w:pPr>
    </w:p>
    <w:p>
      <w:pPr>
        <w:pStyle w:val="Heading3"/>
        <w:spacing w:before="69"/>
        <w:ind w:left="12764"/>
        <w:jc w:val="left"/>
      </w:pPr>
      <w:bookmarkStart w:name="Приложение 5-1" w:id="214"/>
      <w:bookmarkEnd w:id="214"/>
      <w:r>
        <w:rPr>
          <w:b w:val="0"/>
        </w:rPr>
      </w:r>
      <w:bookmarkStart w:name="_bookmark50" w:id="215"/>
      <w:bookmarkEnd w:id="215"/>
      <w:r>
        <w:rPr>
          <w:b w:val="0"/>
        </w:rPr>
      </w:r>
      <w:r>
        <w:rPr>
          <w:color w:val="1F487C"/>
        </w:rPr>
        <w:t>Приложение 5-1</w:t>
      </w:r>
    </w:p>
    <w:p>
      <w:pPr>
        <w:spacing w:line="259" w:lineRule="auto" w:before="143"/>
        <w:ind w:left="2364" w:right="2950" w:hanging="228"/>
        <w:jc w:val="left"/>
        <w:rPr>
          <w:b/>
          <w:sz w:val="28"/>
        </w:rPr>
      </w:pPr>
      <w:r>
        <w:rPr>
          <w:b/>
          <w:sz w:val="28"/>
        </w:rPr>
        <w:t>Зарегистрированные в Российской Федерации диагностические наборы реагентов для выявления иммуноглобулинов к SARS-CoV-2 (по состоянию на 25.08.2020)</w:t>
      </w:r>
    </w:p>
    <w:p>
      <w:pPr>
        <w:pStyle w:val="BodyText"/>
        <w:ind w:left="0"/>
        <w:jc w:val="left"/>
        <w:rPr>
          <w:b/>
          <w:sz w:val="20"/>
        </w:rPr>
      </w:pPr>
    </w:p>
    <w:p>
      <w:pPr>
        <w:pStyle w:val="BodyText"/>
        <w:spacing w:before="3"/>
        <w:ind w:left="0"/>
        <w:jc w:val="left"/>
        <w:rPr>
          <w:b/>
          <w:sz w:val="10"/>
        </w:rPr>
      </w:pPr>
    </w:p>
    <w:tbl>
      <w:tblPr>
        <w:tblW w:w="0" w:type="auto"/>
        <w:jc w:val="left"/>
        <w:tblInd w:w="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23"/>
        <w:gridCol w:w="1627"/>
        <w:gridCol w:w="1776"/>
        <w:gridCol w:w="5995"/>
        <w:gridCol w:w="2153"/>
        <w:gridCol w:w="3060"/>
      </w:tblGrid>
      <w:tr>
        <w:trPr>
          <w:trHeight w:val="2277" w:hRule="atLeast"/>
        </w:trPr>
        <w:tc>
          <w:tcPr>
            <w:tcW w:w="523" w:type="dxa"/>
            <w:shd w:val="clear" w:color="auto" w:fill="F1F1F1"/>
          </w:tcPr>
          <w:p>
            <w:pPr>
              <w:pStyle w:val="TableParagraph"/>
              <w:rPr>
                <w:b/>
                <w:sz w:val="24"/>
              </w:rPr>
            </w:pPr>
          </w:p>
          <w:p>
            <w:pPr>
              <w:pStyle w:val="TableParagraph"/>
              <w:rPr>
                <w:b/>
                <w:sz w:val="24"/>
              </w:rPr>
            </w:pPr>
          </w:p>
          <w:p>
            <w:pPr>
              <w:pStyle w:val="TableParagraph"/>
              <w:rPr>
                <w:b/>
                <w:sz w:val="24"/>
              </w:rPr>
            </w:pPr>
          </w:p>
          <w:p>
            <w:pPr>
              <w:pStyle w:val="TableParagraph"/>
              <w:spacing w:before="183"/>
              <w:ind w:left="107"/>
              <w:rPr>
                <w:b/>
                <w:sz w:val="22"/>
              </w:rPr>
            </w:pPr>
            <w:r>
              <w:rPr>
                <w:b/>
                <w:w w:val="100"/>
                <w:sz w:val="22"/>
              </w:rPr>
              <w:t>№</w:t>
            </w:r>
          </w:p>
        </w:tc>
        <w:tc>
          <w:tcPr>
            <w:tcW w:w="1627" w:type="dxa"/>
            <w:shd w:val="clear" w:color="auto" w:fill="F1F1F1"/>
          </w:tcPr>
          <w:p>
            <w:pPr>
              <w:pStyle w:val="TableParagraph"/>
              <w:rPr>
                <w:b/>
                <w:sz w:val="24"/>
              </w:rPr>
            </w:pPr>
          </w:p>
          <w:p>
            <w:pPr>
              <w:pStyle w:val="TableParagraph"/>
              <w:spacing w:before="11"/>
              <w:rPr>
                <w:b/>
                <w:sz w:val="30"/>
              </w:rPr>
            </w:pPr>
          </w:p>
          <w:p>
            <w:pPr>
              <w:pStyle w:val="TableParagraph"/>
              <w:ind w:left="107" w:right="79"/>
              <w:rPr>
                <w:b/>
                <w:sz w:val="22"/>
              </w:rPr>
            </w:pPr>
            <w:r>
              <w:rPr>
                <w:b/>
                <w:sz w:val="22"/>
              </w:rPr>
              <w:t>Дата гос. регистрации медицинского изделия</w:t>
            </w:r>
          </w:p>
        </w:tc>
        <w:tc>
          <w:tcPr>
            <w:tcW w:w="1776" w:type="dxa"/>
            <w:shd w:val="clear" w:color="auto" w:fill="F1F1F1"/>
          </w:tcPr>
          <w:p>
            <w:pPr>
              <w:pStyle w:val="TableParagraph"/>
              <w:rPr>
                <w:b/>
                <w:sz w:val="24"/>
              </w:rPr>
            </w:pPr>
          </w:p>
          <w:p>
            <w:pPr>
              <w:pStyle w:val="TableParagraph"/>
              <w:spacing w:before="11"/>
              <w:rPr>
                <w:b/>
                <w:sz w:val="30"/>
              </w:rPr>
            </w:pPr>
          </w:p>
          <w:p>
            <w:pPr>
              <w:pStyle w:val="TableParagraph"/>
              <w:ind w:left="105" w:right="230"/>
              <w:rPr>
                <w:b/>
                <w:sz w:val="22"/>
              </w:rPr>
            </w:pPr>
            <w:r>
              <w:rPr>
                <w:b/>
                <w:sz w:val="22"/>
              </w:rPr>
              <w:t>Регистрац. номер медицинского изделия</w:t>
            </w:r>
          </w:p>
        </w:tc>
        <w:tc>
          <w:tcPr>
            <w:tcW w:w="5995" w:type="dxa"/>
            <w:shd w:val="clear" w:color="auto" w:fill="F1F1F1"/>
          </w:tcPr>
          <w:p>
            <w:pPr>
              <w:pStyle w:val="TableParagraph"/>
              <w:rPr>
                <w:b/>
                <w:sz w:val="24"/>
              </w:rPr>
            </w:pPr>
          </w:p>
          <w:p>
            <w:pPr>
              <w:pStyle w:val="TableParagraph"/>
              <w:rPr>
                <w:b/>
                <w:sz w:val="24"/>
              </w:rPr>
            </w:pPr>
          </w:p>
          <w:p>
            <w:pPr>
              <w:pStyle w:val="TableParagraph"/>
              <w:rPr>
                <w:b/>
                <w:sz w:val="24"/>
              </w:rPr>
            </w:pPr>
          </w:p>
          <w:p>
            <w:pPr>
              <w:pStyle w:val="TableParagraph"/>
              <w:spacing w:before="183"/>
              <w:ind w:left="108"/>
              <w:rPr>
                <w:b/>
                <w:sz w:val="22"/>
              </w:rPr>
            </w:pPr>
            <w:r>
              <w:rPr>
                <w:b/>
                <w:sz w:val="22"/>
              </w:rPr>
              <w:t>Наименование медицинского изделия</w:t>
            </w:r>
          </w:p>
        </w:tc>
        <w:tc>
          <w:tcPr>
            <w:tcW w:w="2153" w:type="dxa"/>
            <w:shd w:val="clear" w:color="auto" w:fill="F1F1F1"/>
          </w:tcPr>
          <w:p>
            <w:pPr>
              <w:pStyle w:val="TableParagraph"/>
              <w:ind w:left="108" w:right="540"/>
              <w:rPr>
                <w:b/>
                <w:sz w:val="22"/>
              </w:rPr>
            </w:pPr>
            <w:r>
              <w:rPr>
                <w:b/>
                <w:sz w:val="22"/>
              </w:rPr>
              <w:t>Наименование организации- производителя медицинского изделия или организации- изготовителя</w:t>
            </w:r>
          </w:p>
          <w:p>
            <w:pPr>
              <w:pStyle w:val="TableParagraph"/>
              <w:spacing w:line="252" w:lineRule="exact" w:before="2"/>
              <w:ind w:left="108" w:right="604"/>
              <w:rPr>
                <w:b/>
                <w:sz w:val="22"/>
              </w:rPr>
            </w:pPr>
            <w:r>
              <w:rPr>
                <w:b/>
                <w:sz w:val="22"/>
              </w:rPr>
              <w:t>медицинского изделия</w:t>
            </w:r>
          </w:p>
        </w:tc>
        <w:tc>
          <w:tcPr>
            <w:tcW w:w="3060" w:type="dxa"/>
            <w:shd w:val="clear" w:color="auto" w:fill="F1F1F1"/>
          </w:tcPr>
          <w:p>
            <w:pPr>
              <w:pStyle w:val="TableParagraph"/>
              <w:rPr>
                <w:b/>
                <w:sz w:val="24"/>
              </w:rPr>
            </w:pPr>
          </w:p>
          <w:p>
            <w:pPr>
              <w:pStyle w:val="TableParagraph"/>
              <w:spacing w:before="10"/>
              <w:rPr>
                <w:b/>
                <w:sz w:val="19"/>
              </w:rPr>
            </w:pPr>
          </w:p>
          <w:p>
            <w:pPr>
              <w:pStyle w:val="TableParagraph"/>
              <w:ind w:left="108" w:right="101"/>
              <w:rPr>
                <w:b/>
                <w:sz w:val="22"/>
              </w:rPr>
            </w:pPr>
            <w:r>
              <w:rPr>
                <w:b/>
                <w:sz w:val="22"/>
              </w:rPr>
              <w:t>Место нахождения организации-производителя медицинского изделия или организации - изготовителя медицинского изделия</w:t>
            </w:r>
          </w:p>
        </w:tc>
      </w:tr>
      <w:tr>
        <w:trPr>
          <w:trHeight w:val="971" w:hRule="atLeast"/>
        </w:trPr>
        <w:tc>
          <w:tcPr>
            <w:tcW w:w="523" w:type="dxa"/>
          </w:tcPr>
          <w:p>
            <w:pPr>
              <w:pStyle w:val="TableParagraph"/>
              <w:spacing w:before="4"/>
              <w:rPr>
                <w:b/>
                <w:sz w:val="32"/>
              </w:rPr>
            </w:pPr>
          </w:p>
          <w:p>
            <w:pPr>
              <w:pStyle w:val="TableParagraph"/>
              <w:ind w:left="107"/>
              <w:rPr>
                <w:sz w:val="20"/>
              </w:rPr>
            </w:pPr>
            <w:r>
              <w:rPr>
                <w:w w:val="99"/>
                <w:sz w:val="20"/>
              </w:rPr>
              <w:t>1</w:t>
            </w:r>
          </w:p>
        </w:tc>
        <w:tc>
          <w:tcPr>
            <w:tcW w:w="1627" w:type="dxa"/>
          </w:tcPr>
          <w:p>
            <w:pPr>
              <w:pStyle w:val="TableParagraph"/>
              <w:spacing w:before="4"/>
              <w:rPr>
                <w:b/>
                <w:sz w:val="32"/>
              </w:rPr>
            </w:pPr>
          </w:p>
          <w:p>
            <w:pPr>
              <w:pStyle w:val="TableParagraph"/>
              <w:ind w:left="107"/>
              <w:rPr>
                <w:sz w:val="20"/>
              </w:rPr>
            </w:pPr>
            <w:r>
              <w:rPr>
                <w:sz w:val="20"/>
              </w:rPr>
              <w:t>10.04.2020</w:t>
            </w:r>
          </w:p>
        </w:tc>
        <w:tc>
          <w:tcPr>
            <w:tcW w:w="1776" w:type="dxa"/>
          </w:tcPr>
          <w:p>
            <w:pPr>
              <w:pStyle w:val="TableParagraph"/>
              <w:spacing w:before="4"/>
              <w:rPr>
                <w:b/>
                <w:sz w:val="32"/>
              </w:rPr>
            </w:pPr>
          </w:p>
          <w:p>
            <w:pPr>
              <w:pStyle w:val="TableParagraph"/>
              <w:ind w:left="105"/>
              <w:rPr>
                <w:sz w:val="20"/>
              </w:rPr>
            </w:pPr>
            <w:r>
              <w:rPr>
                <w:sz w:val="20"/>
              </w:rPr>
              <w:t>РЗН 2020/10017</w:t>
            </w:r>
          </w:p>
        </w:tc>
        <w:tc>
          <w:tcPr>
            <w:tcW w:w="5995" w:type="dxa"/>
          </w:tcPr>
          <w:p>
            <w:pPr>
              <w:pStyle w:val="TableParagraph"/>
              <w:spacing w:before="142"/>
              <w:ind w:left="108" w:right="859"/>
              <w:rPr>
                <w:sz w:val="20"/>
              </w:rPr>
            </w:pPr>
            <w:r>
              <w:rPr>
                <w:sz w:val="20"/>
              </w:rPr>
              <w:t>Набор реагентов для иммуноферментного выявления иммуноглобулинов класса G к коронавирусу SARS-CoV-2</w:t>
            </w:r>
          </w:p>
          <w:p>
            <w:pPr>
              <w:pStyle w:val="TableParagraph"/>
              <w:spacing w:line="229" w:lineRule="exact"/>
              <w:ind w:left="108"/>
              <w:rPr>
                <w:sz w:val="20"/>
              </w:rPr>
            </w:pPr>
            <w:r>
              <w:rPr>
                <w:sz w:val="20"/>
              </w:rPr>
              <w:t>«SARS-CoV-2-ИФА-Вектор»</w:t>
            </w:r>
          </w:p>
        </w:tc>
        <w:tc>
          <w:tcPr>
            <w:tcW w:w="2153" w:type="dxa"/>
          </w:tcPr>
          <w:p>
            <w:pPr>
              <w:pStyle w:val="TableParagraph"/>
              <w:spacing w:before="142"/>
              <w:ind w:left="107"/>
              <w:rPr>
                <w:sz w:val="20"/>
              </w:rPr>
            </w:pPr>
            <w:r>
              <w:rPr>
                <w:sz w:val="20"/>
              </w:rPr>
              <w:t>ФБУН ГНЦ ВБ</w:t>
            </w:r>
          </w:p>
          <w:p>
            <w:pPr>
              <w:pStyle w:val="TableParagraph"/>
              <w:ind w:left="107" w:right="465"/>
              <w:rPr>
                <w:sz w:val="20"/>
              </w:rPr>
            </w:pPr>
            <w:r>
              <w:rPr>
                <w:sz w:val="20"/>
              </w:rPr>
              <w:t>"Вектор" Роспотребнадзора</w:t>
            </w:r>
          </w:p>
        </w:tc>
        <w:tc>
          <w:tcPr>
            <w:tcW w:w="3060" w:type="dxa"/>
          </w:tcPr>
          <w:p>
            <w:pPr>
              <w:pStyle w:val="TableParagraph"/>
              <w:spacing w:before="4"/>
              <w:rPr>
                <w:b/>
                <w:sz w:val="22"/>
              </w:rPr>
            </w:pPr>
          </w:p>
          <w:p>
            <w:pPr>
              <w:pStyle w:val="TableParagraph"/>
              <w:ind w:left="107" w:right="225"/>
              <w:rPr>
                <w:sz w:val="20"/>
              </w:rPr>
            </w:pPr>
            <w:r>
              <w:rPr>
                <w:sz w:val="20"/>
              </w:rPr>
              <w:t>630559, Россия, Новосибирская область, р. п. Кольцово.</w:t>
            </w:r>
          </w:p>
        </w:tc>
      </w:tr>
      <w:tr>
        <w:trPr>
          <w:trHeight w:val="1041" w:hRule="atLeast"/>
        </w:trPr>
        <w:tc>
          <w:tcPr>
            <w:tcW w:w="523" w:type="dxa"/>
            <w:shd w:val="clear" w:color="auto" w:fill="F1F1F1"/>
          </w:tcPr>
          <w:p>
            <w:pPr>
              <w:pStyle w:val="TableParagraph"/>
              <w:rPr>
                <w:b/>
                <w:sz w:val="22"/>
              </w:rPr>
            </w:pPr>
          </w:p>
          <w:p>
            <w:pPr>
              <w:pStyle w:val="TableParagraph"/>
              <w:spacing w:before="153"/>
              <w:ind w:left="107"/>
              <w:rPr>
                <w:sz w:val="20"/>
              </w:rPr>
            </w:pPr>
            <w:r>
              <w:rPr>
                <w:w w:val="99"/>
                <w:sz w:val="20"/>
              </w:rPr>
              <w:t>2</w:t>
            </w:r>
          </w:p>
        </w:tc>
        <w:tc>
          <w:tcPr>
            <w:tcW w:w="1627" w:type="dxa"/>
            <w:shd w:val="clear" w:color="auto" w:fill="F1F1F1"/>
          </w:tcPr>
          <w:p>
            <w:pPr>
              <w:pStyle w:val="TableParagraph"/>
              <w:rPr>
                <w:b/>
                <w:sz w:val="22"/>
              </w:rPr>
            </w:pPr>
          </w:p>
          <w:p>
            <w:pPr>
              <w:pStyle w:val="TableParagraph"/>
              <w:spacing w:before="153"/>
              <w:ind w:left="107"/>
              <w:rPr>
                <w:sz w:val="20"/>
              </w:rPr>
            </w:pPr>
            <w:r>
              <w:rPr>
                <w:sz w:val="20"/>
              </w:rPr>
              <w:t>30.04.2020</w:t>
            </w:r>
          </w:p>
        </w:tc>
        <w:tc>
          <w:tcPr>
            <w:tcW w:w="1776" w:type="dxa"/>
            <w:shd w:val="clear" w:color="auto" w:fill="F1F1F1"/>
          </w:tcPr>
          <w:p>
            <w:pPr>
              <w:pStyle w:val="TableParagraph"/>
              <w:rPr>
                <w:b/>
                <w:sz w:val="22"/>
              </w:rPr>
            </w:pPr>
          </w:p>
          <w:p>
            <w:pPr>
              <w:pStyle w:val="TableParagraph"/>
              <w:spacing w:before="153"/>
              <w:ind w:left="105"/>
              <w:rPr>
                <w:sz w:val="20"/>
              </w:rPr>
            </w:pPr>
            <w:r>
              <w:rPr>
                <w:sz w:val="20"/>
              </w:rPr>
              <w:t>РЗН 2020/10219</w:t>
            </w:r>
          </w:p>
        </w:tc>
        <w:tc>
          <w:tcPr>
            <w:tcW w:w="5995" w:type="dxa"/>
            <w:shd w:val="clear" w:color="auto" w:fill="F1F1F1"/>
          </w:tcPr>
          <w:p>
            <w:pPr>
              <w:pStyle w:val="TableParagraph"/>
              <w:spacing w:before="178"/>
              <w:ind w:left="108" w:right="675"/>
              <w:rPr>
                <w:sz w:val="20"/>
              </w:rPr>
            </w:pPr>
            <w:r>
              <w:rPr>
                <w:sz w:val="20"/>
              </w:rPr>
              <w:t>Набор реагентов для иммуноферментного определения IgG антител к антигену SARS-CoV-2 в сыворотке (плазме) крови "SARS-СоV-2-IgG-ИФА"</w:t>
            </w:r>
          </w:p>
        </w:tc>
        <w:tc>
          <w:tcPr>
            <w:tcW w:w="2153" w:type="dxa"/>
            <w:shd w:val="clear" w:color="auto" w:fill="F1F1F1"/>
          </w:tcPr>
          <w:p>
            <w:pPr>
              <w:pStyle w:val="TableParagraph"/>
              <w:spacing w:line="229" w:lineRule="exact" w:before="178"/>
              <w:ind w:left="108"/>
              <w:rPr>
                <w:sz w:val="20"/>
              </w:rPr>
            </w:pPr>
            <w:r>
              <w:rPr>
                <w:sz w:val="20"/>
              </w:rPr>
              <w:t>ФГБУ "НМИЦ</w:t>
            </w:r>
          </w:p>
          <w:p>
            <w:pPr>
              <w:pStyle w:val="TableParagraph"/>
              <w:ind w:left="108" w:right="417"/>
              <w:rPr>
                <w:sz w:val="20"/>
              </w:rPr>
            </w:pPr>
            <w:r>
              <w:rPr>
                <w:sz w:val="20"/>
              </w:rPr>
              <w:t>гематологии" Минздрава России</w:t>
            </w:r>
          </w:p>
        </w:tc>
        <w:tc>
          <w:tcPr>
            <w:tcW w:w="3060" w:type="dxa"/>
            <w:shd w:val="clear" w:color="auto" w:fill="F1F1F1"/>
          </w:tcPr>
          <w:p>
            <w:pPr>
              <w:pStyle w:val="TableParagraph"/>
              <w:spacing w:before="3"/>
              <w:rPr>
                <w:b/>
                <w:sz w:val="25"/>
              </w:rPr>
            </w:pPr>
          </w:p>
          <w:p>
            <w:pPr>
              <w:pStyle w:val="TableParagraph"/>
              <w:ind w:left="108" w:right="459"/>
              <w:rPr>
                <w:sz w:val="20"/>
              </w:rPr>
            </w:pPr>
            <w:r>
              <w:rPr>
                <w:sz w:val="20"/>
              </w:rPr>
              <w:t>125167, Россия, г. Москва, Новый Зыковский пр-зд, д. 4</w:t>
            </w:r>
          </w:p>
        </w:tc>
      </w:tr>
      <w:tr>
        <w:trPr>
          <w:trHeight w:val="853" w:hRule="atLeast"/>
        </w:trPr>
        <w:tc>
          <w:tcPr>
            <w:tcW w:w="523" w:type="dxa"/>
          </w:tcPr>
          <w:p>
            <w:pPr>
              <w:pStyle w:val="TableParagraph"/>
              <w:spacing w:before="1"/>
              <w:rPr>
                <w:b/>
                <w:sz w:val="27"/>
              </w:rPr>
            </w:pPr>
          </w:p>
          <w:p>
            <w:pPr>
              <w:pStyle w:val="TableParagraph"/>
              <w:spacing w:before="1"/>
              <w:ind w:left="107"/>
              <w:rPr>
                <w:sz w:val="20"/>
              </w:rPr>
            </w:pPr>
            <w:r>
              <w:rPr>
                <w:w w:val="99"/>
                <w:sz w:val="20"/>
              </w:rPr>
              <w:t>3</w:t>
            </w:r>
          </w:p>
        </w:tc>
        <w:tc>
          <w:tcPr>
            <w:tcW w:w="1627" w:type="dxa"/>
          </w:tcPr>
          <w:p>
            <w:pPr>
              <w:pStyle w:val="TableParagraph"/>
              <w:spacing w:before="1"/>
              <w:rPr>
                <w:b/>
                <w:sz w:val="27"/>
              </w:rPr>
            </w:pPr>
          </w:p>
          <w:p>
            <w:pPr>
              <w:pStyle w:val="TableParagraph"/>
              <w:spacing w:before="1"/>
              <w:ind w:left="107"/>
              <w:rPr>
                <w:sz w:val="20"/>
              </w:rPr>
            </w:pPr>
            <w:r>
              <w:rPr>
                <w:sz w:val="20"/>
              </w:rPr>
              <w:t>30.04.2020</w:t>
            </w:r>
          </w:p>
        </w:tc>
        <w:tc>
          <w:tcPr>
            <w:tcW w:w="1776" w:type="dxa"/>
          </w:tcPr>
          <w:p>
            <w:pPr>
              <w:pStyle w:val="TableParagraph"/>
              <w:spacing w:before="1"/>
              <w:rPr>
                <w:b/>
                <w:sz w:val="27"/>
              </w:rPr>
            </w:pPr>
          </w:p>
          <w:p>
            <w:pPr>
              <w:pStyle w:val="TableParagraph"/>
              <w:spacing w:before="1"/>
              <w:ind w:left="105"/>
              <w:rPr>
                <w:sz w:val="20"/>
              </w:rPr>
            </w:pPr>
            <w:r>
              <w:rPr>
                <w:sz w:val="20"/>
              </w:rPr>
              <w:t>РЗН 2020/10226</w:t>
            </w:r>
          </w:p>
        </w:tc>
        <w:tc>
          <w:tcPr>
            <w:tcW w:w="5995" w:type="dxa"/>
          </w:tcPr>
          <w:p>
            <w:pPr>
              <w:pStyle w:val="TableParagraph"/>
              <w:spacing w:before="82"/>
              <w:ind w:left="108" w:right="625"/>
              <w:rPr>
                <w:sz w:val="20"/>
              </w:rPr>
            </w:pPr>
            <w:r>
              <w:rPr>
                <w:sz w:val="20"/>
              </w:rPr>
              <w:t>Набор реагентов для выявления иммуноглобулинов класса G к коронавирусу SARS-CoV-2 методом иммуноферментного анализа "SARS-CoV-2 IgG"</w:t>
            </w:r>
          </w:p>
        </w:tc>
        <w:tc>
          <w:tcPr>
            <w:tcW w:w="2153" w:type="dxa"/>
          </w:tcPr>
          <w:p>
            <w:pPr>
              <w:pStyle w:val="TableParagraph"/>
              <w:spacing w:before="1"/>
              <w:rPr>
                <w:b/>
                <w:sz w:val="27"/>
              </w:rPr>
            </w:pPr>
          </w:p>
          <w:p>
            <w:pPr>
              <w:pStyle w:val="TableParagraph"/>
              <w:spacing w:before="1"/>
              <w:ind w:left="108"/>
              <w:rPr>
                <w:sz w:val="20"/>
              </w:rPr>
            </w:pPr>
            <w:r>
              <w:rPr>
                <w:sz w:val="20"/>
              </w:rPr>
              <w:t>ООО НПФ "Литех"</w:t>
            </w:r>
          </w:p>
        </w:tc>
        <w:tc>
          <w:tcPr>
            <w:tcW w:w="3060" w:type="dxa"/>
          </w:tcPr>
          <w:p>
            <w:pPr>
              <w:pStyle w:val="TableParagraph"/>
              <w:spacing w:before="197"/>
              <w:ind w:left="107" w:right="253"/>
              <w:rPr>
                <w:sz w:val="20"/>
              </w:rPr>
            </w:pPr>
            <w:r>
              <w:rPr>
                <w:sz w:val="20"/>
              </w:rPr>
              <w:t>119435, Россия, г. Москва, ул. Малая Пироговская, д. 1, стр. 3</w:t>
            </w:r>
          </w:p>
        </w:tc>
      </w:tr>
      <w:tr>
        <w:trPr>
          <w:trHeight w:val="1379" w:hRule="atLeast"/>
        </w:trPr>
        <w:tc>
          <w:tcPr>
            <w:tcW w:w="523" w:type="dxa"/>
            <w:shd w:val="clear" w:color="auto" w:fill="F1F1F1"/>
          </w:tcPr>
          <w:p>
            <w:pPr>
              <w:pStyle w:val="TableParagraph"/>
              <w:rPr>
                <w:b/>
                <w:sz w:val="22"/>
              </w:rPr>
            </w:pPr>
          </w:p>
          <w:p>
            <w:pPr>
              <w:pStyle w:val="TableParagraph"/>
              <w:spacing w:before="10"/>
              <w:rPr>
                <w:b/>
                <w:sz w:val="27"/>
              </w:rPr>
            </w:pPr>
          </w:p>
          <w:p>
            <w:pPr>
              <w:pStyle w:val="TableParagraph"/>
              <w:ind w:left="107"/>
              <w:rPr>
                <w:sz w:val="20"/>
              </w:rPr>
            </w:pPr>
            <w:r>
              <w:rPr>
                <w:w w:val="99"/>
                <w:sz w:val="20"/>
              </w:rPr>
              <w:t>4</w:t>
            </w:r>
          </w:p>
        </w:tc>
        <w:tc>
          <w:tcPr>
            <w:tcW w:w="1627" w:type="dxa"/>
            <w:shd w:val="clear" w:color="auto" w:fill="F1F1F1"/>
          </w:tcPr>
          <w:p>
            <w:pPr>
              <w:pStyle w:val="TableParagraph"/>
              <w:rPr>
                <w:b/>
                <w:sz w:val="22"/>
              </w:rPr>
            </w:pPr>
          </w:p>
          <w:p>
            <w:pPr>
              <w:pStyle w:val="TableParagraph"/>
              <w:spacing w:before="10"/>
              <w:rPr>
                <w:b/>
                <w:sz w:val="27"/>
              </w:rPr>
            </w:pPr>
          </w:p>
          <w:p>
            <w:pPr>
              <w:pStyle w:val="TableParagraph"/>
              <w:ind w:left="107"/>
              <w:rPr>
                <w:sz w:val="20"/>
              </w:rPr>
            </w:pPr>
            <w:r>
              <w:rPr>
                <w:sz w:val="20"/>
              </w:rPr>
              <w:t>07.05.2020</w:t>
            </w:r>
          </w:p>
        </w:tc>
        <w:tc>
          <w:tcPr>
            <w:tcW w:w="1776" w:type="dxa"/>
            <w:shd w:val="clear" w:color="auto" w:fill="F1F1F1"/>
          </w:tcPr>
          <w:p>
            <w:pPr>
              <w:pStyle w:val="TableParagraph"/>
              <w:rPr>
                <w:b/>
                <w:sz w:val="22"/>
              </w:rPr>
            </w:pPr>
          </w:p>
          <w:p>
            <w:pPr>
              <w:pStyle w:val="TableParagraph"/>
              <w:spacing w:before="10"/>
              <w:rPr>
                <w:b/>
                <w:sz w:val="27"/>
              </w:rPr>
            </w:pPr>
          </w:p>
          <w:p>
            <w:pPr>
              <w:pStyle w:val="TableParagraph"/>
              <w:ind w:left="105"/>
              <w:rPr>
                <w:sz w:val="20"/>
              </w:rPr>
            </w:pPr>
            <w:r>
              <w:rPr>
                <w:sz w:val="20"/>
              </w:rPr>
              <w:t>РЗН 2020/10270</w:t>
            </w:r>
          </w:p>
        </w:tc>
        <w:tc>
          <w:tcPr>
            <w:tcW w:w="5995" w:type="dxa"/>
            <w:shd w:val="clear" w:color="auto" w:fill="F1F1F1"/>
          </w:tcPr>
          <w:p>
            <w:pPr>
              <w:pStyle w:val="TableParagraph"/>
              <w:rPr>
                <w:b/>
                <w:sz w:val="20"/>
              </w:rPr>
            </w:pPr>
          </w:p>
          <w:p>
            <w:pPr>
              <w:pStyle w:val="TableParagraph"/>
              <w:ind w:left="108" w:right="837"/>
              <w:rPr>
                <w:sz w:val="20"/>
              </w:rPr>
            </w:pPr>
            <w:r>
              <w:rPr>
                <w:sz w:val="20"/>
              </w:rPr>
              <w:t>Набор реагентов для определения антител IgG к штамму SARS-CoV-2 коронавируса иммунохемилюминесцентным методом в клиническом образце на анализаторах серии CL для диагностики in vitro</w:t>
            </w:r>
          </w:p>
        </w:tc>
        <w:tc>
          <w:tcPr>
            <w:tcW w:w="2153" w:type="dxa"/>
            <w:shd w:val="clear" w:color="auto" w:fill="F1F1F1"/>
          </w:tcPr>
          <w:p>
            <w:pPr>
              <w:pStyle w:val="TableParagraph"/>
              <w:rPr>
                <w:b/>
                <w:sz w:val="20"/>
              </w:rPr>
            </w:pPr>
          </w:p>
          <w:p>
            <w:pPr>
              <w:pStyle w:val="TableParagraph"/>
              <w:ind w:left="108" w:right="98"/>
              <w:rPr>
                <w:sz w:val="20"/>
              </w:rPr>
            </w:pPr>
            <w:r>
              <w:rPr>
                <w:sz w:val="20"/>
              </w:rPr>
              <w:t>"Шэньчжэнь Майндрэй Био- Медикал Электроникс Ко., Лтд."</w:t>
            </w:r>
          </w:p>
        </w:tc>
        <w:tc>
          <w:tcPr>
            <w:tcW w:w="3060" w:type="dxa"/>
            <w:shd w:val="clear" w:color="auto" w:fill="F1F1F1"/>
          </w:tcPr>
          <w:p>
            <w:pPr>
              <w:pStyle w:val="TableParagraph"/>
              <w:ind w:left="108" w:right="161"/>
              <w:rPr>
                <w:sz w:val="20"/>
              </w:rPr>
            </w:pPr>
            <w:r>
              <w:rPr>
                <w:sz w:val="20"/>
              </w:rPr>
              <w:t>КНР, Shenzhen Mindray Bio- Medical Electronics Co., Ltd., Mindray Building, Keji 12th Road South, High-Tech Industrial Park,</w:t>
            </w:r>
          </w:p>
          <w:p>
            <w:pPr>
              <w:pStyle w:val="TableParagraph"/>
              <w:spacing w:line="230" w:lineRule="exact" w:before="2"/>
              <w:ind w:left="108" w:right="250"/>
              <w:rPr>
                <w:sz w:val="20"/>
              </w:rPr>
            </w:pPr>
            <w:r>
              <w:rPr>
                <w:sz w:val="20"/>
              </w:rPr>
              <w:t>Nanshan, Shenzhen 518057, P.R. of China</w:t>
            </w:r>
          </w:p>
        </w:tc>
      </w:tr>
      <w:tr>
        <w:trPr>
          <w:trHeight w:val="1399" w:hRule="atLeast"/>
        </w:trPr>
        <w:tc>
          <w:tcPr>
            <w:tcW w:w="523" w:type="dxa"/>
          </w:tcPr>
          <w:p>
            <w:pPr>
              <w:pStyle w:val="TableParagraph"/>
              <w:rPr>
                <w:b/>
                <w:sz w:val="22"/>
              </w:rPr>
            </w:pPr>
          </w:p>
          <w:p>
            <w:pPr>
              <w:pStyle w:val="TableParagraph"/>
              <w:spacing w:before="8"/>
              <w:rPr>
                <w:b/>
                <w:sz w:val="28"/>
              </w:rPr>
            </w:pPr>
          </w:p>
          <w:p>
            <w:pPr>
              <w:pStyle w:val="TableParagraph"/>
              <w:ind w:left="107"/>
              <w:rPr>
                <w:sz w:val="20"/>
              </w:rPr>
            </w:pPr>
            <w:r>
              <w:rPr>
                <w:w w:val="99"/>
                <w:sz w:val="20"/>
              </w:rPr>
              <w:t>5</w:t>
            </w:r>
          </w:p>
        </w:tc>
        <w:tc>
          <w:tcPr>
            <w:tcW w:w="1627" w:type="dxa"/>
          </w:tcPr>
          <w:p>
            <w:pPr>
              <w:pStyle w:val="TableParagraph"/>
              <w:rPr>
                <w:b/>
                <w:sz w:val="22"/>
              </w:rPr>
            </w:pPr>
          </w:p>
          <w:p>
            <w:pPr>
              <w:pStyle w:val="TableParagraph"/>
              <w:spacing w:before="8"/>
              <w:rPr>
                <w:b/>
                <w:sz w:val="28"/>
              </w:rPr>
            </w:pPr>
          </w:p>
          <w:p>
            <w:pPr>
              <w:pStyle w:val="TableParagraph"/>
              <w:ind w:left="107"/>
              <w:rPr>
                <w:sz w:val="20"/>
              </w:rPr>
            </w:pPr>
            <w:r>
              <w:rPr>
                <w:sz w:val="20"/>
              </w:rPr>
              <w:t>08.05.2020</w:t>
            </w:r>
          </w:p>
        </w:tc>
        <w:tc>
          <w:tcPr>
            <w:tcW w:w="1776" w:type="dxa"/>
          </w:tcPr>
          <w:p>
            <w:pPr>
              <w:pStyle w:val="TableParagraph"/>
              <w:rPr>
                <w:b/>
                <w:sz w:val="22"/>
              </w:rPr>
            </w:pPr>
          </w:p>
          <w:p>
            <w:pPr>
              <w:pStyle w:val="TableParagraph"/>
              <w:spacing w:before="8"/>
              <w:rPr>
                <w:b/>
                <w:sz w:val="28"/>
              </w:rPr>
            </w:pPr>
          </w:p>
          <w:p>
            <w:pPr>
              <w:pStyle w:val="TableParagraph"/>
              <w:ind w:left="105"/>
              <w:rPr>
                <w:sz w:val="20"/>
              </w:rPr>
            </w:pPr>
            <w:r>
              <w:rPr>
                <w:sz w:val="20"/>
              </w:rPr>
              <w:t>РЗН 2020/10268</w:t>
            </w:r>
          </w:p>
        </w:tc>
        <w:tc>
          <w:tcPr>
            <w:tcW w:w="5995" w:type="dxa"/>
          </w:tcPr>
          <w:p>
            <w:pPr>
              <w:pStyle w:val="TableParagraph"/>
              <w:spacing w:before="123"/>
              <w:ind w:left="108" w:right="201"/>
              <w:rPr>
                <w:sz w:val="20"/>
              </w:rPr>
            </w:pPr>
            <w:r>
              <w:rPr>
                <w:sz w:val="20"/>
              </w:rPr>
              <w:t>Набор реагентов для анализа сыворотки или плазмы крови человека на наличие специфических иммуноглобулинов класса G к нуклеокапсиду вируса SARS-Cov-2 методом иммуноферментного анализа (Набор реагентов</w:t>
            </w:r>
          </w:p>
          <w:p>
            <w:pPr>
              <w:pStyle w:val="TableParagraph"/>
              <w:spacing w:line="230" w:lineRule="exact"/>
              <w:ind w:left="108"/>
              <w:rPr>
                <w:sz w:val="20"/>
              </w:rPr>
            </w:pPr>
            <w:r>
              <w:rPr>
                <w:sz w:val="20"/>
              </w:rPr>
              <w:t>"ИФА анти-SARS-Cov-2 IgG")</w:t>
            </w:r>
          </w:p>
        </w:tc>
        <w:tc>
          <w:tcPr>
            <w:tcW w:w="2153" w:type="dxa"/>
          </w:tcPr>
          <w:p>
            <w:pPr>
              <w:pStyle w:val="TableParagraph"/>
              <w:rPr>
                <w:b/>
                <w:sz w:val="22"/>
              </w:rPr>
            </w:pPr>
          </w:p>
          <w:p>
            <w:pPr>
              <w:pStyle w:val="TableParagraph"/>
              <w:spacing w:before="9"/>
              <w:rPr>
                <w:b/>
                <w:sz w:val="28"/>
              </w:rPr>
            </w:pPr>
          </w:p>
          <w:p>
            <w:pPr>
              <w:pStyle w:val="TableParagraph"/>
              <w:ind w:left="107"/>
              <w:rPr>
                <w:sz w:val="20"/>
              </w:rPr>
            </w:pPr>
            <w:r>
              <w:rPr>
                <w:sz w:val="20"/>
              </w:rPr>
              <w:t>ФБУН ГНЦ ПМБ</w:t>
            </w:r>
          </w:p>
        </w:tc>
        <w:tc>
          <w:tcPr>
            <w:tcW w:w="3060" w:type="dxa"/>
          </w:tcPr>
          <w:p>
            <w:pPr>
              <w:pStyle w:val="TableParagraph"/>
              <w:spacing w:before="8"/>
              <w:rPr>
                <w:b/>
                <w:sz w:val="30"/>
              </w:rPr>
            </w:pPr>
          </w:p>
          <w:p>
            <w:pPr>
              <w:pStyle w:val="TableParagraph"/>
              <w:ind w:left="107" w:right="131"/>
              <w:rPr>
                <w:sz w:val="20"/>
              </w:rPr>
            </w:pPr>
            <w:r>
              <w:rPr>
                <w:sz w:val="20"/>
              </w:rPr>
              <w:t>142279, Россия, Московская область, Серпуховский район, п. Оболенск</w:t>
            </w:r>
          </w:p>
        </w:tc>
      </w:tr>
    </w:tbl>
    <w:p>
      <w:pPr>
        <w:spacing w:after="0"/>
        <w:rPr>
          <w:sz w:val="20"/>
        </w:rPr>
        <w:sectPr>
          <w:pgSz w:w="16850" w:h="11920" w:orient="landscape"/>
          <w:pgMar w:header="0" w:footer="1110" w:top="960" w:bottom="1320" w:left="880" w:right="360"/>
        </w:sectPr>
      </w:pPr>
    </w:p>
    <w:tbl>
      <w:tblPr>
        <w:tblW w:w="0" w:type="auto"/>
        <w:jc w:val="left"/>
        <w:tblInd w:w="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23"/>
        <w:gridCol w:w="1627"/>
        <w:gridCol w:w="1776"/>
        <w:gridCol w:w="5995"/>
        <w:gridCol w:w="2153"/>
        <w:gridCol w:w="3060"/>
      </w:tblGrid>
      <w:tr>
        <w:trPr>
          <w:trHeight w:val="921" w:hRule="atLeast"/>
        </w:trPr>
        <w:tc>
          <w:tcPr>
            <w:tcW w:w="523" w:type="dxa"/>
            <w:shd w:val="clear" w:color="auto" w:fill="F1F1F1"/>
          </w:tcPr>
          <w:p>
            <w:pPr>
              <w:pStyle w:val="TableParagraph"/>
              <w:spacing w:before="2"/>
              <w:rPr>
                <w:b/>
                <w:sz w:val="29"/>
              </w:rPr>
            </w:pPr>
          </w:p>
          <w:p>
            <w:pPr>
              <w:pStyle w:val="TableParagraph"/>
              <w:ind w:left="107"/>
              <w:rPr>
                <w:sz w:val="20"/>
              </w:rPr>
            </w:pPr>
            <w:r>
              <w:rPr>
                <w:w w:val="99"/>
                <w:sz w:val="20"/>
              </w:rPr>
              <w:t>6</w:t>
            </w:r>
          </w:p>
        </w:tc>
        <w:tc>
          <w:tcPr>
            <w:tcW w:w="1627" w:type="dxa"/>
            <w:shd w:val="clear" w:color="auto" w:fill="F1F1F1"/>
          </w:tcPr>
          <w:p>
            <w:pPr>
              <w:pStyle w:val="TableParagraph"/>
              <w:spacing w:before="2"/>
              <w:rPr>
                <w:b/>
                <w:sz w:val="29"/>
              </w:rPr>
            </w:pPr>
          </w:p>
          <w:p>
            <w:pPr>
              <w:pStyle w:val="TableParagraph"/>
              <w:ind w:left="107"/>
              <w:rPr>
                <w:sz w:val="20"/>
              </w:rPr>
            </w:pPr>
            <w:r>
              <w:rPr>
                <w:sz w:val="20"/>
              </w:rPr>
              <w:t>12.05.2020</w:t>
            </w:r>
          </w:p>
        </w:tc>
        <w:tc>
          <w:tcPr>
            <w:tcW w:w="1776" w:type="dxa"/>
            <w:shd w:val="clear" w:color="auto" w:fill="F1F1F1"/>
          </w:tcPr>
          <w:p>
            <w:pPr>
              <w:pStyle w:val="TableParagraph"/>
              <w:spacing w:before="2"/>
              <w:rPr>
                <w:b/>
                <w:sz w:val="29"/>
              </w:rPr>
            </w:pPr>
          </w:p>
          <w:p>
            <w:pPr>
              <w:pStyle w:val="TableParagraph"/>
              <w:ind w:left="105"/>
              <w:rPr>
                <w:sz w:val="20"/>
              </w:rPr>
            </w:pPr>
            <w:r>
              <w:rPr>
                <w:sz w:val="20"/>
              </w:rPr>
              <w:t>РЗН 2020/10309</w:t>
            </w:r>
          </w:p>
        </w:tc>
        <w:tc>
          <w:tcPr>
            <w:tcW w:w="5995" w:type="dxa"/>
            <w:shd w:val="clear" w:color="auto" w:fill="F1F1F1"/>
          </w:tcPr>
          <w:p>
            <w:pPr>
              <w:pStyle w:val="TableParagraph"/>
              <w:spacing w:before="2"/>
              <w:rPr>
                <w:b/>
                <w:sz w:val="19"/>
              </w:rPr>
            </w:pPr>
          </w:p>
          <w:p>
            <w:pPr>
              <w:pStyle w:val="TableParagraph"/>
              <w:ind w:left="108"/>
              <w:rPr>
                <w:sz w:val="20"/>
              </w:rPr>
            </w:pPr>
            <w:r>
              <w:rPr>
                <w:sz w:val="20"/>
              </w:rPr>
              <w:t>Набор реагентов для определения антител IgG к коронавирусу</w:t>
            </w:r>
          </w:p>
          <w:p>
            <w:pPr>
              <w:pStyle w:val="TableParagraph"/>
              <w:spacing w:before="1"/>
              <w:ind w:left="108"/>
              <w:rPr>
                <w:sz w:val="20"/>
              </w:rPr>
            </w:pPr>
            <w:r>
              <w:rPr>
                <w:sz w:val="20"/>
              </w:rPr>
              <w:t>SARS-Cov-2 (Anti-SARS-Cov-2 ELISA (IgG))</w:t>
            </w:r>
          </w:p>
        </w:tc>
        <w:tc>
          <w:tcPr>
            <w:tcW w:w="2153" w:type="dxa"/>
            <w:shd w:val="clear" w:color="auto" w:fill="F1F1F1"/>
          </w:tcPr>
          <w:p>
            <w:pPr>
              <w:pStyle w:val="TableParagraph"/>
              <w:spacing w:line="221" w:lineRule="exact"/>
              <w:ind w:left="108"/>
              <w:rPr>
                <w:sz w:val="20"/>
              </w:rPr>
            </w:pPr>
            <w:r>
              <w:rPr>
                <w:sz w:val="20"/>
              </w:rPr>
              <w:t>"ЕВРОИММУН</w:t>
            </w:r>
          </w:p>
          <w:p>
            <w:pPr>
              <w:pStyle w:val="TableParagraph"/>
              <w:spacing w:line="230" w:lineRule="atLeast"/>
              <w:ind w:left="108"/>
              <w:rPr>
                <w:sz w:val="20"/>
              </w:rPr>
            </w:pPr>
            <w:r>
              <w:rPr>
                <w:sz w:val="20"/>
              </w:rPr>
              <w:t>Медицинише </w:t>
            </w:r>
            <w:r>
              <w:rPr>
                <w:w w:val="95"/>
                <w:sz w:val="20"/>
              </w:rPr>
              <w:t>Лабордиагностика </w:t>
            </w:r>
            <w:r>
              <w:rPr>
                <w:sz w:val="20"/>
              </w:rPr>
              <w:t>ГмбХ"</w:t>
            </w:r>
          </w:p>
        </w:tc>
        <w:tc>
          <w:tcPr>
            <w:tcW w:w="3060" w:type="dxa"/>
            <w:shd w:val="clear" w:color="auto" w:fill="F1F1F1"/>
          </w:tcPr>
          <w:p>
            <w:pPr>
              <w:pStyle w:val="TableParagraph"/>
              <w:ind w:left="108" w:right="79"/>
              <w:rPr>
                <w:sz w:val="20"/>
              </w:rPr>
            </w:pPr>
            <w:r>
              <w:rPr>
                <w:sz w:val="20"/>
              </w:rPr>
              <w:t>Германия, "EUROIMMUN Medizinische Labordiagnostika AG", Seekamp 31, 23560 Luebeck,</w:t>
            </w:r>
          </w:p>
          <w:p>
            <w:pPr>
              <w:pStyle w:val="TableParagraph"/>
              <w:spacing w:line="219" w:lineRule="exact"/>
              <w:ind w:left="108"/>
              <w:rPr>
                <w:sz w:val="20"/>
              </w:rPr>
            </w:pPr>
            <w:r>
              <w:rPr>
                <w:sz w:val="20"/>
              </w:rPr>
              <w:t>Germany</w:t>
            </w:r>
          </w:p>
        </w:tc>
      </w:tr>
      <w:tr>
        <w:trPr>
          <w:trHeight w:val="1101" w:hRule="atLeast"/>
        </w:trPr>
        <w:tc>
          <w:tcPr>
            <w:tcW w:w="523" w:type="dxa"/>
          </w:tcPr>
          <w:p>
            <w:pPr>
              <w:pStyle w:val="TableParagraph"/>
              <w:rPr>
                <w:b/>
                <w:sz w:val="22"/>
              </w:rPr>
            </w:pPr>
          </w:p>
          <w:p>
            <w:pPr>
              <w:pStyle w:val="TableParagraph"/>
              <w:spacing w:before="172"/>
              <w:ind w:left="107"/>
              <w:rPr>
                <w:sz w:val="20"/>
              </w:rPr>
            </w:pPr>
            <w:r>
              <w:rPr>
                <w:w w:val="99"/>
                <w:sz w:val="20"/>
              </w:rPr>
              <w:t>7</w:t>
            </w:r>
          </w:p>
        </w:tc>
        <w:tc>
          <w:tcPr>
            <w:tcW w:w="1627" w:type="dxa"/>
          </w:tcPr>
          <w:p>
            <w:pPr>
              <w:pStyle w:val="TableParagraph"/>
              <w:rPr>
                <w:b/>
                <w:sz w:val="22"/>
              </w:rPr>
            </w:pPr>
          </w:p>
          <w:p>
            <w:pPr>
              <w:pStyle w:val="TableParagraph"/>
              <w:spacing w:before="172"/>
              <w:ind w:left="107"/>
              <w:rPr>
                <w:sz w:val="20"/>
              </w:rPr>
            </w:pPr>
            <w:r>
              <w:rPr>
                <w:sz w:val="20"/>
              </w:rPr>
              <w:t>12.05.2020</w:t>
            </w:r>
          </w:p>
        </w:tc>
        <w:tc>
          <w:tcPr>
            <w:tcW w:w="1776" w:type="dxa"/>
          </w:tcPr>
          <w:p>
            <w:pPr>
              <w:pStyle w:val="TableParagraph"/>
              <w:rPr>
                <w:b/>
                <w:sz w:val="22"/>
              </w:rPr>
            </w:pPr>
          </w:p>
          <w:p>
            <w:pPr>
              <w:pStyle w:val="TableParagraph"/>
              <w:spacing w:before="172"/>
              <w:ind w:left="105"/>
              <w:rPr>
                <w:sz w:val="20"/>
              </w:rPr>
            </w:pPr>
            <w:r>
              <w:rPr>
                <w:sz w:val="20"/>
              </w:rPr>
              <w:t>РЗН 2020/10307</w:t>
            </w:r>
          </w:p>
        </w:tc>
        <w:tc>
          <w:tcPr>
            <w:tcW w:w="5995" w:type="dxa"/>
          </w:tcPr>
          <w:p>
            <w:pPr>
              <w:pStyle w:val="TableParagraph"/>
              <w:spacing w:before="1"/>
              <w:rPr>
                <w:b/>
                <w:sz w:val="27"/>
              </w:rPr>
            </w:pPr>
          </w:p>
          <w:p>
            <w:pPr>
              <w:pStyle w:val="TableParagraph"/>
              <w:spacing w:line="229" w:lineRule="exact" w:before="1"/>
              <w:ind w:left="108"/>
              <w:rPr>
                <w:sz w:val="20"/>
              </w:rPr>
            </w:pPr>
            <w:r>
              <w:rPr>
                <w:sz w:val="20"/>
              </w:rPr>
              <w:t>Набор реагентов для определения антител IgA к коронавирусу</w:t>
            </w:r>
          </w:p>
          <w:p>
            <w:pPr>
              <w:pStyle w:val="TableParagraph"/>
              <w:spacing w:line="229" w:lineRule="exact"/>
              <w:ind w:left="108"/>
              <w:rPr>
                <w:sz w:val="20"/>
              </w:rPr>
            </w:pPr>
            <w:r>
              <w:rPr>
                <w:sz w:val="20"/>
              </w:rPr>
              <w:t>SARS-CoV-2 (Anti-SARS-CoV-2 ELISA (IgA))</w:t>
            </w:r>
          </w:p>
        </w:tc>
        <w:tc>
          <w:tcPr>
            <w:tcW w:w="2153" w:type="dxa"/>
          </w:tcPr>
          <w:p>
            <w:pPr>
              <w:pStyle w:val="TableParagraph"/>
              <w:spacing w:before="82"/>
              <w:ind w:left="108"/>
              <w:rPr>
                <w:sz w:val="20"/>
              </w:rPr>
            </w:pPr>
            <w:r>
              <w:rPr>
                <w:sz w:val="20"/>
              </w:rPr>
              <w:t>"ЕВРОИММУН</w:t>
            </w:r>
          </w:p>
          <w:p>
            <w:pPr>
              <w:pStyle w:val="TableParagraph"/>
              <w:ind w:left="108"/>
              <w:rPr>
                <w:sz w:val="20"/>
              </w:rPr>
            </w:pPr>
            <w:r>
              <w:rPr>
                <w:sz w:val="20"/>
              </w:rPr>
              <w:t>Медицинише </w:t>
            </w:r>
            <w:r>
              <w:rPr>
                <w:w w:val="95"/>
                <w:sz w:val="20"/>
              </w:rPr>
              <w:t>Лабордиагностика </w:t>
            </w:r>
            <w:r>
              <w:rPr>
                <w:sz w:val="20"/>
              </w:rPr>
              <w:t>ГмбХ"</w:t>
            </w:r>
          </w:p>
        </w:tc>
        <w:tc>
          <w:tcPr>
            <w:tcW w:w="3060" w:type="dxa"/>
          </w:tcPr>
          <w:p>
            <w:pPr>
              <w:pStyle w:val="TableParagraph"/>
              <w:spacing w:before="82"/>
              <w:ind w:left="107" w:right="80"/>
              <w:rPr>
                <w:sz w:val="20"/>
              </w:rPr>
            </w:pPr>
            <w:r>
              <w:rPr>
                <w:sz w:val="20"/>
              </w:rPr>
              <w:t>Германия, "EUROIMMUN Medizinische Labordiagnostika AG", Seekamp 31, 23560 Luebeck, Germany</w:t>
            </w:r>
          </w:p>
        </w:tc>
      </w:tr>
      <w:tr>
        <w:trPr>
          <w:trHeight w:val="827" w:hRule="atLeast"/>
        </w:trPr>
        <w:tc>
          <w:tcPr>
            <w:tcW w:w="523" w:type="dxa"/>
            <w:shd w:val="clear" w:color="auto" w:fill="F1F1F1"/>
          </w:tcPr>
          <w:p>
            <w:pPr>
              <w:pStyle w:val="TableParagraph"/>
              <w:spacing w:before="3"/>
              <w:rPr>
                <w:b/>
                <w:sz w:val="25"/>
              </w:rPr>
            </w:pPr>
          </w:p>
          <w:p>
            <w:pPr>
              <w:pStyle w:val="TableParagraph"/>
              <w:ind w:left="107"/>
              <w:rPr>
                <w:sz w:val="20"/>
              </w:rPr>
            </w:pPr>
            <w:r>
              <w:rPr>
                <w:w w:val="99"/>
                <w:sz w:val="20"/>
              </w:rPr>
              <w:t>8</w:t>
            </w:r>
          </w:p>
        </w:tc>
        <w:tc>
          <w:tcPr>
            <w:tcW w:w="1627" w:type="dxa"/>
            <w:shd w:val="clear" w:color="auto" w:fill="F1F1F1"/>
          </w:tcPr>
          <w:p>
            <w:pPr>
              <w:pStyle w:val="TableParagraph"/>
              <w:spacing w:before="3"/>
              <w:rPr>
                <w:b/>
                <w:sz w:val="25"/>
              </w:rPr>
            </w:pPr>
          </w:p>
          <w:p>
            <w:pPr>
              <w:pStyle w:val="TableParagraph"/>
              <w:ind w:left="107"/>
              <w:rPr>
                <w:sz w:val="20"/>
              </w:rPr>
            </w:pPr>
            <w:r>
              <w:rPr>
                <w:sz w:val="20"/>
              </w:rPr>
              <w:t>18.05.2020</w:t>
            </w:r>
          </w:p>
        </w:tc>
        <w:tc>
          <w:tcPr>
            <w:tcW w:w="1776" w:type="dxa"/>
            <w:shd w:val="clear" w:color="auto" w:fill="F1F1F1"/>
          </w:tcPr>
          <w:p>
            <w:pPr>
              <w:pStyle w:val="TableParagraph"/>
              <w:spacing w:before="3"/>
              <w:rPr>
                <w:b/>
                <w:sz w:val="25"/>
              </w:rPr>
            </w:pPr>
          </w:p>
          <w:p>
            <w:pPr>
              <w:pStyle w:val="TableParagraph"/>
              <w:ind w:left="105"/>
              <w:rPr>
                <w:sz w:val="20"/>
              </w:rPr>
            </w:pPr>
            <w:r>
              <w:rPr>
                <w:sz w:val="20"/>
              </w:rPr>
              <w:t>РЗН 2020/10388</w:t>
            </w:r>
          </w:p>
        </w:tc>
        <w:tc>
          <w:tcPr>
            <w:tcW w:w="5995" w:type="dxa"/>
            <w:shd w:val="clear" w:color="auto" w:fill="F1F1F1"/>
          </w:tcPr>
          <w:p>
            <w:pPr>
              <w:pStyle w:val="TableParagraph"/>
              <w:spacing w:before="60"/>
              <w:ind w:left="108" w:right="1297"/>
              <w:rPr>
                <w:sz w:val="20"/>
              </w:rPr>
            </w:pPr>
            <w:r>
              <w:rPr>
                <w:sz w:val="20"/>
              </w:rPr>
              <w:t>Набор реагентов для иммуноферментного выявления иммуноглобулинов класса G к SARS-CoV-2</w:t>
            </w:r>
          </w:p>
          <w:p>
            <w:pPr>
              <w:pStyle w:val="TableParagraph"/>
              <w:spacing w:before="1"/>
              <w:ind w:left="108"/>
              <w:rPr>
                <w:sz w:val="20"/>
              </w:rPr>
            </w:pPr>
            <w:r>
              <w:rPr>
                <w:sz w:val="20"/>
              </w:rPr>
              <w:t>(SARS-CoV-2-IgG-ИФА-БЕСТ)</w:t>
            </w:r>
          </w:p>
        </w:tc>
        <w:tc>
          <w:tcPr>
            <w:tcW w:w="2153" w:type="dxa"/>
            <w:shd w:val="clear" w:color="auto" w:fill="F1F1F1"/>
          </w:tcPr>
          <w:p>
            <w:pPr>
              <w:pStyle w:val="TableParagraph"/>
              <w:spacing w:before="3"/>
              <w:rPr>
                <w:b/>
                <w:sz w:val="25"/>
              </w:rPr>
            </w:pPr>
          </w:p>
          <w:p>
            <w:pPr>
              <w:pStyle w:val="TableParagraph"/>
              <w:ind w:left="108"/>
              <w:rPr>
                <w:sz w:val="20"/>
              </w:rPr>
            </w:pPr>
            <w:r>
              <w:rPr>
                <w:sz w:val="20"/>
              </w:rPr>
              <w:t>АО "Вектор-Бест"</w:t>
            </w:r>
          </w:p>
        </w:tc>
        <w:tc>
          <w:tcPr>
            <w:tcW w:w="3060" w:type="dxa"/>
            <w:shd w:val="clear" w:color="auto" w:fill="F1F1F1"/>
          </w:tcPr>
          <w:p>
            <w:pPr>
              <w:pStyle w:val="TableParagraph"/>
              <w:spacing w:before="175"/>
              <w:ind w:left="108" w:right="224"/>
              <w:rPr>
                <w:sz w:val="20"/>
              </w:rPr>
            </w:pPr>
            <w:r>
              <w:rPr>
                <w:sz w:val="20"/>
              </w:rPr>
              <w:t>630559, Россия, Новосибирская область, р. п. Кольцово, а/я 121</w:t>
            </w:r>
          </w:p>
        </w:tc>
      </w:tr>
      <w:tr>
        <w:trPr>
          <w:trHeight w:val="853" w:hRule="atLeast"/>
        </w:trPr>
        <w:tc>
          <w:tcPr>
            <w:tcW w:w="523" w:type="dxa"/>
          </w:tcPr>
          <w:p>
            <w:pPr>
              <w:pStyle w:val="TableParagraph"/>
              <w:spacing w:before="3"/>
              <w:rPr>
                <w:b/>
                <w:sz w:val="26"/>
              </w:rPr>
            </w:pPr>
          </w:p>
          <w:p>
            <w:pPr>
              <w:pStyle w:val="TableParagraph"/>
              <w:ind w:left="107"/>
              <w:rPr>
                <w:sz w:val="20"/>
              </w:rPr>
            </w:pPr>
            <w:r>
              <w:rPr>
                <w:w w:val="99"/>
                <w:sz w:val="20"/>
              </w:rPr>
              <w:t>9</w:t>
            </w:r>
          </w:p>
        </w:tc>
        <w:tc>
          <w:tcPr>
            <w:tcW w:w="1627" w:type="dxa"/>
          </w:tcPr>
          <w:p>
            <w:pPr>
              <w:pStyle w:val="TableParagraph"/>
              <w:spacing w:before="3"/>
              <w:rPr>
                <w:b/>
                <w:sz w:val="26"/>
              </w:rPr>
            </w:pPr>
          </w:p>
          <w:p>
            <w:pPr>
              <w:pStyle w:val="TableParagraph"/>
              <w:ind w:left="107"/>
              <w:rPr>
                <w:sz w:val="20"/>
              </w:rPr>
            </w:pPr>
            <w:r>
              <w:rPr>
                <w:sz w:val="20"/>
              </w:rPr>
              <w:t>18.05.2020</w:t>
            </w:r>
          </w:p>
        </w:tc>
        <w:tc>
          <w:tcPr>
            <w:tcW w:w="1776" w:type="dxa"/>
          </w:tcPr>
          <w:p>
            <w:pPr>
              <w:pStyle w:val="TableParagraph"/>
              <w:spacing w:before="3"/>
              <w:rPr>
                <w:b/>
                <w:sz w:val="26"/>
              </w:rPr>
            </w:pPr>
          </w:p>
          <w:p>
            <w:pPr>
              <w:pStyle w:val="TableParagraph"/>
              <w:ind w:left="105"/>
              <w:rPr>
                <w:sz w:val="20"/>
              </w:rPr>
            </w:pPr>
            <w:r>
              <w:rPr>
                <w:sz w:val="20"/>
              </w:rPr>
              <w:t>РЗН 2020/10389</w:t>
            </w:r>
          </w:p>
        </w:tc>
        <w:tc>
          <w:tcPr>
            <w:tcW w:w="5995" w:type="dxa"/>
          </w:tcPr>
          <w:p>
            <w:pPr>
              <w:pStyle w:val="TableParagraph"/>
              <w:spacing w:before="72"/>
              <w:ind w:left="108" w:right="1297"/>
              <w:rPr>
                <w:sz w:val="20"/>
              </w:rPr>
            </w:pPr>
            <w:r>
              <w:rPr>
                <w:sz w:val="20"/>
              </w:rPr>
              <w:t>Набор реагентов для иммуноферментного выявления иммуноглобулинов класса М к SARS-CoV-2</w:t>
            </w:r>
          </w:p>
          <w:p>
            <w:pPr>
              <w:pStyle w:val="TableParagraph"/>
              <w:spacing w:before="1"/>
              <w:ind w:left="158"/>
              <w:rPr>
                <w:sz w:val="20"/>
              </w:rPr>
            </w:pPr>
            <w:r>
              <w:rPr>
                <w:sz w:val="20"/>
              </w:rPr>
              <w:t>(SARS-CoV-2-IgМ-ИФА-БЕСТ)</w:t>
            </w:r>
          </w:p>
        </w:tc>
        <w:tc>
          <w:tcPr>
            <w:tcW w:w="2153" w:type="dxa"/>
          </w:tcPr>
          <w:p>
            <w:pPr>
              <w:pStyle w:val="TableParagraph"/>
              <w:spacing w:before="3"/>
              <w:rPr>
                <w:b/>
                <w:sz w:val="26"/>
              </w:rPr>
            </w:pPr>
          </w:p>
          <w:p>
            <w:pPr>
              <w:pStyle w:val="TableParagraph"/>
              <w:ind w:left="107"/>
              <w:rPr>
                <w:sz w:val="20"/>
              </w:rPr>
            </w:pPr>
            <w:r>
              <w:rPr>
                <w:sz w:val="20"/>
              </w:rPr>
              <w:t>АО "Вектор-Бест"</w:t>
            </w:r>
          </w:p>
        </w:tc>
        <w:tc>
          <w:tcPr>
            <w:tcW w:w="3060" w:type="dxa"/>
          </w:tcPr>
          <w:p>
            <w:pPr>
              <w:pStyle w:val="TableParagraph"/>
              <w:spacing w:before="187"/>
              <w:ind w:left="107" w:right="225"/>
              <w:rPr>
                <w:sz w:val="20"/>
              </w:rPr>
            </w:pPr>
            <w:r>
              <w:rPr>
                <w:sz w:val="20"/>
              </w:rPr>
              <w:t>630559, Россия, Новосибирская область, р. п. Кольцово, а/я 121</w:t>
            </w:r>
          </w:p>
        </w:tc>
      </w:tr>
      <w:tr>
        <w:trPr>
          <w:trHeight w:val="1101" w:hRule="atLeast"/>
        </w:trPr>
        <w:tc>
          <w:tcPr>
            <w:tcW w:w="523" w:type="dxa"/>
            <w:shd w:val="clear" w:color="auto" w:fill="F1F1F1"/>
          </w:tcPr>
          <w:p>
            <w:pPr>
              <w:pStyle w:val="TableParagraph"/>
              <w:rPr>
                <w:b/>
                <w:sz w:val="22"/>
              </w:rPr>
            </w:pPr>
          </w:p>
          <w:p>
            <w:pPr>
              <w:pStyle w:val="TableParagraph"/>
              <w:spacing w:before="174"/>
              <w:ind w:left="107"/>
              <w:rPr>
                <w:sz w:val="20"/>
              </w:rPr>
            </w:pPr>
            <w:r>
              <w:rPr>
                <w:sz w:val="20"/>
              </w:rPr>
              <w:t>10</w:t>
            </w:r>
          </w:p>
        </w:tc>
        <w:tc>
          <w:tcPr>
            <w:tcW w:w="1627" w:type="dxa"/>
            <w:shd w:val="clear" w:color="auto" w:fill="F1F1F1"/>
          </w:tcPr>
          <w:p>
            <w:pPr>
              <w:pStyle w:val="TableParagraph"/>
              <w:rPr>
                <w:b/>
                <w:sz w:val="22"/>
              </w:rPr>
            </w:pPr>
          </w:p>
          <w:p>
            <w:pPr>
              <w:pStyle w:val="TableParagraph"/>
              <w:spacing w:before="174"/>
              <w:ind w:left="107"/>
              <w:rPr>
                <w:sz w:val="20"/>
              </w:rPr>
            </w:pPr>
            <w:r>
              <w:rPr>
                <w:sz w:val="20"/>
              </w:rPr>
              <w:t>18.05.2020</w:t>
            </w:r>
          </w:p>
        </w:tc>
        <w:tc>
          <w:tcPr>
            <w:tcW w:w="1776" w:type="dxa"/>
            <w:shd w:val="clear" w:color="auto" w:fill="F1F1F1"/>
          </w:tcPr>
          <w:p>
            <w:pPr>
              <w:pStyle w:val="TableParagraph"/>
              <w:rPr>
                <w:b/>
                <w:sz w:val="22"/>
              </w:rPr>
            </w:pPr>
          </w:p>
          <w:p>
            <w:pPr>
              <w:pStyle w:val="TableParagraph"/>
              <w:spacing w:before="174"/>
              <w:ind w:left="105"/>
              <w:rPr>
                <w:sz w:val="20"/>
              </w:rPr>
            </w:pPr>
            <w:r>
              <w:rPr>
                <w:sz w:val="20"/>
              </w:rPr>
              <w:t>РЗН 2020/10393</w:t>
            </w:r>
          </w:p>
        </w:tc>
        <w:tc>
          <w:tcPr>
            <w:tcW w:w="5995" w:type="dxa"/>
            <w:shd w:val="clear" w:color="auto" w:fill="F1F1F1"/>
          </w:tcPr>
          <w:p>
            <w:pPr>
              <w:pStyle w:val="TableParagraph"/>
              <w:spacing w:before="82"/>
              <w:ind w:left="108" w:right="394"/>
              <w:rPr>
                <w:sz w:val="20"/>
              </w:rPr>
            </w:pPr>
            <w:r>
              <w:rPr>
                <w:sz w:val="20"/>
              </w:rPr>
              <w:t>Набор реагентов для иммуноферментного выявления иммуноглобулинов класса G к рецептор-связывающему домену поверхностного гликопротеина S (spike) коронавируса</w:t>
            </w:r>
          </w:p>
          <w:p>
            <w:pPr>
              <w:pStyle w:val="TableParagraph"/>
              <w:spacing w:line="229" w:lineRule="exact"/>
              <w:ind w:left="158"/>
              <w:rPr>
                <w:sz w:val="20"/>
              </w:rPr>
            </w:pPr>
            <w:r>
              <w:rPr>
                <w:sz w:val="20"/>
              </w:rPr>
              <w:t>SARS-CoV-2 "SARS-CoV-2-RBD-ИФА-Гамалеи"</w:t>
            </w:r>
          </w:p>
        </w:tc>
        <w:tc>
          <w:tcPr>
            <w:tcW w:w="2153" w:type="dxa"/>
            <w:shd w:val="clear" w:color="auto" w:fill="F1F1F1"/>
          </w:tcPr>
          <w:p>
            <w:pPr>
              <w:pStyle w:val="TableParagraph"/>
              <w:spacing w:before="82"/>
              <w:ind w:left="108"/>
              <w:rPr>
                <w:sz w:val="20"/>
              </w:rPr>
            </w:pPr>
            <w:r>
              <w:rPr>
                <w:sz w:val="20"/>
              </w:rPr>
              <w:t>ФГБУ "НИЦЭМ им.</w:t>
            </w:r>
          </w:p>
          <w:p>
            <w:pPr>
              <w:pStyle w:val="TableParagraph"/>
              <w:ind w:left="108" w:right="182"/>
              <w:rPr>
                <w:sz w:val="20"/>
              </w:rPr>
            </w:pPr>
            <w:r>
              <w:rPr>
                <w:sz w:val="20"/>
              </w:rPr>
              <w:t>Н.Ф. Гамалеи" Минздрава России (филиал "Медгамал")</w:t>
            </w:r>
          </w:p>
        </w:tc>
        <w:tc>
          <w:tcPr>
            <w:tcW w:w="3060" w:type="dxa"/>
            <w:shd w:val="clear" w:color="auto" w:fill="F1F1F1"/>
          </w:tcPr>
          <w:p>
            <w:pPr>
              <w:pStyle w:val="TableParagraph"/>
              <w:spacing w:before="1"/>
              <w:rPr>
                <w:b/>
                <w:sz w:val="27"/>
              </w:rPr>
            </w:pPr>
          </w:p>
          <w:p>
            <w:pPr>
              <w:pStyle w:val="TableParagraph"/>
              <w:ind w:left="108" w:right="537"/>
              <w:rPr>
                <w:sz w:val="20"/>
              </w:rPr>
            </w:pPr>
            <w:r>
              <w:rPr>
                <w:sz w:val="20"/>
              </w:rPr>
              <w:t>123098, Россия, Москва, ул. Гамалеи, д. 18</w:t>
            </w:r>
          </w:p>
        </w:tc>
      </w:tr>
      <w:tr>
        <w:trPr>
          <w:trHeight w:val="690" w:hRule="atLeast"/>
        </w:trPr>
        <w:tc>
          <w:tcPr>
            <w:tcW w:w="523" w:type="dxa"/>
          </w:tcPr>
          <w:p>
            <w:pPr>
              <w:pStyle w:val="TableParagraph"/>
              <w:spacing w:before="2"/>
              <w:rPr>
                <w:b/>
                <w:sz w:val="19"/>
              </w:rPr>
            </w:pPr>
          </w:p>
          <w:p>
            <w:pPr>
              <w:pStyle w:val="TableParagraph"/>
              <w:ind w:left="107"/>
              <w:rPr>
                <w:sz w:val="20"/>
              </w:rPr>
            </w:pPr>
            <w:r>
              <w:rPr>
                <w:sz w:val="20"/>
              </w:rPr>
              <w:t>11</w:t>
            </w:r>
          </w:p>
        </w:tc>
        <w:tc>
          <w:tcPr>
            <w:tcW w:w="1627" w:type="dxa"/>
          </w:tcPr>
          <w:p>
            <w:pPr>
              <w:pStyle w:val="TableParagraph"/>
              <w:spacing w:before="2"/>
              <w:rPr>
                <w:b/>
                <w:sz w:val="19"/>
              </w:rPr>
            </w:pPr>
          </w:p>
          <w:p>
            <w:pPr>
              <w:pStyle w:val="TableParagraph"/>
              <w:ind w:left="108"/>
              <w:rPr>
                <w:sz w:val="20"/>
              </w:rPr>
            </w:pPr>
            <w:r>
              <w:rPr>
                <w:sz w:val="20"/>
              </w:rPr>
              <w:t>22.05.2020</w:t>
            </w:r>
          </w:p>
        </w:tc>
        <w:tc>
          <w:tcPr>
            <w:tcW w:w="1776" w:type="dxa"/>
          </w:tcPr>
          <w:p>
            <w:pPr>
              <w:pStyle w:val="TableParagraph"/>
              <w:spacing w:before="2"/>
              <w:rPr>
                <w:b/>
                <w:sz w:val="19"/>
              </w:rPr>
            </w:pPr>
          </w:p>
          <w:p>
            <w:pPr>
              <w:pStyle w:val="TableParagraph"/>
              <w:ind w:left="105"/>
              <w:rPr>
                <w:sz w:val="20"/>
              </w:rPr>
            </w:pPr>
            <w:r>
              <w:rPr>
                <w:sz w:val="20"/>
              </w:rPr>
              <w:t>РЗН 2020/10464</w:t>
            </w:r>
          </w:p>
        </w:tc>
        <w:tc>
          <w:tcPr>
            <w:tcW w:w="5995" w:type="dxa"/>
          </w:tcPr>
          <w:p>
            <w:pPr>
              <w:pStyle w:val="TableParagraph"/>
              <w:spacing w:line="221" w:lineRule="exact"/>
              <w:ind w:left="108"/>
              <w:rPr>
                <w:sz w:val="20"/>
              </w:rPr>
            </w:pPr>
            <w:r>
              <w:rPr>
                <w:sz w:val="20"/>
              </w:rPr>
              <w:t>Набор реагентов для выявления антител к коронавирусу</w:t>
            </w:r>
          </w:p>
          <w:p>
            <w:pPr>
              <w:pStyle w:val="TableParagraph"/>
              <w:spacing w:line="230" w:lineRule="atLeast"/>
              <w:ind w:left="108" w:right="357"/>
              <w:rPr>
                <w:sz w:val="20"/>
              </w:rPr>
            </w:pPr>
            <w:r>
              <w:rPr>
                <w:sz w:val="20"/>
              </w:rPr>
              <w:t>SARS-CoV-2 (COVID-19) методом иммуноферментного анализа ("ДС-ИФА-АНТИ-SARS-CoV-2")</w:t>
            </w:r>
          </w:p>
        </w:tc>
        <w:tc>
          <w:tcPr>
            <w:tcW w:w="2153" w:type="dxa"/>
          </w:tcPr>
          <w:p>
            <w:pPr>
              <w:pStyle w:val="TableParagraph"/>
              <w:spacing w:line="221" w:lineRule="exact"/>
              <w:ind w:left="108"/>
              <w:rPr>
                <w:sz w:val="20"/>
              </w:rPr>
            </w:pPr>
            <w:r>
              <w:rPr>
                <w:sz w:val="20"/>
              </w:rPr>
              <w:t>ООО "НПО</w:t>
            </w:r>
          </w:p>
          <w:p>
            <w:pPr>
              <w:pStyle w:val="TableParagraph"/>
              <w:spacing w:line="230" w:lineRule="atLeast"/>
              <w:ind w:left="108"/>
              <w:rPr>
                <w:sz w:val="20"/>
              </w:rPr>
            </w:pPr>
            <w:r>
              <w:rPr>
                <w:w w:val="95"/>
                <w:sz w:val="20"/>
              </w:rPr>
              <w:t>"Диагностические </w:t>
            </w:r>
            <w:r>
              <w:rPr>
                <w:sz w:val="20"/>
              </w:rPr>
              <w:t>системы"</w:t>
            </w:r>
          </w:p>
        </w:tc>
        <w:tc>
          <w:tcPr>
            <w:tcW w:w="3060" w:type="dxa"/>
          </w:tcPr>
          <w:p>
            <w:pPr>
              <w:pStyle w:val="TableParagraph"/>
              <w:spacing w:line="221" w:lineRule="exact"/>
              <w:ind w:left="108"/>
              <w:rPr>
                <w:sz w:val="20"/>
              </w:rPr>
            </w:pPr>
            <w:r>
              <w:rPr>
                <w:sz w:val="20"/>
              </w:rPr>
              <w:t>603093, Россия, г. Нижний</w:t>
            </w:r>
          </w:p>
          <w:p>
            <w:pPr>
              <w:pStyle w:val="TableParagraph"/>
              <w:spacing w:line="230" w:lineRule="atLeast"/>
              <w:ind w:left="108" w:right="333"/>
              <w:rPr>
                <w:sz w:val="20"/>
              </w:rPr>
            </w:pPr>
            <w:r>
              <w:rPr>
                <w:sz w:val="20"/>
              </w:rPr>
              <w:t>Новгород, ул. Яблонева, д. 22, а/я 69</w:t>
            </w:r>
          </w:p>
        </w:tc>
      </w:tr>
      <w:tr>
        <w:trPr>
          <w:trHeight w:val="690" w:hRule="atLeast"/>
        </w:trPr>
        <w:tc>
          <w:tcPr>
            <w:tcW w:w="523" w:type="dxa"/>
            <w:shd w:val="clear" w:color="auto" w:fill="F1F1F1"/>
          </w:tcPr>
          <w:p>
            <w:pPr>
              <w:pStyle w:val="TableParagraph"/>
              <w:spacing w:before="2"/>
              <w:rPr>
                <w:b/>
                <w:sz w:val="19"/>
              </w:rPr>
            </w:pPr>
          </w:p>
          <w:p>
            <w:pPr>
              <w:pStyle w:val="TableParagraph"/>
              <w:ind w:left="107"/>
              <w:rPr>
                <w:sz w:val="20"/>
              </w:rPr>
            </w:pPr>
            <w:r>
              <w:rPr>
                <w:sz w:val="20"/>
              </w:rPr>
              <w:t>12</w:t>
            </w:r>
          </w:p>
        </w:tc>
        <w:tc>
          <w:tcPr>
            <w:tcW w:w="1627" w:type="dxa"/>
            <w:shd w:val="clear" w:color="auto" w:fill="F1F1F1"/>
          </w:tcPr>
          <w:p>
            <w:pPr>
              <w:pStyle w:val="TableParagraph"/>
              <w:spacing w:before="2"/>
              <w:rPr>
                <w:b/>
                <w:sz w:val="19"/>
              </w:rPr>
            </w:pPr>
          </w:p>
          <w:p>
            <w:pPr>
              <w:pStyle w:val="TableParagraph"/>
              <w:ind w:left="107"/>
              <w:rPr>
                <w:sz w:val="20"/>
              </w:rPr>
            </w:pPr>
            <w:r>
              <w:rPr>
                <w:sz w:val="20"/>
              </w:rPr>
              <w:t>26.05.2020</w:t>
            </w:r>
          </w:p>
        </w:tc>
        <w:tc>
          <w:tcPr>
            <w:tcW w:w="1776" w:type="dxa"/>
            <w:shd w:val="clear" w:color="auto" w:fill="F1F1F1"/>
          </w:tcPr>
          <w:p>
            <w:pPr>
              <w:pStyle w:val="TableParagraph"/>
              <w:spacing w:before="2"/>
              <w:rPr>
                <w:b/>
                <w:sz w:val="19"/>
              </w:rPr>
            </w:pPr>
          </w:p>
          <w:p>
            <w:pPr>
              <w:pStyle w:val="TableParagraph"/>
              <w:ind w:left="105"/>
              <w:rPr>
                <w:sz w:val="20"/>
              </w:rPr>
            </w:pPr>
            <w:r>
              <w:rPr>
                <w:sz w:val="20"/>
              </w:rPr>
              <w:t>РЗН 2020/10501</w:t>
            </w:r>
          </w:p>
        </w:tc>
        <w:tc>
          <w:tcPr>
            <w:tcW w:w="5995" w:type="dxa"/>
            <w:shd w:val="clear" w:color="auto" w:fill="F1F1F1"/>
          </w:tcPr>
          <w:p>
            <w:pPr>
              <w:pStyle w:val="TableParagraph"/>
              <w:ind w:left="108" w:right="141"/>
              <w:rPr>
                <w:sz w:val="20"/>
              </w:rPr>
            </w:pPr>
            <w:r>
              <w:rPr>
                <w:sz w:val="20"/>
              </w:rPr>
              <w:t>Набор реагентов для качественного выявления иммуноглобулинов класса G к коронавирусу SARS-CoV-2 методом</w:t>
            </w:r>
          </w:p>
          <w:p>
            <w:pPr>
              <w:pStyle w:val="TableParagraph"/>
              <w:spacing w:line="219" w:lineRule="exact"/>
              <w:ind w:left="108"/>
              <w:rPr>
                <w:sz w:val="20"/>
              </w:rPr>
            </w:pPr>
            <w:r>
              <w:rPr>
                <w:sz w:val="20"/>
              </w:rPr>
              <w:t>иммуноферментного анализа "ЭБМ-SARS-СоV-2-ИФА-IgG"</w:t>
            </w:r>
          </w:p>
        </w:tc>
        <w:tc>
          <w:tcPr>
            <w:tcW w:w="2153" w:type="dxa"/>
            <w:shd w:val="clear" w:color="auto" w:fill="F1F1F1"/>
          </w:tcPr>
          <w:p>
            <w:pPr>
              <w:pStyle w:val="TableParagraph"/>
              <w:spacing w:before="106"/>
              <w:ind w:left="108" w:right="309"/>
              <w:rPr>
                <w:sz w:val="20"/>
              </w:rPr>
            </w:pPr>
            <w:r>
              <w:rPr>
                <w:sz w:val="20"/>
              </w:rPr>
              <w:t>ООО "Эпидбиомед- диагностика"</w:t>
            </w:r>
          </w:p>
        </w:tc>
        <w:tc>
          <w:tcPr>
            <w:tcW w:w="3060" w:type="dxa"/>
            <w:shd w:val="clear" w:color="auto" w:fill="F1F1F1"/>
          </w:tcPr>
          <w:p>
            <w:pPr>
              <w:pStyle w:val="TableParagraph"/>
              <w:spacing w:before="106"/>
              <w:ind w:left="108" w:right="355"/>
              <w:rPr>
                <w:sz w:val="20"/>
              </w:rPr>
            </w:pPr>
            <w:r>
              <w:rPr>
                <w:sz w:val="20"/>
              </w:rPr>
              <w:t>111672, Россия, г. Москва, ул. Салтыковская д. 26, стр. 1</w:t>
            </w:r>
          </w:p>
        </w:tc>
      </w:tr>
      <w:tr>
        <w:trPr>
          <w:trHeight w:val="1149" w:hRule="atLeast"/>
        </w:trPr>
        <w:tc>
          <w:tcPr>
            <w:tcW w:w="523" w:type="dxa"/>
          </w:tcPr>
          <w:p>
            <w:pPr>
              <w:pStyle w:val="TableParagraph"/>
              <w:rPr>
                <w:b/>
                <w:sz w:val="22"/>
              </w:rPr>
            </w:pPr>
          </w:p>
          <w:p>
            <w:pPr>
              <w:pStyle w:val="TableParagraph"/>
              <w:spacing w:before="196"/>
              <w:ind w:left="107"/>
              <w:rPr>
                <w:sz w:val="20"/>
              </w:rPr>
            </w:pPr>
            <w:r>
              <w:rPr>
                <w:sz w:val="20"/>
              </w:rPr>
              <w:t>13</w:t>
            </w:r>
          </w:p>
        </w:tc>
        <w:tc>
          <w:tcPr>
            <w:tcW w:w="1627" w:type="dxa"/>
          </w:tcPr>
          <w:p>
            <w:pPr>
              <w:pStyle w:val="TableParagraph"/>
              <w:rPr>
                <w:b/>
                <w:sz w:val="22"/>
              </w:rPr>
            </w:pPr>
          </w:p>
          <w:p>
            <w:pPr>
              <w:pStyle w:val="TableParagraph"/>
              <w:spacing w:before="196"/>
              <w:ind w:left="107"/>
              <w:rPr>
                <w:sz w:val="20"/>
              </w:rPr>
            </w:pPr>
            <w:r>
              <w:rPr>
                <w:sz w:val="20"/>
              </w:rPr>
              <w:t>29.05.2020</w:t>
            </w:r>
          </w:p>
        </w:tc>
        <w:tc>
          <w:tcPr>
            <w:tcW w:w="1776" w:type="dxa"/>
          </w:tcPr>
          <w:p>
            <w:pPr>
              <w:pStyle w:val="TableParagraph"/>
              <w:rPr>
                <w:b/>
                <w:sz w:val="22"/>
              </w:rPr>
            </w:pPr>
          </w:p>
          <w:p>
            <w:pPr>
              <w:pStyle w:val="TableParagraph"/>
              <w:spacing w:before="196"/>
              <w:ind w:left="105"/>
              <w:rPr>
                <w:sz w:val="20"/>
              </w:rPr>
            </w:pPr>
            <w:r>
              <w:rPr>
                <w:sz w:val="20"/>
                <w:shd w:fill="F6F6F6" w:color="auto" w:val="clear"/>
              </w:rPr>
              <w:t>РЗН 2020/10544</w:t>
            </w:r>
          </w:p>
        </w:tc>
        <w:tc>
          <w:tcPr>
            <w:tcW w:w="5995" w:type="dxa"/>
          </w:tcPr>
          <w:p>
            <w:pPr>
              <w:pStyle w:val="TableParagraph"/>
              <w:ind w:left="108" w:right="151"/>
              <w:rPr>
                <w:sz w:val="20"/>
              </w:rPr>
            </w:pPr>
            <w:r>
              <w:rPr>
                <w:sz w:val="20"/>
              </w:rPr>
              <w:t>Набор реагентов для качественного определения антител класса IgG к вирусу SARS-CoV-2 иммунохемилюминесцентным методом в сыворотке и плазме крови человека на иммунохимических анализаторах ARCHITECT "SARS-CoV-2 IgG Реагенты для</w:t>
            </w:r>
          </w:p>
          <w:p>
            <w:pPr>
              <w:pStyle w:val="TableParagraph"/>
              <w:spacing w:line="219" w:lineRule="exact"/>
              <w:ind w:left="108"/>
              <w:rPr>
                <w:sz w:val="20"/>
              </w:rPr>
            </w:pPr>
            <w:r>
              <w:rPr>
                <w:sz w:val="20"/>
              </w:rPr>
              <w:t>ARCHITECT (SARS-CoV-2 IgG Reagent Kit)"</w:t>
            </w:r>
          </w:p>
        </w:tc>
        <w:tc>
          <w:tcPr>
            <w:tcW w:w="2153" w:type="dxa"/>
          </w:tcPr>
          <w:p>
            <w:pPr>
              <w:pStyle w:val="TableParagraph"/>
              <w:spacing w:before="2"/>
              <w:rPr>
                <w:b/>
                <w:sz w:val="19"/>
              </w:rPr>
            </w:pPr>
          </w:p>
          <w:p>
            <w:pPr>
              <w:pStyle w:val="TableParagraph"/>
              <w:ind w:left="108" w:right="432"/>
              <w:rPr>
                <w:sz w:val="20"/>
              </w:rPr>
            </w:pPr>
            <w:r>
              <w:rPr>
                <w:sz w:val="20"/>
              </w:rPr>
              <w:t>"Эбботт Ирландия Диагностическое подразделение"</w:t>
            </w:r>
          </w:p>
        </w:tc>
        <w:tc>
          <w:tcPr>
            <w:tcW w:w="3060" w:type="dxa"/>
          </w:tcPr>
          <w:p>
            <w:pPr>
              <w:pStyle w:val="TableParagraph"/>
              <w:spacing w:before="2"/>
              <w:rPr>
                <w:b/>
                <w:sz w:val="19"/>
              </w:rPr>
            </w:pPr>
          </w:p>
          <w:p>
            <w:pPr>
              <w:pStyle w:val="TableParagraph"/>
              <w:ind w:left="108" w:right="427"/>
              <w:rPr>
                <w:sz w:val="20"/>
              </w:rPr>
            </w:pPr>
            <w:r>
              <w:rPr>
                <w:sz w:val="20"/>
                <w:shd w:fill="F6F6F6" w:color="auto" w:val="clear"/>
              </w:rPr>
              <w:t>Ирландия, Abbott Ireland</w:t>
            </w:r>
            <w:r>
              <w:rPr>
                <w:sz w:val="20"/>
              </w:rPr>
              <w:t> </w:t>
            </w:r>
            <w:r>
              <w:rPr>
                <w:sz w:val="20"/>
                <w:shd w:fill="F6F6F6" w:color="auto" w:val="clear"/>
              </w:rPr>
              <w:t>Diagnostics Division, Finisklin</w:t>
            </w:r>
            <w:r>
              <w:rPr>
                <w:sz w:val="20"/>
              </w:rPr>
              <w:t> </w:t>
            </w:r>
            <w:r>
              <w:rPr>
                <w:sz w:val="20"/>
                <w:shd w:fill="F6F6F6" w:color="auto" w:val="clear"/>
              </w:rPr>
              <w:t>Business Park, Sligo, Ireland</w:t>
            </w:r>
          </w:p>
        </w:tc>
      </w:tr>
      <w:tr>
        <w:trPr>
          <w:trHeight w:val="1177" w:hRule="atLeast"/>
        </w:trPr>
        <w:tc>
          <w:tcPr>
            <w:tcW w:w="523" w:type="dxa"/>
            <w:shd w:val="clear" w:color="auto" w:fill="F1F1F1"/>
          </w:tcPr>
          <w:p>
            <w:pPr>
              <w:pStyle w:val="TableParagraph"/>
              <w:rPr>
                <w:b/>
                <w:sz w:val="22"/>
              </w:rPr>
            </w:pPr>
          </w:p>
          <w:p>
            <w:pPr>
              <w:pStyle w:val="TableParagraph"/>
              <w:spacing w:before="5"/>
              <w:rPr>
                <w:b/>
                <w:sz w:val="18"/>
              </w:rPr>
            </w:pPr>
          </w:p>
          <w:p>
            <w:pPr>
              <w:pStyle w:val="TableParagraph"/>
              <w:spacing w:before="1"/>
              <w:ind w:left="107"/>
              <w:rPr>
                <w:sz w:val="20"/>
              </w:rPr>
            </w:pPr>
            <w:r>
              <w:rPr>
                <w:sz w:val="20"/>
              </w:rPr>
              <w:t>14</w:t>
            </w:r>
          </w:p>
        </w:tc>
        <w:tc>
          <w:tcPr>
            <w:tcW w:w="1627" w:type="dxa"/>
            <w:shd w:val="clear" w:color="auto" w:fill="F1F1F1"/>
          </w:tcPr>
          <w:p>
            <w:pPr>
              <w:pStyle w:val="TableParagraph"/>
              <w:rPr>
                <w:b/>
                <w:sz w:val="22"/>
              </w:rPr>
            </w:pPr>
          </w:p>
          <w:p>
            <w:pPr>
              <w:pStyle w:val="TableParagraph"/>
              <w:spacing w:before="5"/>
              <w:rPr>
                <w:b/>
                <w:sz w:val="18"/>
              </w:rPr>
            </w:pPr>
          </w:p>
          <w:p>
            <w:pPr>
              <w:pStyle w:val="TableParagraph"/>
              <w:spacing w:before="1"/>
              <w:ind w:left="107"/>
              <w:rPr>
                <w:sz w:val="20"/>
              </w:rPr>
            </w:pPr>
            <w:r>
              <w:rPr>
                <w:sz w:val="20"/>
                <w:shd w:fill="FFFFFF" w:color="auto" w:val="clear"/>
              </w:rPr>
              <w:t>03.06.2020</w:t>
            </w:r>
          </w:p>
        </w:tc>
        <w:tc>
          <w:tcPr>
            <w:tcW w:w="1776" w:type="dxa"/>
            <w:shd w:val="clear" w:color="auto" w:fill="F6F6F6"/>
          </w:tcPr>
          <w:p>
            <w:pPr>
              <w:pStyle w:val="TableParagraph"/>
              <w:rPr>
                <w:b/>
                <w:sz w:val="22"/>
              </w:rPr>
            </w:pPr>
          </w:p>
          <w:p>
            <w:pPr>
              <w:pStyle w:val="TableParagraph"/>
              <w:spacing w:before="5"/>
              <w:rPr>
                <w:b/>
                <w:sz w:val="18"/>
              </w:rPr>
            </w:pPr>
          </w:p>
          <w:p>
            <w:pPr>
              <w:pStyle w:val="TableParagraph"/>
              <w:spacing w:before="1"/>
              <w:ind w:left="105"/>
              <w:rPr>
                <w:sz w:val="20"/>
              </w:rPr>
            </w:pPr>
            <w:r>
              <w:rPr>
                <w:sz w:val="20"/>
              </w:rPr>
              <w:t>РЗН 2020/10642</w:t>
            </w:r>
          </w:p>
        </w:tc>
        <w:tc>
          <w:tcPr>
            <w:tcW w:w="5995" w:type="dxa"/>
            <w:shd w:val="clear" w:color="auto" w:fill="F1F1F1"/>
          </w:tcPr>
          <w:p>
            <w:pPr>
              <w:pStyle w:val="TableParagraph"/>
              <w:spacing w:before="9"/>
              <w:rPr>
                <w:b/>
                <w:sz w:val="19"/>
              </w:rPr>
            </w:pPr>
          </w:p>
          <w:p>
            <w:pPr>
              <w:pStyle w:val="TableParagraph"/>
              <w:ind w:left="117" w:right="244"/>
              <w:rPr>
                <w:sz w:val="20"/>
              </w:rPr>
            </w:pPr>
            <w:r>
              <w:rPr>
                <w:sz w:val="20"/>
              </w:rPr>
              <w:t>Набор реагентов для выявления антител класса G к коронавирусу SARS-CoV-2 (COVID-19) методом иммуноферментного анализа ("ДС-ИФА-АНТИ-SARS-CoV-2-G")</w:t>
            </w:r>
          </w:p>
        </w:tc>
        <w:tc>
          <w:tcPr>
            <w:tcW w:w="2153" w:type="dxa"/>
            <w:shd w:val="clear" w:color="auto" w:fill="F1F1F1"/>
          </w:tcPr>
          <w:p>
            <w:pPr>
              <w:pStyle w:val="TableParagraph"/>
              <w:spacing w:before="9"/>
              <w:rPr>
                <w:b/>
                <w:sz w:val="19"/>
              </w:rPr>
            </w:pPr>
          </w:p>
          <w:p>
            <w:pPr>
              <w:pStyle w:val="TableParagraph"/>
              <w:ind w:left="118"/>
              <w:rPr>
                <w:sz w:val="20"/>
              </w:rPr>
            </w:pPr>
            <w:r>
              <w:rPr>
                <w:sz w:val="20"/>
              </w:rPr>
              <w:t>ООО "НПО</w:t>
            </w:r>
          </w:p>
          <w:p>
            <w:pPr>
              <w:pStyle w:val="TableParagraph"/>
              <w:spacing w:before="1"/>
              <w:ind w:left="118"/>
              <w:rPr>
                <w:sz w:val="20"/>
              </w:rPr>
            </w:pPr>
            <w:r>
              <w:rPr>
                <w:w w:val="95"/>
                <w:sz w:val="20"/>
              </w:rPr>
              <w:t>"Диагностические </w:t>
            </w:r>
            <w:r>
              <w:rPr>
                <w:sz w:val="20"/>
              </w:rPr>
              <w:t>системы"</w:t>
            </w:r>
          </w:p>
        </w:tc>
        <w:tc>
          <w:tcPr>
            <w:tcW w:w="3060" w:type="dxa"/>
            <w:shd w:val="clear" w:color="auto" w:fill="F1F1F1"/>
          </w:tcPr>
          <w:p>
            <w:pPr>
              <w:pStyle w:val="TableParagraph"/>
              <w:spacing w:before="9"/>
              <w:rPr>
                <w:b/>
                <w:sz w:val="19"/>
              </w:rPr>
            </w:pPr>
          </w:p>
          <w:p>
            <w:pPr>
              <w:pStyle w:val="TableParagraph"/>
              <w:ind w:left="117" w:right="324"/>
              <w:rPr>
                <w:sz w:val="20"/>
              </w:rPr>
            </w:pPr>
            <w:r>
              <w:rPr>
                <w:sz w:val="20"/>
              </w:rPr>
              <w:t>603093, Россия, г. Нижний Новгород, ул. Яблонева, д. 22, а/я 69</w:t>
            </w:r>
          </w:p>
        </w:tc>
      </w:tr>
    </w:tbl>
    <w:p>
      <w:pPr>
        <w:spacing w:after="0"/>
        <w:rPr>
          <w:sz w:val="20"/>
        </w:rPr>
        <w:sectPr>
          <w:pgSz w:w="16850" w:h="11920" w:orient="landscape"/>
          <w:pgMar w:header="0" w:footer="1110" w:top="1040" w:bottom="1300" w:left="880" w:right="360"/>
        </w:sectPr>
      </w:pPr>
    </w:p>
    <w:tbl>
      <w:tblPr>
        <w:tblW w:w="0" w:type="auto"/>
        <w:jc w:val="left"/>
        <w:tblInd w:w="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23"/>
        <w:gridCol w:w="1627"/>
        <w:gridCol w:w="1776"/>
        <w:gridCol w:w="5995"/>
        <w:gridCol w:w="2153"/>
        <w:gridCol w:w="3060"/>
      </w:tblGrid>
      <w:tr>
        <w:trPr>
          <w:trHeight w:val="1177" w:hRule="atLeast"/>
        </w:trPr>
        <w:tc>
          <w:tcPr>
            <w:tcW w:w="523" w:type="dxa"/>
          </w:tcPr>
          <w:p>
            <w:pPr>
              <w:pStyle w:val="TableParagraph"/>
              <w:rPr>
                <w:b/>
                <w:sz w:val="22"/>
              </w:rPr>
            </w:pPr>
          </w:p>
          <w:p>
            <w:pPr>
              <w:pStyle w:val="TableParagraph"/>
              <w:spacing w:before="5"/>
              <w:rPr>
                <w:b/>
                <w:sz w:val="18"/>
              </w:rPr>
            </w:pPr>
          </w:p>
          <w:p>
            <w:pPr>
              <w:pStyle w:val="TableParagraph"/>
              <w:spacing w:before="1"/>
              <w:ind w:left="107"/>
              <w:rPr>
                <w:sz w:val="20"/>
              </w:rPr>
            </w:pPr>
            <w:r>
              <w:rPr>
                <w:sz w:val="20"/>
              </w:rPr>
              <w:t>15</w:t>
            </w:r>
          </w:p>
        </w:tc>
        <w:tc>
          <w:tcPr>
            <w:tcW w:w="1627" w:type="dxa"/>
          </w:tcPr>
          <w:p>
            <w:pPr>
              <w:pStyle w:val="TableParagraph"/>
              <w:rPr>
                <w:b/>
                <w:sz w:val="22"/>
              </w:rPr>
            </w:pPr>
          </w:p>
          <w:p>
            <w:pPr>
              <w:pStyle w:val="TableParagraph"/>
              <w:spacing w:before="10"/>
              <w:rPr>
                <w:b/>
                <w:sz w:val="17"/>
              </w:rPr>
            </w:pPr>
          </w:p>
          <w:p>
            <w:pPr>
              <w:pStyle w:val="TableParagraph"/>
              <w:ind w:left="117"/>
              <w:rPr>
                <w:sz w:val="20"/>
              </w:rPr>
            </w:pPr>
            <w:r>
              <w:rPr>
                <w:sz w:val="20"/>
              </w:rPr>
              <w:t>04.06.2020</w:t>
            </w:r>
          </w:p>
        </w:tc>
        <w:tc>
          <w:tcPr>
            <w:tcW w:w="1776" w:type="dxa"/>
          </w:tcPr>
          <w:p>
            <w:pPr>
              <w:pStyle w:val="TableParagraph"/>
              <w:rPr>
                <w:b/>
                <w:sz w:val="22"/>
              </w:rPr>
            </w:pPr>
          </w:p>
          <w:p>
            <w:pPr>
              <w:pStyle w:val="TableParagraph"/>
              <w:spacing w:before="10"/>
              <w:rPr>
                <w:b/>
                <w:sz w:val="17"/>
              </w:rPr>
            </w:pPr>
          </w:p>
          <w:p>
            <w:pPr>
              <w:pStyle w:val="TableParagraph"/>
              <w:ind w:left="115"/>
              <w:rPr>
                <w:sz w:val="20"/>
              </w:rPr>
            </w:pPr>
            <w:r>
              <w:rPr>
                <w:sz w:val="20"/>
              </w:rPr>
              <w:t>РЗН 2020/10722</w:t>
            </w:r>
          </w:p>
        </w:tc>
        <w:tc>
          <w:tcPr>
            <w:tcW w:w="5995" w:type="dxa"/>
          </w:tcPr>
          <w:p>
            <w:pPr>
              <w:pStyle w:val="TableParagraph"/>
              <w:spacing w:before="10"/>
              <w:rPr>
                <w:b/>
                <w:sz w:val="29"/>
              </w:rPr>
            </w:pPr>
          </w:p>
          <w:p>
            <w:pPr>
              <w:pStyle w:val="TableParagraph"/>
              <w:ind w:left="117" w:right="121"/>
              <w:rPr>
                <w:sz w:val="20"/>
              </w:rPr>
            </w:pPr>
            <w:r>
              <w:rPr>
                <w:sz w:val="20"/>
              </w:rPr>
              <w:t>«Антигма-А» набор реагентов для иммуноферментного выявления антител класса А (IgA) к вирусу SARS-CoV-2</w:t>
            </w:r>
          </w:p>
        </w:tc>
        <w:tc>
          <w:tcPr>
            <w:tcW w:w="2153" w:type="dxa"/>
          </w:tcPr>
          <w:p>
            <w:pPr>
              <w:pStyle w:val="TableParagraph"/>
              <w:rPr>
                <w:b/>
                <w:sz w:val="22"/>
              </w:rPr>
            </w:pPr>
          </w:p>
          <w:p>
            <w:pPr>
              <w:pStyle w:val="TableParagraph"/>
              <w:spacing w:before="10"/>
              <w:rPr>
                <w:b/>
                <w:sz w:val="17"/>
              </w:rPr>
            </w:pPr>
          </w:p>
          <w:p>
            <w:pPr>
              <w:pStyle w:val="TableParagraph"/>
              <w:ind w:left="117"/>
              <w:rPr>
                <w:sz w:val="20"/>
              </w:rPr>
            </w:pPr>
            <w:r>
              <w:rPr>
                <w:sz w:val="20"/>
              </w:rPr>
              <w:t>АО "ГЕНЕРИУМ"</w:t>
            </w:r>
          </w:p>
        </w:tc>
        <w:tc>
          <w:tcPr>
            <w:tcW w:w="3060" w:type="dxa"/>
          </w:tcPr>
          <w:p>
            <w:pPr>
              <w:pStyle w:val="TableParagraph"/>
              <w:spacing w:before="113"/>
              <w:ind w:left="117" w:right="114"/>
              <w:rPr>
                <w:sz w:val="20"/>
              </w:rPr>
            </w:pPr>
            <w:r>
              <w:rPr>
                <w:sz w:val="20"/>
              </w:rPr>
              <w:t>601125, Россия, Владимирская область, Петушинский район, п. Вольгинский, ул. Заводская, стр. 273</w:t>
            </w:r>
          </w:p>
        </w:tc>
      </w:tr>
      <w:tr>
        <w:trPr>
          <w:trHeight w:val="705" w:hRule="atLeast"/>
        </w:trPr>
        <w:tc>
          <w:tcPr>
            <w:tcW w:w="523" w:type="dxa"/>
            <w:shd w:val="clear" w:color="auto" w:fill="F1F1F1"/>
          </w:tcPr>
          <w:p>
            <w:pPr>
              <w:pStyle w:val="TableParagraph"/>
              <w:spacing w:before="9"/>
              <w:rPr>
                <w:b/>
                <w:sz w:val="19"/>
              </w:rPr>
            </w:pPr>
          </w:p>
          <w:p>
            <w:pPr>
              <w:pStyle w:val="TableParagraph"/>
              <w:ind w:left="107"/>
              <w:rPr>
                <w:sz w:val="20"/>
              </w:rPr>
            </w:pPr>
            <w:r>
              <w:rPr>
                <w:sz w:val="20"/>
              </w:rPr>
              <w:t>16</w:t>
            </w:r>
          </w:p>
        </w:tc>
        <w:tc>
          <w:tcPr>
            <w:tcW w:w="1627" w:type="dxa"/>
            <w:shd w:val="clear" w:color="auto" w:fill="F1F1F1"/>
          </w:tcPr>
          <w:p>
            <w:pPr>
              <w:pStyle w:val="TableParagraph"/>
              <w:spacing w:before="2"/>
              <w:rPr>
                <w:b/>
                <w:sz w:val="19"/>
              </w:rPr>
            </w:pPr>
          </w:p>
          <w:p>
            <w:pPr>
              <w:pStyle w:val="TableParagraph"/>
              <w:ind w:left="117"/>
              <w:rPr>
                <w:sz w:val="20"/>
              </w:rPr>
            </w:pPr>
            <w:r>
              <w:rPr>
                <w:sz w:val="20"/>
              </w:rPr>
              <w:t>17.06.2020</w:t>
            </w:r>
          </w:p>
        </w:tc>
        <w:tc>
          <w:tcPr>
            <w:tcW w:w="1776" w:type="dxa"/>
            <w:shd w:val="clear" w:color="auto" w:fill="F1F1F1"/>
          </w:tcPr>
          <w:p>
            <w:pPr>
              <w:pStyle w:val="TableParagraph"/>
              <w:spacing w:before="2"/>
              <w:rPr>
                <w:b/>
                <w:sz w:val="19"/>
              </w:rPr>
            </w:pPr>
          </w:p>
          <w:p>
            <w:pPr>
              <w:pStyle w:val="TableParagraph"/>
              <w:ind w:left="115"/>
              <w:rPr>
                <w:sz w:val="20"/>
              </w:rPr>
            </w:pPr>
            <w:r>
              <w:rPr>
                <w:sz w:val="20"/>
              </w:rPr>
              <w:t>РЗН 2020/10815</w:t>
            </w:r>
          </w:p>
        </w:tc>
        <w:tc>
          <w:tcPr>
            <w:tcW w:w="5995" w:type="dxa"/>
            <w:shd w:val="clear" w:color="auto" w:fill="F1F1F1"/>
          </w:tcPr>
          <w:p>
            <w:pPr>
              <w:pStyle w:val="TableParagraph"/>
              <w:ind w:left="117" w:right="665"/>
              <w:rPr>
                <w:sz w:val="20"/>
              </w:rPr>
            </w:pPr>
            <w:r>
              <w:rPr>
                <w:sz w:val="20"/>
              </w:rPr>
              <w:t>Набор реагентов для иммуноферментного определения IgG антител к антигену SARS-CoV-2 в сыворотке (плазме) крови "SARS-СоV-2-IgG-ИФА"</w:t>
            </w:r>
          </w:p>
        </w:tc>
        <w:tc>
          <w:tcPr>
            <w:tcW w:w="2153" w:type="dxa"/>
            <w:shd w:val="clear" w:color="auto" w:fill="F1F1F1"/>
          </w:tcPr>
          <w:p>
            <w:pPr>
              <w:pStyle w:val="TableParagraph"/>
              <w:spacing w:line="221" w:lineRule="exact"/>
              <w:ind w:left="118"/>
              <w:rPr>
                <w:sz w:val="20"/>
              </w:rPr>
            </w:pPr>
            <w:r>
              <w:rPr>
                <w:sz w:val="20"/>
              </w:rPr>
              <w:t>ФГБУ "НМИЦ</w:t>
            </w:r>
          </w:p>
          <w:p>
            <w:pPr>
              <w:pStyle w:val="TableParagraph"/>
              <w:ind w:left="118" w:right="407"/>
              <w:rPr>
                <w:sz w:val="20"/>
              </w:rPr>
            </w:pPr>
            <w:r>
              <w:rPr>
                <w:sz w:val="20"/>
              </w:rPr>
              <w:t>гематологии" Минздрава России</w:t>
            </w:r>
          </w:p>
        </w:tc>
        <w:tc>
          <w:tcPr>
            <w:tcW w:w="3060" w:type="dxa"/>
            <w:shd w:val="clear" w:color="auto" w:fill="F1F1F1"/>
          </w:tcPr>
          <w:p>
            <w:pPr>
              <w:pStyle w:val="TableParagraph"/>
              <w:spacing w:before="106"/>
              <w:ind w:left="117" w:right="450"/>
              <w:rPr>
                <w:sz w:val="20"/>
              </w:rPr>
            </w:pPr>
            <w:r>
              <w:rPr>
                <w:sz w:val="20"/>
              </w:rPr>
              <w:t>125167, Россия, г. Москва, Новый Зыковский пр-зд, д. 4</w:t>
            </w:r>
          </w:p>
        </w:tc>
      </w:tr>
      <w:tr>
        <w:trPr>
          <w:trHeight w:val="1393" w:hRule="atLeast"/>
        </w:trPr>
        <w:tc>
          <w:tcPr>
            <w:tcW w:w="523" w:type="dxa"/>
          </w:tcPr>
          <w:p>
            <w:pPr>
              <w:pStyle w:val="TableParagraph"/>
              <w:rPr>
                <w:b/>
                <w:sz w:val="22"/>
              </w:rPr>
            </w:pPr>
          </w:p>
          <w:p>
            <w:pPr>
              <w:pStyle w:val="TableParagraph"/>
              <w:spacing w:before="8"/>
              <w:rPr>
                <w:b/>
                <w:sz w:val="27"/>
              </w:rPr>
            </w:pPr>
          </w:p>
          <w:p>
            <w:pPr>
              <w:pStyle w:val="TableParagraph"/>
              <w:ind w:left="107"/>
              <w:rPr>
                <w:sz w:val="20"/>
              </w:rPr>
            </w:pPr>
            <w:r>
              <w:rPr>
                <w:sz w:val="20"/>
              </w:rPr>
              <w:t>17</w:t>
            </w:r>
          </w:p>
        </w:tc>
        <w:tc>
          <w:tcPr>
            <w:tcW w:w="1627" w:type="dxa"/>
          </w:tcPr>
          <w:p>
            <w:pPr>
              <w:pStyle w:val="TableParagraph"/>
              <w:rPr>
                <w:b/>
                <w:sz w:val="22"/>
              </w:rPr>
            </w:pPr>
          </w:p>
          <w:p>
            <w:pPr>
              <w:pStyle w:val="TableParagraph"/>
              <w:rPr>
                <w:b/>
                <w:sz w:val="27"/>
              </w:rPr>
            </w:pPr>
          </w:p>
          <w:p>
            <w:pPr>
              <w:pStyle w:val="TableParagraph"/>
              <w:spacing w:before="1"/>
              <w:ind w:left="117"/>
              <w:rPr>
                <w:sz w:val="20"/>
              </w:rPr>
            </w:pPr>
            <w:r>
              <w:rPr>
                <w:sz w:val="20"/>
              </w:rPr>
              <w:t>17.06.2020</w:t>
            </w:r>
          </w:p>
        </w:tc>
        <w:tc>
          <w:tcPr>
            <w:tcW w:w="1776" w:type="dxa"/>
          </w:tcPr>
          <w:p>
            <w:pPr>
              <w:pStyle w:val="TableParagraph"/>
              <w:rPr>
                <w:b/>
                <w:sz w:val="22"/>
              </w:rPr>
            </w:pPr>
          </w:p>
          <w:p>
            <w:pPr>
              <w:pStyle w:val="TableParagraph"/>
              <w:rPr>
                <w:b/>
                <w:sz w:val="27"/>
              </w:rPr>
            </w:pPr>
          </w:p>
          <w:p>
            <w:pPr>
              <w:pStyle w:val="TableParagraph"/>
              <w:spacing w:before="1"/>
              <w:ind w:left="115"/>
              <w:rPr>
                <w:sz w:val="20"/>
              </w:rPr>
            </w:pPr>
            <w:r>
              <w:rPr>
                <w:sz w:val="20"/>
              </w:rPr>
              <w:t>РЗН 2020/10878</w:t>
            </w:r>
          </w:p>
        </w:tc>
        <w:tc>
          <w:tcPr>
            <w:tcW w:w="5995" w:type="dxa"/>
          </w:tcPr>
          <w:p>
            <w:pPr>
              <w:pStyle w:val="TableParagraph"/>
              <w:ind w:left="117" w:right="298"/>
              <w:rPr>
                <w:sz w:val="20"/>
              </w:rPr>
            </w:pPr>
            <w:r>
              <w:rPr>
                <w:sz w:val="20"/>
              </w:rPr>
              <w:t>Набор реагентов и калибраторов для качественного определения общих антител IgM/IgG к SARS-CoV-2 иммунохемилюминесцентным методом в сыворотке и плазме крови на анализаторах и модулях иммунохимических cobas е (Elecsys Anti-SARS-CoV-2 cobas е analyzers/ACOV2), серия: 49629801</w:t>
            </w:r>
          </w:p>
        </w:tc>
        <w:tc>
          <w:tcPr>
            <w:tcW w:w="2153" w:type="dxa"/>
          </w:tcPr>
          <w:p>
            <w:pPr>
              <w:pStyle w:val="TableParagraph"/>
              <w:rPr>
                <w:b/>
                <w:sz w:val="22"/>
              </w:rPr>
            </w:pPr>
          </w:p>
          <w:p>
            <w:pPr>
              <w:pStyle w:val="TableParagraph"/>
              <w:spacing w:before="196"/>
              <w:ind w:left="118"/>
              <w:rPr>
                <w:sz w:val="20"/>
              </w:rPr>
            </w:pPr>
            <w:r>
              <w:rPr>
                <w:sz w:val="20"/>
              </w:rPr>
              <w:t>"Рош Диагностикс ГмбХ"</w:t>
            </w:r>
          </w:p>
        </w:tc>
        <w:tc>
          <w:tcPr>
            <w:tcW w:w="3060" w:type="dxa"/>
          </w:tcPr>
          <w:p>
            <w:pPr>
              <w:pStyle w:val="TableParagraph"/>
              <w:rPr>
                <w:b/>
                <w:sz w:val="29"/>
              </w:rPr>
            </w:pPr>
          </w:p>
          <w:p>
            <w:pPr>
              <w:pStyle w:val="TableParagraph"/>
              <w:ind w:left="117" w:right="445"/>
              <w:jc w:val="both"/>
              <w:rPr>
                <w:sz w:val="20"/>
              </w:rPr>
            </w:pPr>
            <w:r>
              <w:rPr>
                <w:sz w:val="20"/>
              </w:rPr>
              <w:t>Германия, Roche Diagnostics GmbH, Sandhofer Strasse 116, 68305 Mannheim, Germany</w:t>
            </w:r>
          </w:p>
        </w:tc>
      </w:tr>
      <w:tr>
        <w:trPr>
          <w:trHeight w:val="1393" w:hRule="atLeast"/>
        </w:trPr>
        <w:tc>
          <w:tcPr>
            <w:tcW w:w="523" w:type="dxa"/>
            <w:shd w:val="clear" w:color="auto" w:fill="F1F1F1"/>
          </w:tcPr>
          <w:p>
            <w:pPr>
              <w:pStyle w:val="TableParagraph"/>
              <w:rPr>
                <w:b/>
                <w:sz w:val="22"/>
              </w:rPr>
            </w:pPr>
          </w:p>
          <w:p>
            <w:pPr>
              <w:pStyle w:val="TableParagraph"/>
              <w:spacing w:before="8"/>
              <w:rPr>
                <w:b/>
                <w:sz w:val="27"/>
              </w:rPr>
            </w:pPr>
          </w:p>
          <w:p>
            <w:pPr>
              <w:pStyle w:val="TableParagraph"/>
              <w:ind w:left="107"/>
              <w:rPr>
                <w:sz w:val="20"/>
              </w:rPr>
            </w:pPr>
            <w:r>
              <w:rPr>
                <w:sz w:val="20"/>
              </w:rPr>
              <w:t>18</w:t>
            </w:r>
          </w:p>
        </w:tc>
        <w:tc>
          <w:tcPr>
            <w:tcW w:w="1627" w:type="dxa"/>
            <w:shd w:val="clear" w:color="auto" w:fill="F1F1F1"/>
          </w:tcPr>
          <w:p>
            <w:pPr>
              <w:pStyle w:val="TableParagraph"/>
              <w:rPr>
                <w:b/>
                <w:sz w:val="22"/>
              </w:rPr>
            </w:pPr>
          </w:p>
          <w:p>
            <w:pPr>
              <w:pStyle w:val="TableParagraph"/>
              <w:rPr>
                <w:b/>
                <w:sz w:val="27"/>
              </w:rPr>
            </w:pPr>
          </w:p>
          <w:p>
            <w:pPr>
              <w:pStyle w:val="TableParagraph"/>
              <w:spacing w:before="1"/>
              <w:ind w:left="117"/>
              <w:rPr>
                <w:sz w:val="20"/>
              </w:rPr>
            </w:pPr>
            <w:r>
              <w:rPr>
                <w:sz w:val="20"/>
              </w:rPr>
              <w:t>18.06.2020</w:t>
            </w:r>
          </w:p>
        </w:tc>
        <w:tc>
          <w:tcPr>
            <w:tcW w:w="1776" w:type="dxa"/>
            <w:shd w:val="clear" w:color="auto" w:fill="F1F1F1"/>
          </w:tcPr>
          <w:p>
            <w:pPr>
              <w:pStyle w:val="TableParagraph"/>
              <w:rPr>
                <w:b/>
                <w:sz w:val="22"/>
              </w:rPr>
            </w:pPr>
          </w:p>
          <w:p>
            <w:pPr>
              <w:pStyle w:val="TableParagraph"/>
              <w:rPr>
                <w:b/>
                <w:sz w:val="27"/>
              </w:rPr>
            </w:pPr>
          </w:p>
          <w:p>
            <w:pPr>
              <w:pStyle w:val="TableParagraph"/>
              <w:spacing w:before="1"/>
              <w:ind w:left="115"/>
              <w:rPr>
                <w:sz w:val="20"/>
              </w:rPr>
            </w:pPr>
            <w:r>
              <w:rPr>
                <w:sz w:val="20"/>
              </w:rPr>
              <w:t>РЗН 2020/10876</w:t>
            </w:r>
          </w:p>
        </w:tc>
        <w:tc>
          <w:tcPr>
            <w:tcW w:w="5995" w:type="dxa"/>
            <w:shd w:val="clear" w:color="auto" w:fill="F1F1F1"/>
          </w:tcPr>
          <w:p>
            <w:pPr>
              <w:pStyle w:val="TableParagraph"/>
              <w:rPr>
                <w:b/>
                <w:sz w:val="19"/>
              </w:rPr>
            </w:pPr>
          </w:p>
          <w:p>
            <w:pPr>
              <w:pStyle w:val="TableParagraph"/>
              <w:ind w:left="117" w:right="483"/>
              <w:rPr>
                <w:sz w:val="20"/>
              </w:rPr>
            </w:pPr>
            <w:r>
              <w:rPr>
                <w:sz w:val="20"/>
              </w:rPr>
              <w:t>Набор реагентов для определения антител IgM к штамму SARS-CoV-2 коронавируса иммунохемилюминесцентным методом в клиническом образце на анализаторах серии CL для диагностики in vitro</w:t>
            </w:r>
          </w:p>
        </w:tc>
        <w:tc>
          <w:tcPr>
            <w:tcW w:w="2153" w:type="dxa"/>
            <w:shd w:val="clear" w:color="auto" w:fill="F1F1F1"/>
          </w:tcPr>
          <w:p>
            <w:pPr>
              <w:pStyle w:val="TableParagraph"/>
              <w:rPr>
                <w:b/>
                <w:sz w:val="19"/>
              </w:rPr>
            </w:pPr>
          </w:p>
          <w:p>
            <w:pPr>
              <w:pStyle w:val="TableParagraph"/>
              <w:ind w:left="118" w:right="88"/>
              <w:rPr>
                <w:sz w:val="20"/>
              </w:rPr>
            </w:pPr>
            <w:r>
              <w:rPr>
                <w:sz w:val="20"/>
              </w:rPr>
              <w:t>"Шэньчжэнь Майндрэй Био- Медикал Электроникс Ко., Лтд."</w:t>
            </w:r>
          </w:p>
        </w:tc>
        <w:tc>
          <w:tcPr>
            <w:tcW w:w="3060" w:type="dxa"/>
            <w:shd w:val="clear" w:color="auto" w:fill="F1F1F1"/>
          </w:tcPr>
          <w:p>
            <w:pPr>
              <w:pStyle w:val="TableParagraph"/>
              <w:ind w:left="117" w:right="152"/>
              <w:rPr>
                <w:sz w:val="20"/>
              </w:rPr>
            </w:pPr>
            <w:r>
              <w:rPr>
                <w:sz w:val="20"/>
              </w:rPr>
              <w:t>КНР, Shenzhen Mindray Bio- Medical Electronics Co., Ltd., Mindray Building, Keji 12th Road South, High-Tech Industrial Park, Nanshan, Shenzhen 518057, P.R. of China</w:t>
            </w:r>
          </w:p>
        </w:tc>
      </w:tr>
      <w:tr>
        <w:trPr>
          <w:trHeight w:val="1391" w:hRule="atLeast"/>
        </w:trPr>
        <w:tc>
          <w:tcPr>
            <w:tcW w:w="523" w:type="dxa"/>
          </w:tcPr>
          <w:p>
            <w:pPr>
              <w:pStyle w:val="TableParagraph"/>
              <w:rPr>
                <w:b/>
                <w:sz w:val="22"/>
              </w:rPr>
            </w:pPr>
          </w:p>
          <w:p>
            <w:pPr>
              <w:pStyle w:val="TableParagraph"/>
              <w:spacing w:before="8"/>
              <w:rPr>
                <w:b/>
                <w:sz w:val="27"/>
              </w:rPr>
            </w:pPr>
          </w:p>
          <w:p>
            <w:pPr>
              <w:pStyle w:val="TableParagraph"/>
              <w:ind w:left="107"/>
              <w:rPr>
                <w:sz w:val="20"/>
              </w:rPr>
            </w:pPr>
            <w:r>
              <w:rPr>
                <w:sz w:val="20"/>
              </w:rPr>
              <w:t>19</w:t>
            </w:r>
          </w:p>
        </w:tc>
        <w:tc>
          <w:tcPr>
            <w:tcW w:w="1627" w:type="dxa"/>
          </w:tcPr>
          <w:p>
            <w:pPr>
              <w:pStyle w:val="TableParagraph"/>
              <w:rPr>
                <w:b/>
                <w:sz w:val="22"/>
              </w:rPr>
            </w:pPr>
          </w:p>
          <w:p>
            <w:pPr>
              <w:pStyle w:val="TableParagraph"/>
              <w:rPr>
                <w:b/>
                <w:sz w:val="27"/>
              </w:rPr>
            </w:pPr>
          </w:p>
          <w:p>
            <w:pPr>
              <w:pStyle w:val="TableParagraph"/>
              <w:spacing w:before="1"/>
              <w:ind w:left="117"/>
              <w:rPr>
                <w:sz w:val="20"/>
              </w:rPr>
            </w:pPr>
            <w:r>
              <w:rPr>
                <w:sz w:val="20"/>
              </w:rPr>
              <w:t>19.06.2020</w:t>
            </w:r>
          </w:p>
        </w:tc>
        <w:tc>
          <w:tcPr>
            <w:tcW w:w="1776" w:type="dxa"/>
          </w:tcPr>
          <w:p>
            <w:pPr>
              <w:pStyle w:val="TableParagraph"/>
              <w:rPr>
                <w:b/>
                <w:sz w:val="22"/>
              </w:rPr>
            </w:pPr>
          </w:p>
          <w:p>
            <w:pPr>
              <w:pStyle w:val="TableParagraph"/>
              <w:rPr>
                <w:b/>
                <w:sz w:val="27"/>
              </w:rPr>
            </w:pPr>
          </w:p>
          <w:p>
            <w:pPr>
              <w:pStyle w:val="TableParagraph"/>
              <w:spacing w:before="1"/>
              <w:ind w:left="115"/>
              <w:rPr>
                <w:sz w:val="20"/>
              </w:rPr>
            </w:pPr>
            <w:r>
              <w:rPr>
                <w:sz w:val="20"/>
              </w:rPr>
              <w:t>РЗН 2020/10937</w:t>
            </w:r>
          </w:p>
        </w:tc>
        <w:tc>
          <w:tcPr>
            <w:tcW w:w="5995" w:type="dxa"/>
          </w:tcPr>
          <w:p>
            <w:pPr>
              <w:pStyle w:val="TableParagraph"/>
              <w:ind w:left="117" w:right="298"/>
              <w:rPr>
                <w:sz w:val="20"/>
              </w:rPr>
            </w:pPr>
            <w:r>
              <w:rPr>
                <w:sz w:val="20"/>
              </w:rPr>
              <w:t>Набор реагентов и калибраторов для качественного определения общих антител IgM/IgG к SARS-CoV-2 иммунохемилюминесцентным методом в сыворотке и плазме крови на анализаторах и модулях иммунохимических cobas e (Elecsys Anti-SARS-CoV-2 cobas e analyzers/ACOV2), 200 тестов, серия: 49546401</w:t>
            </w:r>
          </w:p>
        </w:tc>
        <w:tc>
          <w:tcPr>
            <w:tcW w:w="2153" w:type="dxa"/>
          </w:tcPr>
          <w:p>
            <w:pPr>
              <w:pStyle w:val="TableParagraph"/>
              <w:rPr>
                <w:b/>
                <w:sz w:val="22"/>
              </w:rPr>
            </w:pPr>
          </w:p>
          <w:p>
            <w:pPr>
              <w:pStyle w:val="TableParagraph"/>
              <w:spacing w:before="196"/>
              <w:ind w:left="118"/>
              <w:rPr>
                <w:sz w:val="20"/>
              </w:rPr>
            </w:pPr>
            <w:r>
              <w:rPr>
                <w:sz w:val="20"/>
              </w:rPr>
              <w:t>"Рош Диагностикс ГмбХ"</w:t>
            </w:r>
          </w:p>
        </w:tc>
        <w:tc>
          <w:tcPr>
            <w:tcW w:w="3060" w:type="dxa"/>
          </w:tcPr>
          <w:p>
            <w:pPr>
              <w:pStyle w:val="TableParagraph"/>
              <w:rPr>
                <w:b/>
                <w:sz w:val="29"/>
              </w:rPr>
            </w:pPr>
          </w:p>
          <w:p>
            <w:pPr>
              <w:pStyle w:val="TableParagraph"/>
              <w:ind w:left="117" w:right="445" w:hanging="1"/>
              <w:jc w:val="both"/>
              <w:rPr>
                <w:sz w:val="20"/>
              </w:rPr>
            </w:pPr>
            <w:r>
              <w:rPr>
                <w:sz w:val="20"/>
              </w:rPr>
              <w:t>Германия, Roche Diagnostics GmbH, Sandhofer Strasse 116, 68305 Mannheim, Germany</w:t>
            </w:r>
          </w:p>
        </w:tc>
      </w:tr>
      <w:tr>
        <w:trPr>
          <w:trHeight w:val="705" w:hRule="atLeast"/>
        </w:trPr>
        <w:tc>
          <w:tcPr>
            <w:tcW w:w="523" w:type="dxa"/>
            <w:tcBorders>
              <w:left w:val="single" w:sz="4" w:space="0" w:color="1B1C1F"/>
              <w:bottom w:val="single" w:sz="4" w:space="0" w:color="1B1C1F"/>
              <w:right w:val="single" w:sz="4" w:space="0" w:color="1B1C1F"/>
            </w:tcBorders>
            <w:shd w:val="clear" w:color="auto" w:fill="F1F1F1"/>
          </w:tcPr>
          <w:p>
            <w:pPr>
              <w:pStyle w:val="TableParagraph"/>
              <w:spacing w:before="9"/>
              <w:rPr>
                <w:b/>
                <w:sz w:val="19"/>
              </w:rPr>
            </w:pPr>
          </w:p>
          <w:p>
            <w:pPr>
              <w:pStyle w:val="TableParagraph"/>
              <w:ind w:left="107"/>
              <w:rPr>
                <w:sz w:val="20"/>
              </w:rPr>
            </w:pPr>
            <w:r>
              <w:rPr>
                <w:sz w:val="20"/>
              </w:rPr>
              <w:t>20</w:t>
            </w:r>
          </w:p>
        </w:tc>
        <w:tc>
          <w:tcPr>
            <w:tcW w:w="1627" w:type="dxa"/>
            <w:tcBorders>
              <w:left w:val="single" w:sz="4" w:space="0" w:color="1B1C1F"/>
              <w:bottom w:val="single" w:sz="4" w:space="0" w:color="1B1C1F"/>
              <w:right w:val="single" w:sz="4" w:space="0" w:color="1B1C1F"/>
            </w:tcBorders>
            <w:shd w:val="clear" w:color="auto" w:fill="F1F1F1"/>
          </w:tcPr>
          <w:p>
            <w:pPr>
              <w:pStyle w:val="TableParagraph"/>
              <w:spacing w:before="2"/>
              <w:rPr>
                <w:b/>
                <w:sz w:val="19"/>
              </w:rPr>
            </w:pPr>
          </w:p>
          <w:p>
            <w:pPr>
              <w:pStyle w:val="TableParagraph"/>
              <w:ind w:left="117"/>
              <w:rPr>
                <w:sz w:val="20"/>
              </w:rPr>
            </w:pPr>
            <w:r>
              <w:rPr>
                <w:sz w:val="20"/>
              </w:rPr>
              <w:t>23.06.2020</w:t>
            </w:r>
          </w:p>
        </w:tc>
        <w:tc>
          <w:tcPr>
            <w:tcW w:w="1776" w:type="dxa"/>
            <w:tcBorders>
              <w:left w:val="single" w:sz="4" w:space="0" w:color="1B1C1F"/>
              <w:bottom w:val="single" w:sz="4" w:space="0" w:color="1B1C1F"/>
              <w:right w:val="single" w:sz="4" w:space="0" w:color="1B1C1F"/>
            </w:tcBorders>
            <w:shd w:val="clear" w:color="auto" w:fill="F1F1F1"/>
          </w:tcPr>
          <w:p>
            <w:pPr>
              <w:pStyle w:val="TableParagraph"/>
              <w:spacing w:before="2"/>
              <w:rPr>
                <w:b/>
                <w:sz w:val="19"/>
              </w:rPr>
            </w:pPr>
          </w:p>
          <w:p>
            <w:pPr>
              <w:pStyle w:val="TableParagraph"/>
              <w:ind w:left="115"/>
              <w:rPr>
                <w:sz w:val="20"/>
              </w:rPr>
            </w:pPr>
            <w:r>
              <w:rPr>
                <w:sz w:val="20"/>
              </w:rPr>
              <w:t>РЗН 2020/10936</w:t>
            </w:r>
          </w:p>
        </w:tc>
        <w:tc>
          <w:tcPr>
            <w:tcW w:w="5995" w:type="dxa"/>
            <w:tcBorders>
              <w:left w:val="single" w:sz="4" w:space="0" w:color="1B1C1F"/>
              <w:bottom w:val="single" w:sz="4" w:space="0" w:color="1B1C1F"/>
              <w:right w:val="single" w:sz="4" w:space="0" w:color="1B1C1F"/>
            </w:tcBorders>
            <w:shd w:val="clear" w:color="auto" w:fill="F1F1F1"/>
          </w:tcPr>
          <w:p>
            <w:pPr>
              <w:pStyle w:val="TableParagraph"/>
              <w:ind w:left="117" w:right="281"/>
              <w:rPr>
                <w:sz w:val="20"/>
              </w:rPr>
            </w:pPr>
            <w:r>
              <w:rPr>
                <w:sz w:val="20"/>
              </w:rPr>
              <w:t>Набор реагентов для иммуноферментного выявления суммарных антител к антигенам SARS-CoV-2 в сыворотке (плазме) крови "антиSARS-CoV-2-ИФА"</w:t>
            </w:r>
          </w:p>
        </w:tc>
        <w:tc>
          <w:tcPr>
            <w:tcW w:w="2153" w:type="dxa"/>
            <w:tcBorders>
              <w:left w:val="single" w:sz="4" w:space="0" w:color="1B1C1F"/>
              <w:bottom w:val="single" w:sz="4" w:space="0" w:color="1B1C1F"/>
              <w:right w:val="single" w:sz="4" w:space="0" w:color="1B1C1F"/>
            </w:tcBorders>
            <w:shd w:val="clear" w:color="auto" w:fill="F1F1F1"/>
          </w:tcPr>
          <w:p>
            <w:pPr>
              <w:pStyle w:val="TableParagraph"/>
              <w:spacing w:before="2"/>
              <w:rPr>
                <w:b/>
                <w:sz w:val="19"/>
              </w:rPr>
            </w:pPr>
          </w:p>
          <w:p>
            <w:pPr>
              <w:pStyle w:val="TableParagraph"/>
              <w:ind w:left="118"/>
              <w:rPr>
                <w:sz w:val="20"/>
              </w:rPr>
            </w:pPr>
            <w:r>
              <w:rPr>
                <w:sz w:val="20"/>
              </w:rPr>
              <w:t>ООО "ХЕМА"</w:t>
            </w:r>
          </w:p>
        </w:tc>
        <w:tc>
          <w:tcPr>
            <w:tcW w:w="3060" w:type="dxa"/>
            <w:tcBorders>
              <w:left w:val="single" w:sz="4" w:space="0" w:color="1B1C1F"/>
              <w:bottom w:val="single" w:sz="4" w:space="0" w:color="1B1C1F"/>
              <w:right w:val="single" w:sz="4" w:space="0" w:color="1B1C1F"/>
            </w:tcBorders>
            <w:shd w:val="clear" w:color="auto" w:fill="F1F1F1"/>
          </w:tcPr>
          <w:p>
            <w:pPr>
              <w:pStyle w:val="TableParagraph"/>
              <w:spacing w:before="106"/>
              <w:ind w:left="117" w:right="219"/>
              <w:rPr>
                <w:sz w:val="20"/>
              </w:rPr>
            </w:pPr>
            <w:r>
              <w:rPr>
                <w:sz w:val="20"/>
              </w:rPr>
              <w:t>105264, Россия, Москва, ул. 9-я Парковая, д. 48</w:t>
            </w:r>
          </w:p>
        </w:tc>
      </w:tr>
      <w:tr>
        <w:trPr>
          <w:trHeight w:val="717" w:hRule="atLeast"/>
        </w:trPr>
        <w:tc>
          <w:tcPr>
            <w:tcW w:w="523" w:type="dxa"/>
            <w:tcBorders>
              <w:top w:val="single" w:sz="4" w:space="0" w:color="1B1C1F"/>
              <w:left w:val="single" w:sz="4" w:space="0" w:color="1B1C1F"/>
              <w:right w:val="single" w:sz="4" w:space="0" w:color="1B1C1F"/>
            </w:tcBorders>
          </w:tcPr>
          <w:p>
            <w:pPr>
              <w:pStyle w:val="TableParagraph"/>
              <w:spacing w:before="5"/>
              <w:rPr>
                <w:b/>
                <w:sz w:val="20"/>
              </w:rPr>
            </w:pPr>
          </w:p>
          <w:p>
            <w:pPr>
              <w:pStyle w:val="TableParagraph"/>
              <w:ind w:left="107"/>
              <w:rPr>
                <w:sz w:val="20"/>
              </w:rPr>
            </w:pPr>
            <w:r>
              <w:rPr>
                <w:sz w:val="20"/>
              </w:rPr>
              <w:t>21</w:t>
            </w:r>
          </w:p>
        </w:tc>
        <w:tc>
          <w:tcPr>
            <w:tcW w:w="1627" w:type="dxa"/>
            <w:tcBorders>
              <w:top w:val="single" w:sz="4" w:space="0" w:color="1B1C1F"/>
              <w:left w:val="single" w:sz="4" w:space="0" w:color="1B1C1F"/>
              <w:right w:val="single" w:sz="4" w:space="0" w:color="1B1C1F"/>
            </w:tcBorders>
          </w:tcPr>
          <w:p>
            <w:pPr>
              <w:pStyle w:val="TableParagraph"/>
              <w:spacing w:before="2"/>
              <w:rPr>
                <w:b/>
                <w:sz w:val="19"/>
              </w:rPr>
            </w:pPr>
          </w:p>
          <w:p>
            <w:pPr>
              <w:pStyle w:val="TableParagraph"/>
              <w:ind w:left="117"/>
              <w:rPr>
                <w:sz w:val="20"/>
              </w:rPr>
            </w:pPr>
            <w:r>
              <w:rPr>
                <w:sz w:val="20"/>
              </w:rPr>
              <w:t>26.06.2020</w:t>
            </w:r>
          </w:p>
        </w:tc>
        <w:tc>
          <w:tcPr>
            <w:tcW w:w="1776" w:type="dxa"/>
            <w:tcBorders>
              <w:top w:val="single" w:sz="4" w:space="0" w:color="1B1C1F"/>
              <w:left w:val="single" w:sz="4" w:space="0" w:color="1B1C1F"/>
              <w:right w:val="single" w:sz="4" w:space="0" w:color="1B1C1F"/>
            </w:tcBorders>
          </w:tcPr>
          <w:p>
            <w:pPr>
              <w:pStyle w:val="TableParagraph"/>
              <w:spacing w:before="9"/>
              <w:rPr>
                <w:b/>
                <w:sz w:val="19"/>
              </w:rPr>
            </w:pPr>
          </w:p>
          <w:p>
            <w:pPr>
              <w:pStyle w:val="TableParagraph"/>
              <w:ind w:left="115"/>
              <w:rPr>
                <w:sz w:val="20"/>
              </w:rPr>
            </w:pPr>
            <w:r>
              <w:rPr>
                <w:sz w:val="20"/>
              </w:rPr>
              <w:t>РЗН 2020/11044</w:t>
            </w:r>
          </w:p>
        </w:tc>
        <w:tc>
          <w:tcPr>
            <w:tcW w:w="5995" w:type="dxa"/>
            <w:tcBorders>
              <w:top w:val="single" w:sz="4" w:space="0" w:color="1B1C1F"/>
              <w:left w:val="single" w:sz="4" w:space="0" w:color="1B1C1F"/>
              <w:right w:val="single" w:sz="4" w:space="0" w:color="1B1C1F"/>
            </w:tcBorders>
          </w:tcPr>
          <w:p>
            <w:pPr>
              <w:pStyle w:val="TableParagraph"/>
              <w:spacing w:before="113"/>
              <w:ind w:left="117" w:right="722"/>
              <w:rPr>
                <w:sz w:val="20"/>
              </w:rPr>
            </w:pPr>
            <w:r>
              <w:rPr>
                <w:sz w:val="20"/>
              </w:rPr>
              <w:t>Набор реагентов для иммуноферментного определения IgM антител к антигенам SARS-CoV-2-IgM-ИФА</w:t>
            </w:r>
          </w:p>
        </w:tc>
        <w:tc>
          <w:tcPr>
            <w:tcW w:w="2153" w:type="dxa"/>
            <w:tcBorders>
              <w:top w:val="single" w:sz="4" w:space="0" w:color="1B1C1F"/>
              <w:left w:val="single" w:sz="4" w:space="0" w:color="1B1C1F"/>
              <w:right w:val="single" w:sz="4" w:space="0" w:color="1B1C1F"/>
            </w:tcBorders>
          </w:tcPr>
          <w:p>
            <w:pPr>
              <w:pStyle w:val="TableParagraph"/>
              <w:spacing w:before="9"/>
              <w:rPr>
                <w:b/>
                <w:sz w:val="19"/>
              </w:rPr>
            </w:pPr>
          </w:p>
          <w:p>
            <w:pPr>
              <w:pStyle w:val="TableParagraph"/>
              <w:spacing w:before="1"/>
              <w:ind w:left="117"/>
              <w:rPr>
                <w:sz w:val="20"/>
              </w:rPr>
            </w:pPr>
            <w:r>
              <w:rPr>
                <w:sz w:val="20"/>
              </w:rPr>
              <w:t>ООО "ХЕМА"</w:t>
            </w:r>
          </w:p>
        </w:tc>
        <w:tc>
          <w:tcPr>
            <w:tcW w:w="3060" w:type="dxa"/>
            <w:tcBorders>
              <w:top w:val="single" w:sz="4" w:space="0" w:color="1B1C1F"/>
              <w:left w:val="single" w:sz="4" w:space="0" w:color="1B1C1F"/>
              <w:right w:val="single" w:sz="4" w:space="0" w:color="1B1C1F"/>
            </w:tcBorders>
          </w:tcPr>
          <w:p>
            <w:pPr>
              <w:pStyle w:val="TableParagraph"/>
              <w:spacing w:before="113"/>
              <w:ind w:left="117" w:right="219"/>
              <w:rPr>
                <w:sz w:val="20"/>
              </w:rPr>
            </w:pPr>
            <w:r>
              <w:rPr>
                <w:sz w:val="20"/>
              </w:rPr>
              <w:t>105264, Россия, Москва, ул. 9-я Парковая, д. 48</w:t>
            </w:r>
          </w:p>
        </w:tc>
      </w:tr>
      <w:tr>
        <w:trPr>
          <w:trHeight w:val="705" w:hRule="atLeast"/>
        </w:trPr>
        <w:tc>
          <w:tcPr>
            <w:tcW w:w="523" w:type="dxa"/>
            <w:tcBorders>
              <w:left w:val="single" w:sz="4" w:space="0" w:color="1B1C1F"/>
              <w:right w:val="single" w:sz="4" w:space="0" w:color="1B1C1F"/>
            </w:tcBorders>
            <w:shd w:val="clear" w:color="auto" w:fill="F1F1F1"/>
          </w:tcPr>
          <w:p>
            <w:pPr>
              <w:pStyle w:val="TableParagraph"/>
              <w:spacing w:before="9"/>
              <w:rPr>
                <w:b/>
                <w:sz w:val="19"/>
              </w:rPr>
            </w:pPr>
          </w:p>
          <w:p>
            <w:pPr>
              <w:pStyle w:val="TableParagraph"/>
              <w:ind w:left="107"/>
              <w:rPr>
                <w:sz w:val="20"/>
              </w:rPr>
            </w:pPr>
            <w:r>
              <w:rPr>
                <w:sz w:val="20"/>
              </w:rPr>
              <w:t>22</w:t>
            </w:r>
          </w:p>
        </w:tc>
        <w:tc>
          <w:tcPr>
            <w:tcW w:w="1627" w:type="dxa"/>
            <w:tcBorders>
              <w:left w:val="single" w:sz="4" w:space="0" w:color="1B1C1F"/>
              <w:right w:val="single" w:sz="4" w:space="0" w:color="1B1C1F"/>
            </w:tcBorders>
            <w:shd w:val="clear" w:color="auto" w:fill="F1F1F1"/>
          </w:tcPr>
          <w:p>
            <w:pPr>
              <w:pStyle w:val="TableParagraph"/>
              <w:spacing w:before="2"/>
              <w:rPr>
                <w:b/>
                <w:sz w:val="19"/>
              </w:rPr>
            </w:pPr>
          </w:p>
          <w:p>
            <w:pPr>
              <w:pStyle w:val="TableParagraph"/>
              <w:ind w:left="117"/>
              <w:rPr>
                <w:sz w:val="20"/>
              </w:rPr>
            </w:pPr>
            <w:r>
              <w:rPr>
                <w:sz w:val="20"/>
              </w:rPr>
              <w:t>30.06.2020</w:t>
            </w:r>
          </w:p>
        </w:tc>
        <w:tc>
          <w:tcPr>
            <w:tcW w:w="1776" w:type="dxa"/>
            <w:tcBorders>
              <w:left w:val="single" w:sz="4" w:space="0" w:color="1B1C1F"/>
              <w:right w:val="single" w:sz="4" w:space="0" w:color="1B1C1F"/>
            </w:tcBorders>
            <w:shd w:val="clear" w:color="auto" w:fill="F1F1F1"/>
          </w:tcPr>
          <w:p>
            <w:pPr>
              <w:pStyle w:val="TableParagraph"/>
              <w:spacing w:before="2"/>
              <w:rPr>
                <w:b/>
                <w:sz w:val="19"/>
              </w:rPr>
            </w:pPr>
          </w:p>
          <w:p>
            <w:pPr>
              <w:pStyle w:val="TableParagraph"/>
              <w:ind w:left="115"/>
              <w:rPr>
                <w:sz w:val="20"/>
              </w:rPr>
            </w:pPr>
            <w:r>
              <w:rPr>
                <w:sz w:val="20"/>
              </w:rPr>
              <w:t>РЗН 2020/11104</w:t>
            </w:r>
          </w:p>
        </w:tc>
        <w:tc>
          <w:tcPr>
            <w:tcW w:w="5995" w:type="dxa"/>
            <w:tcBorders>
              <w:left w:val="single" w:sz="4" w:space="0" w:color="1B1C1F"/>
              <w:right w:val="single" w:sz="4" w:space="0" w:color="1B1C1F"/>
            </w:tcBorders>
            <w:shd w:val="clear" w:color="auto" w:fill="F1F1F1"/>
          </w:tcPr>
          <w:p>
            <w:pPr>
              <w:pStyle w:val="TableParagraph"/>
              <w:ind w:left="117" w:right="281"/>
              <w:rPr>
                <w:sz w:val="20"/>
              </w:rPr>
            </w:pPr>
            <w:r>
              <w:rPr>
                <w:sz w:val="20"/>
              </w:rPr>
              <w:t>Набор реагентов для иммуноферментного выявления суммарных антител к SARS-CoV-2 в сыворотке или плазме крови человека "SARS-CoV-2-Антитела ИБХ РАН IgM-IgG-IgA тест"</w:t>
            </w:r>
          </w:p>
        </w:tc>
        <w:tc>
          <w:tcPr>
            <w:tcW w:w="2153" w:type="dxa"/>
            <w:tcBorders>
              <w:left w:val="single" w:sz="4" w:space="0" w:color="1B1C1F"/>
              <w:right w:val="single" w:sz="4" w:space="0" w:color="1B1C1F"/>
            </w:tcBorders>
            <w:shd w:val="clear" w:color="auto" w:fill="F1F1F1"/>
          </w:tcPr>
          <w:p>
            <w:pPr>
              <w:pStyle w:val="TableParagraph"/>
              <w:spacing w:before="2"/>
              <w:rPr>
                <w:b/>
                <w:sz w:val="19"/>
              </w:rPr>
            </w:pPr>
          </w:p>
          <w:p>
            <w:pPr>
              <w:pStyle w:val="TableParagraph"/>
              <w:ind w:left="118"/>
              <w:rPr>
                <w:sz w:val="20"/>
              </w:rPr>
            </w:pPr>
            <w:r>
              <w:rPr>
                <w:sz w:val="20"/>
              </w:rPr>
              <w:t>ИБХ РАН</w:t>
            </w:r>
          </w:p>
        </w:tc>
        <w:tc>
          <w:tcPr>
            <w:tcW w:w="3060" w:type="dxa"/>
            <w:tcBorders>
              <w:left w:val="single" w:sz="4" w:space="0" w:color="1B1C1F"/>
              <w:right w:val="single" w:sz="4" w:space="0" w:color="1B1C1F"/>
            </w:tcBorders>
            <w:shd w:val="clear" w:color="auto" w:fill="F1F1F1"/>
          </w:tcPr>
          <w:p>
            <w:pPr>
              <w:pStyle w:val="TableParagraph"/>
              <w:spacing w:before="106"/>
              <w:ind w:left="117" w:right="365"/>
              <w:rPr>
                <w:sz w:val="20"/>
              </w:rPr>
            </w:pPr>
            <w:r>
              <w:rPr>
                <w:sz w:val="20"/>
              </w:rPr>
              <w:t>117997, Россия, г. Москва, ул. Миклухо-Маклая, д. 16/10</w:t>
            </w:r>
          </w:p>
        </w:tc>
      </w:tr>
      <w:tr>
        <w:trPr>
          <w:trHeight w:val="1163" w:hRule="atLeast"/>
        </w:trPr>
        <w:tc>
          <w:tcPr>
            <w:tcW w:w="523" w:type="dxa"/>
            <w:tcBorders>
              <w:left w:val="single" w:sz="4" w:space="0" w:color="1B1C1F"/>
              <w:right w:val="single" w:sz="4" w:space="0" w:color="1B1C1F"/>
            </w:tcBorders>
          </w:tcPr>
          <w:p>
            <w:pPr>
              <w:pStyle w:val="TableParagraph"/>
              <w:rPr>
                <w:b/>
                <w:sz w:val="22"/>
              </w:rPr>
            </w:pPr>
          </w:p>
          <w:p>
            <w:pPr>
              <w:pStyle w:val="TableParagraph"/>
              <w:spacing w:before="7"/>
              <w:rPr>
                <w:b/>
                <w:sz w:val="17"/>
              </w:rPr>
            </w:pPr>
          </w:p>
          <w:p>
            <w:pPr>
              <w:pStyle w:val="TableParagraph"/>
              <w:ind w:left="107"/>
              <w:rPr>
                <w:sz w:val="20"/>
              </w:rPr>
            </w:pPr>
            <w:r>
              <w:rPr>
                <w:sz w:val="20"/>
              </w:rPr>
              <w:t>23</w:t>
            </w:r>
          </w:p>
        </w:tc>
        <w:tc>
          <w:tcPr>
            <w:tcW w:w="1627" w:type="dxa"/>
            <w:tcBorders>
              <w:left w:val="single" w:sz="4" w:space="0" w:color="1B1C1F"/>
              <w:right w:val="single" w:sz="4" w:space="0" w:color="1B1C1F"/>
            </w:tcBorders>
          </w:tcPr>
          <w:p>
            <w:pPr>
              <w:pStyle w:val="TableParagraph"/>
              <w:rPr>
                <w:b/>
                <w:sz w:val="22"/>
              </w:rPr>
            </w:pPr>
          </w:p>
          <w:p>
            <w:pPr>
              <w:pStyle w:val="TableParagraph"/>
              <w:spacing w:before="3"/>
              <w:rPr>
                <w:b/>
                <w:sz w:val="17"/>
              </w:rPr>
            </w:pPr>
          </w:p>
          <w:p>
            <w:pPr>
              <w:pStyle w:val="TableParagraph"/>
              <w:ind w:left="117"/>
              <w:rPr>
                <w:sz w:val="20"/>
              </w:rPr>
            </w:pPr>
            <w:r>
              <w:rPr>
                <w:sz w:val="20"/>
              </w:rPr>
              <w:t>03.07.2020</w:t>
            </w:r>
          </w:p>
        </w:tc>
        <w:tc>
          <w:tcPr>
            <w:tcW w:w="1776" w:type="dxa"/>
            <w:tcBorders>
              <w:left w:val="single" w:sz="4" w:space="0" w:color="1B1C1F"/>
              <w:right w:val="single" w:sz="4" w:space="0" w:color="1B1C1F"/>
            </w:tcBorders>
          </w:tcPr>
          <w:p>
            <w:pPr>
              <w:pStyle w:val="TableParagraph"/>
              <w:rPr>
                <w:b/>
                <w:sz w:val="22"/>
              </w:rPr>
            </w:pPr>
          </w:p>
          <w:p>
            <w:pPr>
              <w:pStyle w:val="TableParagraph"/>
              <w:spacing w:before="3"/>
              <w:rPr>
                <w:b/>
                <w:sz w:val="17"/>
              </w:rPr>
            </w:pPr>
          </w:p>
          <w:p>
            <w:pPr>
              <w:pStyle w:val="TableParagraph"/>
              <w:ind w:left="115"/>
              <w:rPr>
                <w:sz w:val="20"/>
              </w:rPr>
            </w:pPr>
            <w:r>
              <w:rPr>
                <w:sz w:val="20"/>
              </w:rPr>
              <w:t>РЗН 2020/11184</w:t>
            </w:r>
          </w:p>
        </w:tc>
        <w:tc>
          <w:tcPr>
            <w:tcW w:w="5995" w:type="dxa"/>
            <w:tcBorders>
              <w:left w:val="single" w:sz="4" w:space="0" w:color="1B1C1F"/>
              <w:right w:val="single" w:sz="4" w:space="0" w:color="1B1C1F"/>
            </w:tcBorders>
          </w:tcPr>
          <w:p>
            <w:pPr>
              <w:pStyle w:val="TableParagraph"/>
              <w:spacing w:before="2"/>
              <w:rPr>
                <w:b/>
                <w:sz w:val="19"/>
              </w:rPr>
            </w:pPr>
          </w:p>
          <w:p>
            <w:pPr>
              <w:pStyle w:val="TableParagraph"/>
              <w:ind w:left="117" w:right="230"/>
              <w:rPr>
                <w:sz w:val="20"/>
              </w:rPr>
            </w:pPr>
            <w:r>
              <w:rPr>
                <w:sz w:val="20"/>
              </w:rPr>
              <w:t>Набор реагентов для определения антител IgG к коронавирусу SARS-CoV-2 (COVID-19) в сыворотке/плазме крови человека методом иммуноферментного анализа "Anti-SARS-CoV-2 ELISA"</w:t>
            </w:r>
          </w:p>
        </w:tc>
        <w:tc>
          <w:tcPr>
            <w:tcW w:w="2153" w:type="dxa"/>
            <w:tcBorders>
              <w:left w:val="single" w:sz="4" w:space="0" w:color="1B1C1F"/>
              <w:right w:val="single" w:sz="4" w:space="0" w:color="1B1C1F"/>
            </w:tcBorders>
          </w:tcPr>
          <w:p>
            <w:pPr>
              <w:pStyle w:val="TableParagraph"/>
              <w:ind w:left="118" w:right="294"/>
              <w:rPr>
                <w:sz w:val="20"/>
              </w:rPr>
            </w:pPr>
            <w:r>
              <w:rPr>
                <w:sz w:val="20"/>
              </w:rPr>
              <w:t>"Медиагност Гэзельшафт фюр Форшунг унд Хэрштелунг фон Диагностика ГмбХ"</w:t>
            </w:r>
          </w:p>
        </w:tc>
        <w:tc>
          <w:tcPr>
            <w:tcW w:w="3060" w:type="dxa"/>
            <w:tcBorders>
              <w:left w:val="single" w:sz="4" w:space="0" w:color="1B1C1F"/>
              <w:right w:val="single" w:sz="4" w:space="0" w:color="1B1C1F"/>
            </w:tcBorders>
          </w:tcPr>
          <w:p>
            <w:pPr>
              <w:pStyle w:val="TableParagraph"/>
              <w:ind w:left="117" w:right="180"/>
              <w:rPr>
                <w:sz w:val="20"/>
              </w:rPr>
            </w:pPr>
            <w:r>
              <w:rPr>
                <w:sz w:val="20"/>
              </w:rPr>
              <w:t>Германия, Mediagnost Gesellschaft fur Forschung und Herstellung von Diagnostika GmbH, Aspenhaustra&amp;#946;e 25,</w:t>
            </w:r>
          </w:p>
          <w:p>
            <w:pPr>
              <w:pStyle w:val="TableParagraph"/>
              <w:spacing w:line="229" w:lineRule="exact"/>
              <w:ind w:left="117"/>
              <w:rPr>
                <w:sz w:val="20"/>
              </w:rPr>
            </w:pPr>
            <w:r>
              <w:rPr>
                <w:sz w:val="20"/>
              </w:rPr>
              <w:t>72770 Reutlingen, Germany</w:t>
            </w:r>
          </w:p>
        </w:tc>
      </w:tr>
    </w:tbl>
    <w:p>
      <w:pPr>
        <w:spacing w:after="0" w:line="229" w:lineRule="exact"/>
        <w:rPr>
          <w:sz w:val="20"/>
        </w:rPr>
        <w:sectPr>
          <w:pgSz w:w="16850" w:h="11920" w:orient="landscape"/>
          <w:pgMar w:header="0" w:footer="1110" w:top="1040" w:bottom="1300" w:left="880" w:right="360"/>
        </w:sectPr>
      </w:pPr>
    </w:p>
    <w:tbl>
      <w:tblPr>
        <w:tblW w:w="0" w:type="auto"/>
        <w:jc w:val="left"/>
        <w:tblInd w:w="270" w:type="dxa"/>
        <w:tblBorders>
          <w:top w:val="single" w:sz="4" w:space="0" w:color="1B1C1F"/>
          <w:left w:val="single" w:sz="4" w:space="0" w:color="1B1C1F"/>
          <w:bottom w:val="single" w:sz="4" w:space="0" w:color="1B1C1F"/>
          <w:right w:val="single" w:sz="4" w:space="0" w:color="1B1C1F"/>
          <w:insideH w:val="single" w:sz="4" w:space="0" w:color="1B1C1F"/>
          <w:insideV w:val="single" w:sz="4" w:space="0" w:color="1B1C1F"/>
        </w:tblBorders>
        <w:tblLayout w:type="fixed"/>
        <w:tblCellMar>
          <w:top w:w="0" w:type="dxa"/>
          <w:left w:w="0" w:type="dxa"/>
          <w:bottom w:w="0" w:type="dxa"/>
          <w:right w:w="0" w:type="dxa"/>
        </w:tblCellMar>
        <w:tblLook w:val="01E0"/>
      </w:tblPr>
      <w:tblGrid>
        <w:gridCol w:w="523"/>
        <w:gridCol w:w="1627"/>
        <w:gridCol w:w="1776"/>
        <w:gridCol w:w="5995"/>
        <w:gridCol w:w="2153"/>
        <w:gridCol w:w="3060"/>
      </w:tblGrid>
      <w:tr>
        <w:trPr>
          <w:trHeight w:val="1163" w:hRule="atLeast"/>
        </w:trPr>
        <w:tc>
          <w:tcPr>
            <w:tcW w:w="523" w:type="dxa"/>
            <w:tcBorders>
              <w:bottom w:val="single" w:sz="4" w:space="0" w:color="000000"/>
              <w:right w:val="single" w:sz="4" w:space="0" w:color="000000"/>
            </w:tcBorders>
            <w:shd w:val="clear" w:color="auto" w:fill="F1F1F1"/>
          </w:tcPr>
          <w:p>
            <w:pPr>
              <w:pStyle w:val="TableParagraph"/>
              <w:rPr>
                <w:b/>
                <w:sz w:val="22"/>
              </w:rPr>
            </w:pPr>
          </w:p>
          <w:p>
            <w:pPr>
              <w:pStyle w:val="TableParagraph"/>
              <w:spacing w:before="10"/>
              <w:rPr>
                <w:b/>
                <w:sz w:val="17"/>
              </w:rPr>
            </w:pPr>
          </w:p>
          <w:p>
            <w:pPr>
              <w:pStyle w:val="TableParagraph"/>
              <w:ind w:left="107"/>
              <w:rPr>
                <w:sz w:val="20"/>
              </w:rPr>
            </w:pPr>
            <w:r>
              <w:rPr>
                <w:sz w:val="20"/>
              </w:rPr>
              <w:t>24</w:t>
            </w:r>
          </w:p>
        </w:tc>
        <w:tc>
          <w:tcPr>
            <w:tcW w:w="1627"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rPr>
                <w:b/>
                <w:sz w:val="22"/>
              </w:rPr>
            </w:pPr>
          </w:p>
          <w:p>
            <w:pPr>
              <w:pStyle w:val="TableParagraph"/>
              <w:spacing w:before="3"/>
              <w:rPr>
                <w:b/>
                <w:sz w:val="17"/>
              </w:rPr>
            </w:pPr>
          </w:p>
          <w:p>
            <w:pPr>
              <w:pStyle w:val="TableParagraph"/>
              <w:ind w:left="117"/>
              <w:rPr>
                <w:sz w:val="20"/>
              </w:rPr>
            </w:pPr>
            <w:r>
              <w:rPr>
                <w:sz w:val="20"/>
              </w:rPr>
              <w:t>07.07.2020</w:t>
            </w:r>
          </w:p>
        </w:tc>
        <w:tc>
          <w:tcPr>
            <w:tcW w:w="1776"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rPr>
                <w:b/>
                <w:sz w:val="22"/>
              </w:rPr>
            </w:pPr>
          </w:p>
          <w:p>
            <w:pPr>
              <w:pStyle w:val="TableParagraph"/>
              <w:spacing w:before="3"/>
              <w:rPr>
                <w:b/>
                <w:sz w:val="17"/>
              </w:rPr>
            </w:pPr>
          </w:p>
          <w:p>
            <w:pPr>
              <w:pStyle w:val="TableParagraph"/>
              <w:ind w:left="115"/>
              <w:rPr>
                <w:sz w:val="20"/>
              </w:rPr>
            </w:pPr>
            <w:r>
              <w:rPr>
                <w:sz w:val="20"/>
              </w:rPr>
              <w:t>РЗН 2020/11212</w:t>
            </w:r>
          </w:p>
        </w:tc>
        <w:tc>
          <w:tcPr>
            <w:tcW w:w="5995"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ind w:left="117" w:right="142"/>
              <w:rPr>
                <w:sz w:val="20"/>
              </w:rPr>
            </w:pPr>
            <w:r>
              <w:rPr>
                <w:sz w:val="20"/>
              </w:rPr>
              <w:t>Набор реагентов для качественного определения антител класса IgG к вирусу SARS-CoV-2 иммунохемилюминесцентным методом в сыворотке и плазме крови человека на иммунохимических анализаторах ARCHITECT "SARS-CoV-2 IgG Реагенты для ARCHITECT (SARS-CoV-2 IgG Reagent Kit)"</w:t>
            </w:r>
          </w:p>
        </w:tc>
        <w:tc>
          <w:tcPr>
            <w:tcW w:w="2153"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spacing w:before="2"/>
              <w:rPr>
                <w:b/>
                <w:sz w:val="19"/>
              </w:rPr>
            </w:pPr>
          </w:p>
          <w:p>
            <w:pPr>
              <w:pStyle w:val="TableParagraph"/>
              <w:ind w:left="118" w:right="372"/>
              <w:rPr>
                <w:sz w:val="20"/>
              </w:rPr>
            </w:pPr>
            <w:r>
              <w:rPr>
                <w:sz w:val="20"/>
              </w:rPr>
              <w:t>"Эбботт Ирландия, Диагностическое подразделение"</w:t>
            </w:r>
          </w:p>
        </w:tc>
        <w:tc>
          <w:tcPr>
            <w:tcW w:w="3060"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spacing w:before="2"/>
              <w:rPr>
                <w:b/>
                <w:sz w:val="19"/>
              </w:rPr>
            </w:pPr>
          </w:p>
          <w:p>
            <w:pPr>
              <w:pStyle w:val="TableParagraph"/>
              <w:ind w:left="117" w:right="418"/>
              <w:rPr>
                <w:sz w:val="20"/>
              </w:rPr>
            </w:pPr>
            <w:r>
              <w:rPr>
                <w:sz w:val="20"/>
              </w:rPr>
              <w:t>Ирландия, Abbott Ireland Diagnostics Division, Finisklin Business Park, Sligo, Ireland</w:t>
            </w:r>
          </w:p>
        </w:tc>
      </w:tr>
      <w:tr>
        <w:trPr>
          <w:trHeight w:val="1103" w:hRule="atLeast"/>
        </w:trPr>
        <w:tc>
          <w:tcPr>
            <w:tcW w:w="523" w:type="dxa"/>
            <w:tcBorders>
              <w:top w:val="single" w:sz="4" w:space="0" w:color="000000"/>
            </w:tcBorders>
          </w:tcPr>
          <w:p>
            <w:pPr>
              <w:pStyle w:val="TableParagraph"/>
              <w:rPr>
                <w:b/>
                <w:sz w:val="22"/>
              </w:rPr>
            </w:pPr>
          </w:p>
          <w:p>
            <w:pPr>
              <w:pStyle w:val="TableParagraph"/>
              <w:spacing w:before="174"/>
              <w:ind w:left="107"/>
              <w:rPr>
                <w:sz w:val="20"/>
              </w:rPr>
            </w:pPr>
            <w:r>
              <w:rPr>
                <w:sz w:val="20"/>
              </w:rPr>
              <w:t>25</w:t>
            </w:r>
          </w:p>
        </w:tc>
        <w:tc>
          <w:tcPr>
            <w:tcW w:w="1627" w:type="dxa"/>
            <w:tcBorders>
              <w:top w:val="single" w:sz="4" w:space="0" w:color="000000"/>
            </w:tcBorders>
          </w:tcPr>
          <w:p>
            <w:pPr>
              <w:pStyle w:val="TableParagraph"/>
              <w:rPr>
                <w:b/>
                <w:sz w:val="22"/>
              </w:rPr>
            </w:pPr>
          </w:p>
          <w:p>
            <w:pPr>
              <w:pStyle w:val="TableParagraph"/>
              <w:spacing w:before="167"/>
              <w:ind w:left="117"/>
              <w:rPr>
                <w:sz w:val="20"/>
              </w:rPr>
            </w:pPr>
            <w:r>
              <w:rPr>
                <w:sz w:val="20"/>
              </w:rPr>
              <w:t>14.07.2020</w:t>
            </w:r>
          </w:p>
        </w:tc>
        <w:tc>
          <w:tcPr>
            <w:tcW w:w="1776" w:type="dxa"/>
            <w:tcBorders>
              <w:top w:val="single" w:sz="4" w:space="0" w:color="000000"/>
            </w:tcBorders>
          </w:tcPr>
          <w:p>
            <w:pPr>
              <w:pStyle w:val="TableParagraph"/>
              <w:rPr>
                <w:b/>
                <w:sz w:val="22"/>
              </w:rPr>
            </w:pPr>
          </w:p>
          <w:p>
            <w:pPr>
              <w:pStyle w:val="TableParagraph"/>
              <w:spacing w:before="167"/>
              <w:ind w:left="115"/>
              <w:rPr>
                <w:sz w:val="20"/>
              </w:rPr>
            </w:pPr>
            <w:r>
              <w:rPr>
                <w:sz w:val="20"/>
              </w:rPr>
              <w:t>РЗН 2020/11298</w:t>
            </w:r>
          </w:p>
        </w:tc>
        <w:tc>
          <w:tcPr>
            <w:tcW w:w="5995" w:type="dxa"/>
            <w:tcBorders>
              <w:top w:val="single" w:sz="4" w:space="0" w:color="000000"/>
            </w:tcBorders>
          </w:tcPr>
          <w:p>
            <w:pPr>
              <w:pStyle w:val="TableParagraph"/>
              <w:spacing w:before="190"/>
              <w:ind w:left="117" w:right="132"/>
              <w:rPr>
                <w:sz w:val="20"/>
              </w:rPr>
            </w:pPr>
            <w:r>
              <w:rPr>
                <w:sz w:val="20"/>
              </w:rPr>
              <w:t>Набор реагентов для качественного выявления иммуноглобулинов класса М к коронавирусу SARS-CoV-2 методом иммуноферментного анализа "ЭБМ-SARS-CoV-2-ИФА-IgM"</w:t>
            </w:r>
          </w:p>
        </w:tc>
        <w:tc>
          <w:tcPr>
            <w:tcW w:w="2153" w:type="dxa"/>
            <w:tcBorders>
              <w:top w:val="single" w:sz="4" w:space="0" w:color="000000"/>
            </w:tcBorders>
          </w:tcPr>
          <w:p>
            <w:pPr>
              <w:pStyle w:val="TableParagraph"/>
              <w:spacing w:before="6"/>
              <w:rPr>
                <w:b/>
                <w:sz w:val="26"/>
              </w:rPr>
            </w:pPr>
          </w:p>
          <w:p>
            <w:pPr>
              <w:pStyle w:val="TableParagraph"/>
              <w:ind w:left="118" w:right="299"/>
              <w:rPr>
                <w:sz w:val="20"/>
              </w:rPr>
            </w:pPr>
            <w:r>
              <w:rPr>
                <w:sz w:val="20"/>
              </w:rPr>
              <w:t>ООО "Эпидбиомед- диагностика"</w:t>
            </w:r>
          </w:p>
        </w:tc>
        <w:tc>
          <w:tcPr>
            <w:tcW w:w="3060" w:type="dxa"/>
            <w:tcBorders>
              <w:top w:val="single" w:sz="4" w:space="0" w:color="000000"/>
            </w:tcBorders>
          </w:tcPr>
          <w:p>
            <w:pPr>
              <w:pStyle w:val="TableParagraph"/>
              <w:spacing w:before="6"/>
              <w:rPr>
                <w:b/>
                <w:sz w:val="26"/>
              </w:rPr>
            </w:pPr>
          </w:p>
          <w:p>
            <w:pPr>
              <w:pStyle w:val="TableParagraph"/>
              <w:ind w:left="117" w:right="346"/>
              <w:rPr>
                <w:sz w:val="20"/>
              </w:rPr>
            </w:pPr>
            <w:r>
              <w:rPr>
                <w:sz w:val="20"/>
              </w:rPr>
              <w:t>111672, Россия, г. Москва, ул. Салтыковская д. 26, стр. 1</w:t>
            </w:r>
          </w:p>
        </w:tc>
      </w:tr>
      <w:tr>
        <w:trPr>
          <w:trHeight w:val="1103" w:hRule="atLeast"/>
        </w:trPr>
        <w:tc>
          <w:tcPr>
            <w:tcW w:w="523" w:type="dxa"/>
            <w:shd w:val="clear" w:color="auto" w:fill="F1F1F1"/>
          </w:tcPr>
          <w:p>
            <w:pPr>
              <w:pStyle w:val="TableParagraph"/>
              <w:rPr>
                <w:b/>
                <w:sz w:val="22"/>
              </w:rPr>
            </w:pPr>
          </w:p>
          <w:p>
            <w:pPr>
              <w:pStyle w:val="TableParagraph"/>
              <w:spacing w:before="174"/>
              <w:ind w:left="107"/>
              <w:rPr>
                <w:sz w:val="20"/>
              </w:rPr>
            </w:pPr>
            <w:r>
              <w:rPr>
                <w:sz w:val="20"/>
              </w:rPr>
              <w:t>26</w:t>
            </w:r>
          </w:p>
        </w:tc>
        <w:tc>
          <w:tcPr>
            <w:tcW w:w="1627" w:type="dxa"/>
            <w:shd w:val="clear" w:color="auto" w:fill="F1F1F1"/>
          </w:tcPr>
          <w:p>
            <w:pPr>
              <w:pStyle w:val="TableParagraph"/>
              <w:rPr>
                <w:b/>
                <w:sz w:val="22"/>
              </w:rPr>
            </w:pPr>
          </w:p>
          <w:p>
            <w:pPr>
              <w:pStyle w:val="TableParagraph"/>
              <w:spacing w:before="167"/>
              <w:ind w:left="117"/>
              <w:rPr>
                <w:sz w:val="20"/>
              </w:rPr>
            </w:pPr>
            <w:r>
              <w:rPr>
                <w:sz w:val="20"/>
              </w:rPr>
              <w:t>16.07.2020</w:t>
            </w:r>
          </w:p>
        </w:tc>
        <w:tc>
          <w:tcPr>
            <w:tcW w:w="1776" w:type="dxa"/>
            <w:shd w:val="clear" w:color="auto" w:fill="F1F1F1"/>
          </w:tcPr>
          <w:p>
            <w:pPr>
              <w:pStyle w:val="TableParagraph"/>
              <w:rPr>
                <w:b/>
                <w:sz w:val="22"/>
              </w:rPr>
            </w:pPr>
          </w:p>
          <w:p>
            <w:pPr>
              <w:pStyle w:val="TableParagraph"/>
              <w:spacing w:before="167"/>
              <w:ind w:left="115"/>
              <w:rPr>
                <w:sz w:val="20"/>
              </w:rPr>
            </w:pPr>
            <w:r>
              <w:rPr>
                <w:sz w:val="20"/>
              </w:rPr>
              <w:t>РЗН 2020/11341</w:t>
            </w:r>
          </w:p>
        </w:tc>
        <w:tc>
          <w:tcPr>
            <w:tcW w:w="5995" w:type="dxa"/>
            <w:shd w:val="clear" w:color="auto" w:fill="F1F1F1"/>
          </w:tcPr>
          <w:p>
            <w:pPr>
              <w:pStyle w:val="TableParagraph"/>
              <w:spacing w:before="190"/>
              <w:ind w:left="117" w:right="108"/>
              <w:rPr>
                <w:sz w:val="20"/>
              </w:rPr>
            </w:pPr>
            <w:r>
              <w:rPr>
                <w:sz w:val="20"/>
              </w:rPr>
              <w:t>Набор реагентов для определения IgM+IgA антител к SARS-CoV-2 в сыворотке/плазме крови человека методом иммуноферментного анализа "COVID-19 ELISA IgM+IgA"</w:t>
            </w:r>
          </w:p>
        </w:tc>
        <w:tc>
          <w:tcPr>
            <w:tcW w:w="2153" w:type="dxa"/>
            <w:shd w:val="clear" w:color="auto" w:fill="F1F1F1"/>
          </w:tcPr>
          <w:p>
            <w:pPr>
              <w:pStyle w:val="TableParagraph"/>
              <w:rPr>
                <w:b/>
                <w:sz w:val="22"/>
              </w:rPr>
            </w:pPr>
          </w:p>
          <w:p>
            <w:pPr>
              <w:pStyle w:val="TableParagraph"/>
              <w:spacing w:before="167"/>
              <w:ind w:left="118"/>
              <w:rPr>
                <w:sz w:val="20"/>
              </w:rPr>
            </w:pPr>
            <w:r>
              <w:rPr>
                <w:sz w:val="20"/>
              </w:rPr>
              <w:t>"Вирселл С.Л."</w:t>
            </w:r>
          </w:p>
        </w:tc>
        <w:tc>
          <w:tcPr>
            <w:tcW w:w="3060" w:type="dxa"/>
            <w:shd w:val="clear" w:color="auto" w:fill="F1F1F1"/>
          </w:tcPr>
          <w:p>
            <w:pPr>
              <w:pStyle w:val="TableParagraph"/>
              <w:spacing w:before="190"/>
              <w:ind w:left="117" w:right="163"/>
              <w:rPr>
                <w:sz w:val="20"/>
              </w:rPr>
            </w:pPr>
            <w:r>
              <w:rPr>
                <w:sz w:val="20"/>
              </w:rPr>
              <w:t>Испания, Vircell S.L., Parque Tecnol&amp;#243;gico de la Salud, Avicena 8, 18016, Granada, Spain</w:t>
            </w:r>
          </w:p>
        </w:tc>
      </w:tr>
      <w:tr>
        <w:trPr>
          <w:trHeight w:val="1103" w:hRule="atLeast"/>
        </w:trPr>
        <w:tc>
          <w:tcPr>
            <w:tcW w:w="523" w:type="dxa"/>
          </w:tcPr>
          <w:p>
            <w:pPr>
              <w:pStyle w:val="TableParagraph"/>
              <w:rPr>
                <w:b/>
                <w:sz w:val="22"/>
              </w:rPr>
            </w:pPr>
          </w:p>
          <w:p>
            <w:pPr>
              <w:pStyle w:val="TableParagraph"/>
              <w:spacing w:before="174"/>
              <w:ind w:left="107"/>
              <w:rPr>
                <w:sz w:val="20"/>
              </w:rPr>
            </w:pPr>
            <w:r>
              <w:rPr>
                <w:sz w:val="20"/>
              </w:rPr>
              <w:t>27</w:t>
            </w:r>
          </w:p>
        </w:tc>
        <w:tc>
          <w:tcPr>
            <w:tcW w:w="1627" w:type="dxa"/>
          </w:tcPr>
          <w:p>
            <w:pPr>
              <w:pStyle w:val="TableParagraph"/>
              <w:rPr>
                <w:b/>
                <w:sz w:val="22"/>
              </w:rPr>
            </w:pPr>
          </w:p>
          <w:p>
            <w:pPr>
              <w:pStyle w:val="TableParagraph"/>
              <w:spacing w:before="167"/>
              <w:ind w:left="117"/>
              <w:rPr>
                <w:sz w:val="20"/>
              </w:rPr>
            </w:pPr>
            <w:r>
              <w:rPr>
                <w:sz w:val="20"/>
              </w:rPr>
              <w:t>24.07.2020</w:t>
            </w:r>
          </w:p>
        </w:tc>
        <w:tc>
          <w:tcPr>
            <w:tcW w:w="1776" w:type="dxa"/>
          </w:tcPr>
          <w:p>
            <w:pPr>
              <w:pStyle w:val="TableParagraph"/>
              <w:rPr>
                <w:b/>
                <w:sz w:val="22"/>
              </w:rPr>
            </w:pPr>
          </w:p>
          <w:p>
            <w:pPr>
              <w:pStyle w:val="TableParagraph"/>
              <w:spacing w:before="167"/>
              <w:ind w:left="115"/>
              <w:rPr>
                <w:sz w:val="20"/>
              </w:rPr>
            </w:pPr>
            <w:r>
              <w:rPr>
                <w:sz w:val="20"/>
              </w:rPr>
              <w:t>РЗН 2020/11430</w:t>
            </w:r>
          </w:p>
        </w:tc>
        <w:tc>
          <w:tcPr>
            <w:tcW w:w="5995" w:type="dxa"/>
          </w:tcPr>
          <w:p>
            <w:pPr>
              <w:pStyle w:val="TableParagraph"/>
              <w:spacing w:before="190"/>
              <w:ind w:left="117" w:right="817"/>
              <w:rPr>
                <w:sz w:val="20"/>
              </w:rPr>
            </w:pPr>
            <w:r>
              <w:rPr>
                <w:sz w:val="20"/>
              </w:rPr>
              <w:t>Набор реагентов для иммуноферментного выявления иммуноглобулинов класса М к коронавирусу SARS-CoV-2 "NovaLisa SARS-CoV-2 (COVID-19) IgM"</w:t>
            </w:r>
          </w:p>
        </w:tc>
        <w:tc>
          <w:tcPr>
            <w:tcW w:w="2153" w:type="dxa"/>
          </w:tcPr>
          <w:p>
            <w:pPr>
              <w:pStyle w:val="TableParagraph"/>
              <w:rPr>
                <w:b/>
                <w:sz w:val="22"/>
              </w:rPr>
            </w:pPr>
          </w:p>
          <w:p>
            <w:pPr>
              <w:pStyle w:val="TableParagraph"/>
              <w:spacing w:before="167"/>
              <w:ind w:left="117"/>
              <w:rPr>
                <w:sz w:val="20"/>
              </w:rPr>
            </w:pPr>
            <w:r>
              <w:rPr>
                <w:sz w:val="20"/>
              </w:rPr>
              <w:t>ООО "МДЛ"</w:t>
            </w:r>
          </w:p>
        </w:tc>
        <w:tc>
          <w:tcPr>
            <w:tcW w:w="3060" w:type="dxa"/>
          </w:tcPr>
          <w:p>
            <w:pPr>
              <w:pStyle w:val="TableParagraph"/>
              <w:spacing w:before="74"/>
              <w:ind w:left="117" w:right="135"/>
              <w:rPr>
                <w:sz w:val="20"/>
              </w:rPr>
            </w:pPr>
            <w:r>
              <w:rPr>
                <w:sz w:val="20"/>
              </w:rPr>
              <w:t>Германия, NovaTec Immundiagnostica GmbH, Waldstra&amp;#946;e 23 A6, D-63128 Dietzenbach, Germany</w:t>
            </w:r>
          </w:p>
        </w:tc>
      </w:tr>
      <w:tr>
        <w:trPr>
          <w:trHeight w:val="1163" w:hRule="atLeast"/>
        </w:trPr>
        <w:tc>
          <w:tcPr>
            <w:tcW w:w="523" w:type="dxa"/>
            <w:shd w:val="clear" w:color="auto" w:fill="F1F1F1"/>
          </w:tcPr>
          <w:p>
            <w:pPr>
              <w:pStyle w:val="TableParagraph"/>
              <w:rPr>
                <w:b/>
                <w:sz w:val="22"/>
              </w:rPr>
            </w:pPr>
          </w:p>
          <w:p>
            <w:pPr>
              <w:pStyle w:val="TableParagraph"/>
              <w:spacing w:before="7"/>
              <w:rPr>
                <w:b/>
                <w:sz w:val="17"/>
              </w:rPr>
            </w:pPr>
          </w:p>
          <w:p>
            <w:pPr>
              <w:pStyle w:val="TableParagraph"/>
              <w:spacing w:before="1"/>
              <w:ind w:left="107"/>
              <w:rPr>
                <w:sz w:val="20"/>
              </w:rPr>
            </w:pPr>
            <w:r>
              <w:rPr>
                <w:sz w:val="20"/>
              </w:rPr>
              <w:t>28</w:t>
            </w:r>
          </w:p>
        </w:tc>
        <w:tc>
          <w:tcPr>
            <w:tcW w:w="1627" w:type="dxa"/>
            <w:shd w:val="clear" w:color="auto" w:fill="F1F1F1"/>
          </w:tcPr>
          <w:p>
            <w:pPr>
              <w:pStyle w:val="TableParagraph"/>
              <w:rPr>
                <w:b/>
                <w:sz w:val="22"/>
              </w:rPr>
            </w:pPr>
          </w:p>
          <w:p>
            <w:pPr>
              <w:pStyle w:val="TableParagraph"/>
              <w:spacing w:before="196"/>
              <w:ind w:left="117"/>
              <w:rPr>
                <w:sz w:val="20"/>
              </w:rPr>
            </w:pPr>
            <w:r>
              <w:rPr>
                <w:sz w:val="20"/>
              </w:rPr>
              <w:t>24.07.2020</w:t>
            </w:r>
          </w:p>
        </w:tc>
        <w:tc>
          <w:tcPr>
            <w:tcW w:w="1776" w:type="dxa"/>
            <w:shd w:val="clear" w:color="auto" w:fill="F1F1F1"/>
          </w:tcPr>
          <w:p>
            <w:pPr>
              <w:pStyle w:val="TableParagraph"/>
              <w:rPr>
                <w:b/>
                <w:sz w:val="22"/>
              </w:rPr>
            </w:pPr>
          </w:p>
          <w:p>
            <w:pPr>
              <w:pStyle w:val="TableParagraph"/>
              <w:spacing w:before="196"/>
              <w:ind w:left="115"/>
              <w:rPr>
                <w:sz w:val="20"/>
              </w:rPr>
            </w:pPr>
            <w:r>
              <w:rPr>
                <w:sz w:val="20"/>
              </w:rPr>
              <w:t>РЗН 2020/11431</w:t>
            </w:r>
          </w:p>
        </w:tc>
        <w:tc>
          <w:tcPr>
            <w:tcW w:w="5995" w:type="dxa"/>
            <w:shd w:val="clear" w:color="auto" w:fill="F1F1F1"/>
          </w:tcPr>
          <w:p>
            <w:pPr>
              <w:pStyle w:val="TableParagraph"/>
              <w:ind w:left="117" w:right="603"/>
              <w:rPr>
                <w:sz w:val="20"/>
              </w:rPr>
            </w:pPr>
            <w:r>
              <w:rPr>
                <w:sz w:val="20"/>
              </w:rPr>
              <w:t>Реагент VITROS Коронавирус SARS-CoV-2 Общий в кассете (VITROS Anti-SARS-CoV-2 Total Reagent Pack) для иммунодиагностического определения общих антител к коронавирусу SARS-CoV-2 методом усиленной хемилюминесценции на анализаторах серии VITROS</w:t>
            </w:r>
          </w:p>
        </w:tc>
        <w:tc>
          <w:tcPr>
            <w:tcW w:w="2153" w:type="dxa"/>
            <w:shd w:val="clear" w:color="auto" w:fill="F1F1F1"/>
          </w:tcPr>
          <w:p>
            <w:pPr>
              <w:pStyle w:val="TableParagraph"/>
              <w:rPr>
                <w:b/>
                <w:sz w:val="29"/>
              </w:rPr>
            </w:pPr>
          </w:p>
          <w:p>
            <w:pPr>
              <w:pStyle w:val="TableParagraph"/>
              <w:ind w:left="118" w:right="101"/>
              <w:rPr>
                <w:sz w:val="20"/>
              </w:rPr>
            </w:pPr>
            <w:r>
              <w:rPr>
                <w:sz w:val="20"/>
              </w:rPr>
              <w:t>ООО "Орто-Клиникал Диагностикс"</w:t>
            </w:r>
          </w:p>
        </w:tc>
        <w:tc>
          <w:tcPr>
            <w:tcW w:w="3060" w:type="dxa"/>
            <w:shd w:val="clear" w:color="auto" w:fill="F1F1F1"/>
          </w:tcPr>
          <w:p>
            <w:pPr>
              <w:pStyle w:val="TableParagraph"/>
              <w:rPr>
                <w:b/>
                <w:sz w:val="19"/>
              </w:rPr>
            </w:pPr>
          </w:p>
          <w:p>
            <w:pPr>
              <w:pStyle w:val="TableParagraph"/>
              <w:ind w:left="117" w:right="122"/>
              <w:rPr>
                <w:sz w:val="20"/>
              </w:rPr>
            </w:pPr>
            <w:r>
              <w:rPr>
                <w:sz w:val="20"/>
              </w:rPr>
              <w:t>США, Ortho-Clinical Diagnostics, Inc., 100 Indigo Creek Drive, Rochester, New York 14626, USA</w:t>
            </w:r>
          </w:p>
        </w:tc>
      </w:tr>
      <w:tr>
        <w:trPr>
          <w:trHeight w:val="1101" w:hRule="atLeast"/>
        </w:trPr>
        <w:tc>
          <w:tcPr>
            <w:tcW w:w="523" w:type="dxa"/>
          </w:tcPr>
          <w:p>
            <w:pPr>
              <w:pStyle w:val="TableParagraph"/>
              <w:rPr>
                <w:b/>
                <w:sz w:val="22"/>
              </w:rPr>
            </w:pPr>
          </w:p>
          <w:p>
            <w:pPr>
              <w:pStyle w:val="TableParagraph"/>
              <w:spacing w:before="174"/>
              <w:ind w:left="107"/>
              <w:rPr>
                <w:sz w:val="20"/>
              </w:rPr>
            </w:pPr>
            <w:r>
              <w:rPr>
                <w:sz w:val="20"/>
              </w:rPr>
              <w:t>29</w:t>
            </w:r>
          </w:p>
        </w:tc>
        <w:tc>
          <w:tcPr>
            <w:tcW w:w="1627" w:type="dxa"/>
          </w:tcPr>
          <w:p>
            <w:pPr>
              <w:pStyle w:val="TableParagraph"/>
              <w:rPr>
                <w:b/>
                <w:sz w:val="22"/>
              </w:rPr>
            </w:pPr>
          </w:p>
          <w:p>
            <w:pPr>
              <w:pStyle w:val="TableParagraph"/>
              <w:spacing w:before="167"/>
              <w:ind w:left="117"/>
              <w:rPr>
                <w:sz w:val="20"/>
              </w:rPr>
            </w:pPr>
            <w:r>
              <w:rPr>
                <w:sz w:val="20"/>
              </w:rPr>
              <w:t>24.07.2020</w:t>
            </w:r>
          </w:p>
        </w:tc>
        <w:tc>
          <w:tcPr>
            <w:tcW w:w="1776" w:type="dxa"/>
          </w:tcPr>
          <w:p>
            <w:pPr>
              <w:pStyle w:val="TableParagraph"/>
              <w:rPr>
                <w:b/>
                <w:sz w:val="22"/>
              </w:rPr>
            </w:pPr>
          </w:p>
          <w:p>
            <w:pPr>
              <w:pStyle w:val="TableParagraph"/>
              <w:spacing w:before="167"/>
              <w:ind w:left="115"/>
              <w:rPr>
                <w:sz w:val="20"/>
              </w:rPr>
            </w:pPr>
            <w:r>
              <w:rPr>
                <w:sz w:val="20"/>
              </w:rPr>
              <w:t>РЗН 2020/11453</w:t>
            </w:r>
          </w:p>
        </w:tc>
        <w:tc>
          <w:tcPr>
            <w:tcW w:w="5995" w:type="dxa"/>
          </w:tcPr>
          <w:p>
            <w:pPr>
              <w:pStyle w:val="TableParagraph"/>
              <w:spacing w:before="74"/>
              <w:ind w:left="117" w:right="126"/>
              <w:rPr>
                <w:sz w:val="20"/>
              </w:rPr>
            </w:pPr>
            <w:r>
              <w:rPr>
                <w:sz w:val="20"/>
              </w:rPr>
              <w:t>Набор реагентов для определения общих антител (класса IgG/IgM) к вирусу SARS-CoV-2 на автоматических иммунохемилюминесцентных анализаторах серии ADVIA Centaur (ADVIA Centaur SARS-CoV-2 Total (ADVIA Centaur COV2T))</w:t>
            </w:r>
          </w:p>
        </w:tc>
        <w:tc>
          <w:tcPr>
            <w:tcW w:w="2153" w:type="dxa"/>
            <w:tcBorders>
              <w:bottom w:val="single" w:sz="4" w:space="0" w:color="000000"/>
            </w:tcBorders>
          </w:tcPr>
          <w:p>
            <w:pPr>
              <w:pStyle w:val="TableParagraph"/>
              <w:spacing w:before="6"/>
              <w:rPr>
                <w:b/>
                <w:sz w:val="26"/>
              </w:rPr>
            </w:pPr>
          </w:p>
          <w:p>
            <w:pPr>
              <w:pStyle w:val="TableParagraph"/>
              <w:ind w:left="117" w:right="385"/>
              <w:rPr>
                <w:sz w:val="20"/>
              </w:rPr>
            </w:pPr>
            <w:r>
              <w:rPr>
                <w:sz w:val="20"/>
              </w:rPr>
              <w:t>"Сименс Хелскеа Диагностикс Инк."</w:t>
            </w:r>
          </w:p>
        </w:tc>
        <w:tc>
          <w:tcPr>
            <w:tcW w:w="3060" w:type="dxa"/>
            <w:tcBorders>
              <w:bottom w:val="single" w:sz="4" w:space="0" w:color="000000"/>
            </w:tcBorders>
          </w:tcPr>
          <w:p>
            <w:pPr>
              <w:pStyle w:val="TableParagraph"/>
              <w:spacing w:before="75"/>
              <w:ind w:left="117" w:right="308"/>
              <w:rPr>
                <w:sz w:val="20"/>
              </w:rPr>
            </w:pPr>
            <w:r>
              <w:rPr>
                <w:sz w:val="20"/>
              </w:rPr>
              <w:t>США, Siemens Healthcare Diagnostics Inc., 511 Benedict Avenue, Tarrytown, NY, 10591, USA</w:t>
            </w:r>
          </w:p>
        </w:tc>
      </w:tr>
      <w:tr>
        <w:trPr>
          <w:trHeight w:val="705" w:hRule="atLeast"/>
        </w:trPr>
        <w:tc>
          <w:tcPr>
            <w:tcW w:w="523" w:type="dxa"/>
            <w:shd w:val="clear" w:color="auto" w:fill="F1F1F1"/>
          </w:tcPr>
          <w:p>
            <w:pPr>
              <w:pStyle w:val="TableParagraph"/>
              <w:spacing w:before="9"/>
              <w:rPr>
                <w:b/>
                <w:sz w:val="19"/>
              </w:rPr>
            </w:pPr>
          </w:p>
          <w:p>
            <w:pPr>
              <w:pStyle w:val="TableParagraph"/>
              <w:ind w:left="107"/>
              <w:rPr>
                <w:sz w:val="20"/>
              </w:rPr>
            </w:pPr>
            <w:r>
              <w:rPr>
                <w:sz w:val="20"/>
              </w:rPr>
              <w:t>30</w:t>
            </w:r>
          </w:p>
        </w:tc>
        <w:tc>
          <w:tcPr>
            <w:tcW w:w="1627" w:type="dxa"/>
            <w:shd w:val="clear" w:color="auto" w:fill="F1F1F1"/>
          </w:tcPr>
          <w:p>
            <w:pPr>
              <w:pStyle w:val="TableParagraph"/>
              <w:spacing w:before="2"/>
              <w:rPr>
                <w:b/>
                <w:sz w:val="19"/>
              </w:rPr>
            </w:pPr>
          </w:p>
          <w:p>
            <w:pPr>
              <w:pStyle w:val="TableParagraph"/>
              <w:ind w:left="117"/>
              <w:rPr>
                <w:sz w:val="20"/>
              </w:rPr>
            </w:pPr>
            <w:r>
              <w:rPr>
                <w:sz w:val="20"/>
              </w:rPr>
              <w:t>24.07.2020</w:t>
            </w:r>
          </w:p>
        </w:tc>
        <w:tc>
          <w:tcPr>
            <w:tcW w:w="1776" w:type="dxa"/>
            <w:shd w:val="clear" w:color="auto" w:fill="F1F1F1"/>
          </w:tcPr>
          <w:p>
            <w:pPr>
              <w:pStyle w:val="TableParagraph"/>
              <w:spacing w:before="2"/>
              <w:rPr>
                <w:b/>
                <w:sz w:val="19"/>
              </w:rPr>
            </w:pPr>
          </w:p>
          <w:p>
            <w:pPr>
              <w:pStyle w:val="TableParagraph"/>
              <w:ind w:left="115"/>
              <w:rPr>
                <w:sz w:val="20"/>
              </w:rPr>
            </w:pPr>
            <w:r>
              <w:rPr>
                <w:sz w:val="20"/>
              </w:rPr>
              <w:t>РЗН 2020/11489</w:t>
            </w:r>
          </w:p>
        </w:tc>
        <w:tc>
          <w:tcPr>
            <w:tcW w:w="5995" w:type="dxa"/>
            <w:tcBorders>
              <w:right w:val="single" w:sz="4" w:space="0" w:color="000000"/>
            </w:tcBorders>
            <w:shd w:val="clear" w:color="auto" w:fill="F1F1F1"/>
          </w:tcPr>
          <w:p>
            <w:pPr>
              <w:pStyle w:val="TableParagraph"/>
              <w:ind w:left="117" w:right="105"/>
              <w:rPr>
                <w:sz w:val="20"/>
              </w:rPr>
            </w:pPr>
            <w:r>
              <w:rPr>
                <w:sz w:val="20"/>
              </w:rPr>
              <w:t>Набор реагентов "Тест-система иммуноферментная для качественного и полуколичественного определения антител класса G к SARS-CoV-2" "SARS-CoV-2-IgG ИФА"</w:t>
            </w:r>
          </w:p>
        </w:tc>
        <w:tc>
          <w:tcPr>
            <w:tcW w:w="2153"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spacing w:before="2"/>
              <w:rPr>
                <w:b/>
                <w:sz w:val="19"/>
              </w:rPr>
            </w:pPr>
          </w:p>
          <w:p>
            <w:pPr>
              <w:pStyle w:val="TableParagraph"/>
              <w:ind w:left="118"/>
              <w:rPr>
                <w:sz w:val="20"/>
              </w:rPr>
            </w:pPr>
            <w:r>
              <w:rPr>
                <w:sz w:val="20"/>
              </w:rPr>
              <w:t>ЗАО "ЭКОлаб"</w:t>
            </w:r>
          </w:p>
        </w:tc>
        <w:tc>
          <w:tcPr>
            <w:tcW w:w="3060"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ind w:left="117" w:right="468"/>
              <w:jc w:val="both"/>
              <w:rPr>
                <w:sz w:val="20"/>
              </w:rPr>
            </w:pPr>
            <w:r>
              <w:rPr>
                <w:sz w:val="20"/>
              </w:rPr>
              <w:t>142530, Россия, Московская область, г. Электрогорск, ул. Буденного, д. 1</w:t>
            </w:r>
          </w:p>
        </w:tc>
      </w:tr>
      <w:tr>
        <w:trPr>
          <w:trHeight w:val="702" w:hRule="atLeast"/>
        </w:trPr>
        <w:tc>
          <w:tcPr>
            <w:tcW w:w="523" w:type="dxa"/>
          </w:tcPr>
          <w:p>
            <w:pPr>
              <w:pStyle w:val="TableParagraph"/>
              <w:spacing w:before="9"/>
              <w:rPr>
                <w:b/>
                <w:sz w:val="19"/>
              </w:rPr>
            </w:pPr>
          </w:p>
          <w:p>
            <w:pPr>
              <w:pStyle w:val="TableParagraph"/>
              <w:ind w:left="107"/>
              <w:rPr>
                <w:sz w:val="20"/>
              </w:rPr>
            </w:pPr>
            <w:r>
              <w:rPr>
                <w:sz w:val="20"/>
              </w:rPr>
              <w:t>31</w:t>
            </w:r>
          </w:p>
        </w:tc>
        <w:tc>
          <w:tcPr>
            <w:tcW w:w="1627" w:type="dxa"/>
          </w:tcPr>
          <w:p>
            <w:pPr>
              <w:pStyle w:val="TableParagraph"/>
              <w:spacing w:before="2"/>
              <w:rPr>
                <w:b/>
                <w:sz w:val="19"/>
              </w:rPr>
            </w:pPr>
          </w:p>
          <w:p>
            <w:pPr>
              <w:pStyle w:val="TableParagraph"/>
              <w:ind w:left="117"/>
              <w:rPr>
                <w:sz w:val="20"/>
              </w:rPr>
            </w:pPr>
            <w:r>
              <w:rPr>
                <w:sz w:val="20"/>
              </w:rPr>
              <w:t>24.07.2020</w:t>
            </w:r>
          </w:p>
        </w:tc>
        <w:tc>
          <w:tcPr>
            <w:tcW w:w="1776" w:type="dxa"/>
          </w:tcPr>
          <w:p>
            <w:pPr>
              <w:pStyle w:val="TableParagraph"/>
              <w:spacing w:before="2"/>
              <w:rPr>
                <w:b/>
                <w:sz w:val="19"/>
              </w:rPr>
            </w:pPr>
          </w:p>
          <w:p>
            <w:pPr>
              <w:pStyle w:val="TableParagraph"/>
              <w:ind w:left="115"/>
              <w:rPr>
                <w:sz w:val="20"/>
              </w:rPr>
            </w:pPr>
            <w:r>
              <w:rPr>
                <w:sz w:val="20"/>
              </w:rPr>
              <w:t>РЗН 2020/11490</w:t>
            </w:r>
          </w:p>
        </w:tc>
        <w:tc>
          <w:tcPr>
            <w:tcW w:w="5995" w:type="dxa"/>
            <w:tcBorders>
              <w:right w:val="single" w:sz="4" w:space="0" w:color="000000"/>
            </w:tcBorders>
          </w:tcPr>
          <w:p>
            <w:pPr>
              <w:pStyle w:val="TableParagraph"/>
              <w:spacing w:line="221" w:lineRule="exact"/>
              <w:ind w:left="117"/>
              <w:rPr>
                <w:sz w:val="20"/>
              </w:rPr>
            </w:pPr>
            <w:r>
              <w:rPr>
                <w:sz w:val="20"/>
              </w:rPr>
              <w:t>Набор реагентов для выявления антител к коронавирусу</w:t>
            </w:r>
          </w:p>
          <w:p>
            <w:pPr>
              <w:pStyle w:val="TableParagraph"/>
              <w:ind w:left="117" w:right="266"/>
              <w:rPr>
                <w:sz w:val="20"/>
              </w:rPr>
            </w:pPr>
            <w:r>
              <w:rPr>
                <w:sz w:val="20"/>
              </w:rPr>
              <w:t>SARS-CoV-2 (COVID-19) методом иммуноферментного анализа" ("ДС-ИФА-АНТИ- SARS-CoV-2")</w:t>
            </w:r>
          </w:p>
        </w:tc>
        <w:tc>
          <w:tcPr>
            <w:tcW w:w="2153" w:type="dxa"/>
            <w:tcBorders>
              <w:top w:val="single" w:sz="4" w:space="0" w:color="000000"/>
              <w:left w:val="single" w:sz="4" w:space="0" w:color="000000"/>
              <w:bottom w:val="single" w:sz="4" w:space="0" w:color="000000"/>
              <w:right w:val="single" w:sz="4" w:space="0" w:color="000000"/>
            </w:tcBorders>
          </w:tcPr>
          <w:p>
            <w:pPr>
              <w:pStyle w:val="TableParagraph"/>
              <w:spacing w:line="221" w:lineRule="exact"/>
              <w:ind w:left="118"/>
              <w:rPr>
                <w:sz w:val="20"/>
              </w:rPr>
            </w:pPr>
            <w:r>
              <w:rPr>
                <w:sz w:val="20"/>
              </w:rPr>
              <w:t>ООО "НПО</w:t>
            </w:r>
          </w:p>
          <w:p>
            <w:pPr>
              <w:pStyle w:val="TableParagraph"/>
              <w:ind w:left="118"/>
              <w:rPr>
                <w:sz w:val="20"/>
              </w:rPr>
            </w:pPr>
            <w:r>
              <w:rPr>
                <w:w w:val="95"/>
                <w:sz w:val="20"/>
              </w:rPr>
              <w:t>"Диагностические </w:t>
            </w:r>
            <w:r>
              <w:rPr>
                <w:sz w:val="20"/>
              </w:rPr>
              <w:t>системы"</w:t>
            </w:r>
          </w:p>
        </w:tc>
        <w:tc>
          <w:tcPr>
            <w:tcW w:w="3060" w:type="dxa"/>
            <w:tcBorders>
              <w:top w:val="single" w:sz="4" w:space="0" w:color="000000"/>
              <w:left w:val="single" w:sz="4" w:space="0" w:color="000000"/>
              <w:bottom w:val="single" w:sz="4" w:space="0" w:color="000000"/>
              <w:right w:val="single" w:sz="4" w:space="0" w:color="000000"/>
            </w:tcBorders>
          </w:tcPr>
          <w:p>
            <w:pPr>
              <w:pStyle w:val="TableParagraph"/>
              <w:spacing w:before="106"/>
              <w:ind w:left="117" w:right="142"/>
              <w:rPr>
                <w:sz w:val="20"/>
              </w:rPr>
            </w:pPr>
            <w:r>
              <w:rPr>
                <w:sz w:val="20"/>
              </w:rPr>
              <w:t>603014, Россия, г. Нижний Новгород, ул. Коминтерна, д. 47</w:t>
            </w:r>
          </w:p>
        </w:tc>
      </w:tr>
      <w:tr>
        <w:trPr>
          <w:trHeight w:val="1165" w:hRule="atLeast"/>
        </w:trPr>
        <w:tc>
          <w:tcPr>
            <w:tcW w:w="523" w:type="dxa"/>
            <w:shd w:val="clear" w:color="auto" w:fill="F1F1F1"/>
          </w:tcPr>
          <w:p>
            <w:pPr>
              <w:pStyle w:val="TableParagraph"/>
              <w:rPr>
                <w:b/>
                <w:sz w:val="22"/>
              </w:rPr>
            </w:pPr>
          </w:p>
          <w:p>
            <w:pPr>
              <w:pStyle w:val="TableParagraph"/>
              <w:spacing w:before="10"/>
              <w:rPr>
                <w:b/>
                <w:sz w:val="17"/>
              </w:rPr>
            </w:pPr>
          </w:p>
          <w:p>
            <w:pPr>
              <w:pStyle w:val="TableParagraph"/>
              <w:ind w:left="107"/>
              <w:rPr>
                <w:sz w:val="20"/>
              </w:rPr>
            </w:pPr>
            <w:r>
              <w:rPr>
                <w:sz w:val="20"/>
              </w:rPr>
              <w:t>32</w:t>
            </w:r>
          </w:p>
        </w:tc>
        <w:tc>
          <w:tcPr>
            <w:tcW w:w="1627" w:type="dxa"/>
            <w:shd w:val="clear" w:color="auto" w:fill="F1F1F1"/>
          </w:tcPr>
          <w:p>
            <w:pPr>
              <w:pStyle w:val="TableParagraph"/>
              <w:rPr>
                <w:b/>
                <w:sz w:val="22"/>
              </w:rPr>
            </w:pPr>
          </w:p>
          <w:p>
            <w:pPr>
              <w:pStyle w:val="TableParagraph"/>
              <w:spacing w:before="3"/>
              <w:rPr>
                <w:b/>
                <w:sz w:val="17"/>
              </w:rPr>
            </w:pPr>
          </w:p>
          <w:p>
            <w:pPr>
              <w:pStyle w:val="TableParagraph"/>
              <w:ind w:left="117"/>
              <w:rPr>
                <w:sz w:val="20"/>
              </w:rPr>
            </w:pPr>
            <w:r>
              <w:rPr>
                <w:sz w:val="20"/>
              </w:rPr>
              <w:t>24.07.2020</w:t>
            </w:r>
          </w:p>
        </w:tc>
        <w:tc>
          <w:tcPr>
            <w:tcW w:w="1776" w:type="dxa"/>
            <w:shd w:val="clear" w:color="auto" w:fill="F1F1F1"/>
          </w:tcPr>
          <w:p>
            <w:pPr>
              <w:pStyle w:val="TableParagraph"/>
              <w:rPr>
                <w:b/>
                <w:sz w:val="22"/>
              </w:rPr>
            </w:pPr>
          </w:p>
          <w:p>
            <w:pPr>
              <w:pStyle w:val="TableParagraph"/>
              <w:spacing w:before="3"/>
              <w:rPr>
                <w:b/>
                <w:sz w:val="17"/>
              </w:rPr>
            </w:pPr>
          </w:p>
          <w:p>
            <w:pPr>
              <w:pStyle w:val="TableParagraph"/>
              <w:ind w:left="115"/>
              <w:rPr>
                <w:sz w:val="20"/>
              </w:rPr>
            </w:pPr>
            <w:r>
              <w:rPr>
                <w:sz w:val="20"/>
              </w:rPr>
              <w:t>РЗН 2020/11496</w:t>
            </w:r>
          </w:p>
        </w:tc>
        <w:tc>
          <w:tcPr>
            <w:tcW w:w="5995" w:type="dxa"/>
            <w:tcBorders>
              <w:right w:val="single" w:sz="4" w:space="0" w:color="000000"/>
            </w:tcBorders>
            <w:shd w:val="clear" w:color="auto" w:fill="F1F1F1"/>
          </w:tcPr>
          <w:p>
            <w:pPr>
              <w:pStyle w:val="TableParagraph"/>
              <w:ind w:left="117" w:right="121"/>
              <w:rPr>
                <w:sz w:val="20"/>
              </w:rPr>
            </w:pPr>
            <w:r>
              <w:rPr>
                <w:sz w:val="20"/>
              </w:rPr>
              <w:t>Набор реагентов для качественного определения антител класса IgG к вирусу SARS-CoV-2 иммунохемилюминесцентным методом в сыворотке и плазме крови человека на иммунохимических анализаторах ARCHITECT "SARS-CoV-2 IgG Реагенты для ARCHITECT (SARS-CoV-2 IgG Reagent Kit)"</w:t>
            </w:r>
          </w:p>
        </w:tc>
        <w:tc>
          <w:tcPr>
            <w:tcW w:w="2153"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spacing w:before="2"/>
              <w:rPr>
                <w:b/>
                <w:sz w:val="19"/>
              </w:rPr>
            </w:pPr>
          </w:p>
          <w:p>
            <w:pPr>
              <w:pStyle w:val="TableParagraph"/>
              <w:ind w:left="118" w:right="372"/>
              <w:rPr>
                <w:sz w:val="20"/>
              </w:rPr>
            </w:pPr>
            <w:r>
              <w:rPr>
                <w:sz w:val="20"/>
              </w:rPr>
              <w:t>"Эбботт Ирландия, Диагностическое подразделение"</w:t>
            </w:r>
          </w:p>
        </w:tc>
        <w:tc>
          <w:tcPr>
            <w:tcW w:w="3060"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spacing w:before="2"/>
              <w:rPr>
                <w:b/>
                <w:sz w:val="19"/>
              </w:rPr>
            </w:pPr>
          </w:p>
          <w:p>
            <w:pPr>
              <w:pStyle w:val="TableParagraph"/>
              <w:ind w:left="117" w:right="418"/>
              <w:rPr>
                <w:sz w:val="20"/>
              </w:rPr>
            </w:pPr>
            <w:r>
              <w:rPr>
                <w:sz w:val="20"/>
              </w:rPr>
              <w:t>Ирландия, Abbott Ireland Diagnostics Division, Finisklin Business Park, Sligo, Ireland</w:t>
            </w:r>
          </w:p>
        </w:tc>
      </w:tr>
    </w:tbl>
    <w:p>
      <w:pPr>
        <w:spacing w:after="0"/>
        <w:rPr>
          <w:sz w:val="20"/>
        </w:rPr>
        <w:sectPr>
          <w:pgSz w:w="16850" w:h="11920" w:orient="landscape"/>
          <w:pgMar w:header="0" w:footer="1110" w:top="1040" w:bottom="1300" w:left="880" w:right="360"/>
        </w:sectPr>
      </w:pPr>
    </w:p>
    <w:tbl>
      <w:tblPr>
        <w:tblW w:w="0" w:type="auto"/>
        <w:jc w:val="left"/>
        <w:tblInd w:w="270" w:type="dxa"/>
        <w:tblBorders>
          <w:top w:val="single" w:sz="4" w:space="0" w:color="1B1C1F"/>
          <w:left w:val="single" w:sz="4" w:space="0" w:color="1B1C1F"/>
          <w:bottom w:val="single" w:sz="4" w:space="0" w:color="1B1C1F"/>
          <w:right w:val="single" w:sz="4" w:space="0" w:color="1B1C1F"/>
          <w:insideH w:val="single" w:sz="4" w:space="0" w:color="1B1C1F"/>
          <w:insideV w:val="single" w:sz="4" w:space="0" w:color="1B1C1F"/>
        </w:tblBorders>
        <w:tblLayout w:type="fixed"/>
        <w:tblCellMar>
          <w:top w:w="0" w:type="dxa"/>
          <w:left w:w="0" w:type="dxa"/>
          <w:bottom w:w="0" w:type="dxa"/>
          <w:right w:w="0" w:type="dxa"/>
        </w:tblCellMar>
        <w:tblLook w:val="01E0"/>
      </w:tblPr>
      <w:tblGrid>
        <w:gridCol w:w="523"/>
        <w:gridCol w:w="1627"/>
        <w:gridCol w:w="1776"/>
        <w:gridCol w:w="5995"/>
        <w:gridCol w:w="2153"/>
        <w:gridCol w:w="3060"/>
      </w:tblGrid>
      <w:tr>
        <w:trPr>
          <w:trHeight w:val="705" w:hRule="atLeast"/>
        </w:trPr>
        <w:tc>
          <w:tcPr>
            <w:tcW w:w="523" w:type="dxa"/>
          </w:tcPr>
          <w:p>
            <w:pPr>
              <w:pStyle w:val="TableParagraph"/>
              <w:spacing w:before="9"/>
              <w:rPr>
                <w:b/>
                <w:sz w:val="19"/>
              </w:rPr>
            </w:pPr>
          </w:p>
          <w:p>
            <w:pPr>
              <w:pStyle w:val="TableParagraph"/>
              <w:ind w:left="107"/>
              <w:rPr>
                <w:sz w:val="20"/>
              </w:rPr>
            </w:pPr>
            <w:r>
              <w:rPr>
                <w:sz w:val="20"/>
              </w:rPr>
              <w:t>33</w:t>
            </w:r>
          </w:p>
        </w:tc>
        <w:tc>
          <w:tcPr>
            <w:tcW w:w="1627" w:type="dxa"/>
          </w:tcPr>
          <w:p>
            <w:pPr>
              <w:pStyle w:val="TableParagraph"/>
              <w:spacing w:before="9"/>
              <w:rPr>
                <w:b/>
                <w:sz w:val="19"/>
              </w:rPr>
            </w:pPr>
          </w:p>
          <w:p>
            <w:pPr>
              <w:pStyle w:val="TableParagraph"/>
              <w:ind w:left="108"/>
              <w:rPr>
                <w:sz w:val="20"/>
              </w:rPr>
            </w:pPr>
            <w:r>
              <w:rPr>
                <w:sz w:val="20"/>
              </w:rPr>
              <w:t>24.07.2020</w:t>
            </w:r>
          </w:p>
        </w:tc>
        <w:tc>
          <w:tcPr>
            <w:tcW w:w="1776" w:type="dxa"/>
          </w:tcPr>
          <w:p>
            <w:pPr>
              <w:pStyle w:val="TableParagraph"/>
              <w:spacing w:before="9"/>
              <w:rPr>
                <w:b/>
                <w:sz w:val="19"/>
              </w:rPr>
            </w:pPr>
          </w:p>
          <w:p>
            <w:pPr>
              <w:pStyle w:val="TableParagraph"/>
              <w:ind w:left="87" w:right="277"/>
              <w:jc w:val="center"/>
              <w:rPr>
                <w:sz w:val="20"/>
              </w:rPr>
            </w:pPr>
            <w:r>
              <w:rPr>
                <w:sz w:val="20"/>
              </w:rPr>
              <w:t>РЗН 2020/11502</w:t>
            </w:r>
          </w:p>
        </w:tc>
        <w:tc>
          <w:tcPr>
            <w:tcW w:w="5995" w:type="dxa"/>
            <w:tcBorders>
              <w:right w:val="single" w:sz="4" w:space="0" w:color="000000"/>
            </w:tcBorders>
          </w:tcPr>
          <w:p>
            <w:pPr>
              <w:pStyle w:val="TableParagraph"/>
              <w:ind w:left="117" w:right="201"/>
              <w:rPr>
                <w:sz w:val="20"/>
              </w:rPr>
            </w:pPr>
            <w:r>
              <w:rPr>
                <w:sz w:val="20"/>
              </w:rPr>
              <w:t>Набор реагентов для выявления антител класса М к короновирусу SARS-CoV-2 (COVID-19) методом иммуноферментного анализа" (ДС-ИФА-АНТИ-SARS-CoV-2-М")</w:t>
            </w:r>
          </w:p>
        </w:tc>
        <w:tc>
          <w:tcPr>
            <w:tcW w:w="2153" w:type="dxa"/>
            <w:tcBorders>
              <w:top w:val="single" w:sz="4" w:space="0" w:color="000000"/>
              <w:left w:val="single" w:sz="4" w:space="0" w:color="000000"/>
              <w:bottom w:val="single" w:sz="4" w:space="0" w:color="000000"/>
              <w:right w:val="single" w:sz="4" w:space="0" w:color="000000"/>
            </w:tcBorders>
          </w:tcPr>
          <w:p>
            <w:pPr>
              <w:pStyle w:val="TableParagraph"/>
              <w:spacing w:line="221" w:lineRule="exact"/>
              <w:ind w:left="118"/>
              <w:rPr>
                <w:sz w:val="20"/>
              </w:rPr>
            </w:pPr>
            <w:r>
              <w:rPr>
                <w:sz w:val="20"/>
              </w:rPr>
              <w:t>ООО "НПО</w:t>
            </w:r>
          </w:p>
          <w:p>
            <w:pPr>
              <w:pStyle w:val="TableParagraph"/>
              <w:ind w:left="118"/>
              <w:rPr>
                <w:sz w:val="20"/>
              </w:rPr>
            </w:pPr>
            <w:r>
              <w:rPr>
                <w:w w:val="95"/>
                <w:sz w:val="20"/>
              </w:rPr>
              <w:t>"Диагностические </w:t>
            </w:r>
            <w:r>
              <w:rPr>
                <w:sz w:val="20"/>
              </w:rPr>
              <w:t>системы"</w:t>
            </w:r>
          </w:p>
        </w:tc>
        <w:tc>
          <w:tcPr>
            <w:tcW w:w="3060" w:type="dxa"/>
            <w:tcBorders>
              <w:top w:val="single" w:sz="4" w:space="0" w:color="000000"/>
              <w:left w:val="single" w:sz="4" w:space="0" w:color="000000"/>
              <w:bottom w:val="single" w:sz="4" w:space="0" w:color="000000"/>
              <w:right w:val="single" w:sz="4" w:space="0" w:color="000000"/>
            </w:tcBorders>
          </w:tcPr>
          <w:p>
            <w:pPr>
              <w:pStyle w:val="TableParagraph"/>
              <w:spacing w:before="106"/>
              <w:ind w:left="117" w:right="142"/>
              <w:rPr>
                <w:sz w:val="20"/>
              </w:rPr>
            </w:pPr>
            <w:r>
              <w:rPr>
                <w:sz w:val="20"/>
              </w:rPr>
              <w:t>603014, Россия, г. Нижний Новгород, ул. Коминтерна, д. 47</w:t>
            </w:r>
          </w:p>
        </w:tc>
      </w:tr>
      <w:tr>
        <w:trPr>
          <w:trHeight w:val="702" w:hRule="atLeast"/>
        </w:trPr>
        <w:tc>
          <w:tcPr>
            <w:tcW w:w="523" w:type="dxa"/>
            <w:shd w:val="clear" w:color="auto" w:fill="F1F1F1"/>
          </w:tcPr>
          <w:p>
            <w:pPr>
              <w:pStyle w:val="TableParagraph"/>
              <w:spacing w:before="7"/>
              <w:rPr>
                <w:b/>
                <w:sz w:val="19"/>
              </w:rPr>
            </w:pPr>
          </w:p>
          <w:p>
            <w:pPr>
              <w:pStyle w:val="TableParagraph"/>
              <w:ind w:left="107"/>
              <w:rPr>
                <w:sz w:val="20"/>
              </w:rPr>
            </w:pPr>
            <w:r>
              <w:rPr>
                <w:sz w:val="20"/>
              </w:rPr>
              <w:t>34</w:t>
            </w:r>
          </w:p>
        </w:tc>
        <w:tc>
          <w:tcPr>
            <w:tcW w:w="1627" w:type="dxa"/>
            <w:shd w:val="clear" w:color="auto" w:fill="F1F1F1"/>
          </w:tcPr>
          <w:p>
            <w:pPr>
              <w:pStyle w:val="TableParagraph"/>
              <w:spacing w:before="7"/>
              <w:rPr>
                <w:b/>
                <w:sz w:val="19"/>
              </w:rPr>
            </w:pPr>
          </w:p>
          <w:p>
            <w:pPr>
              <w:pStyle w:val="TableParagraph"/>
              <w:ind w:left="107"/>
              <w:rPr>
                <w:sz w:val="20"/>
              </w:rPr>
            </w:pPr>
            <w:r>
              <w:rPr>
                <w:sz w:val="20"/>
              </w:rPr>
              <w:t>31.07.2020</w:t>
            </w:r>
          </w:p>
        </w:tc>
        <w:tc>
          <w:tcPr>
            <w:tcW w:w="1776" w:type="dxa"/>
            <w:shd w:val="clear" w:color="auto" w:fill="F1F1F1"/>
          </w:tcPr>
          <w:p>
            <w:pPr>
              <w:pStyle w:val="TableParagraph"/>
              <w:spacing w:before="7"/>
              <w:rPr>
                <w:b/>
                <w:sz w:val="19"/>
              </w:rPr>
            </w:pPr>
          </w:p>
          <w:p>
            <w:pPr>
              <w:pStyle w:val="TableParagraph"/>
              <w:ind w:left="87" w:right="277"/>
              <w:jc w:val="center"/>
              <w:rPr>
                <w:sz w:val="20"/>
              </w:rPr>
            </w:pPr>
            <w:r>
              <w:rPr>
                <w:sz w:val="20"/>
              </w:rPr>
              <w:t>РЗН 2020/11529</w:t>
            </w:r>
          </w:p>
        </w:tc>
        <w:tc>
          <w:tcPr>
            <w:tcW w:w="5995" w:type="dxa"/>
            <w:tcBorders>
              <w:right w:val="single" w:sz="4" w:space="0" w:color="000000"/>
            </w:tcBorders>
            <w:shd w:val="clear" w:color="auto" w:fill="F1F1F1"/>
          </w:tcPr>
          <w:p>
            <w:pPr>
              <w:pStyle w:val="TableParagraph"/>
              <w:spacing w:line="237" w:lineRule="auto"/>
              <w:ind w:left="117" w:right="194"/>
              <w:rPr>
                <w:sz w:val="20"/>
              </w:rPr>
            </w:pPr>
            <w:r>
              <w:rPr>
                <w:sz w:val="20"/>
              </w:rPr>
              <w:t>Набор реагентов для иммуноферментного выявления IgА-антител к SARS-CoV-2 в сыворотке или плазме крови человека</w:t>
            </w:r>
          </w:p>
          <w:p>
            <w:pPr>
              <w:pStyle w:val="TableParagraph"/>
              <w:ind w:left="117"/>
              <w:rPr>
                <w:sz w:val="20"/>
              </w:rPr>
            </w:pPr>
            <w:r>
              <w:rPr>
                <w:sz w:val="20"/>
              </w:rPr>
              <w:t>"SARS-CoV 2-Антитела ИБХ РАН IgА тест"</w:t>
            </w:r>
          </w:p>
        </w:tc>
        <w:tc>
          <w:tcPr>
            <w:tcW w:w="2153"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spacing w:before="2"/>
              <w:rPr>
                <w:b/>
                <w:sz w:val="19"/>
              </w:rPr>
            </w:pPr>
          </w:p>
          <w:p>
            <w:pPr>
              <w:pStyle w:val="TableParagraph"/>
              <w:ind w:left="118"/>
              <w:rPr>
                <w:sz w:val="20"/>
              </w:rPr>
            </w:pPr>
            <w:r>
              <w:rPr>
                <w:sz w:val="20"/>
              </w:rPr>
              <w:t>ИБХ РАН</w:t>
            </w:r>
          </w:p>
        </w:tc>
        <w:tc>
          <w:tcPr>
            <w:tcW w:w="3060"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spacing w:before="106"/>
              <w:ind w:left="117" w:right="365"/>
              <w:rPr>
                <w:sz w:val="20"/>
              </w:rPr>
            </w:pPr>
            <w:r>
              <w:rPr>
                <w:sz w:val="20"/>
              </w:rPr>
              <w:t>117997, Россия, г. Москва, ул. Миклухо-Маклая, д. 16/10</w:t>
            </w:r>
          </w:p>
        </w:tc>
      </w:tr>
      <w:tr>
        <w:trPr>
          <w:trHeight w:val="705" w:hRule="atLeast"/>
        </w:trPr>
        <w:tc>
          <w:tcPr>
            <w:tcW w:w="523" w:type="dxa"/>
          </w:tcPr>
          <w:p>
            <w:pPr>
              <w:pStyle w:val="TableParagraph"/>
              <w:spacing w:before="214"/>
              <w:ind w:left="107"/>
              <w:rPr>
                <w:sz w:val="22"/>
              </w:rPr>
            </w:pPr>
            <w:r>
              <w:rPr>
                <w:sz w:val="22"/>
              </w:rPr>
              <w:t>35</w:t>
            </w:r>
          </w:p>
        </w:tc>
        <w:tc>
          <w:tcPr>
            <w:tcW w:w="1627" w:type="dxa"/>
          </w:tcPr>
          <w:p>
            <w:pPr>
              <w:pStyle w:val="TableParagraph"/>
              <w:spacing w:before="9"/>
              <w:rPr>
                <w:b/>
                <w:sz w:val="19"/>
              </w:rPr>
            </w:pPr>
          </w:p>
          <w:p>
            <w:pPr>
              <w:pStyle w:val="TableParagraph"/>
              <w:ind w:left="107"/>
              <w:rPr>
                <w:sz w:val="20"/>
              </w:rPr>
            </w:pPr>
            <w:r>
              <w:rPr>
                <w:sz w:val="20"/>
              </w:rPr>
              <w:t>31.07.2020</w:t>
            </w:r>
          </w:p>
        </w:tc>
        <w:tc>
          <w:tcPr>
            <w:tcW w:w="1776" w:type="dxa"/>
          </w:tcPr>
          <w:p>
            <w:pPr>
              <w:pStyle w:val="TableParagraph"/>
              <w:spacing w:before="9"/>
              <w:rPr>
                <w:b/>
                <w:sz w:val="19"/>
              </w:rPr>
            </w:pPr>
          </w:p>
          <w:p>
            <w:pPr>
              <w:pStyle w:val="TableParagraph"/>
              <w:ind w:left="87" w:right="277"/>
              <w:jc w:val="center"/>
              <w:rPr>
                <w:sz w:val="20"/>
              </w:rPr>
            </w:pPr>
            <w:r>
              <w:rPr>
                <w:sz w:val="20"/>
              </w:rPr>
              <w:t>РЗН 2020/11531</w:t>
            </w:r>
          </w:p>
        </w:tc>
        <w:tc>
          <w:tcPr>
            <w:tcW w:w="5995" w:type="dxa"/>
            <w:tcBorders>
              <w:right w:val="single" w:sz="4" w:space="0" w:color="000000"/>
            </w:tcBorders>
          </w:tcPr>
          <w:p>
            <w:pPr>
              <w:pStyle w:val="TableParagraph"/>
              <w:ind w:left="117" w:right="160"/>
              <w:rPr>
                <w:sz w:val="20"/>
              </w:rPr>
            </w:pPr>
            <w:r>
              <w:rPr>
                <w:sz w:val="20"/>
              </w:rPr>
              <w:t>Набор реагентов для иммуноферментного выявления IgM-антител к SARS-CoV-2 в сыворотке или плазме крови человека</w:t>
            </w:r>
          </w:p>
          <w:p>
            <w:pPr>
              <w:pStyle w:val="TableParagraph"/>
              <w:ind w:left="117"/>
              <w:rPr>
                <w:sz w:val="20"/>
              </w:rPr>
            </w:pPr>
            <w:r>
              <w:rPr>
                <w:sz w:val="20"/>
              </w:rPr>
              <w:t>"SARS-CoV 2-Антитела ИБХ РАН IgM тест"</w:t>
            </w:r>
          </w:p>
        </w:tc>
        <w:tc>
          <w:tcPr>
            <w:tcW w:w="2153" w:type="dxa"/>
            <w:tcBorders>
              <w:top w:val="single" w:sz="4" w:space="0" w:color="000000"/>
              <w:left w:val="single" w:sz="4" w:space="0" w:color="000000"/>
              <w:bottom w:val="single" w:sz="4" w:space="0" w:color="000000"/>
              <w:right w:val="single" w:sz="4" w:space="0" w:color="000000"/>
            </w:tcBorders>
          </w:tcPr>
          <w:p>
            <w:pPr>
              <w:pStyle w:val="TableParagraph"/>
              <w:spacing w:before="2"/>
              <w:rPr>
                <w:b/>
                <w:sz w:val="19"/>
              </w:rPr>
            </w:pPr>
          </w:p>
          <w:p>
            <w:pPr>
              <w:pStyle w:val="TableParagraph"/>
              <w:ind w:left="118"/>
              <w:rPr>
                <w:sz w:val="20"/>
              </w:rPr>
            </w:pPr>
            <w:r>
              <w:rPr>
                <w:sz w:val="20"/>
              </w:rPr>
              <w:t>ИБХ РАН</w:t>
            </w:r>
          </w:p>
        </w:tc>
        <w:tc>
          <w:tcPr>
            <w:tcW w:w="3060" w:type="dxa"/>
            <w:tcBorders>
              <w:top w:val="single" w:sz="4" w:space="0" w:color="000000"/>
              <w:left w:val="single" w:sz="4" w:space="0" w:color="000000"/>
              <w:bottom w:val="single" w:sz="4" w:space="0" w:color="000000"/>
              <w:right w:val="single" w:sz="4" w:space="0" w:color="000000"/>
            </w:tcBorders>
          </w:tcPr>
          <w:p>
            <w:pPr>
              <w:pStyle w:val="TableParagraph"/>
              <w:spacing w:before="106"/>
              <w:ind w:left="117" w:right="365"/>
              <w:rPr>
                <w:sz w:val="20"/>
              </w:rPr>
            </w:pPr>
            <w:r>
              <w:rPr>
                <w:sz w:val="20"/>
              </w:rPr>
              <w:t>117997, Россия, г. Москва, ул. Миклухо-Маклая, д. 16/10</w:t>
            </w:r>
          </w:p>
        </w:tc>
      </w:tr>
      <w:tr>
        <w:trPr>
          <w:trHeight w:val="702" w:hRule="atLeast"/>
        </w:trPr>
        <w:tc>
          <w:tcPr>
            <w:tcW w:w="523" w:type="dxa"/>
            <w:shd w:val="clear" w:color="auto" w:fill="F1F1F1"/>
          </w:tcPr>
          <w:p>
            <w:pPr>
              <w:pStyle w:val="TableParagraph"/>
              <w:spacing w:before="214"/>
              <w:ind w:left="107"/>
              <w:rPr>
                <w:sz w:val="22"/>
              </w:rPr>
            </w:pPr>
            <w:r>
              <w:rPr>
                <w:sz w:val="22"/>
              </w:rPr>
              <w:t>36</w:t>
            </w:r>
          </w:p>
        </w:tc>
        <w:tc>
          <w:tcPr>
            <w:tcW w:w="1627" w:type="dxa"/>
            <w:shd w:val="clear" w:color="auto" w:fill="F1F1F1"/>
          </w:tcPr>
          <w:p>
            <w:pPr>
              <w:pStyle w:val="TableParagraph"/>
              <w:spacing w:before="7"/>
              <w:rPr>
                <w:b/>
                <w:sz w:val="19"/>
              </w:rPr>
            </w:pPr>
          </w:p>
          <w:p>
            <w:pPr>
              <w:pStyle w:val="TableParagraph"/>
              <w:ind w:left="107"/>
              <w:rPr>
                <w:sz w:val="20"/>
              </w:rPr>
            </w:pPr>
            <w:r>
              <w:rPr>
                <w:sz w:val="20"/>
              </w:rPr>
              <w:t>31.07.2020</w:t>
            </w:r>
          </w:p>
        </w:tc>
        <w:tc>
          <w:tcPr>
            <w:tcW w:w="1776" w:type="dxa"/>
            <w:shd w:val="clear" w:color="auto" w:fill="F1F1F1"/>
          </w:tcPr>
          <w:p>
            <w:pPr>
              <w:pStyle w:val="TableParagraph"/>
              <w:spacing w:before="7"/>
              <w:rPr>
                <w:b/>
                <w:sz w:val="19"/>
              </w:rPr>
            </w:pPr>
          </w:p>
          <w:p>
            <w:pPr>
              <w:pStyle w:val="TableParagraph"/>
              <w:ind w:left="87" w:right="277"/>
              <w:jc w:val="center"/>
              <w:rPr>
                <w:sz w:val="20"/>
              </w:rPr>
            </w:pPr>
            <w:r>
              <w:rPr>
                <w:sz w:val="20"/>
              </w:rPr>
              <w:t>РЗН 2020/11579</w:t>
            </w:r>
          </w:p>
        </w:tc>
        <w:tc>
          <w:tcPr>
            <w:tcW w:w="5995" w:type="dxa"/>
            <w:tcBorders>
              <w:right w:val="single" w:sz="4" w:space="0" w:color="000000"/>
            </w:tcBorders>
            <w:shd w:val="clear" w:color="auto" w:fill="F1F1F1"/>
          </w:tcPr>
          <w:p>
            <w:pPr>
              <w:pStyle w:val="TableParagraph"/>
              <w:ind w:left="117" w:right="270"/>
              <w:rPr>
                <w:sz w:val="20"/>
              </w:rPr>
            </w:pPr>
            <w:r>
              <w:rPr>
                <w:sz w:val="20"/>
              </w:rPr>
              <w:t>Набор реагентов для иммуноферментного определения иммуноглобулинов класса G (IgG) к антигену коронавируса SARS-CoV-2 в сыворотке крови (Набор ErbaLisa COVID-19 IgG),</w:t>
            </w:r>
          </w:p>
        </w:tc>
        <w:tc>
          <w:tcPr>
            <w:tcW w:w="2153"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spacing w:before="2"/>
              <w:rPr>
                <w:b/>
                <w:sz w:val="19"/>
              </w:rPr>
            </w:pPr>
          </w:p>
          <w:p>
            <w:pPr>
              <w:pStyle w:val="TableParagraph"/>
              <w:ind w:left="118"/>
              <w:rPr>
                <w:sz w:val="20"/>
              </w:rPr>
            </w:pPr>
            <w:r>
              <w:rPr>
                <w:sz w:val="20"/>
              </w:rPr>
              <w:t>CalBioTech Inc.</w:t>
            </w:r>
          </w:p>
        </w:tc>
        <w:tc>
          <w:tcPr>
            <w:tcW w:w="3060"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spacing w:before="103"/>
              <w:ind w:left="117" w:right="727"/>
              <w:rPr>
                <w:sz w:val="20"/>
              </w:rPr>
            </w:pPr>
            <w:r>
              <w:rPr>
                <w:sz w:val="20"/>
              </w:rPr>
              <w:t>США, 1935 Cordell Court, ElCajon, CA, 92020</w:t>
            </w:r>
          </w:p>
        </w:tc>
      </w:tr>
      <w:tr>
        <w:trPr>
          <w:trHeight w:val="933" w:hRule="atLeast"/>
        </w:trPr>
        <w:tc>
          <w:tcPr>
            <w:tcW w:w="523" w:type="dxa"/>
          </w:tcPr>
          <w:p>
            <w:pPr>
              <w:pStyle w:val="TableParagraph"/>
              <w:spacing w:before="7"/>
              <w:rPr>
                <w:b/>
                <w:sz w:val="28"/>
              </w:rPr>
            </w:pPr>
          </w:p>
          <w:p>
            <w:pPr>
              <w:pStyle w:val="TableParagraph"/>
              <w:ind w:left="107"/>
              <w:rPr>
                <w:sz w:val="22"/>
              </w:rPr>
            </w:pPr>
            <w:r>
              <w:rPr>
                <w:sz w:val="22"/>
              </w:rPr>
              <w:t>37</w:t>
            </w:r>
          </w:p>
        </w:tc>
        <w:tc>
          <w:tcPr>
            <w:tcW w:w="1627" w:type="dxa"/>
          </w:tcPr>
          <w:p>
            <w:pPr>
              <w:pStyle w:val="TableParagraph"/>
              <w:spacing w:before="7"/>
              <w:rPr>
                <w:b/>
                <w:sz w:val="28"/>
              </w:rPr>
            </w:pPr>
          </w:p>
          <w:p>
            <w:pPr>
              <w:pStyle w:val="TableParagraph"/>
              <w:ind w:left="108"/>
              <w:rPr>
                <w:sz w:val="22"/>
              </w:rPr>
            </w:pPr>
            <w:r>
              <w:rPr>
                <w:sz w:val="22"/>
              </w:rPr>
              <w:t>04.08.2020</w:t>
            </w:r>
          </w:p>
        </w:tc>
        <w:tc>
          <w:tcPr>
            <w:tcW w:w="1776" w:type="dxa"/>
          </w:tcPr>
          <w:p>
            <w:pPr>
              <w:pStyle w:val="TableParagraph"/>
              <w:spacing w:before="7"/>
              <w:rPr>
                <w:b/>
                <w:sz w:val="28"/>
              </w:rPr>
            </w:pPr>
          </w:p>
          <w:p>
            <w:pPr>
              <w:pStyle w:val="TableParagraph"/>
              <w:ind w:left="87" w:right="139"/>
              <w:jc w:val="center"/>
              <w:rPr>
                <w:sz w:val="22"/>
              </w:rPr>
            </w:pPr>
            <w:r>
              <w:rPr>
                <w:sz w:val="22"/>
              </w:rPr>
              <w:t>РЗН 2020/11575</w:t>
            </w:r>
          </w:p>
        </w:tc>
        <w:tc>
          <w:tcPr>
            <w:tcW w:w="5995" w:type="dxa"/>
            <w:tcBorders>
              <w:right w:val="single" w:sz="4" w:space="0" w:color="000000"/>
            </w:tcBorders>
          </w:tcPr>
          <w:p>
            <w:pPr>
              <w:pStyle w:val="TableParagraph"/>
              <w:spacing w:before="106"/>
              <w:ind w:left="117" w:right="850"/>
              <w:rPr>
                <w:sz w:val="20"/>
              </w:rPr>
            </w:pPr>
            <w:r>
              <w:rPr>
                <w:sz w:val="20"/>
              </w:rPr>
              <w:t>Набор реагентов для иммуноферментного выявления иммуноглобулинов класса G к коронавирусу SARS-CoV-2 "NovaLisa SARS-CoV-2 (COVID-19) IgG"</w:t>
            </w:r>
          </w:p>
        </w:tc>
        <w:tc>
          <w:tcPr>
            <w:tcW w:w="2153" w:type="dxa"/>
            <w:tcBorders>
              <w:top w:val="single" w:sz="4" w:space="0" w:color="000000"/>
              <w:left w:val="single" w:sz="4" w:space="0" w:color="000000"/>
              <w:bottom w:val="single" w:sz="4" w:space="0" w:color="000000"/>
              <w:right w:val="single" w:sz="4" w:space="0" w:color="000000"/>
            </w:tcBorders>
          </w:tcPr>
          <w:p>
            <w:pPr>
              <w:pStyle w:val="TableParagraph"/>
              <w:spacing w:before="106"/>
              <w:ind w:left="117"/>
              <w:rPr>
                <w:sz w:val="20"/>
              </w:rPr>
            </w:pPr>
            <w:r>
              <w:rPr>
                <w:sz w:val="20"/>
              </w:rPr>
              <w:t>"НоваТек </w:t>
            </w:r>
            <w:r>
              <w:rPr>
                <w:w w:val="95"/>
                <w:sz w:val="20"/>
              </w:rPr>
              <w:t>Иммунодиагностика </w:t>
            </w:r>
            <w:r>
              <w:rPr>
                <w:sz w:val="20"/>
              </w:rPr>
              <w:t>ГмбХ"</w:t>
            </w:r>
          </w:p>
        </w:tc>
        <w:tc>
          <w:tcPr>
            <w:tcW w:w="3060" w:type="dxa"/>
            <w:tcBorders>
              <w:top w:val="single" w:sz="4" w:space="0" w:color="000000"/>
              <w:left w:val="single" w:sz="4" w:space="0" w:color="000000"/>
              <w:bottom w:val="single" w:sz="4" w:space="0" w:color="000000"/>
              <w:right w:val="single" w:sz="4" w:space="0" w:color="000000"/>
            </w:tcBorders>
          </w:tcPr>
          <w:p>
            <w:pPr>
              <w:pStyle w:val="TableParagraph"/>
              <w:ind w:left="117" w:right="135"/>
              <w:rPr>
                <w:sz w:val="20"/>
              </w:rPr>
            </w:pPr>
            <w:r>
              <w:rPr>
                <w:sz w:val="20"/>
              </w:rPr>
              <w:t>Германия, NovaTec Immundiagnostica GmbH, Waldstra&amp;#946;e 23 A6, D-63128 Dietzenbach, Germany</w:t>
            </w:r>
          </w:p>
        </w:tc>
      </w:tr>
      <w:tr>
        <w:trPr>
          <w:trHeight w:val="705" w:hRule="atLeast"/>
        </w:trPr>
        <w:tc>
          <w:tcPr>
            <w:tcW w:w="523" w:type="dxa"/>
            <w:shd w:val="clear" w:color="auto" w:fill="F1F1F1"/>
          </w:tcPr>
          <w:p>
            <w:pPr>
              <w:pStyle w:val="TableParagraph"/>
              <w:spacing w:before="214"/>
              <w:ind w:left="107"/>
              <w:rPr>
                <w:sz w:val="22"/>
              </w:rPr>
            </w:pPr>
            <w:r>
              <w:rPr>
                <w:sz w:val="22"/>
              </w:rPr>
              <w:t>38</w:t>
            </w:r>
          </w:p>
        </w:tc>
        <w:tc>
          <w:tcPr>
            <w:tcW w:w="1627" w:type="dxa"/>
            <w:shd w:val="clear" w:color="auto" w:fill="F1F1F1"/>
          </w:tcPr>
          <w:p>
            <w:pPr>
              <w:pStyle w:val="TableParagraph"/>
              <w:spacing w:before="214"/>
              <w:ind w:left="107"/>
              <w:rPr>
                <w:sz w:val="22"/>
              </w:rPr>
            </w:pPr>
            <w:r>
              <w:rPr>
                <w:sz w:val="22"/>
              </w:rPr>
              <w:t>05.08.2020</w:t>
            </w:r>
          </w:p>
        </w:tc>
        <w:tc>
          <w:tcPr>
            <w:tcW w:w="1776" w:type="dxa"/>
            <w:shd w:val="clear" w:color="auto" w:fill="F1F1F1"/>
          </w:tcPr>
          <w:p>
            <w:pPr>
              <w:pStyle w:val="TableParagraph"/>
              <w:spacing w:before="214"/>
              <w:ind w:left="87" w:right="139"/>
              <w:jc w:val="center"/>
              <w:rPr>
                <w:sz w:val="22"/>
              </w:rPr>
            </w:pPr>
            <w:r>
              <w:rPr>
                <w:sz w:val="22"/>
              </w:rPr>
              <w:t>РЗН 2020/11592</w:t>
            </w:r>
          </w:p>
        </w:tc>
        <w:tc>
          <w:tcPr>
            <w:tcW w:w="5995" w:type="dxa"/>
            <w:tcBorders>
              <w:right w:val="single" w:sz="4" w:space="0" w:color="000000"/>
            </w:tcBorders>
            <w:shd w:val="clear" w:color="auto" w:fill="F1F1F1"/>
          </w:tcPr>
          <w:p>
            <w:pPr>
              <w:pStyle w:val="TableParagraph"/>
              <w:spacing w:line="221" w:lineRule="exact"/>
              <w:ind w:left="117"/>
              <w:rPr>
                <w:sz w:val="20"/>
              </w:rPr>
            </w:pPr>
            <w:r>
              <w:rPr>
                <w:sz w:val="20"/>
              </w:rPr>
              <w:t>Набор реагентов для определения IgG антител к SARS-CoV-2</w:t>
            </w:r>
          </w:p>
          <w:p>
            <w:pPr>
              <w:pStyle w:val="TableParagraph"/>
              <w:ind w:left="117" w:right="194"/>
              <w:rPr>
                <w:sz w:val="20"/>
              </w:rPr>
            </w:pPr>
            <w:r>
              <w:rPr>
                <w:sz w:val="20"/>
              </w:rPr>
              <w:t>в сыворотке/плазме крови человека методом иммуноферментного анализа "COVID-19 Elisa IgG"</w:t>
            </w:r>
          </w:p>
        </w:tc>
        <w:tc>
          <w:tcPr>
            <w:tcW w:w="2153"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spacing w:before="2"/>
              <w:rPr>
                <w:b/>
                <w:sz w:val="19"/>
              </w:rPr>
            </w:pPr>
          </w:p>
          <w:p>
            <w:pPr>
              <w:pStyle w:val="TableParagraph"/>
              <w:ind w:left="118"/>
              <w:rPr>
                <w:sz w:val="20"/>
              </w:rPr>
            </w:pPr>
            <w:r>
              <w:rPr>
                <w:sz w:val="20"/>
              </w:rPr>
              <w:t>"Вирселл С.Л."</w:t>
            </w:r>
          </w:p>
        </w:tc>
        <w:tc>
          <w:tcPr>
            <w:tcW w:w="3060"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ind w:left="117" w:right="163"/>
              <w:rPr>
                <w:sz w:val="20"/>
              </w:rPr>
            </w:pPr>
            <w:r>
              <w:rPr>
                <w:sz w:val="20"/>
              </w:rPr>
              <w:t>Испания, Vircell S.L., Parque Tecnol&amp;#243;gico de la Salud, Avicena 8, 18016, Granada, Spain</w:t>
            </w:r>
          </w:p>
        </w:tc>
      </w:tr>
      <w:tr>
        <w:trPr>
          <w:trHeight w:val="1103" w:hRule="atLeast"/>
        </w:trPr>
        <w:tc>
          <w:tcPr>
            <w:tcW w:w="523" w:type="dxa"/>
          </w:tcPr>
          <w:p>
            <w:pPr>
              <w:pStyle w:val="TableParagraph"/>
              <w:spacing w:before="11"/>
              <w:rPr>
                <w:b/>
                <w:sz w:val="35"/>
              </w:rPr>
            </w:pPr>
          </w:p>
          <w:p>
            <w:pPr>
              <w:pStyle w:val="TableParagraph"/>
              <w:ind w:left="107"/>
              <w:rPr>
                <w:sz w:val="22"/>
              </w:rPr>
            </w:pPr>
            <w:r>
              <w:rPr>
                <w:sz w:val="22"/>
              </w:rPr>
              <w:t>39</w:t>
            </w:r>
          </w:p>
        </w:tc>
        <w:tc>
          <w:tcPr>
            <w:tcW w:w="1627" w:type="dxa"/>
          </w:tcPr>
          <w:p>
            <w:pPr>
              <w:pStyle w:val="TableParagraph"/>
              <w:spacing w:before="11"/>
              <w:rPr>
                <w:b/>
                <w:sz w:val="35"/>
              </w:rPr>
            </w:pPr>
          </w:p>
          <w:p>
            <w:pPr>
              <w:pStyle w:val="TableParagraph"/>
              <w:ind w:left="108"/>
              <w:rPr>
                <w:sz w:val="22"/>
              </w:rPr>
            </w:pPr>
            <w:r>
              <w:rPr>
                <w:sz w:val="22"/>
              </w:rPr>
              <w:t>07.08.2020</w:t>
            </w:r>
          </w:p>
        </w:tc>
        <w:tc>
          <w:tcPr>
            <w:tcW w:w="1776" w:type="dxa"/>
          </w:tcPr>
          <w:p>
            <w:pPr>
              <w:pStyle w:val="TableParagraph"/>
              <w:spacing w:before="11"/>
              <w:rPr>
                <w:b/>
                <w:sz w:val="35"/>
              </w:rPr>
            </w:pPr>
          </w:p>
          <w:p>
            <w:pPr>
              <w:pStyle w:val="TableParagraph"/>
              <w:ind w:left="87" w:right="139"/>
              <w:jc w:val="center"/>
              <w:rPr>
                <w:sz w:val="22"/>
              </w:rPr>
            </w:pPr>
            <w:r>
              <w:rPr>
                <w:sz w:val="22"/>
              </w:rPr>
              <w:t>РЗН 2020/11621</w:t>
            </w:r>
          </w:p>
        </w:tc>
        <w:tc>
          <w:tcPr>
            <w:tcW w:w="5995" w:type="dxa"/>
            <w:tcBorders>
              <w:right w:val="single" w:sz="4" w:space="0" w:color="000000"/>
            </w:tcBorders>
          </w:tcPr>
          <w:p>
            <w:pPr>
              <w:pStyle w:val="TableParagraph"/>
              <w:spacing w:before="74"/>
              <w:ind w:left="117" w:right="341"/>
              <w:rPr>
                <w:sz w:val="20"/>
              </w:rPr>
            </w:pPr>
            <w:r>
              <w:rPr>
                <w:sz w:val="20"/>
              </w:rPr>
              <w:t>Набор реагентов для качественного определения общих антител к коронавирусу SARS-CoV-2 в образцах сыворотки и плазмы крови человека методом иммуноферментного анализа</w:t>
            </w:r>
          </w:p>
          <w:p>
            <w:pPr>
              <w:pStyle w:val="TableParagraph"/>
              <w:spacing w:before="2"/>
              <w:ind w:left="117"/>
              <w:rPr>
                <w:sz w:val="20"/>
              </w:rPr>
            </w:pPr>
            <w:r>
              <w:rPr>
                <w:sz w:val="20"/>
              </w:rPr>
              <w:t>(Platelia SARS-CoV-2 Total Ab)</w:t>
            </w:r>
          </w:p>
        </w:tc>
        <w:tc>
          <w:tcPr>
            <w:tcW w:w="2153" w:type="dxa"/>
            <w:tcBorders>
              <w:top w:val="single" w:sz="4" w:space="0" w:color="000000"/>
              <w:left w:val="single" w:sz="4" w:space="0" w:color="000000"/>
              <w:bottom w:val="single" w:sz="4" w:space="0" w:color="000000"/>
              <w:right w:val="single" w:sz="4" w:space="0" w:color="000000"/>
            </w:tcBorders>
          </w:tcPr>
          <w:p>
            <w:pPr>
              <w:pStyle w:val="TableParagraph"/>
              <w:rPr>
                <w:b/>
                <w:sz w:val="22"/>
              </w:rPr>
            </w:pPr>
          </w:p>
          <w:p>
            <w:pPr>
              <w:pStyle w:val="TableParagraph"/>
              <w:spacing w:before="167"/>
              <w:ind w:left="117"/>
              <w:rPr>
                <w:sz w:val="20"/>
              </w:rPr>
            </w:pPr>
            <w:r>
              <w:rPr>
                <w:sz w:val="20"/>
              </w:rPr>
              <w:t>"Био-Рад"</w:t>
            </w:r>
          </w:p>
        </w:tc>
        <w:tc>
          <w:tcPr>
            <w:tcW w:w="3060" w:type="dxa"/>
            <w:tcBorders>
              <w:top w:val="single" w:sz="4" w:space="0" w:color="000000"/>
              <w:left w:val="single" w:sz="4" w:space="0" w:color="000000"/>
              <w:bottom w:val="single" w:sz="4" w:space="0" w:color="000000"/>
              <w:right w:val="single" w:sz="4" w:space="0" w:color="000000"/>
            </w:tcBorders>
          </w:tcPr>
          <w:p>
            <w:pPr>
              <w:pStyle w:val="TableParagraph"/>
              <w:spacing w:before="190"/>
              <w:ind w:left="117" w:right="278"/>
              <w:rPr>
                <w:sz w:val="20"/>
              </w:rPr>
            </w:pPr>
            <w:r>
              <w:rPr>
                <w:sz w:val="20"/>
              </w:rPr>
              <w:t>Франция, Bio-Rad, 3 boulevard Raymond Poincar&amp;#233;, 92430 Marnes-la-Coquette, France</w:t>
            </w:r>
          </w:p>
        </w:tc>
      </w:tr>
      <w:tr>
        <w:trPr>
          <w:trHeight w:val="1394" w:hRule="atLeast"/>
        </w:trPr>
        <w:tc>
          <w:tcPr>
            <w:tcW w:w="523" w:type="dxa"/>
            <w:shd w:val="clear" w:color="auto" w:fill="F1F1F1"/>
          </w:tcPr>
          <w:p>
            <w:pPr>
              <w:pStyle w:val="TableParagraph"/>
              <w:rPr>
                <w:b/>
                <w:sz w:val="24"/>
              </w:rPr>
            </w:pPr>
          </w:p>
          <w:p>
            <w:pPr>
              <w:pStyle w:val="TableParagraph"/>
              <w:spacing w:before="8"/>
              <w:rPr>
                <w:b/>
                <w:sz w:val="24"/>
              </w:rPr>
            </w:pPr>
          </w:p>
          <w:p>
            <w:pPr>
              <w:pStyle w:val="TableParagraph"/>
              <w:ind w:left="107"/>
              <w:rPr>
                <w:sz w:val="22"/>
              </w:rPr>
            </w:pPr>
            <w:r>
              <w:rPr>
                <w:sz w:val="22"/>
              </w:rPr>
              <w:t>40</w:t>
            </w:r>
          </w:p>
        </w:tc>
        <w:tc>
          <w:tcPr>
            <w:tcW w:w="1627" w:type="dxa"/>
            <w:shd w:val="clear" w:color="auto" w:fill="F1F1F1"/>
          </w:tcPr>
          <w:p>
            <w:pPr>
              <w:pStyle w:val="TableParagraph"/>
              <w:rPr>
                <w:b/>
                <w:sz w:val="24"/>
              </w:rPr>
            </w:pPr>
          </w:p>
          <w:p>
            <w:pPr>
              <w:pStyle w:val="TableParagraph"/>
              <w:spacing w:before="8"/>
              <w:rPr>
                <w:b/>
                <w:sz w:val="24"/>
              </w:rPr>
            </w:pPr>
          </w:p>
          <w:p>
            <w:pPr>
              <w:pStyle w:val="TableParagraph"/>
              <w:ind w:left="107"/>
              <w:rPr>
                <w:sz w:val="22"/>
              </w:rPr>
            </w:pPr>
            <w:r>
              <w:rPr>
                <w:sz w:val="22"/>
              </w:rPr>
              <w:t>07.08.2020</w:t>
            </w:r>
          </w:p>
        </w:tc>
        <w:tc>
          <w:tcPr>
            <w:tcW w:w="1776" w:type="dxa"/>
            <w:shd w:val="clear" w:color="auto" w:fill="F1F1F1"/>
          </w:tcPr>
          <w:p>
            <w:pPr>
              <w:pStyle w:val="TableParagraph"/>
              <w:rPr>
                <w:b/>
                <w:sz w:val="24"/>
              </w:rPr>
            </w:pPr>
          </w:p>
          <w:p>
            <w:pPr>
              <w:pStyle w:val="TableParagraph"/>
              <w:spacing w:before="8"/>
              <w:rPr>
                <w:b/>
                <w:sz w:val="24"/>
              </w:rPr>
            </w:pPr>
          </w:p>
          <w:p>
            <w:pPr>
              <w:pStyle w:val="TableParagraph"/>
              <w:ind w:left="87" w:right="139"/>
              <w:jc w:val="center"/>
              <w:rPr>
                <w:sz w:val="22"/>
              </w:rPr>
            </w:pPr>
            <w:r>
              <w:rPr>
                <w:sz w:val="22"/>
              </w:rPr>
              <w:t>РЗН 2020/11620</w:t>
            </w:r>
          </w:p>
        </w:tc>
        <w:tc>
          <w:tcPr>
            <w:tcW w:w="5995" w:type="dxa"/>
            <w:tcBorders>
              <w:right w:val="single" w:sz="4" w:space="0" w:color="000000"/>
            </w:tcBorders>
            <w:shd w:val="clear" w:color="auto" w:fill="F1F1F1"/>
          </w:tcPr>
          <w:p>
            <w:pPr>
              <w:pStyle w:val="TableParagraph"/>
              <w:spacing w:before="2"/>
              <w:rPr>
                <w:b/>
                <w:sz w:val="19"/>
              </w:rPr>
            </w:pPr>
          </w:p>
          <w:p>
            <w:pPr>
              <w:pStyle w:val="TableParagraph"/>
              <w:ind w:left="117" w:right="282"/>
              <w:rPr>
                <w:sz w:val="20"/>
              </w:rPr>
            </w:pPr>
            <w:r>
              <w:rPr>
                <w:sz w:val="20"/>
              </w:rPr>
              <w:t>Набор реагентов для определения антител IgM к штамму SARS- CoV-2 коронавируса иммунохемилюминесцентным методом в клиническом образце на анализаторах серии CL для диагностики in vitro</w:t>
            </w:r>
          </w:p>
        </w:tc>
        <w:tc>
          <w:tcPr>
            <w:tcW w:w="2153"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spacing w:before="2"/>
              <w:rPr>
                <w:b/>
                <w:sz w:val="19"/>
              </w:rPr>
            </w:pPr>
          </w:p>
          <w:p>
            <w:pPr>
              <w:pStyle w:val="TableParagraph"/>
              <w:ind w:left="118" w:right="88"/>
              <w:rPr>
                <w:sz w:val="20"/>
              </w:rPr>
            </w:pPr>
            <w:r>
              <w:rPr>
                <w:sz w:val="20"/>
              </w:rPr>
              <w:t>"Шэньчжэнь Майндрей Био- Медикал Электроникс Ко., Лтд."</w:t>
            </w:r>
          </w:p>
        </w:tc>
        <w:tc>
          <w:tcPr>
            <w:tcW w:w="3060"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ind w:left="117" w:right="152"/>
              <w:rPr>
                <w:sz w:val="20"/>
              </w:rPr>
            </w:pPr>
            <w:r>
              <w:rPr>
                <w:sz w:val="20"/>
              </w:rPr>
              <w:t>Китай, Shenzhen Mindray Bio- Medical Electronics Co., Ltd., Mindray Building, Keji 12th Road South, High-Tech Industrial Park, Nanshan, 518057 Shenzhen, P.R. of China</w:t>
            </w:r>
          </w:p>
        </w:tc>
      </w:tr>
      <w:tr>
        <w:trPr>
          <w:trHeight w:val="1103" w:hRule="atLeast"/>
        </w:trPr>
        <w:tc>
          <w:tcPr>
            <w:tcW w:w="523" w:type="dxa"/>
          </w:tcPr>
          <w:p>
            <w:pPr>
              <w:pStyle w:val="TableParagraph"/>
              <w:spacing w:before="11"/>
              <w:rPr>
                <w:b/>
                <w:sz w:val="35"/>
              </w:rPr>
            </w:pPr>
          </w:p>
          <w:p>
            <w:pPr>
              <w:pStyle w:val="TableParagraph"/>
              <w:ind w:left="107"/>
              <w:rPr>
                <w:sz w:val="22"/>
              </w:rPr>
            </w:pPr>
            <w:r>
              <w:rPr>
                <w:sz w:val="22"/>
              </w:rPr>
              <w:t>41</w:t>
            </w:r>
          </w:p>
        </w:tc>
        <w:tc>
          <w:tcPr>
            <w:tcW w:w="1627" w:type="dxa"/>
          </w:tcPr>
          <w:p>
            <w:pPr>
              <w:pStyle w:val="TableParagraph"/>
              <w:spacing w:before="11"/>
              <w:rPr>
                <w:b/>
                <w:sz w:val="35"/>
              </w:rPr>
            </w:pPr>
          </w:p>
          <w:p>
            <w:pPr>
              <w:pStyle w:val="TableParagraph"/>
              <w:ind w:left="108"/>
              <w:rPr>
                <w:sz w:val="22"/>
              </w:rPr>
            </w:pPr>
            <w:r>
              <w:rPr>
                <w:sz w:val="22"/>
              </w:rPr>
              <w:t>11.08.2020</w:t>
            </w:r>
          </w:p>
        </w:tc>
        <w:tc>
          <w:tcPr>
            <w:tcW w:w="1776" w:type="dxa"/>
          </w:tcPr>
          <w:p>
            <w:pPr>
              <w:pStyle w:val="TableParagraph"/>
              <w:spacing w:before="11"/>
              <w:rPr>
                <w:b/>
                <w:sz w:val="35"/>
              </w:rPr>
            </w:pPr>
          </w:p>
          <w:p>
            <w:pPr>
              <w:pStyle w:val="TableParagraph"/>
              <w:ind w:left="87" w:right="139"/>
              <w:jc w:val="center"/>
              <w:rPr>
                <w:sz w:val="22"/>
              </w:rPr>
            </w:pPr>
            <w:r>
              <w:rPr>
                <w:sz w:val="22"/>
              </w:rPr>
              <w:t>РЗН 2020/11658</w:t>
            </w:r>
          </w:p>
        </w:tc>
        <w:tc>
          <w:tcPr>
            <w:tcW w:w="5995" w:type="dxa"/>
            <w:tcBorders>
              <w:right w:val="single" w:sz="4" w:space="0" w:color="000000"/>
            </w:tcBorders>
          </w:tcPr>
          <w:p>
            <w:pPr>
              <w:pStyle w:val="TableParagraph"/>
              <w:spacing w:before="190"/>
              <w:ind w:left="117" w:right="567"/>
              <w:rPr>
                <w:sz w:val="20"/>
              </w:rPr>
            </w:pPr>
            <w:r>
              <w:rPr>
                <w:sz w:val="20"/>
              </w:rPr>
              <w:t>Набор реагентов "Тест-система иммуноферментная для качественного определения антител класса М к SARS-CoV-2" "SARS-CoV-2-IgМ ИФА"</w:t>
            </w:r>
          </w:p>
        </w:tc>
        <w:tc>
          <w:tcPr>
            <w:tcW w:w="2153" w:type="dxa"/>
            <w:tcBorders>
              <w:top w:val="single" w:sz="4" w:space="0" w:color="000000"/>
              <w:left w:val="single" w:sz="4" w:space="0" w:color="000000"/>
              <w:bottom w:val="single" w:sz="4" w:space="0" w:color="000000"/>
              <w:right w:val="single" w:sz="4" w:space="0" w:color="000000"/>
            </w:tcBorders>
          </w:tcPr>
          <w:p>
            <w:pPr>
              <w:pStyle w:val="TableParagraph"/>
              <w:rPr>
                <w:b/>
                <w:sz w:val="22"/>
              </w:rPr>
            </w:pPr>
          </w:p>
          <w:p>
            <w:pPr>
              <w:pStyle w:val="TableParagraph"/>
              <w:spacing w:before="167"/>
              <w:ind w:left="117"/>
              <w:rPr>
                <w:sz w:val="20"/>
              </w:rPr>
            </w:pPr>
            <w:r>
              <w:rPr>
                <w:sz w:val="20"/>
              </w:rPr>
              <w:t>ЗАО "ЭКОлаб"</w:t>
            </w:r>
          </w:p>
        </w:tc>
        <w:tc>
          <w:tcPr>
            <w:tcW w:w="3060" w:type="dxa"/>
            <w:tcBorders>
              <w:top w:val="single" w:sz="4" w:space="0" w:color="000000"/>
              <w:left w:val="single" w:sz="4" w:space="0" w:color="000000"/>
              <w:bottom w:val="single" w:sz="4" w:space="0" w:color="000000"/>
              <w:right w:val="single" w:sz="4" w:space="0" w:color="000000"/>
            </w:tcBorders>
          </w:tcPr>
          <w:p>
            <w:pPr>
              <w:pStyle w:val="TableParagraph"/>
              <w:spacing w:before="190"/>
              <w:ind w:left="117" w:right="468"/>
              <w:jc w:val="both"/>
              <w:rPr>
                <w:sz w:val="20"/>
              </w:rPr>
            </w:pPr>
            <w:r>
              <w:rPr>
                <w:sz w:val="20"/>
              </w:rPr>
              <w:t>142530, Россия, Московская область, г. Электрогорск, ул. Буденного, д. 1</w:t>
            </w:r>
          </w:p>
        </w:tc>
      </w:tr>
      <w:tr>
        <w:trPr>
          <w:trHeight w:val="1264" w:hRule="atLeast"/>
        </w:trPr>
        <w:tc>
          <w:tcPr>
            <w:tcW w:w="523" w:type="dxa"/>
            <w:shd w:val="clear" w:color="auto" w:fill="F1F1F1"/>
          </w:tcPr>
          <w:p>
            <w:pPr>
              <w:pStyle w:val="TableParagraph"/>
              <w:rPr>
                <w:b/>
                <w:sz w:val="24"/>
              </w:rPr>
            </w:pPr>
          </w:p>
          <w:p>
            <w:pPr>
              <w:pStyle w:val="TableParagraph"/>
              <w:rPr>
                <w:b/>
                <w:sz w:val="19"/>
              </w:rPr>
            </w:pPr>
          </w:p>
          <w:p>
            <w:pPr>
              <w:pStyle w:val="TableParagraph"/>
              <w:ind w:left="107"/>
              <w:rPr>
                <w:sz w:val="22"/>
              </w:rPr>
            </w:pPr>
            <w:r>
              <w:rPr>
                <w:sz w:val="22"/>
              </w:rPr>
              <w:t>42</w:t>
            </w:r>
          </w:p>
        </w:tc>
        <w:tc>
          <w:tcPr>
            <w:tcW w:w="1627" w:type="dxa"/>
            <w:shd w:val="clear" w:color="auto" w:fill="F1F1F1"/>
          </w:tcPr>
          <w:p>
            <w:pPr>
              <w:pStyle w:val="TableParagraph"/>
              <w:rPr>
                <w:b/>
                <w:sz w:val="24"/>
              </w:rPr>
            </w:pPr>
          </w:p>
          <w:p>
            <w:pPr>
              <w:pStyle w:val="TableParagraph"/>
              <w:rPr>
                <w:b/>
                <w:sz w:val="19"/>
              </w:rPr>
            </w:pPr>
          </w:p>
          <w:p>
            <w:pPr>
              <w:pStyle w:val="TableParagraph"/>
              <w:ind w:left="107"/>
              <w:rPr>
                <w:sz w:val="22"/>
              </w:rPr>
            </w:pPr>
            <w:r>
              <w:rPr>
                <w:sz w:val="22"/>
              </w:rPr>
              <w:t>12.08.2020</w:t>
            </w:r>
          </w:p>
        </w:tc>
        <w:tc>
          <w:tcPr>
            <w:tcW w:w="1776" w:type="dxa"/>
            <w:shd w:val="clear" w:color="auto" w:fill="F1F1F1"/>
          </w:tcPr>
          <w:p>
            <w:pPr>
              <w:pStyle w:val="TableParagraph"/>
              <w:rPr>
                <w:b/>
                <w:sz w:val="24"/>
              </w:rPr>
            </w:pPr>
          </w:p>
          <w:p>
            <w:pPr>
              <w:pStyle w:val="TableParagraph"/>
              <w:rPr>
                <w:b/>
                <w:sz w:val="19"/>
              </w:rPr>
            </w:pPr>
          </w:p>
          <w:p>
            <w:pPr>
              <w:pStyle w:val="TableParagraph"/>
              <w:ind w:left="87" w:right="139"/>
              <w:jc w:val="center"/>
              <w:rPr>
                <w:sz w:val="22"/>
              </w:rPr>
            </w:pPr>
            <w:r>
              <w:rPr>
                <w:sz w:val="22"/>
              </w:rPr>
              <w:t>РЗН 2020/11685</w:t>
            </w:r>
          </w:p>
        </w:tc>
        <w:tc>
          <w:tcPr>
            <w:tcW w:w="5995" w:type="dxa"/>
            <w:tcBorders>
              <w:right w:val="single" w:sz="4" w:space="0" w:color="000000"/>
            </w:tcBorders>
            <w:shd w:val="clear" w:color="auto" w:fill="F1F1F1"/>
          </w:tcPr>
          <w:p>
            <w:pPr>
              <w:pStyle w:val="TableParagraph"/>
              <w:ind w:left="108" w:right="220"/>
              <w:jc w:val="both"/>
              <w:rPr>
                <w:sz w:val="22"/>
              </w:rPr>
            </w:pPr>
            <w:r>
              <w:rPr>
                <w:sz w:val="22"/>
              </w:rPr>
              <w:t>Реагент для качественного определения антител класса IgG к вирусу SARS-CoV-2 в сыворотке и плазме крови человека иммунохемилюминесцентным методом для диагностики in</w:t>
            </w:r>
          </w:p>
          <w:p>
            <w:pPr>
              <w:pStyle w:val="TableParagraph"/>
              <w:spacing w:line="252" w:lineRule="exact"/>
              <w:ind w:left="108" w:right="488"/>
              <w:jc w:val="both"/>
              <w:rPr>
                <w:sz w:val="22"/>
              </w:rPr>
            </w:pPr>
            <w:r>
              <w:rPr>
                <w:sz w:val="22"/>
              </w:rPr>
              <w:t>vitro на анализаторах иммунохимических серии ACCESS system</w:t>
            </w:r>
          </w:p>
        </w:tc>
        <w:tc>
          <w:tcPr>
            <w:tcW w:w="2153"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rPr>
                <w:b/>
                <w:sz w:val="32"/>
              </w:rPr>
            </w:pPr>
          </w:p>
          <w:p>
            <w:pPr>
              <w:pStyle w:val="TableParagraph"/>
              <w:ind w:left="108" w:right="359"/>
              <w:rPr>
                <w:sz w:val="22"/>
              </w:rPr>
            </w:pPr>
            <w:r>
              <w:rPr>
                <w:sz w:val="22"/>
              </w:rPr>
              <w:t>"Бекмен Культер, Инк."</w:t>
            </w:r>
          </w:p>
        </w:tc>
        <w:tc>
          <w:tcPr>
            <w:tcW w:w="3060"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spacing w:before="1"/>
              <w:rPr>
                <w:b/>
                <w:sz w:val="21"/>
              </w:rPr>
            </w:pPr>
          </w:p>
          <w:p>
            <w:pPr>
              <w:pStyle w:val="TableParagraph"/>
              <w:ind w:left="108" w:right="237"/>
              <w:rPr>
                <w:sz w:val="22"/>
              </w:rPr>
            </w:pPr>
            <w:r>
              <w:rPr>
                <w:sz w:val="22"/>
              </w:rPr>
              <w:t>США, Beckman Coulter, Inc., 250 S. Kraemer Blvd., Brea, CA 92821, USA</w:t>
            </w:r>
          </w:p>
        </w:tc>
      </w:tr>
    </w:tbl>
    <w:p>
      <w:pPr>
        <w:spacing w:after="0"/>
        <w:rPr>
          <w:sz w:val="22"/>
        </w:rPr>
        <w:sectPr>
          <w:pgSz w:w="16850" w:h="11920" w:orient="landscape"/>
          <w:pgMar w:header="0" w:footer="1110" w:top="1040" w:bottom="1300" w:left="880" w:right="360"/>
        </w:sectPr>
      </w:pPr>
    </w:p>
    <w:tbl>
      <w:tblPr>
        <w:tblW w:w="0" w:type="auto"/>
        <w:jc w:val="left"/>
        <w:tblInd w:w="270" w:type="dxa"/>
        <w:tblBorders>
          <w:top w:val="single" w:sz="4" w:space="0" w:color="1B1C1F"/>
          <w:left w:val="single" w:sz="4" w:space="0" w:color="1B1C1F"/>
          <w:bottom w:val="single" w:sz="4" w:space="0" w:color="1B1C1F"/>
          <w:right w:val="single" w:sz="4" w:space="0" w:color="1B1C1F"/>
          <w:insideH w:val="single" w:sz="4" w:space="0" w:color="1B1C1F"/>
          <w:insideV w:val="single" w:sz="4" w:space="0" w:color="1B1C1F"/>
        </w:tblBorders>
        <w:tblLayout w:type="fixed"/>
        <w:tblCellMar>
          <w:top w:w="0" w:type="dxa"/>
          <w:left w:w="0" w:type="dxa"/>
          <w:bottom w:w="0" w:type="dxa"/>
          <w:right w:w="0" w:type="dxa"/>
        </w:tblCellMar>
        <w:tblLook w:val="01E0"/>
      </w:tblPr>
      <w:tblGrid>
        <w:gridCol w:w="523"/>
        <w:gridCol w:w="1627"/>
        <w:gridCol w:w="1776"/>
        <w:gridCol w:w="5995"/>
        <w:gridCol w:w="2153"/>
        <w:gridCol w:w="3060"/>
      </w:tblGrid>
      <w:tr>
        <w:trPr>
          <w:trHeight w:val="1264" w:hRule="atLeast"/>
        </w:trPr>
        <w:tc>
          <w:tcPr>
            <w:tcW w:w="523" w:type="dxa"/>
          </w:tcPr>
          <w:p>
            <w:pPr>
              <w:pStyle w:val="TableParagraph"/>
              <w:rPr>
                <w:b/>
                <w:sz w:val="24"/>
              </w:rPr>
            </w:pPr>
          </w:p>
          <w:p>
            <w:pPr>
              <w:pStyle w:val="TableParagraph"/>
              <w:rPr>
                <w:b/>
                <w:sz w:val="19"/>
              </w:rPr>
            </w:pPr>
          </w:p>
          <w:p>
            <w:pPr>
              <w:pStyle w:val="TableParagraph"/>
              <w:ind w:left="107"/>
              <w:rPr>
                <w:sz w:val="22"/>
              </w:rPr>
            </w:pPr>
            <w:r>
              <w:rPr>
                <w:sz w:val="22"/>
              </w:rPr>
              <w:t>43</w:t>
            </w:r>
          </w:p>
        </w:tc>
        <w:tc>
          <w:tcPr>
            <w:tcW w:w="1627" w:type="dxa"/>
          </w:tcPr>
          <w:p>
            <w:pPr>
              <w:pStyle w:val="TableParagraph"/>
              <w:rPr>
                <w:b/>
                <w:sz w:val="24"/>
              </w:rPr>
            </w:pPr>
          </w:p>
          <w:p>
            <w:pPr>
              <w:pStyle w:val="TableParagraph"/>
              <w:rPr>
                <w:b/>
                <w:sz w:val="19"/>
              </w:rPr>
            </w:pPr>
          </w:p>
          <w:p>
            <w:pPr>
              <w:pStyle w:val="TableParagraph"/>
              <w:ind w:left="108"/>
              <w:rPr>
                <w:sz w:val="22"/>
              </w:rPr>
            </w:pPr>
            <w:r>
              <w:rPr>
                <w:sz w:val="22"/>
              </w:rPr>
              <w:t>12.08.2020</w:t>
            </w:r>
          </w:p>
        </w:tc>
        <w:tc>
          <w:tcPr>
            <w:tcW w:w="1776" w:type="dxa"/>
          </w:tcPr>
          <w:p>
            <w:pPr>
              <w:pStyle w:val="TableParagraph"/>
              <w:rPr>
                <w:b/>
                <w:sz w:val="24"/>
              </w:rPr>
            </w:pPr>
          </w:p>
          <w:p>
            <w:pPr>
              <w:pStyle w:val="TableParagraph"/>
              <w:rPr>
                <w:b/>
                <w:sz w:val="19"/>
              </w:rPr>
            </w:pPr>
          </w:p>
          <w:p>
            <w:pPr>
              <w:pStyle w:val="TableParagraph"/>
              <w:ind w:left="87" w:right="139"/>
              <w:jc w:val="center"/>
              <w:rPr>
                <w:sz w:val="22"/>
              </w:rPr>
            </w:pPr>
            <w:r>
              <w:rPr>
                <w:sz w:val="22"/>
              </w:rPr>
              <w:t>РЗН 2020/11682</w:t>
            </w:r>
          </w:p>
        </w:tc>
        <w:tc>
          <w:tcPr>
            <w:tcW w:w="5995" w:type="dxa"/>
            <w:tcBorders>
              <w:right w:val="single" w:sz="4" w:space="0" w:color="000000"/>
            </w:tcBorders>
          </w:tcPr>
          <w:p>
            <w:pPr>
              <w:pStyle w:val="TableParagraph"/>
              <w:rPr>
                <w:b/>
                <w:sz w:val="32"/>
              </w:rPr>
            </w:pPr>
          </w:p>
          <w:p>
            <w:pPr>
              <w:pStyle w:val="TableParagraph"/>
              <w:ind w:left="108" w:right="648"/>
              <w:rPr>
                <w:sz w:val="22"/>
              </w:rPr>
            </w:pPr>
            <w:r>
              <w:rPr>
                <w:sz w:val="22"/>
              </w:rPr>
              <w:t>Набор реагентов для определения антител IgG к коронавирусу SARS-Cov-2 "ACCEL ELISA COVID-19"</w:t>
            </w:r>
          </w:p>
        </w:tc>
        <w:tc>
          <w:tcPr>
            <w:tcW w:w="2153" w:type="dxa"/>
            <w:tcBorders>
              <w:top w:val="single" w:sz="4" w:space="0" w:color="000000"/>
              <w:left w:val="single" w:sz="4" w:space="0" w:color="000000"/>
              <w:bottom w:val="single" w:sz="4" w:space="0" w:color="000000"/>
              <w:right w:val="single" w:sz="4" w:space="0" w:color="000000"/>
            </w:tcBorders>
          </w:tcPr>
          <w:p>
            <w:pPr>
              <w:pStyle w:val="TableParagraph"/>
              <w:rPr>
                <w:b/>
                <w:sz w:val="24"/>
              </w:rPr>
            </w:pPr>
          </w:p>
          <w:p>
            <w:pPr>
              <w:pStyle w:val="TableParagraph"/>
              <w:rPr>
                <w:b/>
                <w:sz w:val="19"/>
              </w:rPr>
            </w:pPr>
          </w:p>
          <w:p>
            <w:pPr>
              <w:pStyle w:val="TableParagraph"/>
              <w:ind w:left="108"/>
              <w:rPr>
                <w:sz w:val="22"/>
              </w:rPr>
            </w:pPr>
            <w:r>
              <w:rPr>
                <w:sz w:val="22"/>
              </w:rPr>
              <w:t>"Плексенс, Инк."</w:t>
            </w:r>
          </w:p>
        </w:tc>
        <w:tc>
          <w:tcPr>
            <w:tcW w:w="3060" w:type="dxa"/>
            <w:tcBorders>
              <w:top w:val="single" w:sz="4" w:space="0" w:color="000000"/>
              <w:left w:val="single" w:sz="4" w:space="0" w:color="000000"/>
              <w:bottom w:val="single" w:sz="4" w:space="0" w:color="000000"/>
              <w:right w:val="single" w:sz="4" w:space="0" w:color="000000"/>
            </w:tcBorders>
          </w:tcPr>
          <w:p>
            <w:pPr>
              <w:pStyle w:val="TableParagraph"/>
              <w:spacing w:line="242" w:lineRule="auto"/>
              <w:ind w:left="108" w:right="230"/>
              <w:rPr>
                <w:sz w:val="22"/>
              </w:rPr>
            </w:pPr>
            <w:r>
              <w:rPr>
                <w:sz w:val="22"/>
              </w:rPr>
              <w:t>Корея, Plexense, Inc., 1-1301, 1302, 1303, 16-4,</w:t>
            </w:r>
          </w:p>
          <w:p>
            <w:pPr>
              <w:pStyle w:val="TableParagraph"/>
              <w:spacing w:line="248" w:lineRule="exact"/>
              <w:ind w:left="108"/>
              <w:rPr>
                <w:sz w:val="22"/>
              </w:rPr>
            </w:pPr>
            <w:r>
              <w:rPr>
                <w:sz w:val="22"/>
              </w:rPr>
              <w:t>Dongbaekjungang-ro, 16 beon-</w:t>
            </w:r>
          </w:p>
          <w:p>
            <w:pPr>
              <w:pStyle w:val="TableParagraph"/>
              <w:spacing w:line="252" w:lineRule="exact"/>
              <w:ind w:left="108" w:right="501"/>
              <w:rPr>
                <w:sz w:val="22"/>
              </w:rPr>
            </w:pPr>
            <w:r>
              <w:rPr>
                <w:sz w:val="22"/>
              </w:rPr>
              <w:t>gil, Giheung-gu, Yongin-si, Gyeonggi-do 17015, Korea</w:t>
            </w:r>
          </w:p>
        </w:tc>
      </w:tr>
      <w:tr>
        <w:trPr>
          <w:trHeight w:val="1694" w:hRule="atLeast"/>
        </w:trPr>
        <w:tc>
          <w:tcPr>
            <w:tcW w:w="523" w:type="dxa"/>
            <w:shd w:val="clear" w:color="auto" w:fill="F1F1F1"/>
          </w:tcPr>
          <w:p>
            <w:pPr>
              <w:pStyle w:val="TableParagraph"/>
              <w:rPr>
                <w:b/>
                <w:sz w:val="24"/>
              </w:rPr>
            </w:pPr>
          </w:p>
          <w:p>
            <w:pPr>
              <w:pStyle w:val="TableParagraph"/>
              <w:rPr>
                <w:b/>
                <w:sz w:val="24"/>
              </w:rPr>
            </w:pPr>
          </w:p>
          <w:p>
            <w:pPr>
              <w:pStyle w:val="TableParagraph"/>
              <w:spacing w:before="157"/>
              <w:ind w:left="107"/>
              <w:rPr>
                <w:sz w:val="22"/>
              </w:rPr>
            </w:pPr>
            <w:r>
              <w:rPr>
                <w:sz w:val="22"/>
              </w:rPr>
              <w:t>44</w:t>
            </w:r>
          </w:p>
        </w:tc>
        <w:tc>
          <w:tcPr>
            <w:tcW w:w="1627" w:type="dxa"/>
            <w:shd w:val="clear" w:color="auto" w:fill="F1F1F1"/>
          </w:tcPr>
          <w:p>
            <w:pPr>
              <w:pStyle w:val="TableParagraph"/>
              <w:rPr>
                <w:b/>
                <w:sz w:val="24"/>
              </w:rPr>
            </w:pPr>
          </w:p>
          <w:p>
            <w:pPr>
              <w:pStyle w:val="TableParagraph"/>
              <w:rPr>
                <w:b/>
                <w:sz w:val="24"/>
              </w:rPr>
            </w:pPr>
          </w:p>
          <w:p>
            <w:pPr>
              <w:pStyle w:val="TableParagraph"/>
              <w:spacing w:before="157"/>
              <w:ind w:left="107"/>
              <w:rPr>
                <w:sz w:val="22"/>
              </w:rPr>
            </w:pPr>
            <w:r>
              <w:rPr>
                <w:sz w:val="22"/>
              </w:rPr>
              <w:t>13.08.2020</w:t>
            </w:r>
          </w:p>
        </w:tc>
        <w:tc>
          <w:tcPr>
            <w:tcW w:w="1776" w:type="dxa"/>
            <w:shd w:val="clear" w:color="auto" w:fill="F1F1F1"/>
          </w:tcPr>
          <w:p>
            <w:pPr>
              <w:pStyle w:val="TableParagraph"/>
              <w:rPr>
                <w:b/>
                <w:sz w:val="24"/>
              </w:rPr>
            </w:pPr>
          </w:p>
          <w:p>
            <w:pPr>
              <w:pStyle w:val="TableParagraph"/>
              <w:rPr>
                <w:b/>
                <w:sz w:val="24"/>
              </w:rPr>
            </w:pPr>
          </w:p>
          <w:p>
            <w:pPr>
              <w:pStyle w:val="TableParagraph"/>
              <w:spacing w:before="157"/>
              <w:ind w:left="87" w:right="139"/>
              <w:jc w:val="center"/>
              <w:rPr>
                <w:sz w:val="22"/>
              </w:rPr>
            </w:pPr>
            <w:r>
              <w:rPr>
                <w:sz w:val="22"/>
              </w:rPr>
              <w:t>РЗН 2020/11709</w:t>
            </w:r>
          </w:p>
        </w:tc>
        <w:tc>
          <w:tcPr>
            <w:tcW w:w="5995" w:type="dxa"/>
            <w:tcBorders>
              <w:right w:val="single" w:sz="4" w:space="0" w:color="000000"/>
            </w:tcBorders>
            <w:shd w:val="clear" w:color="auto" w:fill="F1F1F1"/>
          </w:tcPr>
          <w:p>
            <w:pPr>
              <w:pStyle w:val="TableParagraph"/>
              <w:spacing w:before="204"/>
              <w:ind w:left="108" w:right="384"/>
              <w:rPr>
                <w:sz w:val="22"/>
              </w:rPr>
            </w:pPr>
            <w:r>
              <w:rPr>
                <w:sz w:val="22"/>
              </w:rPr>
              <w:t>Набор контрольных материалов для количественного определения специфических антител класса иммуноглобулин G к S1\S2 вируса SARS-CoV-2 иммунохемилюминесцентным методом "LIAISON Control SARS-CoV-2 S1/S2 IgG"</w:t>
            </w:r>
          </w:p>
        </w:tc>
        <w:tc>
          <w:tcPr>
            <w:tcW w:w="2153"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rPr>
                <w:b/>
                <w:sz w:val="24"/>
              </w:rPr>
            </w:pPr>
          </w:p>
          <w:p>
            <w:pPr>
              <w:pStyle w:val="TableParagraph"/>
              <w:rPr>
                <w:b/>
                <w:sz w:val="24"/>
              </w:rPr>
            </w:pPr>
          </w:p>
          <w:p>
            <w:pPr>
              <w:pStyle w:val="TableParagraph"/>
              <w:spacing w:before="157"/>
              <w:ind w:left="108"/>
              <w:rPr>
                <w:sz w:val="22"/>
              </w:rPr>
            </w:pPr>
            <w:r>
              <w:rPr>
                <w:sz w:val="22"/>
              </w:rPr>
              <w:t>"ДиаСорин С.п.А."</w:t>
            </w:r>
          </w:p>
        </w:tc>
        <w:tc>
          <w:tcPr>
            <w:tcW w:w="3060"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rPr>
                <w:b/>
                <w:sz w:val="24"/>
              </w:rPr>
            </w:pPr>
          </w:p>
          <w:p>
            <w:pPr>
              <w:pStyle w:val="TableParagraph"/>
              <w:spacing w:before="181"/>
              <w:ind w:left="108" w:right="297"/>
              <w:rPr>
                <w:sz w:val="22"/>
              </w:rPr>
            </w:pPr>
            <w:r>
              <w:rPr>
                <w:sz w:val="22"/>
              </w:rPr>
              <w:t>Италия, DiaSorin S.p.A., Via Crescentino snc, 13040 Saluggia (VC), Italy</w:t>
            </w:r>
          </w:p>
        </w:tc>
      </w:tr>
      <w:tr>
        <w:trPr>
          <w:trHeight w:val="1686" w:hRule="atLeast"/>
        </w:trPr>
        <w:tc>
          <w:tcPr>
            <w:tcW w:w="523" w:type="dxa"/>
          </w:tcPr>
          <w:p>
            <w:pPr>
              <w:pStyle w:val="TableParagraph"/>
              <w:rPr>
                <w:b/>
                <w:sz w:val="24"/>
              </w:rPr>
            </w:pPr>
          </w:p>
          <w:p>
            <w:pPr>
              <w:pStyle w:val="TableParagraph"/>
              <w:rPr>
                <w:b/>
                <w:sz w:val="24"/>
              </w:rPr>
            </w:pPr>
          </w:p>
          <w:p>
            <w:pPr>
              <w:pStyle w:val="TableParagraph"/>
              <w:spacing w:before="152"/>
              <w:ind w:left="107"/>
              <w:rPr>
                <w:sz w:val="22"/>
              </w:rPr>
            </w:pPr>
            <w:r>
              <w:rPr>
                <w:sz w:val="22"/>
              </w:rPr>
              <w:t>45</w:t>
            </w:r>
          </w:p>
        </w:tc>
        <w:tc>
          <w:tcPr>
            <w:tcW w:w="1627" w:type="dxa"/>
          </w:tcPr>
          <w:p>
            <w:pPr>
              <w:pStyle w:val="TableParagraph"/>
              <w:rPr>
                <w:b/>
                <w:sz w:val="24"/>
              </w:rPr>
            </w:pPr>
          </w:p>
          <w:p>
            <w:pPr>
              <w:pStyle w:val="TableParagraph"/>
              <w:rPr>
                <w:b/>
                <w:sz w:val="24"/>
              </w:rPr>
            </w:pPr>
          </w:p>
          <w:p>
            <w:pPr>
              <w:pStyle w:val="TableParagraph"/>
              <w:spacing w:before="152"/>
              <w:ind w:left="108"/>
              <w:rPr>
                <w:sz w:val="22"/>
              </w:rPr>
            </w:pPr>
            <w:r>
              <w:rPr>
                <w:sz w:val="22"/>
              </w:rPr>
              <w:t>13.08.2020</w:t>
            </w:r>
          </w:p>
        </w:tc>
        <w:tc>
          <w:tcPr>
            <w:tcW w:w="1776" w:type="dxa"/>
          </w:tcPr>
          <w:p>
            <w:pPr>
              <w:pStyle w:val="TableParagraph"/>
              <w:rPr>
                <w:b/>
                <w:sz w:val="24"/>
              </w:rPr>
            </w:pPr>
          </w:p>
          <w:p>
            <w:pPr>
              <w:pStyle w:val="TableParagraph"/>
              <w:rPr>
                <w:b/>
                <w:sz w:val="24"/>
              </w:rPr>
            </w:pPr>
          </w:p>
          <w:p>
            <w:pPr>
              <w:pStyle w:val="TableParagraph"/>
              <w:spacing w:before="152"/>
              <w:ind w:left="87" w:right="139"/>
              <w:jc w:val="center"/>
              <w:rPr>
                <w:sz w:val="22"/>
              </w:rPr>
            </w:pPr>
            <w:r>
              <w:rPr>
                <w:sz w:val="22"/>
              </w:rPr>
              <w:t>РЗН 2020/11708</w:t>
            </w:r>
          </w:p>
        </w:tc>
        <w:tc>
          <w:tcPr>
            <w:tcW w:w="5995" w:type="dxa"/>
            <w:tcBorders>
              <w:right w:val="single" w:sz="4" w:space="0" w:color="000000"/>
            </w:tcBorders>
          </w:tcPr>
          <w:p>
            <w:pPr>
              <w:pStyle w:val="TableParagraph"/>
              <w:spacing w:before="200"/>
              <w:ind w:left="108" w:right="151"/>
              <w:rPr>
                <w:sz w:val="22"/>
              </w:rPr>
            </w:pPr>
            <w:r>
              <w:rPr>
                <w:sz w:val="22"/>
              </w:rPr>
              <w:t>Набор реагентов для количественного определения специфических антител класса иммуноглобулин G к S1\S2 вируса SARS-CoV-2 иммунохемилюминесцентным методом в сыворотке крови человека или плазме</w:t>
            </w:r>
          </w:p>
          <w:p>
            <w:pPr>
              <w:pStyle w:val="TableParagraph"/>
              <w:spacing w:line="251" w:lineRule="exact"/>
              <w:ind w:left="108"/>
              <w:rPr>
                <w:sz w:val="22"/>
              </w:rPr>
            </w:pPr>
            <w:r>
              <w:rPr>
                <w:sz w:val="22"/>
              </w:rPr>
              <w:t>"LIAISON SARS-CoV-2 S1\S2 IgG"</w:t>
            </w:r>
          </w:p>
        </w:tc>
        <w:tc>
          <w:tcPr>
            <w:tcW w:w="2153" w:type="dxa"/>
            <w:tcBorders>
              <w:top w:val="single" w:sz="4" w:space="0" w:color="000000"/>
              <w:left w:val="single" w:sz="4" w:space="0" w:color="000000"/>
              <w:bottom w:val="single" w:sz="4" w:space="0" w:color="000000"/>
              <w:right w:val="single" w:sz="4" w:space="0" w:color="000000"/>
            </w:tcBorders>
          </w:tcPr>
          <w:p>
            <w:pPr>
              <w:pStyle w:val="TableParagraph"/>
              <w:rPr>
                <w:b/>
                <w:sz w:val="24"/>
              </w:rPr>
            </w:pPr>
          </w:p>
          <w:p>
            <w:pPr>
              <w:pStyle w:val="TableParagraph"/>
              <w:rPr>
                <w:b/>
                <w:sz w:val="24"/>
              </w:rPr>
            </w:pPr>
          </w:p>
          <w:p>
            <w:pPr>
              <w:pStyle w:val="TableParagraph"/>
              <w:spacing w:before="152"/>
              <w:ind w:left="108"/>
              <w:rPr>
                <w:sz w:val="22"/>
              </w:rPr>
            </w:pPr>
            <w:r>
              <w:rPr>
                <w:sz w:val="22"/>
              </w:rPr>
              <w:t>"ДиаСорин С.п.А."</w:t>
            </w:r>
          </w:p>
        </w:tc>
        <w:tc>
          <w:tcPr>
            <w:tcW w:w="3060" w:type="dxa"/>
            <w:tcBorders>
              <w:top w:val="single" w:sz="4" w:space="0" w:color="000000"/>
              <w:left w:val="single" w:sz="4" w:space="0" w:color="000000"/>
              <w:bottom w:val="single" w:sz="4" w:space="0" w:color="000000"/>
              <w:right w:val="single" w:sz="4" w:space="0" w:color="000000"/>
            </w:tcBorders>
          </w:tcPr>
          <w:p>
            <w:pPr>
              <w:pStyle w:val="TableParagraph"/>
              <w:rPr>
                <w:b/>
                <w:sz w:val="24"/>
              </w:rPr>
            </w:pPr>
          </w:p>
          <w:p>
            <w:pPr>
              <w:pStyle w:val="TableParagraph"/>
              <w:spacing w:before="176"/>
              <w:ind w:left="108" w:right="297"/>
              <w:rPr>
                <w:sz w:val="22"/>
              </w:rPr>
            </w:pPr>
            <w:r>
              <w:rPr>
                <w:sz w:val="22"/>
              </w:rPr>
              <w:t>Италия, DiaSorin S.p.A., Via Crescentino snc, 13040 Saluggia (VC), Italy</w:t>
            </w:r>
          </w:p>
        </w:tc>
      </w:tr>
      <w:tr>
        <w:trPr>
          <w:trHeight w:val="1554" w:hRule="atLeast"/>
        </w:trPr>
        <w:tc>
          <w:tcPr>
            <w:tcW w:w="523" w:type="dxa"/>
            <w:shd w:val="clear" w:color="auto" w:fill="F1F1F1"/>
          </w:tcPr>
          <w:p>
            <w:pPr>
              <w:pStyle w:val="TableParagraph"/>
              <w:rPr>
                <w:b/>
                <w:sz w:val="24"/>
              </w:rPr>
            </w:pPr>
          </w:p>
          <w:p>
            <w:pPr>
              <w:pStyle w:val="TableParagraph"/>
              <w:spacing w:before="6"/>
              <w:rPr>
                <w:b/>
                <w:sz w:val="31"/>
              </w:rPr>
            </w:pPr>
          </w:p>
          <w:p>
            <w:pPr>
              <w:pStyle w:val="TableParagraph"/>
              <w:ind w:left="107"/>
              <w:rPr>
                <w:sz w:val="22"/>
              </w:rPr>
            </w:pPr>
            <w:r>
              <w:rPr>
                <w:sz w:val="22"/>
              </w:rPr>
              <w:t>46</w:t>
            </w:r>
          </w:p>
        </w:tc>
        <w:tc>
          <w:tcPr>
            <w:tcW w:w="1627" w:type="dxa"/>
            <w:shd w:val="clear" w:color="auto" w:fill="F1F1F1"/>
          </w:tcPr>
          <w:p>
            <w:pPr>
              <w:pStyle w:val="TableParagraph"/>
              <w:rPr>
                <w:b/>
                <w:sz w:val="24"/>
              </w:rPr>
            </w:pPr>
          </w:p>
          <w:p>
            <w:pPr>
              <w:pStyle w:val="TableParagraph"/>
              <w:spacing w:before="6"/>
              <w:rPr>
                <w:b/>
                <w:sz w:val="31"/>
              </w:rPr>
            </w:pPr>
          </w:p>
          <w:p>
            <w:pPr>
              <w:pStyle w:val="TableParagraph"/>
              <w:ind w:left="107"/>
              <w:rPr>
                <w:sz w:val="22"/>
              </w:rPr>
            </w:pPr>
            <w:r>
              <w:rPr>
                <w:sz w:val="22"/>
              </w:rPr>
              <w:t>13.08.2020</w:t>
            </w:r>
          </w:p>
        </w:tc>
        <w:tc>
          <w:tcPr>
            <w:tcW w:w="1776" w:type="dxa"/>
            <w:shd w:val="clear" w:color="auto" w:fill="F1F1F1"/>
          </w:tcPr>
          <w:p>
            <w:pPr>
              <w:pStyle w:val="TableParagraph"/>
              <w:rPr>
                <w:b/>
                <w:sz w:val="24"/>
              </w:rPr>
            </w:pPr>
          </w:p>
          <w:p>
            <w:pPr>
              <w:pStyle w:val="TableParagraph"/>
              <w:spacing w:before="6"/>
              <w:rPr>
                <w:b/>
                <w:sz w:val="31"/>
              </w:rPr>
            </w:pPr>
          </w:p>
          <w:p>
            <w:pPr>
              <w:pStyle w:val="TableParagraph"/>
              <w:ind w:left="87" w:right="139"/>
              <w:jc w:val="center"/>
              <w:rPr>
                <w:sz w:val="22"/>
              </w:rPr>
            </w:pPr>
            <w:r>
              <w:rPr>
                <w:sz w:val="22"/>
              </w:rPr>
              <w:t>РЗН 2020/11714</w:t>
            </w:r>
          </w:p>
        </w:tc>
        <w:tc>
          <w:tcPr>
            <w:tcW w:w="5995" w:type="dxa"/>
            <w:tcBorders>
              <w:right w:val="single" w:sz="4" w:space="0" w:color="000000"/>
            </w:tcBorders>
            <w:shd w:val="clear" w:color="auto" w:fill="F1F1F1"/>
          </w:tcPr>
          <w:p>
            <w:pPr>
              <w:pStyle w:val="TableParagraph"/>
              <w:spacing w:before="7"/>
              <w:rPr>
                <w:b/>
                <w:sz w:val="22"/>
              </w:rPr>
            </w:pPr>
          </w:p>
          <w:p>
            <w:pPr>
              <w:pStyle w:val="TableParagraph"/>
              <w:ind w:left="108" w:right="920"/>
              <w:rPr>
                <w:sz w:val="22"/>
              </w:rPr>
            </w:pPr>
            <w:r>
              <w:rPr>
                <w:sz w:val="22"/>
              </w:rPr>
              <w:t>Набор реагентов для определения содержания иммуноглобулинов класса М к вирусу SARS- CoV-2 в сыворотке или плазме крови человека методом</w:t>
            </w:r>
          </w:p>
          <w:p>
            <w:pPr>
              <w:pStyle w:val="TableParagraph"/>
              <w:spacing w:line="252" w:lineRule="exact"/>
              <w:ind w:left="108"/>
              <w:rPr>
                <w:sz w:val="22"/>
              </w:rPr>
            </w:pPr>
            <w:r>
              <w:rPr>
                <w:sz w:val="22"/>
              </w:rPr>
              <w:t>иммуноферментного анализа "ИФА-IgM-SARS-CoV-2"</w:t>
            </w:r>
          </w:p>
        </w:tc>
        <w:tc>
          <w:tcPr>
            <w:tcW w:w="2153"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rPr>
                <w:b/>
                <w:sz w:val="24"/>
              </w:rPr>
            </w:pPr>
          </w:p>
          <w:p>
            <w:pPr>
              <w:pStyle w:val="TableParagraph"/>
              <w:spacing w:before="6"/>
              <w:rPr>
                <w:b/>
                <w:sz w:val="20"/>
              </w:rPr>
            </w:pPr>
          </w:p>
          <w:p>
            <w:pPr>
              <w:pStyle w:val="TableParagraph"/>
              <w:ind w:left="108" w:right="467"/>
              <w:rPr>
                <w:sz w:val="22"/>
              </w:rPr>
            </w:pPr>
            <w:r>
              <w:rPr>
                <w:sz w:val="22"/>
              </w:rPr>
              <w:t>ООО "Альгимед Техно"</w:t>
            </w:r>
          </w:p>
        </w:tc>
        <w:tc>
          <w:tcPr>
            <w:tcW w:w="3060"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spacing w:before="7"/>
              <w:rPr>
                <w:b/>
                <w:sz w:val="33"/>
              </w:rPr>
            </w:pPr>
          </w:p>
          <w:p>
            <w:pPr>
              <w:pStyle w:val="TableParagraph"/>
              <w:ind w:left="108" w:right="103"/>
              <w:rPr>
                <w:sz w:val="22"/>
              </w:rPr>
            </w:pPr>
            <w:r>
              <w:rPr>
                <w:sz w:val="22"/>
              </w:rPr>
              <w:t>220090, Республика Беларусь, г. Минск, Логойский тр-т, д. 22, корп. 1, комн. 309</w:t>
            </w:r>
          </w:p>
        </w:tc>
      </w:tr>
      <w:tr>
        <w:trPr>
          <w:trHeight w:val="1689" w:hRule="atLeast"/>
        </w:trPr>
        <w:tc>
          <w:tcPr>
            <w:tcW w:w="523" w:type="dxa"/>
          </w:tcPr>
          <w:p>
            <w:pPr>
              <w:pStyle w:val="TableParagraph"/>
              <w:rPr>
                <w:b/>
                <w:sz w:val="24"/>
              </w:rPr>
            </w:pPr>
          </w:p>
          <w:p>
            <w:pPr>
              <w:pStyle w:val="TableParagraph"/>
              <w:rPr>
                <w:b/>
                <w:sz w:val="24"/>
              </w:rPr>
            </w:pPr>
          </w:p>
          <w:p>
            <w:pPr>
              <w:pStyle w:val="TableParagraph"/>
              <w:spacing w:before="154"/>
              <w:ind w:left="107"/>
              <w:rPr>
                <w:sz w:val="22"/>
              </w:rPr>
            </w:pPr>
            <w:r>
              <w:rPr>
                <w:sz w:val="22"/>
              </w:rPr>
              <w:t>47</w:t>
            </w:r>
          </w:p>
        </w:tc>
        <w:tc>
          <w:tcPr>
            <w:tcW w:w="1627" w:type="dxa"/>
          </w:tcPr>
          <w:p>
            <w:pPr>
              <w:pStyle w:val="TableParagraph"/>
              <w:rPr>
                <w:b/>
                <w:sz w:val="24"/>
              </w:rPr>
            </w:pPr>
          </w:p>
          <w:p>
            <w:pPr>
              <w:pStyle w:val="TableParagraph"/>
              <w:rPr>
                <w:b/>
                <w:sz w:val="24"/>
              </w:rPr>
            </w:pPr>
          </w:p>
          <w:p>
            <w:pPr>
              <w:pStyle w:val="TableParagraph"/>
              <w:spacing w:before="154"/>
              <w:ind w:left="108"/>
              <w:rPr>
                <w:sz w:val="22"/>
              </w:rPr>
            </w:pPr>
            <w:r>
              <w:rPr>
                <w:sz w:val="22"/>
              </w:rPr>
              <w:t>14.08.2020</w:t>
            </w:r>
          </w:p>
        </w:tc>
        <w:tc>
          <w:tcPr>
            <w:tcW w:w="1776" w:type="dxa"/>
          </w:tcPr>
          <w:p>
            <w:pPr>
              <w:pStyle w:val="TableParagraph"/>
              <w:rPr>
                <w:b/>
                <w:sz w:val="24"/>
              </w:rPr>
            </w:pPr>
          </w:p>
          <w:p>
            <w:pPr>
              <w:pStyle w:val="TableParagraph"/>
              <w:rPr>
                <w:b/>
                <w:sz w:val="24"/>
              </w:rPr>
            </w:pPr>
          </w:p>
          <w:p>
            <w:pPr>
              <w:pStyle w:val="TableParagraph"/>
              <w:spacing w:before="154"/>
              <w:ind w:left="87" w:right="139"/>
              <w:jc w:val="center"/>
              <w:rPr>
                <w:sz w:val="22"/>
              </w:rPr>
            </w:pPr>
            <w:r>
              <w:rPr>
                <w:sz w:val="22"/>
              </w:rPr>
              <w:t>РЗН 2020/11721</w:t>
            </w:r>
          </w:p>
        </w:tc>
        <w:tc>
          <w:tcPr>
            <w:tcW w:w="5995" w:type="dxa"/>
            <w:tcBorders>
              <w:right w:val="single" w:sz="4" w:space="0" w:color="000000"/>
            </w:tcBorders>
          </w:tcPr>
          <w:p>
            <w:pPr>
              <w:pStyle w:val="TableParagraph"/>
              <w:spacing w:before="5"/>
              <w:rPr>
                <w:b/>
                <w:sz w:val="28"/>
              </w:rPr>
            </w:pPr>
          </w:p>
          <w:p>
            <w:pPr>
              <w:pStyle w:val="TableParagraph"/>
              <w:ind w:left="108" w:right="1012"/>
              <w:rPr>
                <w:sz w:val="22"/>
              </w:rPr>
            </w:pPr>
            <w:r>
              <w:rPr>
                <w:sz w:val="22"/>
              </w:rPr>
              <w:t>Набор реагентов для определения содержания иммуноглобулинов класса G к вирусу SARS-CoV-2 в сыворотке или плазме крови человека методом</w:t>
            </w:r>
          </w:p>
          <w:p>
            <w:pPr>
              <w:pStyle w:val="TableParagraph"/>
              <w:spacing w:line="252" w:lineRule="exact"/>
              <w:ind w:left="108"/>
              <w:rPr>
                <w:sz w:val="22"/>
              </w:rPr>
            </w:pPr>
            <w:r>
              <w:rPr>
                <w:sz w:val="22"/>
              </w:rPr>
              <w:t>иммуноферментного анализа "ИФА-IgG-SARS-Cov-2"</w:t>
            </w:r>
          </w:p>
        </w:tc>
        <w:tc>
          <w:tcPr>
            <w:tcW w:w="2153" w:type="dxa"/>
            <w:tcBorders>
              <w:top w:val="single" w:sz="4" w:space="0" w:color="000000"/>
              <w:left w:val="single" w:sz="4" w:space="0" w:color="000000"/>
              <w:bottom w:val="single" w:sz="4" w:space="0" w:color="000000"/>
              <w:right w:val="single" w:sz="4" w:space="0" w:color="000000"/>
            </w:tcBorders>
          </w:tcPr>
          <w:p>
            <w:pPr>
              <w:pStyle w:val="TableParagraph"/>
              <w:rPr>
                <w:b/>
                <w:sz w:val="24"/>
              </w:rPr>
            </w:pPr>
          </w:p>
          <w:p>
            <w:pPr>
              <w:pStyle w:val="TableParagraph"/>
              <w:spacing w:before="6"/>
              <w:rPr>
                <w:b/>
                <w:sz w:val="26"/>
              </w:rPr>
            </w:pPr>
          </w:p>
          <w:p>
            <w:pPr>
              <w:pStyle w:val="TableParagraph"/>
              <w:ind w:left="108" w:right="467"/>
              <w:rPr>
                <w:sz w:val="22"/>
              </w:rPr>
            </w:pPr>
            <w:r>
              <w:rPr>
                <w:sz w:val="22"/>
              </w:rPr>
              <w:t>ООО "Альгимед Техно"</w:t>
            </w:r>
          </w:p>
        </w:tc>
        <w:tc>
          <w:tcPr>
            <w:tcW w:w="3060" w:type="dxa"/>
            <w:tcBorders>
              <w:top w:val="single" w:sz="4" w:space="0" w:color="000000"/>
              <w:left w:val="single" w:sz="4" w:space="0" w:color="000000"/>
              <w:bottom w:val="single" w:sz="4" w:space="0" w:color="000000"/>
              <w:right w:val="single" w:sz="4" w:space="0" w:color="000000"/>
            </w:tcBorders>
          </w:tcPr>
          <w:p>
            <w:pPr>
              <w:pStyle w:val="TableParagraph"/>
              <w:rPr>
                <w:b/>
                <w:sz w:val="24"/>
              </w:rPr>
            </w:pPr>
          </w:p>
          <w:p>
            <w:pPr>
              <w:pStyle w:val="TableParagraph"/>
              <w:spacing w:before="178"/>
              <w:ind w:left="108" w:right="103"/>
              <w:rPr>
                <w:sz w:val="22"/>
              </w:rPr>
            </w:pPr>
            <w:r>
              <w:rPr>
                <w:sz w:val="22"/>
              </w:rPr>
              <w:t>220090, Республика Беларусь, г. Минск, Логойский тр-т, д. 22, корп. 1, комн. 309</w:t>
            </w:r>
          </w:p>
        </w:tc>
      </w:tr>
    </w:tbl>
    <w:p>
      <w:pPr>
        <w:spacing w:after="0"/>
        <w:rPr>
          <w:sz w:val="22"/>
        </w:rPr>
        <w:sectPr>
          <w:pgSz w:w="16850" w:h="11920" w:orient="landscape"/>
          <w:pgMar w:header="0" w:footer="1110" w:top="1040" w:bottom="1300" w:left="880" w:right="360"/>
        </w:sectPr>
      </w:pPr>
    </w:p>
    <w:tbl>
      <w:tblPr>
        <w:tblW w:w="0" w:type="auto"/>
        <w:jc w:val="left"/>
        <w:tblInd w:w="270" w:type="dxa"/>
        <w:tblBorders>
          <w:top w:val="single" w:sz="4" w:space="0" w:color="1B1C1F"/>
          <w:left w:val="single" w:sz="4" w:space="0" w:color="1B1C1F"/>
          <w:bottom w:val="single" w:sz="4" w:space="0" w:color="1B1C1F"/>
          <w:right w:val="single" w:sz="4" w:space="0" w:color="1B1C1F"/>
          <w:insideH w:val="single" w:sz="4" w:space="0" w:color="1B1C1F"/>
          <w:insideV w:val="single" w:sz="4" w:space="0" w:color="1B1C1F"/>
        </w:tblBorders>
        <w:tblLayout w:type="fixed"/>
        <w:tblCellMar>
          <w:top w:w="0" w:type="dxa"/>
          <w:left w:w="0" w:type="dxa"/>
          <w:bottom w:w="0" w:type="dxa"/>
          <w:right w:w="0" w:type="dxa"/>
        </w:tblCellMar>
        <w:tblLook w:val="01E0"/>
      </w:tblPr>
      <w:tblGrid>
        <w:gridCol w:w="523"/>
        <w:gridCol w:w="1627"/>
        <w:gridCol w:w="1776"/>
        <w:gridCol w:w="5995"/>
        <w:gridCol w:w="2153"/>
        <w:gridCol w:w="3060"/>
      </w:tblGrid>
      <w:tr>
        <w:trPr>
          <w:trHeight w:val="2154" w:hRule="atLeast"/>
        </w:trPr>
        <w:tc>
          <w:tcPr>
            <w:tcW w:w="523" w:type="dxa"/>
            <w:shd w:val="clear" w:color="auto" w:fill="F1F1F1"/>
          </w:tcPr>
          <w:p>
            <w:pPr>
              <w:pStyle w:val="TableParagraph"/>
              <w:rPr>
                <w:b/>
                <w:sz w:val="24"/>
              </w:rPr>
            </w:pPr>
          </w:p>
          <w:p>
            <w:pPr>
              <w:pStyle w:val="TableParagraph"/>
              <w:rPr>
                <w:b/>
                <w:sz w:val="24"/>
              </w:rPr>
            </w:pPr>
          </w:p>
          <w:p>
            <w:pPr>
              <w:pStyle w:val="TableParagraph"/>
              <w:spacing w:before="10"/>
              <w:rPr>
                <w:b/>
                <w:sz w:val="33"/>
              </w:rPr>
            </w:pPr>
          </w:p>
          <w:p>
            <w:pPr>
              <w:pStyle w:val="TableParagraph"/>
              <w:ind w:left="107"/>
              <w:rPr>
                <w:sz w:val="22"/>
              </w:rPr>
            </w:pPr>
            <w:r>
              <w:rPr>
                <w:sz w:val="22"/>
              </w:rPr>
              <w:t>48</w:t>
            </w:r>
          </w:p>
        </w:tc>
        <w:tc>
          <w:tcPr>
            <w:tcW w:w="1627" w:type="dxa"/>
            <w:shd w:val="clear" w:color="auto" w:fill="F1F1F1"/>
          </w:tcPr>
          <w:p>
            <w:pPr>
              <w:pStyle w:val="TableParagraph"/>
              <w:rPr>
                <w:b/>
                <w:sz w:val="24"/>
              </w:rPr>
            </w:pPr>
          </w:p>
          <w:p>
            <w:pPr>
              <w:pStyle w:val="TableParagraph"/>
              <w:rPr>
                <w:b/>
                <w:sz w:val="24"/>
              </w:rPr>
            </w:pPr>
          </w:p>
          <w:p>
            <w:pPr>
              <w:pStyle w:val="TableParagraph"/>
              <w:spacing w:before="10"/>
              <w:rPr>
                <w:b/>
                <w:sz w:val="33"/>
              </w:rPr>
            </w:pPr>
          </w:p>
          <w:p>
            <w:pPr>
              <w:pStyle w:val="TableParagraph"/>
              <w:ind w:left="107"/>
              <w:rPr>
                <w:sz w:val="22"/>
              </w:rPr>
            </w:pPr>
            <w:r>
              <w:rPr>
                <w:sz w:val="22"/>
              </w:rPr>
              <w:t>18.08.2020</w:t>
            </w:r>
          </w:p>
        </w:tc>
        <w:tc>
          <w:tcPr>
            <w:tcW w:w="1776" w:type="dxa"/>
            <w:shd w:val="clear" w:color="auto" w:fill="F1F1F1"/>
          </w:tcPr>
          <w:p>
            <w:pPr>
              <w:pStyle w:val="TableParagraph"/>
              <w:rPr>
                <w:b/>
                <w:sz w:val="24"/>
              </w:rPr>
            </w:pPr>
          </w:p>
          <w:p>
            <w:pPr>
              <w:pStyle w:val="TableParagraph"/>
              <w:rPr>
                <w:b/>
                <w:sz w:val="24"/>
              </w:rPr>
            </w:pPr>
          </w:p>
          <w:p>
            <w:pPr>
              <w:pStyle w:val="TableParagraph"/>
              <w:spacing w:before="10"/>
              <w:rPr>
                <w:b/>
                <w:sz w:val="33"/>
              </w:rPr>
            </w:pPr>
          </w:p>
          <w:p>
            <w:pPr>
              <w:pStyle w:val="TableParagraph"/>
              <w:ind w:left="87" w:right="139"/>
              <w:jc w:val="center"/>
              <w:rPr>
                <w:sz w:val="22"/>
              </w:rPr>
            </w:pPr>
            <w:r>
              <w:rPr>
                <w:sz w:val="22"/>
              </w:rPr>
              <w:t>РЗН 2020/11754</w:t>
            </w:r>
          </w:p>
        </w:tc>
        <w:tc>
          <w:tcPr>
            <w:tcW w:w="5995" w:type="dxa"/>
            <w:tcBorders>
              <w:right w:val="single" w:sz="4" w:space="0" w:color="000000"/>
            </w:tcBorders>
            <w:shd w:val="clear" w:color="auto" w:fill="F1F1F1"/>
          </w:tcPr>
          <w:p>
            <w:pPr>
              <w:pStyle w:val="TableParagraph"/>
              <w:rPr>
                <w:b/>
                <w:sz w:val="24"/>
              </w:rPr>
            </w:pPr>
          </w:p>
          <w:p>
            <w:pPr>
              <w:pStyle w:val="TableParagraph"/>
              <w:spacing w:before="159"/>
              <w:ind w:left="108" w:right="110"/>
              <w:rPr>
                <w:sz w:val="22"/>
              </w:rPr>
            </w:pPr>
            <w:r>
              <w:rPr>
                <w:sz w:val="22"/>
              </w:rPr>
              <w:t>Набор реагентов и калибраторов для качественного определения общих антител IgM/IgG к SARS-CoV-2 иммунохемилюминесцентным методом в сыворотке и плазме крови на анализаторах и модулях иммунохимических cobas e (Elecsys Anti-SARS-Cov-2 cobas e</w:t>
            </w:r>
            <w:r>
              <w:rPr>
                <w:spacing w:val="-12"/>
                <w:sz w:val="22"/>
              </w:rPr>
              <w:t> </w:t>
            </w:r>
            <w:r>
              <w:rPr>
                <w:sz w:val="22"/>
              </w:rPr>
              <w:t>analyzers/ACOV2)</w:t>
            </w:r>
          </w:p>
        </w:tc>
        <w:tc>
          <w:tcPr>
            <w:tcW w:w="2153"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rPr>
                <w:b/>
                <w:sz w:val="24"/>
              </w:rPr>
            </w:pPr>
          </w:p>
          <w:p>
            <w:pPr>
              <w:pStyle w:val="TableParagraph"/>
              <w:rPr>
                <w:b/>
                <w:sz w:val="24"/>
              </w:rPr>
            </w:pPr>
          </w:p>
          <w:p>
            <w:pPr>
              <w:pStyle w:val="TableParagraph"/>
              <w:spacing w:before="9"/>
              <w:rPr>
                <w:b/>
                <w:sz w:val="22"/>
              </w:rPr>
            </w:pPr>
          </w:p>
          <w:p>
            <w:pPr>
              <w:pStyle w:val="TableParagraph"/>
              <w:ind w:left="108" w:right="268"/>
              <w:rPr>
                <w:sz w:val="22"/>
              </w:rPr>
            </w:pPr>
            <w:r>
              <w:rPr>
                <w:sz w:val="22"/>
              </w:rPr>
              <w:t>"Рош Диагностикс ГмбХ"</w:t>
            </w:r>
          </w:p>
        </w:tc>
        <w:tc>
          <w:tcPr>
            <w:tcW w:w="3060"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rPr>
                <w:b/>
                <w:sz w:val="24"/>
              </w:rPr>
            </w:pPr>
          </w:p>
          <w:p>
            <w:pPr>
              <w:pStyle w:val="TableParagraph"/>
              <w:spacing w:before="8"/>
              <w:rPr>
                <w:b/>
                <w:sz w:val="35"/>
              </w:rPr>
            </w:pPr>
          </w:p>
          <w:p>
            <w:pPr>
              <w:pStyle w:val="TableParagraph"/>
              <w:ind w:left="108" w:right="206"/>
              <w:jc w:val="both"/>
              <w:rPr>
                <w:sz w:val="22"/>
              </w:rPr>
            </w:pPr>
            <w:r>
              <w:rPr>
                <w:sz w:val="22"/>
              </w:rPr>
              <w:t>Германия, Roche Diagnostics GmbH, Sandhofer Strasse 116, 68305 Mannheim, Germany</w:t>
            </w:r>
          </w:p>
        </w:tc>
      </w:tr>
      <w:tr>
        <w:trPr>
          <w:trHeight w:val="1691" w:hRule="atLeast"/>
        </w:trPr>
        <w:tc>
          <w:tcPr>
            <w:tcW w:w="523" w:type="dxa"/>
          </w:tcPr>
          <w:p>
            <w:pPr>
              <w:pStyle w:val="TableParagraph"/>
              <w:rPr>
                <w:b/>
                <w:sz w:val="24"/>
              </w:rPr>
            </w:pPr>
          </w:p>
          <w:p>
            <w:pPr>
              <w:pStyle w:val="TableParagraph"/>
              <w:rPr>
                <w:b/>
                <w:sz w:val="24"/>
              </w:rPr>
            </w:pPr>
          </w:p>
          <w:p>
            <w:pPr>
              <w:pStyle w:val="TableParagraph"/>
              <w:spacing w:before="157"/>
              <w:ind w:left="107"/>
              <w:rPr>
                <w:sz w:val="22"/>
              </w:rPr>
            </w:pPr>
            <w:r>
              <w:rPr>
                <w:sz w:val="22"/>
              </w:rPr>
              <w:t>49</w:t>
            </w:r>
          </w:p>
        </w:tc>
        <w:tc>
          <w:tcPr>
            <w:tcW w:w="1627" w:type="dxa"/>
          </w:tcPr>
          <w:p>
            <w:pPr>
              <w:pStyle w:val="TableParagraph"/>
              <w:rPr>
                <w:b/>
                <w:sz w:val="24"/>
              </w:rPr>
            </w:pPr>
          </w:p>
          <w:p>
            <w:pPr>
              <w:pStyle w:val="TableParagraph"/>
              <w:rPr>
                <w:b/>
                <w:sz w:val="24"/>
              </w:rPr>
            </w:pPr>
          </w:p>
          <w:p>
            <w:pPr>
              <w:pStyle w:val="TableParagraph"/>
              <w:spacing w:before="157"/>
              <w:ind w:left="108"/>
              <w:rPr>
                <w:sz w:val="22"/>
              </w:rPr>
            </w:pPr>
            <w:r>
              <w:rPr>
                <w:sz w:val="22"/>
              </w:rPr>
              <w:t>19.08.2020</w:t>
            </w:r>
          </w:p>
        </w:tc>
        <w:tc>
          <w:tcPr>
            <w:tcW w:w="1776" w:type="dxa"/>
          </w:tcPr>
          <w:p>
            <w:pPr>
              <w:pStyle w:val="TableParagraph"/>
              <w:rPr>
                <w:b/>
                <w:sz w:val="24"/>
              </w:rPr>
            </w:pPr>
          </w:p>
          <w:p>
            <w:pPr>
              <w:pStyle w:val="TableParagraph"/>
              <w:rPr>
                <w:b/>
                <w:sz w:val="24"/>
              </w:rPr>
            </w:pPr>
          </w:p>
          <w:p>
            <w:pPr>
              <w:pStyle w:val="TableParagraph"/>
              <w:spacing w:before="157"/>
              <w:ind w:left="87" w:right="139"/>
              <w:jc w:val="center"/>
              <w:rPr>
                <w:sz w:val="22"/>
              </w:rPr>
            </w:pPr>
            <w:r>
              <w:rPr>
                <w:sz w:val="22"/>
              </w:rPr>
              <w:t>РЗН 2020/10592</w:t>
            </w:r>
          </w:p>
        </w:tc>
        <w:tc>
          <w:tcPr>
            <w:tcW w:w="5995" w:type="dxa"/>
            <w:tcBorders>
              <w:right w:val="single" w:sz="4" w:space="0" w:color="000000"/>
            </w:tcBorders>
          </w:tcPr>
          <w:p>
            <w:pPr>
              <w:pStyle w:val="TableParagraph"/>
              <w:rPr>
                <w:b/>
                <w:sz w:val="24"/>
              </w:rPr>
            </w:pPr>
          </w:p>
          <w:p>
            <w:pPr>
              <w:pStyle w:val="TableParagraph"/>
              <w:spacing w:before="6"/>
              <w:rPr>
                <w:b/>
                <w:sz w:val="26"/>
              </w:rPr>
            </w:pPr>
          </w:p>
          <w:p>
            <w:pPr>
              <w:pStyle w:val="TableParagraph"/>
              <w:ind w:left="108" w:right="504"/>
              <w:rPr>
                <w:sz w:val="22"/>
              </w:rPr>
            </w:pPr>
            <w:r>
              <w:rPr>
                <w:sz w:val="22"/>
              </w:rPr>
              <w:t>"Антигма-G" набор реагентов для иммуноферментного выявления антител класса G (IgG) к вирусу SARS-CoV-2</w:t>
            </w:r>
          </w:p>
        </w:tc>
        <w:tc>
          <w:tcPr>
            <w:tcW w:w="2153" w:type="dxa"/>
            <w:tcBorders>
              <w:top w:val="single" w:sz="4" w:space="0" w:color="000000"/>
              <w:left w:val="single" w:sz="4" w:space="0" w:color="000000"/>
              <w:bottom w:val="single" w:sz="4" w:space="0" w:color="000000"/>
              <w:right w:val="single" w:sz="4" w:space="0" w:color="000000"/>
            </w:tcBorders>
          </w:tcPr>
          <w:p>
            <w:pPr>
              <w:pStyle w:val="TableParagraph"/>
              <w:rPr>
                <w:b/>
                <w:sz w:val="24"/>
              </w:rPr>
            </w:pPr>
          </w:p>
          <w:p>
            <w:pPr>
              <w:pStyle w:val="TableParagraph"/>
              <w:rPr>
                <w:b/>
                <w:sz w:val="24"/>
              </w:rPr>
            </w:pPr>
          </w:p>
          <w:p>
            <w:pPr>
              <w:pStyle w:val="TableParagraph"/>
              <w:spacing w:before="157"/>
              <w:ind w:left="108"/>
              <w:rPr>
                <w:sz w:val="22"/>
              </w:rPr>
            </w:pPr>
            <w:r>
              <w:rPr>
                <w:sz w:val="22"/>
              </w:rPr>
              <w:t>АО "ГЕНЕРИУМ"</w:t>
            </w:r>
          </w:p>
        </w:tc>
        <w:tc>
          <w:tcPr>
            <w:tcW w:w="3060" w:type="dxa"/>
            <w:tcBorders>
              <w:top w:val="single" w:sz="4" w:space="0" w:color="000000"/>
              <w:left w:val="single" w:sz="4" w:space="0" w:color="000000"/>
              <w:bottom w:val="single" w:sz="4" w:space="0" w:color="000000"/>
              <w:right w:val="single" w:sz="4" w:space="0" w:color="000000"/>
            </w:tcBorders>
          </w:tcPr>
          <w:p>
            <w:pPr>
              <w:pStyle w:val="TableParagraph"/>
              <w:spacing w:before="202"/>
              <w:ind w:left="108" w:right="257"/>
              <w:rPr>
                <w:sz w:val="22"/>
              </w:rPr>
            </w:pPr>
            <w:r>
              <w:rPr>
                <w:sz w:val="22"/>
              </w:rPr>
              <w:t>601125, Россия, Владимирская область, Петушинский район, п. Вольгинский, ул. Заводская, стр. 273</w:t>
            </w:r>
          </w:p>
        </w:tc>
      </w:tr>
      <w:tr>
        <w:trPr>
          <w:trHeight w:val="2248" w:hRule="atLeast"/>
        </w:trPr>
        <w:tc>
          <w:tcPr>
            <w:tcW w:w="523" w:type="dxa"/>
            <w:shd w:val="clear" w:color="auto" w:fill="F1F1F1"/>
          </w:tcPr>
          <w:p>
            <w:pPr>
              <w:pStyle w:val="TableParagraph"/>
              <w:rPr>
                <w:b/>
                <w:sz w:val="24"/>
              </w:rPr>
            </w:pPr>
          </w:p>
          <w:p>
            <w:pPr>
              <w:pStyle w:val="TableParagraph"/>
              <w:rPr>
                <w:b/>
                <w:sz w:val="24"/>
              </w:rPr>
            </w:pPr>
          </w:p>
          <w:p>
            <w:pPr>
              <w:pStyle w:val="TableParagraph"/>
              <w:rPr>
                <w:b/>
                <w:sz w:val="24"/>
              </w:rPr>
            </w:pPr>
          </w:p>
          <w:p>
            <w:pPr>
              <w:pStyle w:val="TableParagraph"/>
              <w:spacing w:before="159"/>
              <w:ind w:left="107"/>
              <w:rPr>
                <w:sz w:val="22"/>
              </w:rPr>
            </w:pPr>
            <w:r>
              <w:rPr>
                <w:sz w:val="22"/>
              </w:rPr>
              <w:t>50</w:t>
            </w:r>
          </w:p>
        </w:tc>
        <w:tc>
          <w:tcPr>
            <w:tcW w:w="1627" w:type="dxa"/>
            <w:shd w:val="clear" w:color="auto" w:fill="F1F1F1"/>
          </w:tcPr>
          <w:p>
            <w:pPr>
              <w:pStyle w:val="TableParagraph"/>
              <w:rPr>
                <w:b/>
                <w:sz w:val="24"/>
              </w:rPr>
            </w:pPr>
          </w:p>
          <w:p>
            <w:pPr>
              <w:pStyle w:val="TableParagraph"/>
              <w:rPr>
                <w:b/>
                <w:sz w:val="24"/>
              </w:rPr>
            </w:pPr>
          </w:p>
          <w:p>
            <w:pPr>
              <w:pStyle w:val="TableParagraph"/>
              <w:rPr>
                <w:b/>
                <w:sz w:val="24"/>
              </w:rPr>
            </w:pPr>
          </w:p>
          <w:p>
            <w:pPr>
              <w:pStyle w:val="TableParagraph"/>
              <w:spacing w:before="159"/>
              <w:ind w:left="107"/>
              <w:rPr>
                <w:sz w:val="22"/>
              </w:rPr>
            </w:pPr>
            <w:r>
              <w:rPr>
                <w:sz w:val="22"/>
              </w:rPr>
              <w:t>20.08.2020</w:t>
            </w:r>
          </w:p>
        </w:tc>
        <w:tc>
          <w:tcPr>
            <w:tcW w:w="1776" w:type="dxa"/>
            <w:shd w:val="clear" w:color="auto" w:fill="F1F1F1"/>
          </w:tcPr>
          <w:p>
            <w:pPr>
              <w:pStyle w:val="TableParagraph"/>
              <w:rPr>
                <w:b/>
                <w:sz w:val="24"/>
              </w:rPr>
            </w:pPr>
          </w:p>
          <w:p>
            <w:pPr>
              <w:pStyle w:val="TableParagraph"/>
              <w:rPr>
                <w:b/>
                <w:sz w:val="24"/>
              </w:rPr>
            </w:pPr>
          </w:p>
          <w:p>
            <w:pPr>
              <w:pStyle w:val="TableParagraph"/>
              <w:rPr>
                <w:b/>
                <w:sz w:val="24"/>
              </w:rPr>
            </w:pPr>
          </w:p>
          <w:p>
            <w:pPr>
              <w:pStyle w:val="TableParagraph"/>
              <w:spacing w:before="159"/>
              <w:ind w:left="87" w:right="139"/>
              <w:jc w:val="center"/>
              <w:rPr>
                <w:sz w:val="22"/>
              </w:rPr>
            </w:pPr>
            <w:r>
              <w:rPr>
                <w:sz w:val="22"/>
              </w:rPr>
              <w:t>РЗН 2020/11788</w:t>
            </w:r>
          </w:p>
        </w:tc>
        <w:tc>
          <w:tcPr>
            <w:tcW w:w="5995" w:type="dxa"/>
            <w:tcBorders>
              <w:right w:val="single" w:sz="4" w:space="0" w:color="000000"/>
            </w:tcBorders>
            <w:shd w:val="clear" w:color="auto" w:fill="F1F1F1"/>
          </w:tcPr>
          <w:p>
            <w:pPr>
              <w:pStyle w:val="TableParagraph"/>
              <w:rPr>
                <w:b/>
                <w:sz w:val="24"/>
              </w:rPr>
            </w:pPr>
          </w:p>
          <w:p>
            <w:pPr>
              <w:pStyle w:val="TableParagraph"/>
              <w:spacing w:before="10"/>
              <w:rPr>
                <w:b/>
                <w:sz w:val="28"/>
              </w:rPr>
            </w:pPr>
          </w:p>
          <w:p>
            <w:pPr>
              <w:pStyle w:val="TableParagraph"/>
              <w:ind w:left="108" w:right="373"/>
              <w:rPr>
                <w:sz w:val="22"/>
              </w:rPr>
            </w:pPr>
            <w:r>
              <w:rPr>
                <w:sz w:val="22"/>
              </w:rPr>
              <w:t>Набор реагентов для определения антител IgM к штамму SARS-CoV-2 коронавируса иммунохемилюминесцентным методом в клиническом образе на анализаторах серии CL для диагностики in vitro</w:t>
            </w:r>
          </w:p>
        </w:tc>
        <w:tc>
          <w:tcPr>
            <w:tcW w:w="2153"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rPr>
                <w:b/>
                <w:sz w:val="24"/>
              </w:rPr>
            </w:pPr>
          </w:p>
          <w:p>
            <w:pPr>
              <w:pStyle w:val="TableParagraph"/>
              <w:spacing w:before="205"/>
              <w:ind w:left="108" w:right="377"/>
              <w:rPr>
                <w:sz w:val="22"/>
              </w:rPr>
            </w:pPr>
            <w:r>
              <w:rPr>
                <w:sz w:val="22"/>
              </w:rPr>
              <w:t>"Шэньчжэнь Майндрей Био- Медикал Электроникс Ко., Лтд."</w:t>
            </w:r>
          </w:p>
        </w:tc>
        <w:tc>
          <w:tcPr>
            <w:tcW w:w="3060" w:type="dxa"/>
            <w:tcBorders>
              <w:top w:val="single" w:sz="4" w:space="0" w:color="000000"/>
              <w:left w:val="single" w:sz="4" w:space="0" w:color="000000"/>
              <w:bottom w:val="single" w:sz="4" w:space="0" w:color="000000"/>
              <w:right w:val="single" w:sz="4" w:space="0" w:color="000000"/>
            </w:tcBorders>
            <w:shd w:val="clear" w:color="auto" w:fill="F1F1F1"/>
          </w:tcPr>
          <w:p>
            <w:pPr>
              <w:pStyle w:val="TableParagraph"/>
              <w:spacing w:before="10"/>
              <w:rPr>
                <w:b/>
                <w:sz w:val="19"/>
              </w:rPr>
            </w:pPr>
          </w:p>
          <w:p>
            <w:pPr>
              <w:pStyle w:val="TableParagraph"/>
              <w:ind w:left="108" w:right="121"/>
              <w:rPr>
                <w:sz w:val="22"/>
              </w:rPr>
            </w:pPr>
            <w:r>
              <w:rPr>
                <w:sz w:val="22"/>
              </w:rPr>
              <w:t>Китай, Shenzhen Mindray Bio- Medical Electronics Co., Ltd., Mindray Building, Keji 12th Road South, High-Tech Industrial Park, Nanshan, 518057 Shenzhen, P.R. of China</w:t>
            </w:r>
          </w:p>
        </w:tc>
      </w:tr>
      <w:tr>
        <w:trPr>
          <w:trHeight w:val="1691" w:hRule="atLeast"/>
        </w:trPr>
        <w:tc>
          <w:tcPr>
            <w:tcW w:w="523" w:type="dxa"/>
          </w:tcPr>
          <w:p>
            <w:pPr>
              <w:pStyle w:val="TableParagraph"/>
              <w:rPr>
                <w:b/>
                <w:sz w:val="24"/>
              </w:rPr>
            </w:pPr>
          </w:p>
          <w:p>
            <w:pPr>
              <w:pStyle w:val="TableParagraph"/>
              <w:rPr>
                <w:b/>
                <w:sz w:val="24"/>
              </w:rPr>
            </w:pPr>
          </w:p>
          <w:p>
            <w:pPr>
              <w:pStyle w:val="TableParagraph"/>
              <w:spacing w:before="157"/>
              <w:ind w:left="107"/>
              <w:rPr>
                <w:sz w:val="22"/>
              </w:rPr>
            </w:pPr>
            <w:r>
              <w:rPr>
                <w:sz w:val="22"/>
              </w:rPr>
              <w:t>51</w:t>
            </w:r>
          </w:p>
        </w:tc>
        <w:tc>
          <w:tcPr>
            <w:tcW w:w="1627" w:type="dxa"/>
          </w:tcPr>
          <w:p>
            <w:pPr>
              <w:pStyle w:val="TableParagraph"/>
              <w:rPr>
                <w:b/>
                <w:sz w:val="24"/>
              </w:rPr>
            </w:pPr>
          </w:p>
          <w:p>
            <w:pPr>
              <w:pStyle w:val="TableParagraph"/>
              <w:rPr>
                <w:b/>
                <w:sz w:val="24"/>
              </w:rPr>
            </w:pPr>
          </w:p>
          <w:p>
            <w:pPr>
              <w:pStyle w:val="TableParagraph"/>
              <w:spacing w:before="157"/>
              <w:ind w:left="108"/>
              <w:rPr>
                <w:sz w:val="22"/>
              </w:rPr>
            </w:pPr>
            <w:r>
              <w:rPr>
                <w:sz w:val="22"/>
              </w:rPr>
              <w:t>25.08.2020</w:t>
            </w:r>
          </w:p>
        </w:tc>
        <w:tc>
          <w:tcPr>
            <w:tcW w:w="1776" w:type="dxa"/>
          </w:tcPr>
          <w:p>
            <w:pPr>
              <w:pStyle w:val="TableParagraph"/>
              <w:rPr>
                <w:b/>
                <w:sz w:val="24"/>
              </w:rPr>
            </w:pPr>
          </w:p>
          <w:p>
            <w:pPr>
              <w:pStyle w:val="TableParagraph"/>
              <w:rPr>
                <w:b/>
                <w:sz w:val="24"/>
              </w:rPr>
            </w:pPr>
          </w:p>
          <w:p>
            <w:pPr>
              <w:pStyle w:val="TableParagraph"/>
              <w:spacing w:before="157"/>
              <w:ind w:left="87" w:right="139"/>
              <w:jc w:val="center"/>
              <w:rPr>
                <w:sz w:val="22"/>
              </w:rPr>
            </w:pPr>
            <w:r>
              <w:rPr>
                <w:sz w:val="22"/>
              </w:rPr>
              <w:t>РЗН 2020/11808</w:t>
            </w:r>
          </w:p>
        </w:tc>
        <w:tc>
          <w:tcPr>
            <w:tcW w:w="5995" w:type="dxa"/>
            <w:tcBorders>
              <w:right w:val="single" w:sz="4" w:space="0" w:color="000000"/>
            </w:tcBorders>
          </w:tcPr>
          <w:p>
            <w:pPr>
              <w:pStyle w:val="TableParagraph"/>
              <w:rPr>
                <w:b/>
                <w:sz w:val="24"/>
              </w:rPr>
            </w:pPr>
          </w:p>
          <w:p>
            <w:pPr>
              <w:pStyle w:val="TableParagraph"/>
              <w:spacing w:before="181"/>
              <w:ind w:left="108" w:right="131"/>
              <w:rPr>
                <w:sz w:val="22"/>
              </w:rPr>
            </w:pPr>
            <w:r>
              <w:rPr>
                <w:sz w:val="22"/>
              </w:rPr>
              <w:t>Набор реагентов для иммуноферментного выявления суммарных иммуноглобулинов к коронавирусу SARS-CoV-2 "SARS-CoV-2-CoronaPass"</w:t>
            </w:r>
          </w:p>
        </w:tc>
        <w:tc>
          <w:tcPr>
            <w:tcW w:w="2153" w:type="dxa"/>
            <w:tcBorders>
              <w:top w:val="single" w:sz="4" w:space="0" w:color="000000"/>
              <w:left w:val="single" w:sz="4" w:space="0" w:color="000000"/>
              <w:bottom w:val="single" w:sz="4" w:space="0" w:color="000000"/>
              <w:right w:val="single" w:sz="4" w:space="0" w:color="000000"/>
            </w:tcBorders>
          </w:tcPr>
          <w:p>
            <w:pPr>
              <w:pStyle w:val="TableParagraph"/>
              <w:rPr>
                <w:b/>
                <w:sz w:val="24"/>
              </w:rPr>
            </w:pPr>
          </w:p>
          <w:p>
            <w:pPr>
              <w:pStyle w:val="TableParagraph"/>
              <w:rPr>
                <w:b/>
                <w:sz w:val="24"/>
              </w:rPr>
            </w:pPr>
          </w:p>
          <w:p>
            <w:pPr>
              <w:pStyle w:val="TableParagraph"/>
              <w:spacing w:before="157"/>
              <w:ind w:left="108"/>
              <w:rPr>
                <w:sz w:val="22"/>
              </w:rPr>
            </w:pPr>
            <w:r>
              <w:rPr>
                <w:sz w:val="22"/>
              </w:rPr>
              <w:t>ООО "Биопалитра"</w:t>
            </w:r>
          </w:p>
        </w:tc>
        <w:tc>
          <w:tcPr>
            <w:tcW w:w="3060" w:type="dxa"/>
            <w:tcBorders>
              <w:top w:val="single" w:sz="4" w:space="0" w:color="000000"/>
              <w:left w:val="single" w:sz="4" w:space="0" w:color="000000"/>
              <w:bottom w:val="single" w:sz="4" w:space="0" w:color="000000"/>
              <w:right w:val="single" w:sz="4" w:space="0" w:color="000000"/>
            </w:tcBorders>
          </w:tcPr>
          <w:p>
            <w:pPr>
              <w:pStyle w:val="TableParagraph"/>
              <w:spacing w:before="202"/>
              <w:ind w:left="108" w:right="227"/>
              <w:rPr>
                <w:sz w:val="22"/>
              </w:rPr>
            </w:pPr>
            <w:r>
              <w:rPr>
                <w:sz w:val="22"/>
              </w:rPr>
              <w:t>143026, Россия, Москва, Территория Сколково Инновационного центра, б-р Большой, д. 42, стр. 1, эт. 1,</w:t>
            </w:r>
          </w:p>
          <w:p>
            <w:pPr>
              <w:pStyle w:val="TableParagraph"/>
              <w:spacing w:before="1"/>
              <w:ind w:left="108"/>
              <w:rPr>
                <w:sz w:val="22"/>
              </w:rPr>
            </w:pPr>
            <w:r>
              <w:rPr>
                <w:sz w:val="22"/>
              </w:rPr>
              <w:t>пом. 334, раб. место 51</w:t>
            </w:r>
          </w:p>
        </w:tc>
      </w:tr>
    </w:tbl>
    <w:p>
      <w:pPr>
        <w:pStyle w:val="BodyText"/>
        <w:ind w:left="0"/>
        <w:jc w:val="left"/>
      </w:pPr>
      <w:bookmarkStart w:name="_bookmark51" w:id="216"/>
      <w:bookmarkEnd w:id="216"/>
      <w:r>
        <w:rPr/>
      </w:r>
      <w:r>
        <w:rPr/>
      </w:r>
    </w:p>
    <w:p>
      <w:pPr>
        <w:spacing w:after="0"/>
        <w:jc w:val="left"/>
        <w:sectPr>
          <w:pgSz w:w="16850" w:h="11920" w:orient="landscape"/>
          <w:pgMar w:header="0" w:footer="1110" w:top="1040" w:bottom="1300" w:left="880" w:right="360"/>
        </w:sectPr>
      </w:pPr>
    </w:p>
    <w:p>
      <w:pPr>
        <w:pStyle w:val="Heading3"/>
        <w:spacing w:before="69"/>
        <w:ind w:left="12747" w:right="1066"/>
        <w:jc w:val="center"/>
      </w:pPr>
      <w:bookmarkStart w:name="Приложение 5-2" w:id="217"/>
      <w:bookmarkEnd w:id="217"/>
      <w:r>
        <w:rPr>
          <w:b w:val="0"/>
        </w:rPr>
      </w:r>
      <w:bookmarkStart w:name="_bookmark52" w:id="218"/>
      <w:bookmarkEnd w:id="218"/>
      <w:r>
        <w:rPr>
          <w:b w:val="0"/>
        </w:rPr>
      </w:r>
      <w:r>
        <w:rPr>
          <w:color w:val="1F487C"/>
        </w:rPr>
        <w:t>Приложение 5-2</w:t>
      </w:r>
    </w:p>
    <w:p>
      <w:pPr>
        <w:spacing w:before="143"/>
        <w:ind w:left="249" w:right="1066" w:firstLine="0"/>
        <w:jc w:val="center"/>
        <w:rPr>
          <w:b/>
          <w:sz w:val="28"/>
        </w:rPr>
      </w:pPr>
      <w:r>
        <w:rPr>
          <w:b/>
          <w:sz w:val="28"/>
        </w:rPr>
        <w:t>Зарегистрированные в Российской Федерации экспресс-тесты</w:t>
      </w:r>
    </w:p>
    <w:p>
      <w:pPr>
        <w:spacing w:before="26"/>
        <w:ind w:left="252" w:right="1066" w:firstLine="0"/>
        <w:jc w:val="center"/>
        <w:rPr>
          <w:b/>
          <w:sz w:val="28"/>
        </w:rPr>
      </w:pPr>
      <w:r>
        <w:rPr>
          <w:b/>
          <w:sz w:val="28"/>
        </w:rPr>
        <w:t>для выявления иммуноглобулинов к SARS-CoV-2 (по состоянию на 25.08.2020)</w:t>
      </w:r>
    </w:p>
    <w:p>
      <w:pPr>
        <w:pStyle w:val="BodyText"/>
        <w:ind w:left="0"/>
        <w:jc w:val="left"/>
        <w:rPr>
          <w:b/>
          <w:sz w:val="20"/>
        </w:rPr>
      </w:pPr>
    </w:p>
    <w:p>
      <w:pPr>
        <w:pStyle w:val="BodyText"/>
        <w:spacing w:before="6"/>
        <w:ind w:left="0"/>
        <w:jc w:val="left"/>
        <w:rPr>
          <w:b/>
          <w:sz w:val="12"/>
        </w:rPr>
      </w:pPr>
    </w:p>
    <w:tbl>
      <w:tblPr>
        <w:tblW w:w="0" w:type="auto"/>
        <w:jc w:val="left"/>
        <w:tblInd w:w="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30"/>
        <w:gridCol w:w="1699"/>
        <w:gridCol w:w="1699"/>
        <w:gridCol w:w="5467"/>
        <w:gridCol w:w="2229"/>
        <w:gridCol w:w="3508"/>
      </w:tblGrid>
      <w:tr>
        <w:trPr>
          <w:trHeight w:val="2277" w:hRule="atLeast"/>
        </w:trPr>
        <w:tc>
          <w:tcPr>
            <w:tcW w:w="530" w:type="dxa"/>
            <w:shd w:val="clear" w:color="auto" w:fill="F1F1F1"/>
          </w:tcPr>
          <w:p>
            <w:pPr>
              <w:pStyle w:val="TableParagraph"/>
              <w:rPr>
                <w:b/>
                <w:sz w:val="24"/>
              </w:rPr>
            </w:pPr>
          </w:p>
          <w:p>
            <w:pPr>
              <w:pStyle w:val="TableParagraph"/>
              <w:rPr>
                <w:b/>
                <w:sz w:val="24"/>
              </w:rPr>
            </w:pPr>
          </w:p>
          <w:p>
            <w:pPr>
              <w:pStyle w:val="TableParagraph"/>
              <w:rPr>
                <w:b/>
                <w:sz w:val="24"/>
              </w:rPr>
            </w:pPr>
          </w:p>
          <w:p>
            <w:pPr>
              <w:pStyle w:val="TableParagraph"/>
              <w:spacing w:before="183"/>
              <w:ind w:left="107"/>
              <w:rPr>
                <w:b/>
                <w:sz w:val="22"/>
              </w:rPr>
            </w:pPr>
            <w:r>
              <w:rPr>
                <w:b/>
                <w:w w:val="100"/>
                <w:sz w:val="22"/>
              </w:rPr>
              <w:t>№</w:t>
            </w:r>
          </w:p>
        </w:tc>
        <w:tc>
          <w:tcPr>
            <w:tcW w:w="1699" w:type="dxa"/>
            <w:shd w:val="clear" w:color="auto" w:fill="F1F1F1"/>
          </w:tcPr>
          <w:p>
            <w:pPr>
              <w:pStyle w:val="TableParagraph"/>
              <w:rPr>
                <w:b/>
                <w:sz w:val="24"/>
              </w:rPr>
            </w:pPr>
          </w:p>
          <w:p>
            <w:pPr>
              <w:pStyle w:val="TableParagraph"/>
              <w:spacing w:before="11"/>
              <w:rPr>
                <w:b/>
                <w:sz w:val="30"/>
              </w:rPr>
            </w:pPr>
          </w:p>
          <w:p>
            <w:pPr>
              <w:pStyle w:val="TableParagraph"/>
              <w:ind w:left="105" w:right="153"/>
              <w:rPr>
                <w:b/>
                <w:sz w:val="22"/>
              </w:rPr>
            </w:pPr>
            <w:r>
              <w:rPr>
                <w:b/>
                <w:sz w:val="22"/>
              </w:rPr>
              <w:t>Дата гос. регистрации медицинского изделия</w:t>
            </w:r>
          </w:p>
        </w:tc>
        <w:tc>
          <w:tcPr>
            <w:tcW w:w="1699" w:type="dxa"/>
            <w:shd w:val="clear" w:color="auto" w:fill="F1F1F1"/>
          </w:tcPr>
          <w:p>
            <w:pPr>
              <w:pStyle w:val="TableParagraph"/>
              <w:rPr>
                <w:b/>
                <w:sz w:val="24"/>
              </w:rPr>
            </w:pPr>
          </w:p>
          <w:p>
            <w:pPr>
              <w:pStyle w:val="TableParagraph"/>
              <w:spacing w:before="11"/>
              <w:rPr>
                <w:b/>
                <w:sz w:val="30"/>
              </w:rPr>
            </w:pPr>
          </w:p>
          <w:p>
            <w:pPr>
              <w:pStyle w:val="TableParagraph"/>
              <w:ind w:left="108" w:right="150"/>
              <w:rPr>
                <w:b/>
                <w:sz w:val="22"/>
              </w:rPr>
            </w:pPr>
            <w:r>
              <w:rPr>
                <w:b/>
                <w:sz w:val="22"/>
              </w:rPr>
              <w:t>Регистрац. номер медицинского изделия</w:t>
            </w:r>
          </w:p>
        </w:tc>
        <w:tc>
          <w:tcPr>
            <w:tcW w:w="5467" w:type="dxa"/>
            <w:shd w:val="clear" w:color="auto" w:fill="F1F1F1"/>
          </w:tcPr>
          <w:p>
            <w:pPr>
              <w:pStyle w:val="TableParagraph"/>
              <w:rPr>
                <w:b/>
                <w:sz w:val="24"/>
              </w:rPr>
            </w:pPr>
          </w:p>
          <w:p>
            <w:pPr>
              <w:pStyle w:val="TableParagraph"/>
              <w:rPr>
                <w:b/>
                <w:sz w:val="24"/>
              </w:rPr>
            </w:pPr>
          </w:p>
          <w:p>
            <w:pPr>
              <w:pStyle w:val="TableParagraph"/>
              <w:rPr>
                <w:b/>
                <w:sz w:val="24"/>
              </w:rPr>
            </w:pPr>
          </w:p>
          <w:p>
            <w:pPr>
              <w:pStyle w:val="TableParagraph"/>
              <w:spacing w:before="183"/>
              <w:ind w:left="108"/>
              <w:rPr>
                <w:b/>
                <w:sz w:val="22"/>
              </w:rPr>
            </w:pPr>
            <w:r>
              <w:rPr>
                <w:b/>
                <w:sz w:val="22"/>
              </w:rPr>
              <w:t>Наименование медицинского изделия</w:t>
            </w:r>
          </w:p>
        </w:tc>
        <w:tc>
          <w:tcPr>
            <w:tcW w:w="2229" w:type="dxa"/>
            <w:shd w:val="clear" w:color="auto" w:fill="F1F1F1"/>
          </w:tcPr>
          <w:p>
            <w:pPr>
              <w:pStyle w:val="TableParagraph"/>
              <w:ind w:left="108" w:right="616"/>
              <w:rPr>
                <w:b/>
                <w:sz w:val="22"/>
              </w:rPr>
            </w:pPr>
            <w:r>
              <w:rPr>
                <w:b/>
                <w:sz w:val="22"/>
              </w:rPr>
              <w:t>Наименование организации- производителя медицинского изделия или организации- изготовителя</w:t>
            </w:r>
          </w:p>
          <w:p>
            <w:pPr>
              <w:pStyle w:val="TableParagraph"/>
              <w:spacing w:line="252" w:lineRule="exact" w:before="2"/>
              <w:ind w:left="108" w:right="680"/>
              <w:rPr>
                <w:b/>
                <w:sz w:val="22"/>
              </w:rPr>
            </w:pPr>
            <w:r>
              <w:rPr>
                <w:b/>
                <w:sz w:val="22"/>
              </w:rPr>
              <w:t>медицинского изделия</w:t>
            </w:r>
          </w:p>
        </w:tc>
        <w:tc>
          <w:tcPr>
            <w:tcW w:w="3508" w:type="dxa"/>
            <w:shd w:val="clear" w:color="auto" w:fill="F1F1F1"/>
          </w:tcPr>
          <w:p>
            <w:pPr>
              <w:pStyle w:val="TableParagraph"/>
              <w:rPr>
                <w:b/>
                <w:sz w:val="24"/>
              </w:rPr>
            </w:pPr>
          </w:p>
          <w:p>
            <w:pPr>
              <w:pStyle w:val="TableParagraph"/>
              <w:spacing w:before="10"/>
              <w:rPr>
                <w:b/>
                <w:sz w:val="19"/>
              </w:rPr>
            </w:pPr>
          </w:p>
          <w:p>
            <w:pPr>
              <w:pStyle w:val="TableParagraph"/>
              <w:ind w:left="109" w:right="92"/>
              <w:rPr>
                <w:b/>
                <w:sz w:val="22"/>
              </w:rPr>
            </w:pPr>
            <w:r>
              <w:rPr>
                <w:b/>
                <w:sz w:val="22"/>
              </w:rPr>
              <w:t>Место нахождения организации- производителя медицинского изделия или организации - изготовителя медицинского изделия</w:t>
            </w:r>
          </w:p>
        </w:tc>
      </w:tr>
      <w:tr>
        <w:trPr>
          <w:trHeight w:val="830" w:hRule="atLeast"/>
        </w:trPr>
        <w:tc>
          <w:tcPr>
            <w:tcW w:w="530" w:type="dxa"/>
          </w:tcPr>
          <w:p>
            <w:pPr>
              <w:pStyle w:val="TableParagraph"/>
              <w:spacing w:before="1"/>
              <w:rPr>
                <w:b/>
                <w:sz w:val="26"/>
              </w:rPr>
            </w:pPr>
          </w:p>
          <w:p>
            <w:pPr>
              <w:pStyle w:val="TableParagraph"/>
              <w:ind w:left="107"/>
              <w:rPr>
                <w:sz w:val="20"/>
              </w:rPr>
            </w:pPr>
            <w:r>
              <w:rPr>
                <w:w w:val="99"/>
                <w:sz w:val="20"/>
              </w:rPr>
              <w:t>1</w:t>
            </w:r>
          </w:p>
        </w:tc>
        <w:tc>
          <w:tcPr>
            <w:tcW w:w="1699" w:type="dxa"/>
          </w:tcPr>
          <w:p>
            <w:pPr>
              <w:pStyle w:val="TableParagraph"/>
              <w:spacing w:before="1"/>
              <w:rPr>
                <w:b/>
                <w:sz w:val="26"/>
              </w:rPr>
            </w:pPr>
          </w:p>
          <w:p>
            <w:pPr>
              <w:pStyle w:val="TableParagraph"/>
              <w:ind w:left="105"/>
              <w:rPr>
                <w:sz w:val="20"/>
              </w:rPr>
            </w:pPr>
            <w:r>
              <w:rPr>
                <w:sz w:val="20"/>
              </w:rPr>
              <w:t>24.04.2020</w:t>
            </w:r>
          </w:p>
        </w:tc>
        <w:tc>
          <w:tcPr>
            <w:tcW w:w="1699" w:type="dxa"/>
          </w:tcPr>
          <w:p>
            <w:pPr>
              <w:pStyle w:val="TableParagraph"/>
              <w:spacing w:before="1"/>
              <w:rPr>
                <w:b/>
                <w:sz w:val="26"/>
              </w:rPr>
            </w:pPr>
          </w:p>
          <w:p>
            <w:pPr>
              <w:pStyle w:val="TableParagraph"/>
              <w:ind w:left="80" w:right="188"/>
              <w:jc w:val="center"/>
              <w:rPr>
                <w:sz w:val="20"/>
              </w:rPr>
            </w:pPr>
            <w:r>
              <w:rPr>
                <w:sz w:val="20"/>
              </w:rPr>
              <w:t>РЗН 2020/10177</w:t>
            </w:r>
          </w:p>
        </w:tc>
        <w:tc>
          <w:tcPr>
            <w:tcW w:w="5467" w:type="dxa"/>
          </w:tcPr>
          <w:p>
            <w:pPr>
              <w:pStyle w:val="TableParagraph"/>
              <w:spacing w:before="185"/>
              <w:ind w:left="108" w:right="1579"/>
              <w:rPr>
                <w:sz w:val="20"/>
              </w:rPr>
            </w:pPr>
            <w:r>
              <w:rPr>
                <w:sz w:val="20"/>
              </w:rPr>
              <w:t>Экспресс-тест COVID-19 IgG/IgM (Цельная кровь/сыворотка/плазма)</w:t>
            </w:r>
          </w:p>
        </w:tc>
        <w:tc>
          <w:tcPr>
            <w:tcW w:w="2229" w:type="dxa"/>
          </w:tcPr>
          <w:p>
            <w:pPr>
              <w:pStyle w:val="TableParagraph"/>
              <w:spacing w:before="185"/>
              <w:ind w:left="108" w:right="269"/>
              <w:rPr>
                <w:sz w:val="20"/>
              </w:rPr>
            </w:pPr>
            <w:r>
              <w:rPr>
                <w:sz w:val="20"/>
              </w:rPr>
              <w:t>"Инзек Интернешнел Трейдинг Б.В."</w:t>
            </w:r>
          </w:p>
        </w:tc>
        <w:tc>
          <w:tcPr>
            <w:tcW w:w="3508" w:type="dxa"/>
          </w:tcPr>
          <w:p>
            <w:pPr>
              <w:pStyle w:val="TableParagraph"/>
              <w:spacing w:before="70"/>
              <w:ind w:left="109" w:right="92"/>
              <w:rPr>
                <w:sz w:val="20"/>
              </w:rPr>
            </w:pPr>
            <w:r>
              <w:rPr>
                <w:sz w:val="20"/>
              </w:rPr>
              <w:t>Нидерланды, Inzek International Trading B.V., Vissenstraat 32, 7324 AL, Apeldoorn, Netherlands</w:t>
            </w:r>
          </w:p>
        </w:tc>
      </w:tr>
      <w:tr>
        <w:trPr>
          <w:trHeight w:val="690" w:hRule="atLeast"/>
        </w:trPr>
        <w:tc>
          <w:tcPr>
            <w:tcW w:w="530" w:type="dxa"/>
            <w:shd w:val="clear" w:color="auto" w:fill="F1F1F1"/>
          </w:tcPr>
          <w:p>
            <w:pPr>
              <w:pStyle w:val="TableParagraph"/>
              <w:rPr>
                <w:b/>
                <w:sz w:val="20"/>
              </w:rPr>
            </w:pPr>
          </w:p>
          <w:p>
            <w:pPr>
              <w:pStyle w:val="TableParagraph"/>
              <w:ind w:left="107"/>
              <w:rPr>
                <w:sz w:val="20"/>
              </w:rPr>
            </w:pPr>
            <w:r>
              <w:rPr>
                <w:w w:val="99"/>
                <w:sz w:val="20"/>
              </w:rPr>
              <w:t>2</w:t>
            </w:r>
          </w:p>
        </w:tc>
        <w:tc>
          <w:tcPr>
            <w:tcW w:w="1699" w:type="dxa"/>
            <w:shd w:val="clear" w:color="auto" w:fill="F1F1F1"/>
          </w:tcPr>
          <w:p>
            <w:pPr>
              <w:pStyle w:val="TableParagraph"/>
              <w:rPr>
                <w:b/>
                <w:sz w:val="20"/>
              </w:rPr>
            </w:pPr>
          </w:p>
          <w:p>
            <w:pPr>
              <w:pStyle w:val="TableParagraph"/>
              <w:ind w:left="105"/>
              <w:rPr>
                <w:sz w:val="20"/>
              </w:rPr>
            </w:pPr>
            <w:r>
              <w:rPr>
                <w:sz w:val="20"/>
              </w:rPr>
              <w:t>30.04.2020</w:t>
            </w:r>
          </w:p>
        </w:tc>
        <w:tc>
          <w:tcPr>
            <w:tcW w:w="1699" w:type="dxa"/>
            <w:shd w:val="clear" w:color="auto" w:fill="F1F1F1"/>
          </w:tcPr>
          <w:p>
            <w:pPr>
              <w:pStyle w:val="TableParagraph"/>
              <w:rPr>
                <w:b/>
                <w:sz w:val="20"/>
              </w:rPr>
            </w:pPr>
          </w:p>
          <w:p>
            <w:pPr>
              <w:pStyle w:val="TableParagraph"/>
              <w:ind w:left="80" w:right="188"/>
              <w:jc w:val="center"/>
              <w:rPr>
                <w:sz w:val="20"/>
              </w:rPr>
            </w:pPr>
            <w:r>
              <w:rPr>
                <w:sz w:val="20"/>
              </w:rPr>
              <w:t>РЗН 2020/10218</w:t>
            </w:r>
          </w:p>
        </w:tc>
        <w:tc>
          <w:tcPr>
            <w:tcW w:w="5467" w:type="dxa"/>
            <w:shd w:val="clear" w:color="auto" w:fill="F1F1F1"/>
          </w:tcPr>
          <w:p>
            <w:pPr>
              <w:pStyle w:val="TableParagraph"/>
              <w:spacing w:line="230" w:lineRule="atLeast"/>
              <w:ind w:left="108" w:right="668"/>
              <w:rPr>
                <w:sz w:val="20"/>
              </w:rPr>
            </w:pPr>
            <w:r>
              <w:rPr>
                <w:sz w:val="20"/>
              </w:rPr>
              <w:t>Набор реагентов для иммунохроматографического выявления антител к вирусу SARS-CoV-2 в сыворотке (плазме) крови "ХЕМАТест анти-SARS-CoV-2"</w:t>
            </w:r>
          </w:p>
        </w:tc>
        <w:tc>
          <w:tcPr>
            <w:tcW w:w="2229" w:type="dxa"/>
            <w:shd w:val="clear" w:color="auto" w:fill="F1F1F1"/>
          </w:tcPr>
          <w:p>
            <w:pPr>
              <w:pStyle w:val="TableParagraph"/>
              <w:rPr>
                <w:b/>
                <w:sz w:val="20"/>
              </w:rPr>
            </w:pPr>
          </w:p>
          <w:p>
            <w:pPr>
              <w:pStyle w:val="TableParagraph"/>
              <w:ind w:left="108"/>
              <w:rPr>
                <w:sz w:val="20"/>
              </w:rPr>
            </w:pPr>
            <w:r>
              <w:rPr>
                <w:sz w:val="20"/>
              </w:rPr>
              <w:t>ООО "ХЕМА"</w:t>
            </w:r>
          </w:p>
        </w:tc>
        <w:tc>
          <w:tcPr>
            <w:tcW w:w="3508" w:type="dxa"/>
            <w:shd w:val="clear" w:color="auto" w:fill="F1F1F1"/>
          </w:tcPr>
          <w:p>
            <w:pPr>
              <w:pStyle w:val="TableParagraph"/>
              <w:spacing w:before="115"/>
              <w:ind w:left="109" w:right="675"/>
              <w:rPr>
                <w:sz w:val="20"/>
              </w:rPr>
            </w:pPr>
            <w:r>
              <w:rPr>
                <w:sz w:val="20"/>
              </w:rPr>
              <w:t>105264, Россия, Москва, ул. 9-я Парковая, д. 48</w:t>
            </w:r>
          </w:p>
        </w:tc>
      </w:tr>
      <w:tr>
        <w:trPr>
          <w:trHeight w:val="918" w:hRule="atLeast"/>
        </w:trPr>
        <w:tc>
          <w:tcPr>
            <w:tcW w:w="530" w:type="dxa"/>
          </w:tcPr>
          <w:p>
            <w:pPr>
              <w:pStyle w:val="TableParagraph"/>
              <w:spacing w:before="10"/>
              <w:rPr>
                <w:b/>
                <w:sz w:val="29"/>
              </w:rPr>
            </w:pPr>
          </w:p>
          <w:p>
            <w:pPr>
              <w:pStyle w:val="TableParagraph"/>
              <w:ind w:left="107"/>
              <w:rPr>
                <w:sz w:val="20"/>
              </w:rPr>
            </w:pPr>
            <w:r>
              <w:rPr>
                <w:w w:val="99"/>
                <w:sz w:val="20"/>
              </w:rPr>
              <w:t>3</w:t>
            </w:r>
          </w:p>
        </w:tc>
        <w:tc>
          <w:tcPr>
            <w:tcW w:w="1699" w:type="dxa"/>
          </w:tcPr>
          <w:p>
            <w:pPr>
              <w:pStyle w:val="TableParagraph"/>
              <w:spacing w:before="10"/>
              <w:rPr>
                <w:b/>
                <w:sz w:val="29"/>
              </w:rPr>
            </w:pPr>
          </w:p>
          <w:p>
            <w:pPr>
              <w:pStyle w:val="TableParagraph"/>
              <w:ind w:left="105"/>
              <w:rPr>
                <w:sz w:val="20"/>
              </w:rPr>
            </w:pPr>
            <w:r>
              <w:rPr>
                <w:sz w:val="20"/>
              </w:rPr>
              <w:t>14.05.2020</w:t>
            </w:r>
          </w:p>
        </w:tc>
        <w:tc>
          <w:tcPr>
            <w:tcW w:w="1699" w:type="dxa"/>
          </w:tcPr>
          <w:p>
            <w:pPr>
              <w:pStyle w:val="TableParagraph"/>
              <w:spacing w:before="10"/>
              <w:rPr>
                <w:b/>
                <w:sz w:val="29"/>
              </w:rPr>
            </w:pPr>
          </w:p>
          <w:p>
            <w:pPr>
              <w:pStyle w:val="TableParagraph"/>
              <w:ind w:left="80" w:right="188"/>
              <w:jc w:val="center"/>
              <w:rPr>
                <w:sz w:val="20"/>
              </w:rPr>
            </w:pPr>
            <w:r>
              <w:rPr>
                <w:sz w:val="20"/>
              </w:rPr>
              <w:t>РЗН 2020/10334</w:t>
            </w:r>
          </w:p>
        </w:tc>
        <w:tc>
          <w:tcPr>
            <w:tcW w:w="5467" w:type="dxa"/>
          </w:tcPr>
          <w:p>
            <w:pPr>
              <w:pStyle w:val="TableParagraph"/>
              <w:spacing w:before="115"/>
              <w:ind w:left="108" w:right="169"/>
              <w:rPr>
                <w:sz w:val="20"/>
              </w:rPr>
            </w:pPr>
            <w:r>
              <w:rPr>
                <w:sz w:val="20"/>
              </w:rPr>
              <w:t>Экспресс-тест на антитела IgG к коронавирусу-возбудителю COVID-19 («Экспресс-тест антитела COVID-19») по ТУ 21.20.23-323-78095326-2020</w:t>
            </w:r>
          </w:p>
        </w:tc>
        <w:tc>
          <w:tcPr>
            <w:tcW w:w="2229" w:type="dxa"/>
          </w:tcPr>
          <w:p>
            <w:pPr>
              <w:pStyle w:val="TableParagraph"/>
              <w:spacing w:before="10"/>
              <w:rPr>
                <w:b/>
                <w:sz w:val="29"/>
              </w:rPr>
            </w:pPr>
          </w:p>
          <w:p>
            <w:pPr>
              <w:pStyle w:val="TableParagraph"/>
              <w:ind w:left="108"/>
              <w:rPr>
                <w:sz w:val="20"/>
              </w:rPr>
            </w:pPr>
            <w:r>
              <w:rPr>
                <w:sz w:val="20"/>
              </w:rPr>
              <w:t>ФБУН ГНЦ ПМБ</w:t>
            </w:r>
          </w:p>
        </w:tc>
        <w:tc>
          <w:tcPr>
            <w:tcW w:w="3508" w:type="dxa"/>
          </w:tcPr>
          <w:p>
            <w:pPr>
              <w:pStyle w:val="TableParagraph"/>
              <w:spacing w:before="115"/>
              <w:ind w:left="108" w:right="199"/>
              <w:rPr>
                <w:sz w:val="20"/>
              </w:rPr>
            </w:pPr>
            <w:r>
              <w:rPr>
                <w:sz w:val="20"/>
              </w:rPr>
              <w:t>142279, Россия, Московская область, Серпуховский район, п. Оболенск, территория "Квартал А"</w:t>
            </w:r>
          </w:p>
        </w:tc>
      </w:tr>
      <w:tr>
        <w:trPr>
          <w:trHeight w:val="1153" w:hRule="atLeast"/>
        </w:trPr>
        <w:tc>
          <w:tcPr>
            <w:tcW w:w="530" w:type="dxa"/>
            <w:shd w:val="clear" w:color="auto" w:fill="F1F1F1"/>
          </w:tcPr>
          <w:p>
            <w:pPr>
              <w:pStyle w:val="TableParagraph"/>
              <w:rPr>
                <w:b/>
                <w:sz w:val="22"/>
              </w:rPr>
            </w:pPr>
          </w:p>
          <w:p>
            <w:pPr>
              <w:pStyle w:val="TableParagraph"/>
              <w:spacing w:before="1"/>
              <w:rPr>
                <w:b/>
                <w:sz w:val="28"/>
              </w:rPr>
            </w:pPr>
          </w:p>
          <w:p>
            <w:pPr>
              <w:pStyle w:val="TableParagraph"/>
              <w:ind w:left="107"/>
              <w:rPr>
                <w:sz w:val="20"/>
              </w:rPr>
            </w:pPr>
            <w:r>
              <w:rPr>
                <w:w w:val="99"/>
                <w:sz w:val="20"/>
              </w:rPr>
              <w:t>4</w:t>
            </w:r>
          </w:p>
        </w:tc>
        <w:tc>
          <w:tcPr>
            <w:tcW w:w="1699" w:type="dxa"/>
            <w:shd w:val="clear" w:color="auto" w:fill="F1F1F1"/>
          </w:tcPr>
          <w:p>
            <w:pPr>
              <w:pStyle w:val="TableParagraph"/>
              <w:rPr>
                <w:b/>
                <w:sz w:val="22"/>
              </w:rPr>
            </w:pPr>
          </w:p>
          <w:p>
            <w:pPr>
              <w:pStyle w:val="TableParagraph"/>
              <w:spacing w:before="1"/>
              <w:rPr>
                <w:b/>
                <w:sz w:val="18"/>
              </w:rPr>
            </w:pPr>
          </w:p>
          <w:p>
            <w:pPr>
              <w:pStyle w:val="TableParagraph"/>
              <w:ind w:left="105"/>
              <w:rPr>
                <w:sz w:val="20"/>
              </w:rPr>
            </w:pPr>
            <w:r>
              <w:rPr>
                <w:sz w:val="20"/>
              </w:rPr>
              <w:t>15.05.2020</w:t>
            </w:r>
          </w:p>
        </w:tc>
        <w:tc>
          <w:tcPr>
            <w:tcW w:w="1699" w:type="dxa"/>
            <w:shd w:val="clear" w:color="auto" w:fill="F1F1F1"/>
          </w:tcPr>
          <w:p>
            <w:pPr>
              <w:pStyle w:val="TableParagraph"/>
              <w:rPr>
                <w:b/>
                <w:sz w:val="22"/>
              </w:rPr>
            </w:pPr>
          </w:p>
          <w:p>
            <w:pPr>
              <w:pStyle w:val="TableParagraph"/>
              <w:spacing w:before="1"/>
              <w:rPr>
                <w:b/>
                <w:sz w:val="18"/>
              </w:rPr>
            </w:pPr>
          </w:p>
          <w:p>
            <w:pPr>
              <w:pStyle w:val="TableParagraph"/>
              <w:ind w:left="80" w:right="188"/>
              <w:jc w:val="center"/>
              <w:rPr>
                <w:sz w:val="20"/>
              </w:rPr>
            </w:pPr>
            <w:r>
              <w:rPr>
                <w:sz w:val="20"/>
              </w:rPr>
              <w:t>РЗН 2020/10375</w:t>
            </w:r>
          </w:p>
        </w:tc>
        <w:tc>
          <w:tcPr>
            <w:tcW w:w="5467" w:type="dxa"/>
            <w:shd w:val="clear" w:color="auto" w:fill="F1F1F1"/>
          </w:tcPr>
          <w:p>
            <w:pPr>
              <w:pStyle w:val="TableParagraph"/>
              <w:spacing w:before="3"/>
              <w:rPr>
                <w:b/>
                <w:sz w:val="20"/>
              </w:rPr>
            </w:pPr>
          </w:p>
          <w:p>
            <w:pPr>
              <w:pStyle w:val="TableParagraph"/>
              <w:ind w:left="108" w:right="323"/>
              <w:rPr>
                <w:sz w:val="20"/>
              </w:rPr>
            </w:pPr>
            <w:r>
              <w:rPr>
                <w:sz w:val="20"/>
              </w:rPr>
              <w:t>Набор реагентов SARS-CoV-2 Antibody Test (colloidal gold immunochromatography) для выявления антител IgM/IgG</w:t>
            </w:r>
          </w:p>
          <w:p>
            <w:pPr>
              <w:pStyle w:val="TableParagraph"/>
              <w:spacing w:line="228" w:lineRule="exact"/>
              <w:ind w:left="108"/>
              <w:rPr>
                <w:sz w:val="20"/>
              </w:rPr>
            </w:pPr>
            <w:r>
              <w:rPr>
                <w:sz w:val="20"/>
              </w:rPr>
              <w:t>к коронавирусу иммунохроматографическим методом</w:t>
            </w:r>
          </w:p>
        </w:tc>
        <w:tc>
          <w:tcPr>
            <w:tcW w:w="2229" w:type="dxa"/>
            <w:shd w:val="clear" w:color="auto" w:fill="F1F1F1"/>
          </w:tcPr>
          <w:p>
            <w:pPr>
              <w:pStyle w:val="TableParagraph"/>
              <w:spacing w:before="2"/>
              <w:ind w:left="108" w:right="151"/>
              <w:rPr>
                <w:sz w:val="20"/>
              </w:rPr>
            </w:pPr>
            <w:r>
              <w:rPr>
                <w:sz w:val="20"/>
              </w:rPr>
              <w:t>"Бейджинг Лепу Медикал Технолоджи Ко., Лтд." Beijing Lepu Medical Technology</w:t>
            </w:r>
          </w:p>
          <w:p>
            <w:pPr>
              <w:pStyle w:val="TableParagraph"/>
              <w:spacing w:line="211" w:lineRule="exact"/>
              <w:ind w:left="108"/>
              <w:rPr>
                <w:sz w:val="20"/>
              </w:rPr>
            </w:pPr>
            <w:r>
              <w:rPr>
                <w:sz w:val="20"/>
              </w:rPr>
              <w:t>Co., Ltd.</w:t>
            </w:r>
          </w:p>
        </w:tc>
        <w:tc>
          <w:tcPr>
            <w:tcW w:w="3508" w:type="dxa"/>
            <w:shd w:val="clear" w:color="auto" w:fill="F1F1F1"/>
          </w:tcPr>
          <w:p>
            <w:pPr>
              <w:pStyle w:val="TableParagraph"/>
              <w:spacing w:before="3"/>
              <w:rPr>
                <w:b/>
                <w:sz w:val="20"/>
              </w:rPr>
            </w:pPr>
          </w:p>
          <w:p>
            <w:pPr>
              <w:pStyle w:val="TableParagraph"/>
              <w:ind w:left="109" w:right="223"/>
              <w:rPr>
                <w:sz w:val="20"/>
              </w:rPr>
            </w:pPr>
            <w:r>
              <w:rPr>
                <w:sz w:val="20"/>
              </w:rPr>
              <w:t>Китай, Building 7-1, No. 37 ChaoQian Road, Changping District, Beijing 102200, China</w:t>
            </w:r>
          </w:p>
        </w:tc>
      </w:tr>
      <w:tr>
        <w:trPr>
          <w:trHeight w:val="1153" w:hRule="atLeast"/>
        </w:trPr>
        <w:tc>
          <w:tcPr>
            <w:tcW w:w="530" w:type="dxa"/>
          </w:tcPr>
          <w:p>
            <w:pPr>
              <w:pStyle w:val="TableParagraph"/>
              <w:rPr>
                <w:b/>
                <w:sz w:val="22"/>
              </w:rPr>
            </w:pPr>
          </w:p>
          <w:p>
            <w:pPr>
              <w:pStyle w:val="TableParagraph"/>
              <w:spacing w:before="1"/>
              <w:rPr>
                <w:b/>
                <w:sz w:val="18"/>
              </w:rPr>
            </w:pPr>
          </w:p>
          <w:p>
            <w:pPr>
              <w:pStyle w:val="TableParagraph"/>
              <w:ind w:left="107"/>
              <w:rPr>
                <w:sz w:val="20"/>
              </w:rPr>
            </w:pPr>
            <w:r>
              <w:rPr>
                <w:w w:val="99"/>
                <w:sz w:val="20"/>
              </w:rPr>
              <w:t>5</w:t>
            </w:r>
          </w:p>
        </w:tc>
        <w:tc>
          <w:tcPr>
            <w:tcW w:w="1699" w:type="dxa"/>
          </w:tcPr>
          <w:p>
            <w:pPr>
              <w:pStyle w:val="TableParagraph"/>
              <w:rPr>
                <w:b/>
                <w:sz w:val="22"/>
              </w:rPr>
            </w:pPr>
          </w:p>
          <w:p>
            <w:pPr>
              <w:pStyle w:val="TableParagraph"/>
              <w:spacing w:before="1"/>
              <w:rPr>
                <w:b/>
                <w:sz w:val="18"/>
              </w:rPr>
            </w:pPr>
          </w:p>
          <w:p>
            <w:pPr>
              <w:pStyle w:val="TableParagraph"/>
              <w:ind w:left="105"/>
              <w:rPr>
                <w:sz w:val="20"/>
              </w:rPr>
            </w:pPr>
            <w:r>
              <w:rPr>
                <w:sz w:val="20"/>
              </w:rPr>
              <w:t>18.05.2020</w:t>
            </w:r>
          </w:p>
        </w:tc>
        <w:tc>
          <w:tcPr>
            <w:tcW w:w="1699" w:type="dxa"/>
          </w:tcPr>
          <w:p>
            <w:pPr>
              <w:pStyle w:val="TableParagraph"/>
              <w:rPr>
                <w:b/>
                <w:sz w:val="22"/>
              </w:rPr>
            </w:pPr>
          </w:p>
          <w:p>
            <w:pPr>
              <w:pStyle w:val="TableParagraph"/>
              <w:spacing w:before="1"/>
              <w:rPr>
                <w:b/>
                <w:sz w:val="18"/>
              </w:rPr>
            </w:pPr>
          </w:p>
          <w:p>
            <w:pPr>
              <w:pStyle w:val="TableParagraph"/>
              <w:ind w:left="80" w:right="188"/>
              <w:jc w:val="center"/>
              <w:rPr>
                <w:sz w:val="20"/>
              </w:rPr>
            </w:pPr>
            <w:r>
              <w:rPr>
                <w:sz w:val="20"/>
              </w:rPr>
              <w:t>РЗН 2020/10345</w:t>
            </w:r>
          </w:p>
        </w:tc>
        <w:tc>
          <w:tcPr>
            <w:tcW w:w="5467" w:type="dxa"/>
          </w:tcPr>
          <w:p>
            <w:pPr>
              <w:pStyle w:val="TableParagraph"/>
              <w:spacing w:before="118"/>
              <w:ind w:left="108" w:right="132"/>
              <w:rPr>
                <w:sz w:val="20"/>
              </w:rPr>
            </w:pPr>
            <w:r>
              <w:rPr>
                <w:sz w:val="20"/>
              </w:rPr>
              <w:t>Набор реагентов для иммунохроматографического выявления антител к вирусу SARS-CoV-2 в образцах цельной крови, сыворотки или плазмы (SGTI-flex COVID-19 IgM/IgG)</w:t>
            </w:r>
          </w:p>
        </w:tc>
        <w:tc>
          <w:tcPr>
            <w:tcW w:w="2229" w:type="dxa"/>
          </w:tcPr>
          <w:p>
            <w:pPr>
              <w:pStyle w:val="TableParagraph"/>
              <w:rPr>
                <w:b/>
                <w:sz w:val="22"/>
              </w:rPr>
            </w:pPr>
          </w:p>
          <w:p>
            <w:pPr>
              <w:pStyle w:val="TableParagraph"/>
              <w:spacing w:before="1"/>
              <w:rPr>
                <w:b/>
                <w:sz w:val="18"/>
              </w:rPr>
            </w:pPr>
          </w:p>
          <w:p>
            <w:pPr>
              <w:pStyle w:val="TableParagraph"/>
              <w:ind w:left="108"/>
              <w:rPr>
                <w:sz w:val="20"/>
              </w:rPr>
            </w:pPr>
            <w:r>
              <w:rPr>
                <w:sz w:val="20"/>
              </w:rPr>
              <w:t>ООО "АВИВИР"</w:t>
            </w:r>
          </w:p>
        </w:tc>
        <w:tc>
          <w:tcPr>
            <w:tcW w:w="3508" w:type="dxa"/>
          </w:tcPr>
          <w:p>
            <w:pPr>
              <w:pStyle w:val="TableParagraph"/>
              <w:spacing w:before="2"/>
              <w:ind w:left="109" w:right="120"/>
              <w:rPr>
                <w:sz w:val="20"/>
              </w:rPr>
            </w:pPr>
            <w:r>
              <w:rPr>
                <w:sz w:val="20"/>
              </w:rPr>
              <w:t>Республика Корея, 721-26, Jeongjungyeonje-ro, Osong-eup, Heungdeok-gu, Cheongju-si,</w:t>
            </w:r>
          </w:p>
          <w:p>
            <w:pPr>
              <w:pStyle w:val="TableParagraph"/>
              <w:spacing w:line="230" w:lineRule="exact" w:before="2"/>
              <w:ind w:left="109" w:right="103" w:hanging="1"/>
              <w:rPr>
                <w:sz w:val="20"/>
              </w:rPr>
            </w:pPr>
            <w:r>
              <w:rPr>
                <w:sz w:val="20"/>
              </w:rPr>
              <w:t>Chungcheongbuk-do 28161, Republic of Korea</w:t>
            </w:r>
          </w:p>
        </w:tc>
      </w:tr>
    </w:tbl>
    <w:p>
      <w:pPr>
        <w:spacing w:after="0" w:line="230" w:lineRule="exact"/>
        <w:rPr>
          <w:sz w:val="20"/>
        </w:rPr>
        <w:sectPr>
          <w:pgSz w:w="16850" w:h="11920" w:orient="landscape"/>
          <w:pgMar w:header="0" w:footer="1110" w:top="960" w:bottom="1300" w:left="880" w:right="360"/>
        </w:sectPr>
      </w:pPr>
    </w:p>
    <w:tbl>
      <w:tblPr>
        <w:tblW w:w="0" w:type="auto"/>
        <w:jc w:val="left"/>
        <w:tblInd w:w="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30"/>
        <w:gridCol w:w="1699"/>
        <w:gridCol w:w="1699"/>
        <w:gridCol w:w="5467"/>
        <w:gridCol w:w="2229"/>
        <w:gridCol w:w="3508"/>
      </w:tblGrid>
      <w:tr>
        <w:trPr>
          <w:trHeight w:val="1154" w:hRule="atLeast"/>
        </w:trPr>
        <w:tc>
          <w:tcPr>
            <w:tcW w:w="530" w:type="dxa"/>
            <w:shd w:val="clear" w:color="auto" w:fill="F1F1F1"/>
          </w:tcPr>
          <w:p>
            <w:pPr>
              <w:pStyle w:val="TableParagraph"/>
              <w:rPr>
                <w:b/>
                <w:sz w:val="22"/>
              </w:rPr>
            </w:pPr>
          </w:p>
          <w:p>
            <w:pPr>
              <w:pStyle w:val="TableParagraph"/>
              <w:spacing w:before="5"/>
              <w:rPr>
                <w:b/>
                <w:sz w:val="17"/>
              </w:rPr>
            </w:pPr>
          </w:p>
          <w:p>
            <w:pPr>
              <w:pStyle w:val="TableParagraph"/>
              <w:ind w:left="107"/>
              <w:rPr>
                <w:sz w:val="20"/>
              </w:rPr>
            </w:pPr>
            <w:r>
              <w:rPr>
                <w:w w:val="99"/>
                <w:sz w:val="20"/>
              </w:rPr>
              <w:t>6</w:t>
            </w:r>
          </w:p>
        </w:tc>
        <w:tc>
          <w:tcPr>
            <w:tcW w:w="1699" w:type="dxa"/>
            <w:shd w:val="clear" w:color="auto" w:fill="F1F1F1"/>
          </w:tcPr>
          <w:p>
            <w:pPr>
              <w:pStyle w:val="TableParagraph"/>
              <w:rPr>
                <w:b/>
                <w:sz w:val="22"/>
              </w:rPr>
            </w:pPr>
          </w:p>
          <w:p>
            <w:pPr>
              <w:pStyle w:val="TableParagraph"/>
              <w:spacing w:before="5"/>
              <w:rPr>
                <w:b/>
                <w:sz w:val="17"/>
              </w:rPr>
            </w:pPr>
          </w:p>
          <w:p>
            <w:pPr>
              <w:pStyle w:val="TableParagraph"/>
              <w:ind w:left="105"/>
              <w:rPr>
                <w:sz w:val="20"/>
              </w:rPr>
            </w:pPr>
            <w:r>
              <w:rPr>
                <w:sz w:val="20"/>
              </w:rPr>
              <w:t>22.05.2020</w:t>
            </w:r>
          </w:p>
        </w:tc>
        <w:tc>
          <w:tcPr>
            <w:tcW w:w="1699" w:type="dxa"/>
            <w:shd w:val="clear" w:color="auto" w:fill="F1F1F1"/>
          </w:tcPr>
          <w:p>
            <w:pPr>
              <w:pStyle w:val="TableParagraph"/>
              <w:rPr>
                <w:b/>
                <w:sz w:val="22"/>
              </w:rPr>
            </w:pPr>
          </w:p>
          <w:p>
            <w:pPr>
              <w:pStyle w:val="TableParagraph"/>
              <w:spacing w:before="5"/>
              <w:rPr>
                <w:b/>
                <w:sz w:val="17"/>
              </w:rPr>
            </w:pPr>
          </w:p>
          <w:p>
            <w:pPr>
              <w:pStyle w:val="TableParagraph"/>
              <w:ind w:left="80" w:right="188"/>
              <w:jc w:val="center"/>
              <w:rPr>
                <w:sz w:val="20"/>
              </w:rPr>
            </w:pPr>
            <w:r>
              <w:rPr>
                <w:sz w:val="20"/>
              </w:rPr>
              <w:t>РЗН 2020/10432</w:t>
            </w:r>
          </w:p>
        </w:tc>
        <w:tc>
          <w:tcPr>
            <w:tcW w:w="5467" w:type="dxa"/>
            <w:shd w:val="clear" w:color="auto" w:fill="F1F1F1"/>
          </w:tcPr>
          <w:p>
            <w:pPr>
              <w:pStyle w:val="TableParagraph"/>
              <w:spacing w:before="108"/>
              <w:ind w:left="108" w:right="80"/>
              <w:rPr>
                <w:sz w:val="20"/>
              </w:rPr>
            </w:pPr>
            <w:r>
              <w:rPr>
                <w:sz w:val="20"/>
              </w:rPr>
              <w:t>Набор реагентов "Экспресс тест Sinocare SARS-CoV-2 Antibody Test Strip" для качественного обнаружения общих антител IgG и IgM к коронавирусу методом иммунохроматографического анализа с коллоидным золотом</w:t>
            </w:r>
          </w:p>
        </w:tc>
        <w:tc>
          <w:tcPr>
            <w:tcW w:w="2229" w:type="dxa"/>
            <w:shd w:val="clear" w:color="auto" w:fill="F1F1F1"/>
          </w:tcPr>
          <w:p>
            <w:pPr>
              <w:pStyle w:val="TableParagraph"/>
              <w:rPr>
                <w:b/>
                <w:sz w:val="22"/>
              </w:rPr>
            </w:pPr>
          </w:p>
          <w:p>
            <w:pPr>
              <w:pStyle w:val="TableParagraph"/>
              <w:spacing w:before="5"/>
              <w:rPr>
                <w:b/>
                <w:sz w:val="17"/>
              </w:rPr>
            </w:pPr>
          </w:p>
          <w:p>
            <w:pPr>
              <w:pStyle w:val="TableParagraph"/>
              <w:ind w:left="108"/>
              <w:rPr>
                <w:sz w:val="20"/>
              </w:rPr>
            </w:pPr>
            <w:r>
              <w:rPr>
                <w:sz w:val="20"/>
              </w:rPr>
              <w:t>"Чанша Синокер Инк."</w:t>
            </w:r>
          </w:p>
        </w:tc>
        <w:tc>
          <w:tcPr>
            <w:tcW w:w="3508" w:type="dxa"/>
            <w:shd w:val="clear" w:color="auto" w:fill="F1F1F1"/>
          </w:tcPr>
          <w:p>
            <w:pPr>
              <w:pStyle w:val="TableParagraph"/>
              <w:spacing w:before="4"/>
              <w:rPr>
                <w:b/>
                <w:sz w:val="19"/>
              </w:rPr>
            </w:pPr>
          </w:p>
          <w:p>
            <w:pPr>
              <w:pStyle w:val="TableParagraph"/>
              <w:spacing w:before="1"/>
              <w:ind w:left="109" w:right="97"/>
              <w:rPr>
                <w:sz w:val="20"/>
              </w:rPr>
            </w:pPr>
            <w:r>
              <w:rPr>
                <w:sz w:val="20"/>
              </w:rPr>
              <w:t>Китай, Changsha Sinocare Inc., No.265 Guyuan Road, Hi-Tech Zone, Changsha, 410205, P.R. of China</w:t>
            </w:r>
          </w:p>
        </w:tc>
      </w:tr>
      <w:tr>
        <w:trPr>
          <w:trHeight w:val="1153" w:hRule="atLeast"/>
        </w:trPr>
        <w:tc>
          <w:tcPr>
            <w:tcW w:w="530" w:type="dxa"/>
          </w:tcPr>
          <w:p>
            <w:pPr>
              <w:pStyle w:val="TableParagraph"/>
              <w:rPr>
                <w:b/>
                <w:sz w:val="22"/>
              </w:rPr>
            </w:pPr>
          </w:p>
          <w:p>
            <w:pPr>
              <w:pStyle w:val="TableParagraph"/>
              <w:spacing w:before="5"/>
              <w:rPr>
                <w:b/>
                <w:sz w:val="17"/>
              </w:rPr>
            </w:pPr>
          </w:p>
          <w:p>
            <w:pPr>
              <w:pStyle w:val="TableParagraph"/>
              <w:ind w:left="107"/>
              <w:rPr>
                <w:sz w:val="20"/>
              </w:rPr>
            </w:pPr>
            <w:r>
              <w:rPr>
                <w:w w:val="99"/>
                <w:sz w:val="20"/>
              </w:rPr>
              <w:t>7</w:t>
            </w:r>
          </w:p>
        </w:tc>
        <w:tc>
          <w:tcPr>
            <w:tcW w:w="1699" w:type="dxa"/>
          </w:tcPr>
          <w:p>
            <w:pPr>
              <w:pStyle w:val="TableParagraph"/>
              <w:rPr>
                <w:b/>
                <w:sz w:val="22"/>
              </w:rPr>
            </w:pPr>
          </w:p>
          <w:p>
            <w:pPr>
              <w:pStyle w:val="TableParagraph"/>
              <w:spacing w:before="5"/>
              <w:rPr>
                <w:b/>
                <w:sz w:val="17"/>
              </w:rPr>
            </w:pPr>
          </w:p>
          <w:p>
            <w:pPr>
              <w:pStyle w:val="TableParagraph"/>
              <w:ind w:left="105"/>
              <w:rPr>
                <w:sz w:val="20"/>
              </w:rPr>
            </w:pPr>
            <w:r>
              <w:rPr>
                <w:sz w:val="20"/>
              </w:rPr>
              <w:t>22.05.2020</w:t>
            </w:r>
          </w:p>
        </w:tc>
        <w:tc>
          <w:tcPr>
            <w:tcW w:w="1699" w:type="dxa"/>
          </w:tcPr>
          <w:p>
            <w:pPr>
              <w:pStyle w:val="TableParagraph"/>
              <w:rPr>
                <w:b/>
                <w:sz w:val="22"/>
              </w:rPr>
            </w:pPr>
          </w:p>
          <w:p>
            <w:pPr>
              <w:pStyle w:val="TableParagraph"/>
              <w:spacing w:before="5"/>
              <w:rPr>
                <w:b/>
                <w:sz w:val="17"/>
              </w:rPr>
            </w:pPr>
          </w:p>
          <w:p>
            <w:pPr>
              <w:pStyle w:val="TableParagraph"/>
              <w:ind w:left="80" w:right="188"/>
              <w:jc w:val="center"/>
              <w:rPr>
                <w:sz w:val="20"/>
              </w:rPr>
            </w:pPr>
            <w:r>
              <w:rPr>
                <w:sz w:val="20"/>
              </w:rPr>
              <w:t>РЗН 2020/10461</w:t>
            </w:r>
          </w:p>
        </w:tc>
        <w:tc>
          <w:tcPr>
            <w:tcW w:w="5467" w:type="dxa"/>
          </w:tcPr>
          <w:p>
            <w:pPr>
              <w:pStyle w:val="TableParagraph"/>
              <w:spacing w:before="108"/>
              <w:ind w:left="108" w:right="154"/>
              <w:rPr>
                <w:sz w:val="20"/>
              </w:rPr>
            </w:pPr>
            <w:r>
              <w:rPr>
                <w:sz w:val="20"/>
              </w:rPr>
              <w:t>Набор реагентов VivaDiagтм SARS-CoV-2 IgM/IgG rapid test для качественного определения антител IgM и IgG к коронавирусу SARS-CoV-2 иммунохроматографическим методом</w:t>
            </w:r>
          </w:p>
        </w:tc>
        <w:tc>
          <w:tcPr>
            <w:tcW w:w="2229" w:type="dxa"/>
          </w:tcPr>
          <w:p>
            <w:pPr>
              <w:pStyle w:val="TableParagraph"/>
              <w:spacing w:before="5"/>
              <w:rPr>
                <w:b/>
                <w:sz w:val="29"/>
              </w:rPr>
            </w:pPr>
          </w:p>
          <w:p>
            <w:pPr>
              <w:pStyle w:val="TableParagraph"/>
              <w:ind w:left="108" w:right="288"/>
              <w:rPr>
                <w:sz w:val="20"/>
              </w:rPr>
            </w:pPr>
            <w:r>
              <w:rPr>
                <w:sz w:val="20"/>
              </w:rPr>
              <w:t>"Вивачек Биотек (Ханчжоу) Ко., Лтд."</w:t>
            </w:r>
          </w:p>
        </w:tc>
        <w:tc>
          <w:tcPr>
            <w:tcW w:w="3508" w:type="dxa"/>
          </w:tcPr>
          <w:p>
            <w:pPr>
              <w:pStyle w:val="TableParagraph"/>
              <w:ind w:left="109" w:right="257"/>
              <w:rPr>
                <w:sz w:val="20"/>
              </w:rPr>
            </w:pPr>
            <w:r>
              <w:rPr>
                <w:sz w:val="20"/>
              </w:rPr>
              <w:t>Китай, VivaChek Bioteck (Hangzhou) Co., Ltd., Level 2, Block 2, 146 East Chaofeng Rd., Yuhang Economy</w:t>
            </w:r>
          </w:p>
          <w:p>
            <w:pPr>
              <w:pStyle w:val="TableParagraph"/>
              <w:spacing w:line="230" w:lineRule="exact"/>
              <w:ind w:left="109" w:right="258"/>
              <w:rPr>
                <w:sz w:val="20"/>
              </w:rPr>
            </w:pPr>
            <w:r>
              <w:rPr>
                <w:sz w:val="20"/>
              </w:rPr>
              <w:t>Development Zone, Hangzhou 311100 Zhejiang, China</w:t>
            </w:r>
          </w:p>
        </w:tc>
      </w:tr>
      <w:tr>
        <w:trPr>
          <w:trHeight w:val="921" w:hRule="atLeast"/>
        </w:trPr>
        <w:tc>
          <w:tcPr>
            <w:tcW w:w="530" w:type="dxa"/>
            <w:shd w:val="clear" w:color="auto" w:fill="F1F1F1"/>
          </w:tcPr>
          <w:p>
            <w:pPr>
              <w:pStyle w:val="TableParagraph"/>
              <w:spacing w:before="2"/>
              <w:rPr>
                <w:b/>
                <w:sz w:val="29"/>
              </w:rPr>
            </w:pPr>
          </w:p>
          <w:p>
            <w:pPr>
              <w:pStyle w:val="TableParagraph"/>
              <w:ind w:left="107"/>
              <w:rPr>
                <w:sz w:val="20"/>
              </w:rPr>
            </w:pPr>
            <w:r>
              <w:rPr>
                <w:w w:val="99"/>
                <w:sz w:val="20"/>
              </w:rPr>
              <w:t>8</w:t>
            </w:r>
          </w:p>
        </w:tc>
        <w:tc>
          <w:tcPr>
            <w:tcW w:w="1699" w:type="dxa"/>
            <w:shd w:val="clear" w:color="auto" w:fill="F1F1F1"/>
          </w:tcPr>
          <w:p>
            <w:pPr>
              <w:pStyle w:val="TableParagraph"/>
              <w:spacing w:before="2"/>
              <w:rPr>
                <w:b/>
                <w:sz w:val="29"/>
              </w:rPr>
            </w:pPr>
          </w:p>
          <w:p>
            <w:pPr>
              <w:pStyle w:val="TableParagraph"/>
              <w:ind w:left="105"/>
              <w:rPr>
                <w:sz w:val="20"/>
              </w:rPr>
            </w:pPr>
            <w:r>
              <w:rPr>
                <w:sz w:val="20"/>
              </w:rPr>
              <w:t>22.05.2020</w:t>
            </w:r>
          </w:p>
        </w:tc>
        <w:tc>
          <w:tcPr>
            <w:tcW w:w="1699" w:type="dxa"/>
            <w:shd w:val="clear" w:color="auto" w:fill="F1F1F1"/>
          </w:tcPr>
          <w:p>
            <w:pPr>
              <w:pStyle w:val="TableParagraph"/>
              <w:spacing w:before="2"/>
              <w:rPr>
                <w:b/>
                <w:sz w:val="29"/>
              </w:rPr>
            </w:pPr>
          </w:p>
          <w:p>
            <w:pPr>
              <w:pStyle w:val="TableParagraph"/>
              <w:ind w:left="80" w:right="188"/>
              <w:jc w:val="center"/>
              <w:rPr>
                <w:sz w:val="20"/>
              </w:rPr>
            </w:pPr>
            <w:r>
              <w:rPr>
                <w:sz w:val="20"/>
              </w:rPr>
              <w:t>РЗН 2020/10467</w:t>
            </w:r>
          </w:p>
        </w:tc>
        <w:tc>
          <w:tcPr>
            <w:tcW w:w="5467" w:type="dxa"/>
            <w:shd w:val="clear" w:color="auto" w:fill="F1F1F1"/>
          </w:tcPr>
          <w:p>
            <w:pPr>
              <w:pStyle w:val="TableParagraph"/>
              <w:spacing w:before="106"/>
              <w:ind w:left="108" w:right="214"/>
              <w:rPr>
                <w:sz w:val="20"/>
              </w:rPr>
            </w:pPr>
            <w:r>
              <w:rPr>
                <w:sz w:val="20"/>
              </w:rPr>
              <w:t>Набор реагентов COVID-19 IgM/lgG Ab Test для выявления антител IgM/IgG к коронавирусу иммунохроматографическим методом</w:t>
            </w:r>
          </w:p>
        </w:tc>
        <w:tc>
          <w:tcPr>
            <w:tcW w:w="2229" w:type="dxa"/>
            <w:shd w:val="clear" w:color="auto" w:fill="F1F1F1"/>
          </w:tcPr>
          <w:p>
            <w:pPr>
              <w:pStyle w:val="TableParagraph"/>
              <w:spacing w:before="2"/>
              <w:rPr>
                <w:b/>
                <w:sz w:val="19"/>
              </w:rPr>
            </w:pPr>
          </w:p>
          <w:p>
            <w:pPr>
              <w:pStyle w:val="TableParagraph"/>
              <w:ind w:left="108" w:right="180"/>
              <w:rPr>
                <w:sz w:val="20"/>
              </w:rPr>
            </w:pPr>
            <w:r>
              <w:rPr>
                <w:sz w:val="20"/>
              </w:rPr>
              <w:t>"Кор Текнолоджи Ко., Лтд."</w:t>
            </w:r>
          </w:p>
        </w:tc>
        <w:tc>
          <w:tcPr>
            <w:tcW w:w="3508" w:type="dxa"/>
            <w:shd w:val="clear" w:color="auto" w:fill="F1F1F1"/>
          </w:tcPr>
          <w:p>
            <w:pPr>
              <w:pStyle w:val="TableParagraph"/>
              <w:ind w:left="109" w:right="102"/>
              <w:rPr>
                <w:sz w:val="20"/>
              </w:rPr>
            </w:pPr>
            <w:r>
              <w:rPr>
                <w:sz w:val="20"/>
              </w:rPr>
              <w:t>Китай, Core Technology Co., Ltd., Room 100, C Building, No. 29 Life Park Road, Changping District, Beijing,</w:t>
            </w:r>
          </w:p>
          <w:p>
            <w:pPr>
              <w:pStyle w:val="TableParagraph"/>
              <w:spacing w:line="219" w:lineRule="exact"/>
              <w:ind w:left="109"/>
              <w:rPr>
                <w:sz w:val="20"/>
              </w:rPr>
            </w:pPr>
            <w:r>
              <w:rPr>
                <w:sz w:val="20"/>
              </w:rPr>
              <w:t>102206, China</w:t>
            </w:r>
          </w:p>
        </w:tc>
      </w:tr>
      <w:tr>
        <w:trPr>
          <w:trHeight w:val="983" w:hRule="atLeast"/>
        </w:trPr>
        <w:tc>
          <w:tcPr>
            <w:tcW w:w="530" w:type="dxa"/>
          </w:tcPr>
          <w:p>
            <w:pPr>
              <w:pStyle w:val="TableParagraph"/>
              <w:spacing w:before="11"/>
              <w:rPr>
                <w:b/>
                <w:sz w:val="31"/>
              </w:rPr>
            </w:pPr>
          </w:p>
          <w:p>
            <w:pPr>
              <w:pStyle w:val="TableParagraph"/>
              <w:ind w:left="107"/>
              <w:rPr>
                <w:sz w:val="20"/>
              </w:rPr>
            </w:pPr>
            <w:r>
              <w:rPr>
                <w:w w:val="99"/>
                <w:sz w:val="20"/>
              </w:rPr>
              <w:t>9</w:t>
            </w:r>
          </w:p>
        </w:tc>
        <w:tc>
          <w:tcPr>
            <w:tcW w:w="1699" w:type="dxa"/>
          </w:tcPr>
          <w:p>
            <w:pPr>
              <w:pStyle w:val="TableParagraph"/>
              <w:spacing w:before="11"/>
              <w:rPr>
                <w:b/>
                <w:sz w:val="31"/>
              </w:rPr>
            </w:pPr>
          </w:p>
          <w:p>
            <w:pPr>
              <w:pStyle w:val="TableParagraph"/>
              <w:ind w:left="105"/>
              <w:rPr>
                <w:sz w:val="20"/>
              </w:rPr>
            </w:pPr>
            <w:r>
              <w:rPr>
                <w:sz w:val="20"/>
              </w:rPr>
              <w:t>22.05.2020</w:t>
            </w:r>
          </w:p>
        </w:tc>
        <w:tc>
          <w:tcPr>
            <w:tcW w:w="1699" w:type="dxa"/>
          </w:tcPr>
          <w:p>
            <w:pPr>
              <w:pStyle w:val="TableParagraph"/>
              <w:spacing w:before="11"/>
              <w:rPr>
                <w:b/>
                <w:sz w:val="31"/>
              </w:rPr>
            </w:pPr>
          </w:p>
          <w:p>
            <w:pPr>
              <w:pStyle w:val="TableParagraph"/>
              <w:ind w:left="80" w:right="188"/>
              <w:jc w:val="center"/>
              <w:rPr>
                <w:sz w:val="20"/>
              </w:rPr>
            </w:pPr>
            <w:r>
              <w:rPr>
                <w:sz w:val="20"/>
              </w:rPr>
              <w:t>РЗН 2020/10468</w:t>
            </w:r>
          </w:p>
        </w:tc>
        <w:tc>
          <w:tcPr>
            <w:tcW w:w="5467" w:type="dxa"/>
          </w:tcPr>
          <w:p>
            <w:pPr>
              <w:pStyle w:val="TableParagraph"/>
              <w:spacing w:before="10"/>
              <w:rPr>
                <w:b/>
                <w:sz w:val="21"/>
              </w:rPr>
            </w:pPr>
          </w:p>
          <w:p>
            <w:pPr>
              <w:pStyle w:val="TableParagraph"/>
              <w:spacing w:before="1"/>
              <w:ind w:left="108" w:right="571"/>
              <w:rPr>
                <w:sz w:val="20"/>
              </w:rPr>
            </w:pPr>
            <w:r>
              <w:rPr>
                <w:sz w:val="20"/>
              </w:rPr>
              <w:t>Набор реагентов Вондфо SARS-CoV-2 тест на общие антитела IgG/IgM (Иммунохроматографический метод)</w:t>
            </w:r>
          </w:p>
        </w:tc>
        <w:tc>
          <w:tcPr>
            <w:tcW w:w="2229" w:type="dxa"/>
          </w:tcPr>
          <w:p>
            <w:pPr>
              <w:pStyle w:val="TableParagraph"/>
              <w:spacing w:before="10"/>
              <w:rPr>
                <w:b/>
                <w:sz w:val="21"/>
              </w:rPr>
            </w:pPr>
          </w:p>
          <w:p>
            <w:pPr>
              <w:pStyle w:val="TableParagraph"/>
              <w:spacing w:before="1"/>
              <w:ind w:left="108" w:right="269"/>
              <w:rPr>
                <w:sz w:val="20"/>
              </w:rPr>
            </w:pPr>
            <w:r>
              <w:rPr>
                <w:sz w:val="20"/>
              </w:rPr>
              <w:t>"Гуанчжоу Вондфо Байотек Ко., Лтд."</w:t>
            </w:r>
          </w:p>
        </w:tc>
        <w:tc>
          <w:tcPr>
            <w:tcW w:w="3508" w:type="dxa"/>
          </w:tcPr>
          <w:p>
            <w:pPr>
              <w:pStyle w:val="TableParagraph"/>
              <w:spacing w:before="22"/>
              <w:ind w:left="109" w:right="134"/>
              <w:rPr>
                <w:sz w:val="20"/>
              </w:rPr>
            </w:pPr>
            <w:r>
              <w:rPr>
                <w:sz w:val="20"/>
              </w:rPr>
              <w:t>Китай, Guangzhou Wondfo Biotech Co., Ltd., № 8, Lizhishan Road, Science City, Luogang District, 510663, Guangzhou, P.R. China</w:t>
            </w:r>
          </w:p>
        </w:tc>
      </w:tr>
      <w:tr>
        <w:trPr>
          <w:trHeight w:val="690" w:hRule="atLeast"/>
        </w:trPr>
        <w:tc>
          <w:tcPr>
            <w:tcW w:w="530" w:type="dxa"/>
            <w:shd w:val="clear" w:color="auto" w:fill="F1F1F1"/>
          </w:tcPr>
          <w:p>
            <w:pPr>
              <w:pStyle w:val="TableParagraph"/>
              <w:spacing w:before="2"/>
              <w:rPr>
                <w:b/>
                <w:sz w:val="19"/>
              </w:rPr>
            </w:pPr>
          </w:p>
          <w:p>
            <w:pPr>
              <w:pStyle w:val="TableParagraph"/>
              <w:ind w:left="107"/>
              <w:rPr>
                <w:sz w:val="20"/>
              </w:rPr>
            </w:pPr>
            <w:r>
              <w:rPr>
                <w:sz w:val="20"/>
              </w:rPr>
              <w:t>10</w:t>
            </w:r>
          </w:p>
        </w:tc>
        <w:tc>
          <w:tcPr>
            <w:tcW w:w="1699" w:type="dxa"/>
            <w:shd w:val="clear" w:color="auto" w:fill="F1F1F1"/>
          </w:tcPr>
          <w:p>
            <w:pPr>
              <w:pStyle w:val="TableParagraph"/>
              <w:spacing w:before="2"/>
              <w:rPr>
                <w:b/>
                <w:sz w:val="19"/>
              </w:rPr>
            </w:pPr>
          </w:p>
          <w:p>
            <w:pPr>
              <w:pStyle w:val="TableParagraph"/>
              <w:ind w:left="105"/>
              <w:rPr>
                <w:sz w:val="20"/>
              </w:rPr>
            </w:pPr>
            <w:r>
              <w:rPr>
                <w:sz w:val="20"/>
              </w:rPr>
              <w:t>22.05.2020</w:t>
            </w:r>
          </w:p>
        </w:tc>
        <w:tc>
          <w:tcPr>
            <w:tcW w:w="1699" w:type="dxa"/>
            <w:shd w:val="clear" w:color="auto" w:fill="F1F1F1"/>
          </w:tcPr>
          <w:p>
            <w:pPr>
              <w:pStyle w:val="TableParagraph"/>
              <w:spacing w:before="2"/>
              <w:rPr>
                <w:b/>
                <w:sz w:val="19"/>
              </w:rPr>
            </w:pPr>
          </w:p>
          <w:p>
            <w:pPr>
              <w:pStyle w:val="TableParagraph"/>
              <w:ind w:left="80" w:right="188"/>
              <w:jc w:val="center"/>
              <w:rPr>
                <w:sz w:val="20"/>
              </w:rPr>
            </w:pPr>
            <w:r>
              <w:rPr>
                <w:sz w:val="20"/>
              </w:rPr>
              <w:t>РЗН 2020/10469</w:t>
            </w:r>
          </w:p>
        </w:tc>
        <w:tc>
          <w:tcPr>
            <w:tcW w:w="5467" w:type="dxa"/>
            <w:shd w:val="clear" w:color="auto" w:fill="F1F1F1"/>
          </w:tcPr>
          <w:p>
            <w:pPr>
              <w:pStyle w:val="TableParagraph"/>
              <w:spacing w:before="2"/>
              <w:rPr>
                <w:b/>
                <w:sz w:val="19"/>
              </w:rPr>
            </w:pPr>
          </w:p>
          <w:p>
            <w:pPr>
              <w:pStyle w:val="TableParagraph"/>
              <w:ind w:left="108"/>
              <w:rPr>
                <w:sz w:val="20"/>
              </w:rPr>
            </w:pPr>
            <w:r>
              <w:rPr>
                <w:sz w:val="20"/>
              </w:rPr>
              <w:t>Экспресс-тест COVID-19 IgG/IgM</w:t>
            </w:r>
          </w:p>
        </w:tc>
        <w:tc>
          <w:tcPr>
            <w:tcW w:w="2229" w:type="dxa"/>
            <w:shd w:val="clear" w:color="auto" w:fill="F1F1F1"/>
          </w:tcPr>
          <w:p>
            <w:pPr>
              <w:pStyle w:val="TableParagraph"/>
              <w:spacing w:before="106"/>
              <w:ind w:left="108" w:right="269"/>
              <w:rPr>
                <w:sz w:val="20"/>
              </w:rPr>
            </w:pPr>
            <w:r>
              <w:rPr>
                <w:sz w:val="20"/>
              </w:rPr>
              <w:t>"Инзек Интернешнел Трейдинг Б.В."</w:t>
            </w:r>
          </w:p>
        </w:tc>
        <w:tc>
          <w:tcPr>
            <w:tcW w:w="3508" w:type="dxa"/>
            <w:shd w:val="clear" w:color="auto" w:fill="F1F1F1"/>
          </w:tcPr>
          <w:p>
            <w:pPr>
              <w:pStyle w:val="TableParagraph"/>
              <w:ind w:left="109" w:right="92"/>
              <w:rPr>
                <w:sz w:val="20"/>
              </w:rPr>
            </w:pPr>
            <w:r>
              <w:rPr>
                <w:sz w:val="20"/>
              </w:rPr>
              <w:t>Нидерланды, Inzek International Trading B.V., Vissenstraat 32, 7324 AL,</w:t>
            </w:r>
          </w:p>
          <w:p>
            <w:pPr>
              <w:pStyle w:val="TableParagraph"/>
              <w:spacing w:line="219" w:lineRule="exact"/>
              <w:ind w:left="109"/>
              <w:rPr>
                <w:sz w:val="20"/>
              </w:rPr>
            </w:pPr>
            <w:r>
              <w:rPr>
                <w:sz w:val="20"/>
              </w:rPr>
              <w:t>Apeldoorn, Netherlands</w:t>
            </w:r>
          </w:p>
        </w:tc>
      </w:tr>
      <w:tr>
        <w:trPr>
          <w:trHeight w:val="1149" w:hRule="atLeast"/>
        </w:trPr>
        <w:tc>
          <w:tcPr>
            <w:tcW w:w="530" w:type="dxa"/>
          </w:tcPr>
          <w:p>
            <w:pPr>
              <w:pStyle w:val="TableParagraph"/>
              <w:rPr>
                <w:b/>
                <w:sz w:val="22"/>
              </w:rPr>
            </w:pPr>
          </w:p>
          <w:p>
            <w:pPr>
              <w:pStyle w:val="TableParagraph"/>
              <w:spacing w:before="196"/>
              <w:ind w:left="107"/>
              <w:rPr>
                <w:sz w:val="20"/>
              </w:rPr>
            </w:pPr>
            <w:r>
              <w:rPr>
                <w:sz w:val="20"/>
              </w:rPr>
              <w:t>11</w:t>
            </w:r>
          </w:p>
        </w:tc>
        <w:tc>
          <w:tcPr>
            <w:tcW w:w="1699" w:type="dxa"/>
          </w:tcPr>
          <w:p>
            <w:pPr>
              <w:pStyle w:val="TableParagraph"/>
              <w:rPr>
                <w:b/>
                <w:sz w:val="22"/>
              </w:rPr>
            </w:pPr>
          </w:p>
          <w:p>
            <w:pPr>
              <w:pStyle w:val="TableParagraph"/>
              <w:spacing w:before="196"/>
              <w:ind w:left="105"/>
              <w:rPr>
                <w:sz w:val="20"/>
              </w:rPr>
            </w:pPr>
            <w:r>
              <w:rPr>
                <w:sz w:val="20"/>
              </w:rPr>
              <w:t>22.05.2020</w:t>
            </w:r>
          </w:p>
        </w:tc>
        <w:tc>
          <w:tcPr>
            <w:tcW w:w="1699" w:type="dxa"/>
          </w:tcPr>
          <w:p>
            <w:pPr>
              <w:pStyle w:val="TableParagraph"/>
              <w:rPr>
                <w:b/>
                <w:sz w:val="22"/>
              </w:rPr>
            </w:pPr>
          </w:p>
          <w:p>
            <w:pPr>
              <w:pStyle w:val="TableParagraph"/>
              <w:spacing w:before="196"/>
              <w:ind w:left="80" w:right="188"/>
              <w:jc w:val="center"/>
              <w:rPr>
                <w:sz w:val="20"/>
              </w:rPr>
            </w:pPr>
            <w:r>
              <w:rPr>
                <w:sz w:val="20"/>
              </w:rPr>
              <w:t>РЗН 2020/10451</w:t>
            </w:r>
          </w:p>
        </w:tc>
        <w:tc>
          <w:tcPr>
            <w:tcW w:w="5467" w:type="dxa"/>
          </w:tcPr>
          <w:p>
            <w:pPr>
              <w:pStyle w:val="TableParagraph"/>
              <w:spacing w:before="2"/>
              <w:rPr>
                <w:b/>
                <w:sz w:val="29"/>
              </w:rPr>
            </w:pPr>
          </w:p>
          <w:p>
            <w:pPr>
              <w:pStyle w:val="TableParagraph"/>
              <w:spacing w:before="1"/>
              <w:ind w:left="108" w:right="856"/>
              <w:rPr>
                <w:sz w:val="20"/>
              </w:rPr>
            </w:pPr>
            <w:r>
              <w:rPr>
                <w:sz w:val="20"/>
              </w:rPr>
              <w:t>Тест на наличие антител к коронавирусу 2019-nCoV (на основе коллоидного золота) "Инновита"</w:t>
            </w:r>
          </w:p>
        </w:tc>
        <w:tc>
          <w:tcPr>
            <w:tcW w:w="2229" w:type="dxa"/>
          </w:tcPr>
          <w:p>
            <w:pPr>
              <w:pStyle w:val="TableParagraph"/>
              <w:spacing w:before="2"/>
              <w:rPr>
                <w:b/>
                <w:sz w:val="19"/>
              </w:rPr>
            </w:pPr>
          </w:p>
          <w:p>
            <w:pPr>
              <w:pStyle w:val="TableParagraph"/>
              <w:ind w:left="108" w:right="136"/>
              <w:rPr>
                <w:sz w:val="20"/>
              </w:rPr>
            </w:pPr>
            <w:r>
              <w:rPr>
                <w:sz w:val="20"/>
              </w:rPr>
              <w:t>"Инновита (Таншань) Биолоджикал Технолоджи Ко., Лтд."</w:t>
            </w:r>
          </w:p>
        </w:tc>
        <w:tc>
          <w:tcPr>
            <w:tcW w:w="3508" w:type="dxa"/>
          </w:tcPr>
          <w:p>
            <w:pPr>
              <w:pStyle w:val="TableParagraph"/>
              <w:ind w:left="109" w:right="234"/>
              <w:rPr>
                <w:sz w:val="20"/>
              </w:rPr>
            </w:pPr>
            <w:r>
              <w:rPr>
                <w:sz w:val="20"/>
              </w:rPr>
              <w:t>Китай, Innovita (Tangshan) Biological Technology Co., Ltd., No. 699 Juxin Street, High-tech Industrial</w:t>
            </w:r>
          </w:p>
          <w:p>
            <w:pPr>
              <w:pStyle w:val="TableParagraph"/>
              <w:spacing w:line="230" w:lineRule="exact"/>
              <w:ind w:left="109" w:right="459" w:hanging="1"/>
              <w:rPr>
                <w:sz w:val="20"/>
              </w:rPr>
            </w:pPr>
            <w:r>
              <w:rPr>
                <w:sz w:val="20"/>
              </w:rPr>
              <w:t>Development Zone, Qianʻan, Hebei, 064400, China</w:t>
            </w:r>
          </w:p>
        </w:tc>
      </w:tr>
      <w:tr>
        <w:trPr>
          <w:trHeight w:val="920" w:hRule="atLeast"/>
        </w:trPr>
        <w:tc>
          <w:tcPr>
            <w:tcW w:w="530" w:type="dxa"/>
            <w:shd w:val="clear" w:color="auto" w:fill="F1F1F1"/>
          </w:tcPr>
          <w:p>
            <w:pPr>
              <w:pStyle w:val="TableParagraph"/>
              <w:spacing w:before="2"/>
              <w:rPr>
                <w:b/>
                <w:sz w:val="29"/>
              </w:rPr>
            </w:pPr>
          </w:p>
          <w:p>
            <w:pPr>
              <w:pStyle w:val="TableParagraph"/>
              <w:ind w:left="107"/>
              <w:rPr>
                <w:sz w:val="20"/>
              </w:rPr>
            </w:pPr>
            <w:r>
              <w:rPr>
                <w:sz w:val="20"/>
              </w:rPr>
              <w:t>12</w:t>
            </w:r>
          </w:p>
        </w:tc>
        <w:tc>
          <w:tcPr>
            <w:tcW w:w="1699" w:type="dxa"/>
            <w:shd w:val="clear" w:color="auto" w:fill="F1F1F1"/>
          </w:tcPr>
          <w:p>
            <w:pPr>
              <w:pStyle w:val="TableParagraph"/>
              <w:spacing w:before="2"/>
              <w:rPr>
                <w:b/>
                <w:sz w:val="29"/>
              </w:rPr>
            </w:pPr>
          </w:p>
          <w:p>
            <w:pPr>
              <w:pStyle w:val="TableParagraph"/>
              <w:ind w:left="105"/>
              <w:rPr>
                <w:sz w:val="20"/>
              </w:rPr>
            </w:pPr>
            <w:r>
              <w:rPr>
                <w:sz w:val="20"/>
              </w:rPr>
              <w:t>25.05.2020</w:t>
            </w:r>
          </w:p>
        </w:tc>
        <w:tc>
          <w:tcPr>
            <w:tcW w:w="1699" w:type="dxa"/>
            <w:shd w:val="clear" w:color="auto" w:fill="F1F1F1"/>
          </w:tcPr>
          <w:p>
            <w:pPr>
              <w:pStyle w:val="TableParagraph"/>
              <w:spacing w:before="2"/>
              <w:rPr>
                <w:b/>
                <w:sz w:val="29"/>
              </w:rPr>
            </w:pPr>
          </w:p>
          <w:p>
            <w:pPr>
              <w:pStyle w:val="TableParagraph"/>
              <w:ind w:left="80" w:right="188"/>
              <w:jc w:val="center"/>
              <w:rPr>
                <w:sz w:val="20"/>
              </w:rPr>
            </w:pPr>
            <w:r>
              <w:rPr>
                <w:sz w:val="20"/>
              </w:rPr>
              <w:t>РЗН 2020/10455</w:t>
            </w:r>
          </w:p>
        </w:tc>
        <w:tc>
          <w:tcPr>
            <w:tcW w:w="5467" w:type="dxa"/>
            <w:shd w:val="clear" w:color="auto" w:fill="F1F1F1"/>
          </w:tcPr>
          <w:p>
            <w:pPr>
              <w:pStyle w:val="TableParagraph"/>
              <w:spacing w:before="105"/>
              <w:ind w:left="108" w:right="824"/>
              <w:rPr>
                <w:sz w:val="20"/>
              </w:rPr>
            </w:pPr>
            <w:r>
              <w:rPr>
                <w:sz w:val="20"/>
              </w:rPr>
              <w:t>Экспресс-тест иммунохроматографический для обнаружения антител IgG/IgM к коронавирусу 2019- nCoV/standard q covid-19 (igm/igg) duo</w:t>
            </w:r>
          </w:p>
        </w:tc>
        <w:tc>
          <w:tcPr>
            <w:tcW w:w="2229" w:type="dxa"/>
            <w:shd w:val="clear" w:color="auto" w:fill="F1F1F1"/>
          </w:tcPr>
          <w:p>
            <w:pPr>
              <w:pStyle w:val="TableParagraph"/>
              <w:ind w:left="108" w:right="579"/>
              <w:rPr>
                <w:sz w:val="20"/>
              </w:rPr>
            </w:pPr>
            <w:r>
              <w:rPr>
                <w:sz w:val="20"/>
              </w:rPr>
              <w:t>Xiamen Biotime Biotechnology Co. (Сямэнь Биотайм</w:t>
            </w:r>
          </w:p>
          <w:p>
            <w:pPr>
              <w:pStyle w:val="TableParagraph"/>
              <w:spacing w:line="219" w:lineRule="exact"/>
              <w:ind w:left="108"/>
              <w:rPr>
                <w:sz w:val="20"/>
              </w:rPr>
            </w:pPr>
            <w:r>
              <w:rPr>
                <w:sz w:val="20"/>
              </w:rPr>
              <w:t>Биотехнолоджи Ко)</w:t>
            </w:r>
          </w:p>
        </w:tc>
        <w:tc>
          <w:tcPr>
            <w:tcW w:w="3508" w:type="dxa"/>
            <w:shd w:val="clear" w:color="auto" w:fill="F1F1F1"/>
          </w:tcPr>
          <w:p>
            <w:pPr>
              <w:pStyle w:val="TableParagraph"/>
              <w:spacing w:before="105"/>
              <w:ind w:left="109" w:right="236"/>
              <w:rPr>
                <w:sz w:val="20"/>
              </w:rPr>
            </w:pPr>
            <w:r>
              <w:rPr>
                <w:sz w:val="20"/>
              </w:rPr>
              <w:t>Китай, , No.188, Pingcheng South Road, Haicang District, Xiamen Fujian 361026, China</w:t>
            </w:r>
          </w:p>
        </w:tc>
      </w:tr>
      <w:tr>
        <w:trPr>
          <w:trHeight w:val="1149" w:hRule="atLeast"/>
        </w:trPr>
        <w:tc>
          <w:tcPr>
            <w:tcW w:w="530" w:type="dxa"/>
          </w:tcPr>
          <w:p>
            <w:pPr>
              <w:pStyle w:val="TableParagraph"/>
              <w:rPr>
                <w:b/>
                <w:sz w:val="22"/>
              </w:rPr>
            </w:pPr>
          </w:p>
          <w:p>
            <w:pPr>
              <w:pStyle w:val="TableParagraph"/>
              <w:spacing w:before="196"/>
              <w:ind w:left="107"/>
              <w:rPr>
                <w:sz w:val="20"/>
              </w:rPr>
            </w:pPr>
            <w:r>
              <w:rPr>
                <w:sz w:val="20"/>
              </w:rPr>
              <w:t>13</w:t>
            </w:r>
          </w:p>
        </w:tc>
        <w:tc>
          <w:tcPr>
            <w:tcW w:w="1699" w:type="dxa"/>
          </w:tcPr>
          <w:p>
            <w:pPr>
              <w:pStyle w:val="TableParagraph"/>
              <w:rPr>
                <w:b/>
                <w:sz w:val="22"/>
              </w:rPr>
            </w:pPr>
          </w:p>
          <w:p>
            <w:pPr>
              <w:pStyle w:val="TableParagraph"/>
              <w:spacing w:before="196"/>
              <w:ind w:left="105"/>
              <w:rPr>
                <w:sz w:val="20"/>
              </w:rPr>
            </w:pPr>
            <w:r>
              <w:rPr>
                <w:sz w:val="20"/>
              </w:rPr>
              <w:t>25.05.2020</w:t>
            </w:r>
          </w:p>
        </w:tc>
        <w:tc>
          <w:tcPr>
            <w:tcW w:w="1699" w:type="dxa"/>
          </w:tcPr>
          <w:p>
            <w:pPr>
              <w:pStyle w:val="TableParagraph"/>
              <w:rPr>
                <w:b/>
                <w:sz w:val="22"/>
              </w:rPr>
            </w:pPr>
          </w:p>
          <w:p>
            <w:pPr>
              <w:pStyle w:val="TableParagraph"/>
              <w:spacing w:before="196"/>
              <w:ind w:left="80" w:right="188"/>
              <w:jc w:val="center"/>
              <w:rPr>
                <w:sz w:val="20"/>
              </w:rPr>
            </w:pPr>
            <w:r>
              <w:rPr>
                <w:sz w:val="20"/>
              </w:rPr>
              <w:t>РЗН 2020/10446</w:t>
            </w:r>
          </w:p>
        </w:tc>
        <w:tc>
          <w:tcPr>
            <w:tcW w:w="5467" w:type="dxa"/>
          </w:tcPr>
          <w:p>
            <w:pPr>
              <w:pStyle w:val="TableParagraph"/>
              <w:spacing w:before="106"/>
              <w:ind w:left="108" w:right="794"/>
              <w:rPr>
                <w:sz w:val="20"/>
              </w:rPr>
            </w:pPr>
            <w:r>
              <w:rPr>
                <w:sz w:val="20"/>
              </w:rPr>
              <w:t>Набор реагентов для иммунохроматографического выявления антител к вирусу SARS-CoV-2 в образцах цельной крови, сыворотки или плазмы 2019-nCoV (Colloidal Gold)</w:t>
            </w:r>
          </w:p>
        </w:tc>
        <w:tc>
          <w:tcPr>
            <w:tcW w:w="2229" w:type="dxa"/>
          </w:tcPr>
          <w:p>
            <w:pPr>
              <w:pStyle w:val="TableParagraph"/>
              <w:rPr>
                <w:b/>
                <w:sz w:val="19"/>
              </w:rPr>
            </w:pPr>
          </w:p>
          <w:p>
            <w:pPr>
              <w:pStyle w:val="TableParagraph"/>
              <w:ind w:left="109" w:right="135"/>
              <w:rPr>
                <w:sz w:val="20"/>
              </w:rPr>
            </w:pPr>
            <w:r>
              <w:rPr>
                <w:sz w:val="20"/>
              </w:rPr>
              <w:t>"Инновита (Таншань) Биолоджикал Технолоджи Ко., Лтд."</w:t>
            </w:r>
          </w:p>
        </w:tc>
        <w:tc>
          <w:tcPr>
            <w:tcW w:w="3508" w:type="dxa"/>
          </w:tcPr>
          <w:p>
            <w:pPr>
              <w:pStyle w:val="TableParagraph"/>
              <w:ind w:left="109" w:right="234"/>
              <w:rPr>
                <w:sz w:val="20"/>
              </w:rPr>
            </w:pPr>
            <w:r>
              <w:rPr>
                <w:sz w:val="20"/>
              </w:rPr>
              <w:t>Китай, Innovita (Tangshan) Biological Technology Co., Ltd., No. 699 Juxin Street, High-tech Industrial Development Zone, Qianʻan, Hebei,</w:t>
            </w:r>
          </w:p>
          <w:p>
            <w:pPr>
              <w:pStyle w:val="TableParagraph"/>
              <w:spacing w:line="219" w:lineRule="exact"/>
              <w:ind w:left="109"/>
              <w:rPr>
                <w:sz w:val="20"/>
              </w:rPr>
            </w:pPr>
            <w:r>
              <w:rPr>
                <w:sz w:val="20"/>
              </w:rPr>
              <w:t>064400, China</w:t>
            </w:r>
          </w:p>
        </w:tc>
      </w:tr>
      <w:tr>
        <w:trPr>
          <w:trHeight w:val="1163" w:hRule="atLeast"/>
        </w:trPr>
        <w:tc>
          <w:tcPr>
            <w:tcW w:w="530" w:type="dxa"/>
            <w:shd w:val="clear" w:color="auto" w:fill="F1F1F1"/>
          </w:tcPr>
          <w:p>
            <w:pPr>
              <w:pStyle w:val="TableParagraph"/>
              <w:rPr>
                <w:b/>
                <w:sz w:val="22"/>
              </w:rPr>
            </w:pPr>
          </w:p>
          <w:p>
            <w:pPr>
              <w:pStyle w:val="TableParagraph"/>
              <w:spacing w:before="7"/>
              <w:rPr>
                <w:b/>
                <w:sz w:val="17"/>
              </w:rPr>
            </w:pPr>
          </w:p>
          <w:p>
            <w:pPr>
              <w:pStyle w:val="TableParagraph"/>
              <w:ind w:left="107"/>
              <w:rPr>
                <w:sz w:val="20"/>
              </w:rPr>
            </w:pPr>
            <w:r>
              <w:rPr>
                <w:sz w:val="20"/>
              </w:rPr>
              <w:t>14</w:t>
            </w:r>
          </w:p>
        </w:tc>
        <w:tc>
          <w:tcPr>
            <w:tcW w:w="1699" w:type="dxa"/>
            <w:shd w:val="clear" w:color="auto" w:fill="F1F1F1"/>
          </w:tcPr>
          <w:p>
            <w:pPr>
              <w:pStyle w:val="TableParagraph"/>
              <w:rPr>
                <w:b/>
                <w:sz w:val="22"/>
              </w:rPr>
            </w:pPr>
          </w:p>
          <w:p>
            <w:pPr>
              <w:pStyle w:val="TableParagraph"/>
              <w:spacing w:before="7"/>
              <w:rPr>
                <w:b/>
                <w:sz w:val="17"/>
              </w:rPr>
            </w:pPr>
          </w:p>
          <w:p>
            <w:pPr>
              <w:pStyle w:val="TableParagraph"/>
              <w:ind w:left="105"/>
              <w:rPr>
                <w:sz w:val="20"/>
              </w:rPr>
            </w:pPr>
            <w:r>
              <w:rPr>
                <w:sz w:val="20"/>
              </w:rPr>
              <w:t>22.05.2020</w:t>
            </w:r>
          </w:p>
        </w:tc>
        <w:tc>
          <w:tcPr>
            <w:tcW w:w="1699" w:type="dxa"/>
            <w:shd w:val="clear" w:color="auto" w:fill="F6F6F6"/>
          </w:tcPr>
          <w:p>
            <w:pPr>
              <w:pStyle w:val="TableParagraph"/>
              <w:rPr>
                <w:b/>
                <w:sz w:val="22"/>
              </w:rPr>
            </w:pPr>
          </w:p>
          <w:p>
            <w:pPr>
              <w:pStyle w:val="TableParagraph"/>
              <w:spacing w:before="7"/>
              <w:rPr>
                <w:b/>
                <w:sz w:val="17"/>
              </w:rPr>
            </w:pPr>
          </w:p>
          <w:p>
            <w:pPr>
              <w:pStyle w:val="TableParagraph"/>
              <w:ind w:left="80" w:right="188"/>
              <w:jc w:val="center"/>
              <w:rPr>
                <w:sz w:val="20"/>
              </w:rPr>
            </w:pPr>
            <w:r>
              <w:rPr>
                <w:sz w:val="20"/>
              </w:rPr>
              <w:t>РЗН 2020/10451</w:t>
            </w:r>
          </w:p>
        </w:tc>
        <w:tc>
          <w:tcPr>
            <w:tcW w:w="5467" w:type="dxa"/>
            <w:shd w:val="clear" w:color="auto" w:fill="F1F1F1"/>
          </w:tcPr>
          <w:p>
            <w:pPr>
              <w:pStyle w:val="TableParagraph"/>
              <w:spacing w:before="2"/>
              <w:rPr>
                <w:b/>
                <w:sz w:val="29"/>
              </w:rPr>
            </w:pPr>
          </w:p>
          <w:p>
            <w:pPr>
              <w:pStyle w:val="TableParagraph"/>
              <w:ind w:left="118" w:right="846"/>
              <w:rPr>
                <w:sz w:val="20"/>
              </w:rPr>
            </w:pPr>
            <w:r>
              <w:rPr>
                <w:sz w:val="20"/>
              </w:rPr>
              <w:t>Тест на наличие антител к коронавирусу 2019-nCoV (на основе коллоидного золота) "Инновита"</w:t>
            </w:r>
          </w:p>
        </w:tc>
        <w:tc>
          <w:tcPr>
            <w:tcW w:w="2229" w:type="dxa"/>
            <w:shd w:val="clear" w:color="auto" w:fill="F1F1F1"/>
          </w:tcPr>
          <w:p>
            <w:pPr>
              <w:pStyle w:val="TableParagraph"/>
              <w:spacing w:before="2"/>
              <w:rPr>
                <w:b/>
                <w:sz w:val="19"/>
              </w:rPr>
            </w:pPr>
          </w:p>
          <w:p>
            <w:pPr>
              <w:pStyle w:val="TableParagraph"/>
              <w:ind w:left="118" w:right="126"/>
              <w:rPr>
                <w:sz w:val="20"/>
              </w:rPr>
            </w:pPr>
            <w:r>
              <w:rPr>
                <w:sz w:val="20"/>
              </w:rPr>
              <w:t>"Инновита (Таншань) Биолоджикал Технолоджи Ко., Лтд."</w:t>
            </w:r>
          </w:p>
        </w:tc>
        <w:tc>
          <w:tcPr>
            <w:tcW w:w="3508" w:type="dxa"/>
            <w:shd w:val="clear" w:color="auto" w:fill="F1F1F1"/>
          </w:tcPr>
          <w:p>
            <w:pPr>
              <w:pStyle w:val="TableParagraph"/>
              <w:ind w:left="118" w:right="225"/>
              <w:rPr>
                <w:sz w:val="20"/>
              </w:rPr>
            </w:pPr>
            <w:r>
              <w:rPr>
                <w:sz w:val="20"/>
              </w:rPr>
              <w:t>Китай, Innovita (Tangshan) Biological Technology Co., Ltd., No. 699 Juxin Street, High-tech Industrial Development Zone, Qianʻan, Hebei, 064400, China</w:t>
            </w:r>
          </w:p>
        </w:tc>
      </w:tr>
    </w:tbl>
    <w:p>
      <w:pPr>
        <w:spacing w:after="0"/>
        <w:rPr>
          <w:sz w:val="20"/>
        </w:rPr>
        <w:sectPr>
          <w:pgSz w:w="16850" w:h="11920" w:orient="landscape"/>
          <w:pgMar w:header="0" w:footer="1110" w:top="1040" w:bottom="1300" w:left="880" w:right="360"/>
        </w:sectPr>
      </w:pPr>
    </w:p>
    <w:tbl>
      <w:tblPr>
        <w:tblW w:w="0" w:type="auto"/>
        <w:jc w:val="left"/>
        <w:tblInd w:w="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30"/>
        <w:gridCol w:w="1699"/>
        <w:gridCol w:w="1699"/>
        <w:gridCol w:w="5467"/>
        <w:gridCol w:w="2229"/>
        <w:gridCol w:w="3508"/>
      </w:tblGrid>
      <w:tr>
        <w:trPr>
          <w:trHeight w:val="1149" w:hRule="atLeast"/>
        </w:trPr>
        <w:tc>
          <w:tcPr>
            <w:tcW w:w="530" w:type="dxa"/>
          </w:tcPr>
          <w:p>
            <w:pPr>
              <w:pStyle w:val="TableParagraph"/>
              <w:rPr>
                <w:b/>
                <w:sz w:val="22"/>
              </w:rPr>
            </w:pPr>
          </w:p>
          <w:p>
            <w:pPr>
              <w:pStyle w:val="TableParagraph"/>
              <w:spacing w:before="3"/>
              <w:rPr>
                <w:b/>
                <w:sz w:val="17"/>
              </w:rPr>
            </w:pPr>
          </w:p>
          <w:p>
            <w:pPr>
              <w:pStyle w:val="TableParagraph"/>
              <w:ind w:left="107"/>
              <w:rPr>
                <w:sz w:val="20"/>
              </w:rPr>
            </w:pPr>
            <w:r>
              <w:rPr>
                <w:sz w:val="20"/>
              </w:rPr>
              <w:t>15</w:t>
            </w:r>
          </w:p>
        </w:tc>
        <w:tc>
          <w:tcPr>
            <w:tcW w:w="1699" w:type="dxa"/>
          </w:tcPr>
          <w:p>
            <w:pPr>
              <w:pStyle w:val="TableParagraph"/>
              <w:rPr>
                <w:b/>
                <w:sz w:val="22"/>
              </w:rPr>
            </w:pPr>
          </w:p>
          <w:p>
            <w:pPr>
              <w:pStyle w:val="TableParagraph"/>
              <w:spacing w:before="3"/>
              <w:rPr>
                <w:b/>
                <w:sz w:val="17"/>
              </w:rPr>
            </w:pPr>
          </w:p>
          <w:p>
            <w:pPr>
              <w:pStyle w:val="TableParagraph"/>
              <w:ind w:left="105"/>
              <w:rPr>
                <w:sz w:val="20"/>
              </w:rPr>
            </w:pPr>
            <w:r>
              <w:rPr>
                <w:sz w:val="20"/>
              </w:rPr>
              <w:t>25.05.2020</w:t>
            </w:r>
          </w:p>
        </w:tc>
        <w:tc>
          <w:tcPr>
            <w:tcW w:w="1699" w:type="dxa"/>
          </w:tcPr>
          <w:p>
            <w:pPr>
              <w:pStyle w:val="TableParagraph"/>
              <w:rPr>
                <w:b/>
                <w:sz w:val="22"/>
              </w:rPr>
            </w:pPr>
          </w:p>
          <w:p>
            <w:pPr>
              <w:pStyle w:val="TableParagraph"/>
              <w:spacing w:before="3"/>
              <w:rPr>
                <w:b/>
                <w:sz w:val="17"/>
              </w:rPr>
            </w:pPr>
          </w:p>
          <w:p>
            <w:pPr>
              <w:pStyle w:val="TableParagraph"/>
              <w:ind w:left="80" w:right="188"/>
              <w:jc w:val="center"/>
              <w:rPr>
                <w:sz w:val="20"/>
              </w:rPr>
            </w:pPr>
            <w:r>
              <w:rPr>
                <w:sz w:val="20"/>
              </w:rPr>
              <w:t>РЗН 2020/10455</w:t>
            </w:r>
          </w:p>
        </w:tc>
        <w:tc>
          <w:tcPr>
            <w:tcW w:w="5467" w:type="dxa"/>
          </w:tcPr>
          <w:p>
            <w:pPr>
              <w:pStyle w:val="TableParagraph"/>
              <w:spacing w:before="2"/>
              <w:rPr>
                <w:b/>
                <w:sz w:val="19"/>
              </w:rPr>
            </w:pPr>
          </w:p>
          <w:p>
            <w:pPr>
              <w:pStyle w:val="TableParagraph"/>
              <w:ind w:left="108" w:right="1238"/>
              <w:rPr>
                <w:sz w:val="20"/>
              </w:rPr>
            </w:pPr>
            <w:r>
              <w:rPr>
                <w:sz w:val="20"/>
              </w:rPr>
              <w:t>Экспресс-тест иммунохроматографический для обнаружения антител IgG/IgM к коронавирусу 2019-nCoV/standard q covid-19</w:t>
            </w:r>
          </w:p>
        </w:tc>
        <w:tc>
          <w:tcPr>
            <w:tcW w:w="2229" w:type="dxa"/>
          </w:tcPr>
          <w:p>
            <w:pPr>
              <w:pStyle w:val="TableParagraph"/>
              <w:spacing w:before="106"/>
              <w:ind w:left="108" w:right="389"/>
              <w:rPr>
                <w:sz w:val="20"/>
              </w:rPr>
            </w:pPr>
            <w:r>
              <w:rPr>
                <w:sz w:val="20"/>
              </w:rPr>
              <w:t>Xiamen Biotime Biotechnology Co. (Сямэнь Биотайм Биотехнолоджи Ко)</w:t>
            </w:r>
          </w:p>
        </w:tc>
        <w:tc>
          <w:tcPr>
            <w:tcW w:w="3508" w:type="dxa"/>
          </w:tcPr>
          <w:p>
            <w:pPr>
              <w:pStyle w:val="TableParagraph"/>
              <w:ind w:left="109" w:right="199" w:firstLine="50"/>
              <w:rPr>
                <w:sz w:val="20"/>
              </w:rPr>
            </w:pPr>
            <w:r>
              <w:rPr>
                <w:sz w:val="20"/>
                <w:shd w:fill="F6F6F6" w:color="auto" w:val="clear"/>
              </w:rPr>
              <w:t>Китай, , No.188, Pingcheng South</w:t>
            </w:r>
            <w:r>
              <w:rPr>
                <w:sz w:val="20"/>
              </w:rPr>
              <w:t> </w:t>
            </w:r>
            <w:r>
              <w:rPr>
                <w:sz w:val="20"/>
                <w:shd w:fill="F6F6F6" w:color="auto" w:val="clear"/>
              </w:rPr>
              <w:t>Road, Haicang District, Xiamen Fujian</w:t>
            </w:r>
            <w:r>
              <w:rPr>
                <w:sz w:val="20"/>
              </w:rPr>
              <w:t> </w:t>
            </w:r>
            <w:r>
              <w:rPr>
                <w:sz w:val="20"/>
                <w:shd w:fill="F6F6F6" w:color="auto" w:val="clear"/>
              </w:rPr>
              <w:t>361026, China / № 188, Пингченг,</w:t>
            </w:r>
          </w:p>
          <w:p>
            <w:pPr>
              <w:pStyle w:val="TableParagraph"/>
              <w:spacing w:line="228" w:lineRule="exact"/>
              <w:ind w:left="109"/>
              <w:rPr>
                <w:sz w:val="20"/>
              </w:rPr>
            </w:pPr>
            <w:r>
              <w:rPr>
                <w:sz w:val="20"/>
                <w:shd w:fill="F6F6F6" w:color="auto" w:val="clear"/>
              </w:rPr>
              <w:t>Саус Роад, Хайканг Дистрикт, Сямень</w:t>
            </w:r>
            <w:r>
              <w:rPr>
                <w:sz w:val="20"/>
              </w:rPr>
              <w:t> </w:t>
            </w:r>
            <w:r>
              <w:rPr>
                <w:sz w:val="20"/>
                <w:shd w:fill="F6F6F6" w:color="auto" w:val="clear"/>
              </w:rPr>
              <w:t>Фуджиан 361026</w:t>
            </w:r>
          </w:p>
        </w:tc>
      </w:tr>
      <w:tr>
        <w:trPr>
          <w:trHeight w:val="1151" w:hRule="atLeast"/>
        </w:trPr>
        <w:tc>
          <w:tcPr>
            <w:tcW w:w="530" w:type="dxa"/>
            <w:shd w:val="clear" w:color="auto" w:fill="F1F1F1"/>
          </w:tcPr>
          <w:p>
            <w:pPr>
              <w:pStyle w:val="TableParagraph"/>
              <w:rPr>
                <w:b/>
                <w:sz w:val="22"/>
              </w:rPr>
            </w:pPr>
          </w:p>
          <w:p>
            <w:pPr>
              <w:pStyle w:val="TableParagraph"/>
              <w:spacing w:before="3"/>
              <w:rPr>
                <w:b/>
                <w:sz w:val="17"/>
              </w:rPr>
            </w:pPr>
          </w:p>
          <w:p>
            <w:pPr>
              <w:pStyle w:val="TableParagraph"/>
              <w:ind w:left="107"/>
              <w:rPr>
                <w:sz w:val="20"/>
              </w:rPr>
            </w:pPr>
            <w:r>
              <w:rPr>
                <w:sz w:val="20"/>
              </w:rPr>
              <w:t>16</w:t>
            </w:r>
          </w:p>
        </w:tc>
        <w:tc>
          <w:tcPr>
            <w:tcW w:w="1699" w:type="dxa"/>
            <w:shd w:val="clear" w:color="auto" w:fill="F1F1F1"/>
          </w:tcPr>
          <w:p>
            <w:pPr>
              <w:pStyle w:val="TableParagraph"/>
              <w:rPr>
                <w:b/>
                <w:sz w:val="22"/>
              </w:rPr>
            </w:pPr>
          </w:p>
          <w:p>
            <w:pPr>
              <w:pStyle w:val="TableParagraph"/>
              <w:spacing w:before="3"/>
              <w:rPr>
                <w:b/>
                <w:sz w:val="17"/>
              </w:rPr>
            </w:pPr>
          </w:p>
          <w:p>
            <w:pPr>
              <w:pStyle w:val="TableParagraph"/>
              <w:ind w:left="105"/>
              <w:rPr>
                <w:sz w:val="20"/>
              </w:rPr>
            </w:pPr>
            <w:r>
              <w:rPr>
                <w:sz w:val="20"/>
              </w:rPr>
              <w:t>25.05.2020</w:t>
            </w:r>
          </w:p>
        </w:tc>
        <w:tc>
          <w:tcPr>
            <w:tcW w:w="1699" w:type="dxa"/>
            <w:shd w:val="clear" w:color="auto" w:fill="F6F6F6"/>
          </w:tcPr>
          <w:p>
            <w:pPr>
              <w:pStyle w:val="TableParagraph"/>
              <w:rPr>
                <w:b/>
                <w:sz w:val="22"/>
              </w:rPr>
            </w:pPr>
          </w:p>
          <w:p>
            <w:pPr>
              <w:pStyle w:val="TableParagraph"/>
              <w:spacing w:before="3"/>
              <w:rPr>
                <w:b/>
                <w:sz w:val="17"/>
              </w:rPr>
            </w:pPr>
          </w:p>
          <w:p>
            <w:pPr>
              <w:pStyle w:val="TableParagraph"/>
              <w:ind w:left="80" w:right="188"/>
              <w:jc w:val="center"/>
              <w:rPr>
                <w:sz w:val="20"/>
              </w:rPr>
            </w:pPr>
            <w:r>
              <w:rPr>
                <w:sz w:val="20"/>
              </w:rPr>
              <w:t>РЗН 2020/10446</w:t>
            </w:r>
          </w:p>
        </w:tc>
        <w:tc>
          <w:tcPr>
            <w:tcW w:w="5467" w:type="dxa"/>
            <w:shd w:val="clear" w:color="auto" w:fill="F1F1F1"/>
          </w:tcPr>
          <w:p>
            <w:pPr>
              <w:pStyle w:val="TableParagraph"/>
              <w:spacing w:before="98"/>
              <w:ind w:left="118" w:right="784"/>
              <w:rPr>
                <w:sz w:val="20"/>
              </w:rPr>
            </w:pPr>
            <w:r>
              <w:rPr>
                <w:sz w:val="20"/>
              </w:rPr>
              <w:t>Набор реагентов для иммунохроматографического выявления антител к вирусу SARS-CoV-2 в образцах цельной крови, сыворотки или плазмы 2019-nCoV (Colloidal Gold)</w:t>
            </w:r>
          </w:p>
        </w:tc>
        <w:tc>
          <w:tcPr>
            <w:tcW w:w="2229" w:type="dxa"/>
            <w:shd w:val="clear" w:color="auto" w:fill="F1F1F1"/>
          </w:tcPr>
          <w:p>
            <w:pPr>
              <w:pStyle w:val="TableParagraph"/>
              <w:spacing w:before="6"/>
              <w:rPr>
                <w:b/>
                <w:sz w:val="18"/>
              </w:rPr>
            </w:pPr>
          </w:p>
          <w:p>
            <w:pPr>
              <w:pStyle w:val="TableParagraph"/>
              <w:spacing w:before="1"/>
              <w:ind w:left="118" w:right="126"/>
              <w:rPr>
                <w:sz w:val="20"/>
              </w:rPr>
            </w:pPr>
            <w:r>
              <w:rPr>
                <w:sz w:val="20"/>
              </w:rPr>
              <w:t>"Инновита (Таншань) Биолоджикал Технолоджи Ко., Лтд."</w:t>
            </w:r>
          </w:p>
        </w:tc>
        <w:tc>
          <w:tcPr>
            <w:tcW w:w="3508" w:type="dxa"/>
            <w:shd w:val="clear" w:color="auto" w:fill="F6F6F6"/>
          </w:tcPr>
          <w:p>
            <w:pPr>
              <w:pStyle w:val="TableParagraph"/>
              <w:ind w:left="109" w:right="234"/>
              <w:rPr>
                <w:sz w:val="20"/>
              </w:rPr>
            </w:pPr>
            <w:r>
              <w:rPr>
                <w:sz w:val="20"/>
              </w:rPr>
              <w:t>Китай, Innovita (Tangshan) Biological Technology Co., Ltd., No. 699 Juxin Street, High-tech Industrial Development Zone, Qianʻan, Hebei,</w:t>
            </w:r>
          </w:p>
          <w:p>
            <w:pPr>
              <w:pStyle w:val="TableParagraph"/>
              <w:spacing w:line="219" w:lineRule="exact"/>
              <w:ind w:left="109"/>
              <w:rPr>
                <w:sz w:val="20"/>
              </w:rPr>
            </w:pPr>
            <w:r>
              <w:rPr>
                <w:sz w:val="20"/>
              </w:rPr>
              <w:t>064400, China</w:t>
            </w:r>
          </w:p>
        </w:tc>
      </w:tr>
      <w:tr>
        <w:trPr>
          <w:trHeight w:val="688" w:hRule="atLeast"/>
        </w:trPr>
        <w:tc>
          <w:tcPr>
            <w:tcW w:w="530" w:type="dxa"/>
          </w:tcPr>
          <w:p>
            <w:pPr>
              <w:pStyle w:val="TableParagraph"/>
              <w:spacing w:before="2"/>
              <w:rPr>
                <w:b/>
                <w:sz w:val="19"/>
              </w:rPr>
            </w:pPr>
          </w:p>
          <w:p>
            <w:pPr>
              <w:pStyle w:val="TableParagraph"/>
              <w:ind w:left="107"/>
              <w:rPr>
                <w:sz w:val="20"/>
              </w:rPr>
            </w:pPr>
            <w:r>
              <w:rPr>
                <w:sz w:val="20"/>
              </w:rPr>
              <w:t>17</w:t>
            </w:r>
          </w:p>
        </w:tc>
        <w:tc>
          <w:tcPr>
            <w:tcW w:w="1699" w:type="dxa"/>
          </w:tcPr>
          <w:p>
            <w:pPr>
              <w:pStyle w:val="TableParagraph"/>
              <w:spacing w:before="2"/>
              <w:rPr>
                <w:b/>
                <w:sz w:val="19"/>
              </w:rPr>
            </w:pPr>
          </w:p>
          <w:p>
            <w:pPr>
              <w:pStyle w:val="TableParagraph"/>
              <w:ind w:left="105"/>
              <w:rPr>
                <w:sz w:val="20"/>
              </w:rPr>
            </w:pPr>
            <w:r>
              <w:rPr>
                <w:sz w:val="20"/>
              </w:rPr>
              <w:t>03.06.2020</w:t>
            </w:r>
          </w:p>
        </w:tc>
        <w:tc>
          <w:tcPr>
            <w:tcW w:w="1699" w:type="dxa"/>
          </w:tcPr>
          <w:p>
            <w:pPr>
              <w:pStyle w:val="TableParagraph"/>
              <w:spacing w:before="2"/>
              <w:rPr>
                <w:b/>
                <w:sz w:val="19"/>
              </w:rPr>
            </w:pPr>
          </w:p>
          <w:p>
            <w:pPr>
              <w:pStyle w:val="TableParagraph"/>
              <w:ind w:left="80" w:right="188"/>
              <w:jc w:val="center"/>
              <w:rPr>
                <w:sz w:val="20"/>
              </w:rPr>
            </w:pPr>
            <w:r>
              <w:rPr>
                <w:sz w:val="20"/>
              </w:rPr>
              <w:t>РЗН 2020/10641</w:t>
            </w:r>
          </w:p>
        </w:tc>
        <w:tc>
          <w:tcPr>
            <w:tcW w:w="5467" w:type="dxa"/>
          </w:tcPr>
          <w:p>
            <w:pPr>
              <w:pStyle w:val="TableParagraph"/>
              <w:spacing w:before="98"/>
              <w:ind w:left="118" w:right="112"/>
              <w:rPr>
                <w:sz w:val="20"/>
              </w:rPr>
            </w:pPr>
            <w:r>
              <w:rPr>
                <w:sz w:val="20"/>
              </w:rPr>
              <w:t>Экспресс-тест COVID-19 IgG/IgM методом иммунохроматографии (PCL COVID 19 IgG/IgM Rapid Gold)</w:t>
            </w:r>
          </w:p>
        </w:tc>
        <w:tc>
          <w:tcPr>
            <w:tcW w:w="2229" w:type="dxa"/>
          </w:tcPr>
          <w:p>
            <w:pPr>
              <w:pStyle w:val="TableParagraph"/>
              <w:spacing w:before="7"/>
              <w:rPr>
                <w:b/>
                <w:sz w:val="18"/>
              </w:rPr>
            </w:pPr>
          </w:p>
          <w:p>
            <w:pPr>
              <w:pStyle w:val="TableParagraph"/>
              <w:ind w:left="118"/>
              <w:rPr>
                <w:sz w:val="20"/>
              </w:rPr>
            </w:pPr>
            <w:r>
              <w:rPr>
                <w:sz w:val="20"/>
              </w:rPr>
              <w:t>"ПиСиэЛ, Инк."</w:t>
            </w:r>
          </w:p>
        </w:tc>
        <w:tc>
          <w:tcPr>
            <w:tcW w:w="3508" w:type="dxa"/>
          </w:tcPr>
          <w:p>
            <w:pPr>
              <w:pStyle w:val="TableParagraph"/>
              <w:spacing w:line="221" w:lineRule="exact"/>
              <w:ind w:left="109"/>
              <w:rPr>
                <w:sz w:val="20"/>
              </w:rPr>
            </w:pPr>
            <w:r>
              <w:rPr>
                <w:sz w:val="20"/>
                <w:shd w:fill="F6F6F6" w:color="auto" w:val="clear"/>
              </w:rPr>
              <w:t>Республика Корея, PCL, Inc., # 701,</w:t>
            </w:r>
          </w:p>
          <w:p>
            <w:pPr>
              <w:pStyle w:val="TableParagraph"/>
              <w:spacing w:line="228" w:lineRule="exact" w:before="4"/>
              <w:ind w:left="109" w:right="92"/>
              <w:rPr>
                <w:sz w:val="20"/>
              </w:rPr>
            </w:pPr>
            <w:r>
              <w:rPr>
                <w:sz w:val="20"/>
                <w:shd w:fill="F6F6F6" w:color="auto" w:val="clear"/>
              </w:rPr>
              <w:t>99, Digital-ro 9-gil, Geumcheon-gu,</w:t>
            </w:r>
            <w:r>
              <w:rPr>
                <w:sz w:val="20"/>
              </w:rPr>
              <w:t> </w:t>
            </w:r>
            <w:r>
              <w:rPr>
                <w:sz w:val="20"/>
                <w:shd w:fill="F6F6F6" w:color="auto" w:val="clear"/>
              </w:rPr>
              <w:t>Seoul, 08510, Republic of Korea</w:t>
            </w:r>
          </w:p>
        </w:tc>
      </w:tr>
      <w:tr>
        <w:trPr>
          <w:trHeight w:val="690" w:hRule="atLeast"/>
        </w:trPr>
        <w:tc>
          <w:tcPr>
            <w:tcW w:w="530" w:type="dxa"/>
            <w:shd w:val="clear" w:color="auto" w:fill="F1F1F1"/>
          </w:tcPr>
          <w:p>
            <w:pPr>
              <w:pStyle w:val="TableParagraph"/>
              <w:spacing w:before="2"/>
              <w:rPr>
                <w:b/>
                <w:sz w:val="19"/>
              </w:rPr>
            </w:pPr>
          </w:p>
          <w:p>
            <w:pPr>
              <w:pStyle w:val="TableParagraph"/>
              <w:ind w:left="107"/>
              <w:rPr>
                <w:sz w:val="20"/>
              </w:rPr>
            </w:pPr>
            <w:r>
              <w:rPr>
                <w:sz w:val="20"/>
              </w:rPr>
              <w:t>18</w:t>
            </w:r>
          </w:p>
        </w:tc>
        <w:tc>
          <w:tcPr>
            <w:tcW w:w="1699" w:type="dxa"/>
            <w:shd w:val="clear" w:color="auto" w:fill="F1F1F1"/>
          </w:tcPr>
          <w:p>
            <w:pPr>
              <w:pStyle w:val="TableParagraph"/>
              <w:spacing w:before="2"/>
              <w:rPr>
                <w:b/>
                <w:sz w:val="19"/>
              </w:rPr>
            </w:pPr>
          </w:p>
          <w:p>
            <w:pPr>
              <w:pStyle w:val="TableParagraph"/>
              <w:ind w:left="105"/>
              <w:rPr>
                <w:sz w:val="20"/>
              </w:rPr>
            </w:pPr>
            <w:r>
              <w:rPr>
                <w:sz w:val="20"/>
              </w:rPr>
              <w:t>03.06.2020</w:t>
            </w:r>
          </w:p>
        </w:tc>
        <w:tc>
          <w:tcPr>
            <w:tcW w:w="1699" w:type="dxa"/>
            <w:shd w:val="clear" w:color="auto" w:fill="F6F6F6"/>
          </w:tcPr>
          <w:p>
            <w:pPr>
              <w:pStyle w:val="TableParagraph"/>
              <w:spacing w:before="2"/>
              <w:rPr>
                <w:b/>
                <w:sz w:val="19"/>
              </w:rPr>
            </w:pPr>
          </w:p>
          <w:p>
            <w:pPr>
              <w:pStyle w:val="TableParagraph"/>
              <w:ind w:left="80" w:right="188"/>
              <w:jc w:val="center"/>
              <w:rPr>
                <w:sz w:val="20"/>
              </w:rPr>
            </w:pPr>
            <w:r>
              <w:rPr>
                <w:sz w:val="20"/>
              </w:rPr>
              <w:t>РЗН 2020/10692</w:t>
            </w:r>
          </w:p>
        </w:tc>
        <w:tc>
          <w:tcPr>
            <w:tcW w:w="5467" w:type="dxa"/>
            <w:shd w:val="clear" w:color="auto" w:fill="F1F1F1"/>
          </w:tcPr>
          <w:p>
            <w:pPr>
              <w:pStyle w:val="TableParagraph"/>
              <w:spacing w:before="6"/>
              <w:rPr>
                <w:b/>
                <w:sz w:val="18"/>
              </w:rPr>
            </w:pPr>
          </w:p>
          <w:p>
            <w:pPr>
              <w:pStyle w:val="TableParagraph"/>
              <w:spacing w:before="1"/>
              <w:ind w:left="118"/>
              <w:rPr>
                <w:sz w:val="20"/>
              </w:rPr>
            </w:pPr>
            <w:r>
              <w:rPr>
                <w:sz w:val="20"/>
              </w:rPr>
              <w:t>Экспресс-тест COVID-19 IgG/IgM</w:t>
            </w:r>
          </w:p>
        </w:tc>
        <w:tc>
          <w:tcPr>
            <w:tcW w:w="2229" w:type="dxa"/>
            <w:shd w:val="clear" w:color="auto" w:fill="F1F1F1"/>
          </w:tcPr>
          <w:p>
            <w:pPr>
              <w:pStyle w:val="TableParagraph"/>
              <w:spacing w:before="98"/>
              <w:ind w:left="118" w:right="259"/>
              <w:rPr>
                <w:sz w:val="20"/>
              </w:rPr>
            </w:pPr>
            <w:r>
              <w:rPr>
                <w:sz w:val="20"/>
              </w:rPr>
              <w:t>"Инзек Интернешнел Трейдинг Б.В."</w:t>
            </w:r>
          </w:p>
        </w:tc>
        <w:tc>
          <w:tcPr>
            <w:tcW w:w="3508" w:type="dxa"/>
            <w:shd w:val="clear" w:color="auto" w:fill="F6F6F6"/>
          </w:tcPr>
          <w:p>
            <w:pPr>
              <w:pStyle w:val="TableParagraph"/>
              <w:ind w:left="109" w:right="92"/>
              <w:rPr>
                <w:sz w:val="20"/>
              </w:rPr>
            </w:pPr>
            <w:r>
              <w:rPr>
                <w:sz w:val="20"/>
              </w:rPr>
              <w:t>Нидерланды, Inzek International Trading B.V., Vissenstraat 32, 7324 AL,</w:t>
            </w:r>
          </w:p>
          <w:p>
            <w:pPr>
              <w:pStyle w:val="TableParagraph"/>
              <w:spacing w:line="219" w:lineRule="exact"/>
              <w:ind w:left="109"/>
              <w:rPr>
                <w:sz w:val="20"/>
              </w:rPr>
            </w:pPr>
            <w:r>
              <w:rPr>
                <w:sz w:val="20"/>
              </w:rPr>
              <w:t>Apeldoorn, Netherlands</w:t>
            </w:r>
          </w:p>
        </w:tc>
      </w:tr>
      <w:tr>
        <w:trPr>
          <w:trHeight w:val="1379" w:hRule="atLeast"/>
        </w:trPr>
        <w:tc>
          <w:tcPr>
            <w:tcW w:w="530" w:type="dxa"/>
          </w:tcPr>
          <w:p>
            <w:pPr>
              <w:pStyle w:val="TableParagraph"/>
              <w:rPr>
                <w:b/>
                <w:sz w:val="22"/>
              </w:rPr>
            </w:pPr>
          </w:p>
          <w:p>
            <w:pPr>
              <w:pStyle w:val="TableParagraph"/>
              <w:spacing w:before="3"/>
              <w:rPr>
                <w:b/>
                <w:sz w:val="27"/>
              </w:rPr>
            </w:pPr>
          </w:p>
          <w:p>
            <w:pPr>
              <w:pStyle w:val="TableParagraph"/>
              <w:ind w:left="107"/>
              <w:rPr>
                <w:sz w:val="20"/>
              </w:rPr>
            </w:pPr>
            <w:r>
              <w:rPr>
                <w:sz w:val="20"/>
              </w:rPr>
              <w:t>19</w:t>
            </w:r>
          </w:p>
        </w:tc>
        <w:tc>
          <w:tcPr>
            <w:tcW w:w="1699" w:type="dxa"/>
          </w:tcPr>
          <w:p>
            <w:pPr>
              <w:pStyle w:val="TableParagraph"/>
              <w:rPr>
                <w:b/>
                <w:sz w:val="22"/>
              </w:rPr>
            </w:pPr>
          </w:p>
          <w:p>
            <w:pPr>
              <w:pStyle w:val="TableParagraph"/>
              <w:spacing w:before="3"/>
              <w:rPr>
                <w:b/>
                <w:sz w:val="27"/>
              </w:rPr>
            </w:pPr>
          </w:p>
          <w:p>
            <w:pPr>
              <w:pStyle w:val="TableParagraph"/>
              <w:ind w:left="105"/>
              <w:rPr>
                <w:sz w:val="20"/>
              </w:rPr>
            </w:pPr>
            <w:r>
              <w:rPr>
                <w:sz w:val="20"/>
              </w:rPr>
              <w:t>09.06.2020</w:t>
            </w:r>
          </w:p>
        </w:tc>
        <w:tc>
          <w:tcPr>
            <w:tcW w:w="1699" w:type="dxa"/>
          </w:tcPr>
          <w:p>
            <w:pPr>
              <w:pStyle w:val="TableParagraph"/>
              <w:rPr>
                <w:b/>
                <w:sz w:val="22"/>
              </w:rPr>
            </w:pPr>
          </w:p>
          <w:p>
            <w:pPr>
              <w:pStyle w:val="TableParagraph"/>
              <w:spacing w:before="3"/>
              <w:rPr>
                <w:b/>
                <w:sz w:val="27"/>
              </w:rPr>
            </w:pPr>
          </w:p>
          <w:p>
            <w:pPr>
              <w:pStyle w:val="TableParagraph"/>
              <w:ind w:left="80" w:right="188"/>
              <w:jc w:val="center"/>
              <w:rPr>
                <w:sz w:val="20"/>
              </w:rPr>
            </w:pPr>
            <w:r>
              <w:rPr>
                <w:sz w:val="20"/>
                <w:shd w:fill="F6F6F6" w:color="auto" w:val="clear"/>
              </w:rPr>
              <w:t>РЗН 2020/10742</w:t>
            </w:r>
          </w:p>
        </w:tc>
        <w:tc>
          <w:tcPr>
            <w:tcW w:w="5467" w:type="dxa"/>
          </w:tcPr>
          <w:p>
            <w:pPr>
              <w:pStyle w:val="TableParagraph"/>
              <w:spacing w:before="7"/>
              <w:rPr>
                <w:b/>
                <w:sz w:val="28"/>
              </w:rPr>
            </w:pPr>
          </w:p>
          <w:p>
            <w:pPr>
              <w:pStyle w:val="TableParagraph"/>
              <w:ind w:left="118" w:right="184"/>
              <w:rPr>
                <w:sz w:val="20"/>
              </w:rPr>
            </w:pPr>
            <w:r>
              <w:rPr>
                <w:sz w:val="20"/>
              </w:rPr>
              <w:t>Экспресс-тест иммунохроматографический для обнаружения антител IgG и IgM к коронавирусу 2019-nCoV (STANDARD Q COVID-19 IgM/IgG Duo)</w:t>
            </w:r>
          </w:p>
        </w:tc>
        <w:tc>
          <w:tcPr>
            <w:tcW w:w="2229" w:type="dxa"/>
          </w:tcPr>
          <w:p>
            <w:pPr>
              <w:pStyle w:val="TableParagraph"/>
              <w:rPr>
                <w:b/>
                <w:sz w:val="22"/>
              </w:rPr>
            </w:pPr>
          </w:p>
          <w:p>
            <w:pPr>
              <w:pStyle w:val="TableParagraph"/>
              <w:spacing w:before="7"/>
              <w:rPr>
                <w:b/>
                <w:sz w:val="26"/>
              </w:rPr>
            </w:pPr>
          </w:p>
          <w:p>
            <w:pPr>
              <w:pStyle w:val="TableParagraph"/>
              <w:ind w:left="118"/>
              <w:rPr>
                <w:sz w:val="20"/>
              </w:rPr>
            </w:pPr>
            <w:r>
              <w:rPr>
                <w:sz w:val="20"/>
              </w:rPr>
              <w:t>"СД Биосенсор Инк."</w:t>
            </w:r>
          </w:p>
        </w:tc>
        <w:tc>
          <w:tcPr>
            <w:tcW w:w="3508" w:type="dxa"/>
          </w:tcPr>
          <w:p>
            <w:pPr>
              <w:pStyle w:val="TableParagraph"/>
              <w:ind w:left="109" w:right="218"/>
              <w:rPr>
                <w:sz w:val="20"/>
              </w:rPr>
            </w:pPr>
            <w:r>
              <w:rPr>
                <w:sz w:val="20"/>
                <w:shd w:fill="F6F6F6" w:color="auto" w:val="clear"/>
              </w:rPr>
              <w:t>Республика Корея, Дальнее</w:t>
            </w:r>
            <w:r>
              <w:rPr>
                <w:sz w:val="20"/>
              </w:rPr>
              <w:t> </w:t>
            </w:r>
            <w:r>
              <w:rPr>
                <w:sz w:val="20"/>
                <w:shd w:fill="F6F6F6" w:color="auto" w:val="clear"/>
              </w:rPr>
              <w:t>зарубежье, SD Biosensor Inc.,Digital</w:t>
            </w:r>
            <w:r>
              <w:rPr>
                <w:sz w:val="20"/>
              </w:rPr>
              <w:t> </w:t>
            </w:r>
            <w:r>
              <w:rPr>
                <w:sz w:val="20"/>
                <w:shd w:fill="F6F6F6" w:color="auto" w:val="clear"/>
              </w:rPr>
              <w:t>Empire Building, C-4th&amp;5th floor, 16,</w:t>
            </w:r>
            <w:r>
              <w:rPr>
                <w:sz w:val="20"/>
              </w:rPr>
              <w:t> </w:t>
            </w:r>
            <w:r>
              <w:rPr>
                <w:sz w:val="20"/>
                <w:shd w:fill="F6F6F6" w:color="auto" w:val="clear"/>
              </w:rPr>
              <w:t>Deogyeong-daero 1556beon-gil,</w:t>
            </w:r>
            <w:r>
              <w:rPr>
                <w:sz w:val="20"/>
              </w:rPr>
              <w:t> </w:t>
            </w:r>
            <w:r>
              <w:rPr>
                <w:sz w:val="20"/>
                <w:shd w:fill="F6F6F6" w:color="auto" w:val="clear"/>
              </w:rPr>
              <w:t>Yeongtong-gu, Suwon-si, Gyeonggi-do</w:t>
            </w:r>
          </w:p>
          <w:p>
            <w:pPr>
              <w:pStyle w:val="TableParagraph"/>
              <w:spacing w:line="219" w:lineRule="exact"/>
              <w:ind w:left="109"/>
              <w:rPr>
                <w:sz w:val="20"/>
              </w:rPr>
            </w:pPr>
            <w:r>
              <w:rPr>
                <w:sz w:val="20"/>
                <w:shd w:fill="F6F6F6" w:color="auto" w:val="clear"/>
              </w:rPr>
              <w:t>443-813, Republic of Korea</w:t>
            </w:r>
          </w:p>
        </w:tc>
      </w:tr>
      <w:tr>
        <w:trPr>
          <w:trHeight w:val="933" w:hRule="atLeast"/>
        </w:trPr>
        <w:tc>
          <w:tcPr>
            <w:tcW w:w="530" w:type="dxa"/>
            <w:shd w:val="clear" w:color="auto" w:fill="F1F1F1"/>
          </w:tcPr>
          <w:p>
            <w:pPr>
              <w:pStyle w:val="TableParagraph"/>
              <w:spacing w:before="9"/>
              <w:rPr>
                <w:b/>
                <w:sz w:val="29"/>
              </w:rPr>
            </w:pPr>
          </w:p>
          <w:p>
            <w:pPr>
              <w:pStyle w:val="TableParagraph"/>
              <w:spacing w:before="1"/>
              <w:ind w:left="107"/>
              <w:rPr>
                <w:sz w:val="20"/>
              </w:rPr>
            </w:pPr>
            <w:r>
              <w:rPr>
                <w:sz w:val="20"/>
              </w:rPr>
              <w:t>20</w:t>
            </w:r>
          </w:p>
        </w:tc>
        <w:tc>
          <w:tcPr>
            <w:tcW w:w="1699" w:type="dxa"/>
            <w:shd w:val="clear" w:color="auto" w:fill="F1F1F1"/>
          </w:tcPr>
          <w:p>
            <w:pPr>
              <w:pStyle w:val="TableParagraph"/>
              <w:spacing w:before="2"/>
              <w:rPr>
                <w:b/>
                <w:sz w:val="29"/>
              </w:rPr>
            </w:pPr>
          </w:p>
          <w:p>
            <w:pPr>
              <w:pStyle w:val="TableParagraph"/>
              <w:ind w:left="115"/>
              <w:rPr>
                <w:sz w:val="20"/>
              </w:rPr>
            </w:pPr>
            <w:r>
              <w:rPr>
                <w:sz w:val="20"/>
              </w:rPr>
              <w:t>17.06.2020</w:t>
            </w:r>
          </w:p>
        </w:tc>
        <w:tc>
          <w:tcPr>
            <w:tcW w:w="1699" w:type="dxa"/>
            <w:shd w:val="clear" w:color="auto" w:fill="F6F6F6"/>
          </w:tcPr>
          <w:p>
            <w:pPr>
              <w:pStyle w:val="TableParagraph"/>
              <w:spacing w:before="9"/>
              <w:rPr>
                <w:b/>
                <w:sz w:val="29"/>
              </w:rPr>
            </w:pPr>
          </w:p>
          <w:p>
            <w:pPr>
              <w:pStyle w:val="TableParagraph"/>
              <w:spacing w:before="1"/>
              <w:ind w:left="80" w:right="188"/>
              <w:jc w:val="center"/>
              <w:rPr>
                <w:sz w:val="20"/>
              </w:rPr>
            </w:pPr>
            <w:r>
              <w:rPr>
                <w:sz w:val="20"/>
              </w:rPr>
              <w:t>РЗН 2020/10917</w:t>
            </w:r>
          </w:p>
        </w:tc>
        <w:tc>
          <w:tcPr>
            <w:tcW w:w="5467" w:type="dxa"/>
            <w:shd w:val="clear" w:color="auto" w:fill="F1F1F1"/>
          </w:tcPr>
          <w:p>
            <w:pPr>
              <w:pStyle w:val="TableParagraph"/>
              <w:ind w:left="118" w:right="640"/>
              <w:rPr>
                <w:sz w:val="20"/>
              </w:rPr>
            </w:pPr>
            <w:r>
              <w:rPr>
                <w:sz w:val="20"/>
              </w:rPr>
              <w:t>Экспресс-тест для выявления антител класса IgG/IgM к SARS-CoV-2 методом иммунохроматографического анализа в сыворотке, плазме и цельной крови</w:t>
            </w:r>
            <w:r>
              <w:rPr>
                <w:spacing w:val="-19"/>
                <w:sz w:val="20"/>
              </w:rPr>
              <w:t> </w:t>
            </w:r>
            <w:r>
              <w:rPr>
                <w:sz w:val="20"/>
              </w:rPr>
              <w:t>человека "Экспресс-IgG/IgM</w:t>
            </w:r>
            <w:r>
              <w:rPr>
                <w:spacing w:val="-1"/>
                <w:sz w:val="20"/>
              </w:rPr>
              <w:t> </w:t>
            </w:r>
            <w:r>
              <w:rPr>
                <w:sz w:val="20"/>
              </w:rPr>
              <w:t>SARS-CoV-2-ИХА"</w:t>
            </w:r>
          </w:p>
        </w:tc>
        <w:tc>
          <w:tcPr>
            <w:tcW w:w="2229" w:type="dxa"/>
            <w:shd w:val="clear" w:color="auto" w:fill="F1F1F1"/>
          </w:tcPr>
          <w:p>
            <w:pPr>
              <w:pStyle w:val="TableParagraph"/>
              <w:spacing w:before="2"/>
              <w:rPr>
                <w:b/>
                <w:sz w:val="29"/>
              </w:rPr>
            </w:pPr>
          </w:p>
          <w:p>
            <w:pPr>
              <w:pStyle w:val="TableParagraph"/>
              <w:ind w:left="118"/>
              <w:rPr>
                <w:sz w:val="20"/>
              </w:rPr>
            </w:pPr>
            <w:r>
              <w:rPr>
                <w:sz w:val="20"/>
              </w:rPr>
              <w:t>ООО "ДРД"</w:t>
            </w:r>
          </w:p>
        </w:tc>
        <w:tc>
          <w:tcPr>
            <w:tcW w:w="3508" w:type="dxa"/>
            <w:shd w:val="clear" w:color="auto" w:fill="F6F6F6"/>
          </w:tcPr>
          <w:p>
            <w:pPr>
              <w:pStyle w:val="TableParagraph"/>
              <w:spacing w:before="113"/>
              <w:ind w:left="109" w:right="209"/>
              <w:jc w:val="both"/>
              <w:rPr>
                <w:sz w:val="20"/>
              </w:rPr>
            </w:pPr>
            <w:r>
              <w:rPr>
                <w:sz w:val="20"/>
              </w:rPr>
              <w:t>670034, Россия, Республика Бурятия, г. Улан-Удэ, пр-кт 50-летия Октября, д.13, помещение 21</w:t>
            </w:r>
          </w:p>
        </w:tc>
      </w:tr>
      <w:tr>
        <w:trPr>
          <w:trHeight w:val="935" w:hRule="atLeast"/>
        </w:trPr>
        <w:tc>
          <w:tcPr>
            <w:tcW w:w="530" w:type="dxa"/>
          </w:tcPr>
          <w:p>
            <w:pPr>
              <w:pStyle w:val="TableParagraph"/>
              <w:spacing w:before="9"/>
              <w:rPr>
                <w:b/>
                <w:sz w:val="29"/>
              </w:rPr>
            </w:pPr>
          </w:p>
          <w:p>
            <w:pPr>
              <w:pStyle w:val="TableParagraph"/>
              <w:spacing w:before="1"/>
              <w:ind w:left="107"/>
              <w:rPr>
                <w:sz w:val="20"/>
              </w:rPr>
            </w:pPr>
            <w:r>
              <w:rPr>
                <w:sz w:val="20"/>
              </w:rPr>
              <w:t>21</w:t>
            </w:r>
          </w:p>
        </w:tc>
        <w:tc>
          <w:tcPr>
            <w:tcW w:w="1699" w:type="dxa"/>
          </w:tcPr>
          <w:p>
            <w:pPr>
              <w:pStyle w:val="TableParagraph"/>
              <w:spacing w:before="2"/>
              <w:rPr>
                <w:b/>
                <w:sz w:val="29"/>
              </w:rPr>
            </w:pPr>
          </w:p>
          <w:p>
            <w:pPr>
              <w:pStyle w:val="TableParagraph"/>
              <w:spacing w:before="1"/>
              <w:ind w:left="115"/>
              <w:rPr>
                <w:sz w:val="20"/>
              </w:rPr>
            </w:pPr>
            <w:r>
              <w:rPr>
                <w:sz w:val="20"/>
              </w:rPr>
              <w:t>22.06.2020</w:t>
            </w:r>
          </w:p>
        </w:tc>
        <w:tc>
          <w:tcPr>
            <w:tcW w:w="1699" w:type="dxa"/>
          </w:tcPr>
          <w:p>
            <w:pPr>
              <w:pStyle w:val="TableParagraph"/>
              <w:spacing w:before="9"/>
              <w:rPr>
                <w:b/>
                <w:sz w:val="29"/>
              </w:rPr>
            </w:pPr>
          </w:p>
          <w:p>
            <w:pPr>
              <w:pStyle w:val="TableParagraph"/>
              <w:spacing w:before="1"/>
              <w:ind w:left="80" w:right="188"/>
              <w:jc w:val="center"/>
              <w:rPr>
                <w:sz w:val="20"/>
              </w:rPr>
            </w:pPr>
            <w:r>
              <w:rPr>
                <w:sz w:val="20"/>
                <w:shd w:fill="F6F6F6" w:color="auto" w:val="clear"/>
              </w:rPr>
              <w:t>РЗН 2020/10976</w:t>
            </w:r>
          </w:p>
        </w:tc>
        <w:tc>
          <w:tcPr>
            <w:tcW w:w="5467" w:type="dxa"/>
          </w:tcPr>
          <w:p>
            <w:pPr>
              <w:pStyle w:val="TableParagraph"/>
              <w:spacing w:line="221" w:lineRule="exact"/>
              <w:ind w:left="118"/>
              <w:rPr>
                <w:sz w:val="20"/>
              </w:rPr>
            </w:pPr>
            <w:r>
              <w:rPr>
                <w:sz w:val="20"/>
              </w:rPr>
              <w:t>Экспресс-тест для определения антител IgG/lgM</w:t>
            </w:r>
          </w:p>
          <w:p>
            <w:pPr>
              <w:pStyle w:val="TableParagraph"/>
              <w:ind w:left="118" w:right="336"/>
              <w:rPr>
                <w:sz w:val="20"/>
              </w:rPr>
            </w:pPr>
            <w:r>
              <w:rPr>
                <w:sz w:val="20"/>
              </w:rPr>
              <w:t>к коронавирусу (SARS-CoV-2) вызывающему тяжелый острый респираторный синдром с использованием метода коллоидного золота</w:t>
            </w:r>
          </w:p>
        </w:tc>
        <w:tc>
          <w:tcPr>
            <w:tcW w:w="2229" w:type="dxa"/>
          </w:tcPr>
          <w:p>
            <w:pPr>
              <w:pStyle w:val="TableParagraph"/>
              <w:spacing w:before="106"/>
              <w:ind w:left="118" w:right="348"/>
              <w:rPr>
                <w:sz w:val="20"/>
              </w:rPr>
            </w:pPr>
            <w:r>
              <w:rPr>
                <w:sz w:val="20"/>
              </w:rPr>
              <w:t>"Маккура Биотекнолоджи Ко., Лтд."</w:t>
            </w:r>
          </w:p>
        </w:tc>
        <w:tc>
          <w:tcPr>
            <w:tcW w:w="3508" w:type="dxa"/>
          </w:tcPr>
          <w:p>
            <w:pPr>
              <w:pStyle w:val="TableParagraph"/>
              <w:spacing w:before="113"/>
              <w:ind w:left="109" w:right="141"/>
              <w:rPr>
                <w:sz w:val="20"/>
              </w:rPr>
            </w:pPr>
            <w:r>
              <w:rPr>
                <w:sz w:val="20"/>
                <w:shd w:fill="F6F6F6" w:color="auto" w:val="clear"/>
              </w:rPr>
              <w:t>КНР, Maccura Biotechnology Со., Ltd.,</w:t>
            </w:r>
            <w:r>
              <w:rPr>
                <w:sz w:val="20"/>
              </w:rPr>
              <w:t> </w:t>
            </w:r>
            <w:r>
              <w:rPr>
                <w:sz w:val="20"/>
                <w:shd w:fill="F6F6F6" w:color="auto" w:val="clear"/>
              </w:rPr>
              <w:t>16#, Baichuan Road, Hi-tech Zone,</w:t>
            </w:r>
            <w:r>
              <w:rPr>
                <w:sz w:val="20"/>
              </w:rPr>
              <w:t> </w:t>
            </w:r>
            <w:r>
              <w:rPr>
                <w:sz w:val="20"/>
                <w:shd w:fill="F6F6F6" w:color="auto" w:val="clear"/>
              </w:rPr>
              <w:t>611731 Chengdu, P.R. of China</w:t>
            </w:r>
          </w:p>
        </w:tc>
      </w:tr>
      <w:tr>
        <w:trPr>
          <w:trHeight w:val="1379" w:hRule="atLeast"/>
        </w:trPr>
        <w:tc>
          <w:tcPr>
            <w:tcW w:w="530" w:type="dxa"/>
            <w:shd w:val="clear" w:color="auto" w:fill="F1F1F1"/>
          </w:tcPr>
          <w:p>
            <w:pPr>
              <w:pStyle w:val="TableParagraph"/>
              <w:rPr>
                <w:b/>
                <w:sz w:val="22"/>
              </w:rPr>
            </w:pPr>
          </w:p>
          <w:p>
            <w:pPr>
              <w:pStyle w:val="TableParagraph"/>
              <w:rPr>
                <w:b/>
                <w:sz w:val="27"/>
              </w:rPr>
            </w:pPr>
          </w:p>
          <w:p>
            <w:pPr>
              <w:pStyle w:val="TableParagraph"/>
              <w:spacing w:before="1"/>
              <w:ind w:left="107"/>
              <w:rPr>
                <w:sz w:val="20"/>
              </w:rPr>
            </w:pPr>
            <w:r>
              <w:rPr>
                <w:sz w:val="20"/>
              </w:rPr>
              <w:t>22</w:t>
            </w:r>
          </w:p>
        </w:tc>
        <w:tc>
          <w:tcPr>
            <w:tcW w:w="1699" w:type="dxa"/>
            <w:shd w:val="clear" w:color="auto" w:fill="F1F1F1"/>
          </w:tcPr>
          <w:p>
            <w:pPr>
              <w:pStyle w:val="TableParagraph"/>
              <w:rPr>
                <w:b/>
                <w:sz w:val="22"/>
              </w:rPr>
            </w:pPr>
          </w:p>
          <w:p>
            <w:pPr>
              <w:pStyle w:val="TableParagraph"/>
              <w:spacing w:before="7"/>
              <w:rPr>
                <w:b/>
                <w:sz w:val="26"/>
              </w:rPr>
            </w:pPr>
          </w:p>
          <w:p>
            <w:pPr>
              <w:pStyle w:val="TableParagraph"/>
              <w:ind w:left="115"/>
              <w:rPr>
                <w:sz w:val="20"/>
              </w:rPr>
            </w:pPr>
            <w:r>
              <w:rPr>
                <w:sz w:val="20"/>
              </w:rPr>
              <w:t>23.06.2020</w:t>
            </w:r>
          </w:p>
        </w:tc>
        <w:tc>
          <w:tcPr>
            <w:tcW w:w="1699" w:type="dxa"/>
            <w:shd w:val="clear" w:color="auto" w:fill="F6F6F6"/>
          </w:tcPr>
          <w:p>
            <w:pPr>
              <w:pStyle w:val="TableParagraph"/>
              <w:rPr>
                <w:b/>
                <w:sz w:val="22"/>
              </w:rPr>
            </w:pPr>
          </w:p>
          <w:p>
            <w:pPr>
              <w:pStyle w:val="TableParagraph"/>
              <w:rPr>
                <w:b/>
                <w:sz w:val="27"/>
              </w:rPr>
            </w:pPr>
          </w:p>
          <w:p>
            <w:pPr>
              <w:pStyle w:val="TableParagraph"/>
              <w:spacing w:before="1"/>
              <w:ind w:left="80" w:right="188"/>
              <w:jc w:val="center"/>
              <w:rPr>
                <w:sz w:val="20"/>
              </w:rPr>
            </w:pPr>
            <w:r>
              <w:rPr>
                <w:sz w:val="20"/>
              </w:rPr>
              <w:t>РЗН 2020/10950</w:t>
            </w:r>
          </w:p>
        </w:tc>
        <w:tc>
          <w:tcPr>
            <w:tcW w:w="5467" w:type="dxa"/>
            <w:shd w:val="clear" w:color="auto" w:fill="F1F1F1"/>
          </w:tcPr>
          <w:p>
            <w:pPr>
              <w:pStyle w:val="TableParagraph"/>
              <w:spacing w:before="98"/>
              <w:ind w:left="118" w:right="310"/>
              <w:rPr>
                <w:sz w:val="20"/>
              </w:rPr>
            </w:pPr>
            <w:r>
              <w:rPr>
                <w:sz w:val="20"/>
              </w:rPr>
              <w:t>Набор реагентов "Экспресс-тест SARS-CoV-2 (COVID-19) IgM/IgG" для качественного обнаружения общих антител IgM и IgG к коронавирусу методом иммунохроматографического анализа с коллоидным золотом</w:t>
            </w:r>
          </w:p>
        </w:tc>
        <w:tc>
          <w:tcPr>
            <w:tcW w:w="2229" w:type="dxa"/>
            <w:shd w:val="clear" w:color="auto" w:fill="F1F1F1"/>
          </w:tcPr>
          <w:p>
            <w:pPr>
              <w:pStyle w:val="TableParagraph"/>
              <w:spacing w:before="7"/>
              <w:rPr>
                <w:b/>
                <w:sz w:val="28"/>
              </w:rPr>
            </w:pPr>
          </w:p>
          <w:p>
            <w:pPr>
              <w:pStyle w:val="TableParagraph"/>
              <w:ind w:left="118"/>
              <w:rPr>
                <w:sz w:val="20"/>
              </w:rPr>
            </w:pPr>
            <w:r>
              <w:rPr>
                <w:sz w:val="20"/>
              </w:rPr>
              <w:t>"Цзянсу Супербио Биомедикал (Нанкин) Ко., Лтд"</w:t>
            </w:r>
          </w:p>
        </w:tc>
        <w:tc>
          <w:tcPr>
            <w:tcW w:w="3508" w:type="dxa"/>
            <w:shd w:val="clear" w:color="auto" w:fill="F6F6F6"/>
          </w:tcPr>
          <w:p>
            <w:pPr>
              <w:pStyle w:val="TableParagraph"/>
              <w:ind w:left="109" w:right="308"/>
              <w:rPr>
                <w:sz w:val="20"/>
              </w:rPr>
            </w:pPr>
            <w:r>
              <w:rPr>
                <w:sz w:val="20"/>
              </w:rPr>
              <w:t>Китай, Jiangsu Superbio Biomedical (Nanjing), Co., Ltd., Room 507-511, Block A, Sino-Danish Ecological Life Science Industrial Park, No. 3-1,</w:t>
            </w:r>
          </w:p>
          <w:p>
            <w:pPr>
              <w:pStyle w:val="TableParagraph"/>
              <w:spacing w:line="230" w:lineRule="exact"/>
              <w:ind w:left="109" w:right="502"/>
              <w:rPr>
                <w:sz w:val="20"/>
              </w:rPr>
            </w:pPr>
            <w:r>
              <w:rPr>
                <w:sz w:val="20"/>
              </w:rPr>
              <w:t>Xinjinhu Road, Jiangbei New Area, Nanjing, China</w:t>
            </w:r>
          </w:p>
        </w:tc>
      </w:tr>
      <w:tr>
        <w:trPr>
          <w:trHeight w:val="650" w:hRule="atLeast"/>
        </w:trPr>
        <w:tc>
          <w:tcPr>
            <w:tcW w:w="530" w:type="dxa"/>
          </w:tcPr>
          <w:p>
            <w:pPr>
              <w:pStyle w:val="TableParagraph"/>
              <w:spacing w:before="6"/>
              <w:rPr>
                <w:b/>
                <w:sz w:val="17"/>
              </w:rPr>
            </w:pPr>
          </w:p>
          <w:p>
            <w:pPr>
              <w:pStyle w:val="TableParagraph"/>
              <w:ind w:left="107"/>
              <w:rPr>
                <w:sz w:val="20"/>
              </w:rPr>
            </w:pPr>
            <w:r>
              <w:rPr>
                <w:sz w:val="20"/>
              </w:rPr>
              <w:t>23</w:t>
            </w:r>
          </w:p>
        </w:tc>
        <w:tc>
          <w:tcPr>
            <w:tcW w:w="1699" w:type="dxa"/>
          </w:tcPr>
          <w:p>
            <w:pPr>
              <w:pStyle w:val="TableParagraph"/>
              <w:spacing w:before="194"/>
              <w:ind w:left="115"/>
              <w:rPr>
                <w:sz w:val="20"/>
              </w:rPr>
            </w:pPr>
            <w:r>
              <w:rPr>
                <w:sz w:val="20"/>
              </w:rPr>
              <w:t>26.06.2020</w:t>
            </w:r>
          </w:p>
        </w:tc>
        <w:tc>
          <w:tcPr>
            <w:tcW w:w="1699" w:type="dxa"/>
          </w:tcPr>
          <w:p>
            <w:pPr>
              <w:pStyle w:val="TableParagraph"/>
              <w:spacing w:before="6"/>
              <w:rPr>
                <w:b/>
                <w:sz w:val="17"/>
              </w:rPr>
            </w:pPr>
          </w:p>
          <w:p>
            <w:pPr>
              <w:pStyle w:val="TableParagraph"/>
              <w:ind w:left="80" w:right="188"/>
              <w:jc w:val="center"/>
              <w:rPr>
                <w:sz w:val="20"/>
              </w:rPr>
            </w:pPr>
            <w:r>
              <w:rPr>
                <w:sz w:val="20"/>
                <w:shd w:fill="F6F6F6" w:color="auto" w:val="clear"/>
              </w:rPr>
              <w:t>РЗН 2020/11034</w:t>
            </w:r>
          </w:p>
        </w:tc>
        <w:tc>
          <w:tcPr>
            <w:tcW w:w="5467" w:type="dxa"/>
          </w:tcPr>
          <w:p>
            <w:pPr>
              <w:pStyle w:val="TableParagraph"/>
              <w:spacing w:before="194"/>
              <w:ind w:left="118"/>
              <w:rPr>
                <w:sz w:val="20"/>
              </w:rPr>
            </w:pPr>
            <w:r>
              <w:rPr>
                <w:sz w:val="20"/>
              </w:rPr>
              <w:t>Экспресс-тест NADAL® на антитела COVID-19 IgG/IgM</w:t>
            </w:r>
          </w:p>
        </w:tc>
        <w:tc>
          <w:tcPr>
            <w:tcW w:w="2229" w:type="dxa"/>
          </w:tcPr>
          <w:p>
            <w:pPr>
              <w:pStyle w:val="TableParagraph"/>
              <w:spacing w:before="79"/>
              <w:ind w:left="118" w:right="537"/>
              <w:rPr>
                <w:sz w:val="20"/>
              </w:rPr>
            </w:pPr>
            <w:r>
              <w:rPr>
                <w:sz w:val="20"/>
              </w:rPr>
              <w:t>"наль фон минден ГмбХ"</w:t>
            </w:r>
          </w:p>
        </w:tc>
        <w:tc>
          <w:tcPr>
            <w:tcW w:w="3508" w:type="dxa"/>
          </w:tcPr>
          <w:p>
            <w:pPr>
              <w:pStyle w:val="TableParagraph"/>
              <w:spacing w:before="86"/>
              <w:ind w:left="109" w:right="111"/>
              <w:rPr>
                <w:sz w:val="20"/>
              </w:rPr>
            </w:pPr>
            <w:r>
              <w:rPr>
                <w:sz w:val="20"/>
                <w:shd w:fill="F6F6F6" w:color="auto" w:val="clear"/>
              </w:rPr>
              <w:t>Германия, nal von minden GmbH, Carl-</w:t>
            </w:r>
            <w:r>
              <w:rPr>
                <w:sz w:val="20"/>
              </w:rPr>
              <w:t> </w:t>
            </w:r>
            <w:r>
              <w:rPr>
                <w:sz w:val="20"/>
                <w:shd w:fill="F6F6F6" w:color="auto" w:val="clear"/>
              </w:rPr>
              <w:t>Zeiss-Straße 12, 47445 Moers, Germany</w:t>
            </w:r>
          </w:p>
        </w:tc>
      </w:tr>
    </w:tbl>
    <w:p>
      <w:pPr>
        <w:rPr>
          <w:sz w:val="2"/>
          <w:szCs w:val="2"/>
        </w:rPr>
      </w:pPr>
      <w:r>
        <w:rPr/>
        <w:pict>
          <v:rect style="position:absolute;margin-left:174.119995pt;margin-top:75.599998pt;width:70.56pt;height:11.52pt;mso-position-horizontal-relative:page;mso-position-vertical-relative:page;z-index:-22266880" filled="true" fillcolor="#f6f6f6" stroked="false">
            <v:fill type="solid"/>
            <w10:wrap type="none"/>
          </v:rect>
        </w:pict>
      </w:r>
      <w:r>
        <w:rPr/>
        <w:pict>
          <v:rect style="position:absolute;margin-left:174.119995pt;margin-top:180.119995pt;width:68.040pt;height:11.52pt;mso-position-horizontal-relative:page;mso-position-vertical-relative:page;z-index:-22266368" filled="true" fillcolor="#f6f6f6" stroked="false">
            <v:fill type="solid"/>
            <w10:wrap type="none"/>
          </v:rect>
        </w:pict>
      </w:r>
    </w:p>
    <w:p>
      <w:pPr>
        <w:spacing w:after="0"/>
        <w:rPr>
          <w:sz w:val="2"/>
          <w:szCs w:val="2"/>
        </w:rPr>
        <w:sectPr>
          <w:pgSz w:w="16850" w:h="11920" w:orient="landscape"/>
          <w:pgMar w:header="0" w:footer="1110" w:top="1040" w:bottom="1300" w:left="880" w:right="360"/>
        </w:sectPr>
      </w:pPr>
    </w:p>
    <w:tbl>
      <w:tblPr>
        <w:tblW w:w="0" w:type="auto"/>
        <w:jc w:val="left"/>
        <w:tblInd w:w="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30"/>
        <w:gridCol w:w="1699"/>
        <w:gridCol w:w="1699"/>
        <w:gridCol w:w="5467"/>
        <w:gridCol w:w="2229"/>
        <w:gridCol w:w="3508"/>
      </w:tblGrid>
      <w:tr>
        <w:trPr>
          <w:trHeight w:val="921" w:hRule="atLeast"/>
        </w:trPr>
        <w:tc>
          <w:tcPr>
            <w:tcW w:w="530" w:type="dxa"/>
            <w:shd w:val="clear" w:color="auto" w:fill="F1F1F1"/>
          </w:tcPr>
          <w:p>
            <w:pPr>
              <w:pStyle w:val="TableParagraph"/>
              <w:spacing w:before="2"/>
              <w:rPr>
                <w:b/>
                <w:sz w:val="29"/>
              </w:rPr>
            </w:pPr>
          </w:p>
          <w:p>
            <w:pPr>
              <w:pStyle w:val="TableParagraph"/>
              <w:ind w:left="107"/>
              <w:rPr>
                <w:sz w:val="20"/>
              </w:rPr>
            </w:pPr>
            <w:r>
              <w:rPr>
                <w:sz w:val="20"/>
              </w:rPr>
              <w:t>24</w:t>
            </w:r>
          </w:p>
        </w:tc>
        <w:tc>
          <w:tcPr>
            <w:tcW w:w="1699" w:type="dxa"/>
            <w:shd w:val="clear" w:color="auto" w:fill="F1F1F1"/>
          </w:tcPr>
          <w:p>
            <w:pPr>
              <w:pStyle w:val="TableParagraph"/>
              <w:spacing w:before="7"/>
              <w:rPr>
                <w:b/>
                <w:sz w:val="28"/>
              </w:rPr>
            </w:pPr>
          </w:p>
          <w:p>
            <w:pPr>
              <w:pStyle w:val="TableParagraph"/>
              <w:ind w:left="115"/>
              <w:rPr>
                <w:sz w:val="20"/>
              </w:rPr>
            </w:pPr>
            <w:r>
              <w:rPr>
                <w:sz w:val="20"/>
              </w:rPr>
              <w:t>26.06.2020</w:t>
            </w:r>
          </w:p>
        </w:tc>
        <w:tc>
          <w:tcPr>
            <w:tcW w:w="1699" w:type="dxa"/>
            <w:shd w:val="clear" w:color="auto" w:fill="F6F6F6"/>
          </w:tcPr>
          <w:p>
            <w:pPr>
              <w:pStyle w:val="TableParagraph"/>
              <w:spacing w:before="2"/>
              <w:rPr>
                <w:b/>
                <w:sz w:val="29"/>
              </w:rPr>
            </w:pPr>
          </w:p>
          <w:p>
            <w:pPr>
              <w:pStyle w:val="TableParagraph"/>
              <w:ind w:left="80" w:right="188"/>
              <w:jc w:val="center"/>
              <w:rPr>
                <w:sz w:val="20"/>
              </w:rPr>
            </w:pPr>
            <w:r>
              <w:rPr>
                <w:sz w:val="20"/>
              </w:rPr>
              <w:t>РЗН 2020/11043</w:t>
            </w:r>
          </w:p>
        </w:tc>
        <w:tc>
          <w:tcPr>
            <w:tcW w:w="5467" w:type="dxa"/>
            <w:shd w:val="clear" w:color="auto" w:fill="F1F1F1"/>
          </w:tcPr>
          <w:p>
            <w:pPr>
              <w:pStyle w:val="TableParagraph"/>
              <w:spacing w:before="98"/>
              <w:ind w:left="118" w:right="200"/>
              <w:rPr>
                <w:sz w:val="20"/>
              </w:rPr>
            </w:pPr>
            <w:r>
              <w:rPr>
                <w:sz w:val="20"/>
              </w:rPr>
              <w:t>Экспресс-тест для качественной оценки наличия COVID-19 IgG/IgM (на основе коллоидного золота) в человеческой сыворотке/плазме/цельной крови</w:t>
            </w:r>
          </w:p>
        </w:tc>
        <w:tc>
          <w:tcPr>
            <w:tcW w:w="2229" w:type="dxa"/>
            <w:shd w:val="clear" w:color="auto" w:fill="F1F1F1"/>
          </w:tcPr>
          <w:p>
            <w:pPr>
              <w:pStyle w:val="TableParagraph"/>
              <w:spacing w:before="6"/>
              <w:rPr>
                <w:b/>
                <w:sz w:val="18"/>
              </w:rPr>
            </w:pPr>
          </w:p>
          <w:p>
            <w:pPr>
              <w:pStyle w:val="TableParagraph"/>
              <w:spacing w:before="1"/>
              <w:ind w:left="118" w:right="98"/>
              <w:rPr>
                <w:sz w:val="20"/>
              </w:rPr>
            </w:pPr>
            <w:r>
              <w:rPr>
                <w:sz w:val="20"/>
              </w:rPr>
              <w:t>"Эйч-Гард (Чайна) Ко., Лтд."</w:t>
            </w:r>
          </w:p>
        </w:tc>
        <w:tc>
          <w:tcPr>
            <w:tcW w:w="3508" w:type="dxa"/>
            <w:shd w:val="clear" w:color="auto" w:fill="F6F6F6"/>
          </w:tcPr>
          <w:p>
            <w:pPr>
              <w:pStyle w:val="TableParagraph"/>
              <w:ind w:left="109" w:right="53"/>
              <w:rPr>
                <w:sz w:val="20"/>
              </w:rPr>
            </w:pPr>
            <w:r>
              <w:rPr>
                <w:sz w:val="20"/>
              </w:rPr>
              <w:t>КНР, H-Guard (China) Co., Ltd., Room 604, 6th Floor, Building B1, No.14, Jinhui Rd., Pingshan, 518118, Shenzhen,</w:t>
            </w:r>
          </w:p>
          <w:p>
            <w:pPr>
              <w:pStyle w:val="TableParagraph"/>
              <w:spacing w:line="219" w:lineRule="exact"/>
              <w:ind w:left="109"/>
              <w:rPr>
                <w:sz w:val="20"/>
              </w:rPr>
            </w:pPr>
            <w:r>
              <w:rPr>
                <w:sz w:val="20"/>
              </w:rPr>
              <w:t>P.R. China</w:t>
            </w:r>
          </w:p>
        </w:tc>
      </w:tr>
      <w:tr>
        <w:trPr>
          <w:trHeight w:val="918" w:hRule="atLeast"/>
        </w:trPr>
        <w:tc>
          <w:tcPr>
            <w:tcW w:w="530" w:type="dxa"/>
          </w:tcPr>
          <w:p>
            <w:pPr>
              <w:pStyle w:val="TableParagraph"/>
              <w:rPr>
                <w:b/>
                <w:sz w:val="29"/>
              </w:rPr>
            </w:pPr>
          </w:p>
          <w:p>
            <w:pPr>
              <w:pStyle w:val="TableParagraph"/>
              <w:ind w:left="107"/>
              <w:rPr>
                <w:sz w:val="20"/>
              </w:rPr>
            </w:pPr>
            <w:r>
              <w:rPr>
                <w:sz w:val="20"/>
              </w:rPr>
              <w:t>25</w:t>
            </w:r>
          </w:p>
        </w:tc>
        <w:tc>
          <w:tcPr>
            <w:tcW w:w="1699" w:type="dxa"/>
          </w:tcPr>
          <w:p>
            <w:pPr>
              <w:pStyle w:val="TableParagraph"/>
              <w:spacing w:before="7"/>
              <w:rPr>
                <w:b/>
                <w:sz w:val="28"/>
              </w:rPr>
            </w:pPr>
          </w:p>
          <w:p>
            <w:pPr>
              <w:pStyle w:val="TableParagraph"/>
              <w:ind w:left="115"/>
              <w:rPr>
                <w:sz w:val="20"/>
              </w:rPr>
            </w:pPr>
            <w:r>
              <w:rPr>
                <w:sz w:val="20"/>
              </w:rPr>
              <w:t>26.06.2020</w:t>
            </w:r>
          </w:p>
        </w:tc>
        <w:tc>
          <w:tcPr>
            <w:tcW w:w="1699" w:type="dxa"/>
          </w:tcPr>
          <w:p>
            <w:pPr>
              <w:pStyle w:val="TableParagraph"/>
              <w:spacing w:before="7"/>
              <w:rPr>
                <w:b/>
                <w:sz w:val="28"/>
              </w:rPr>
            </w:pPr>
          </w:p>
          <w:p>
            <w:pPr>
              <w:pStyle w:val="TableParagraph"/>
              <w:ind w:left="89" w:right="178"/>
              <w:jc w:val="center"/>
              <w:rPr>
                <w:sz w:val="20"/>
              </w:rPr>
            </w:pPr>
            <w:r>
              <w:rPr>
                <w:sz w:val="20"/>
              </w:rPr>
              <w:t>РЗН 2020/11048</w:t>
            </w:r>
          </w:p>
        </w:tc>
        <w:tc>
          <w:tcPr>
            <w:tcW w:w="5467" w:type="dxa"/>
          </w:tcPr>
          <w:p>
            <w:pPr>
              <w:pStyle w:val="TableParagraph"/>
              <w:spacing w:before="98"/>
              <w:ind w:left="117" w:right="382"/>
              <w:rPr>
                <w:sz w:val="20"/>
              </w:rPr>
            </w:pPr>
            <w:r>
              <w:rPr>
                <w:sz w:val="20"/>
              </w:rPr>
              <w:t>Диагностический набор (экспресс-тест) для качественной оценки наличия 2019-nCOV/COVID-19 IgG/IgM в человеческой сыворотке/плазме/цельной крови</w:t>
            </w:r>
          </w:p>
        </w:tc>
        <w:tc>
          <w:tcPr>
            <w:tcW w:w="2229" w:type="dxa"/>
          </w:tcPr>
          <w:p>
            <w:pPr>
              <w:pStyle w:val="TableParagraph"/>
              <w:spacing w:before="99"/>
              <w:ind w:left="118" w:right="126"/>
              <w:rPr>
                <w:sz w:val="20"/>
              </w:rPr>
            </w:pPr>
            <w:r>
              <w:rPr>
                <w:sz w:val="20"/>
              </w:rPr>
              <w:t>"Шанхай Лиангран Биомедицина Технолоджи Ко., Лтд."</w:t>
            </w:r>
          </w:p>
        </w:tc>
        <w:tc>
          <w:tcPr>
            <w:tcW w:w="3508" w:type="dxa"/>
          </w:tcPr>
          <w:p>
            <w:pPr>
              <w:pStyle w:val="TableParagraph"/>
              <w:ind w:left="109" w:right="167"/>
              <w:jc w:val="both"/>
              <w:rPr>
                <w:sz w:val="20"/>
              </w:rPr>
            </w:pPr>
            <w:r>
              <w:rPr>
                <w:sz w:val="20"/>
                <w:shd w:fill="F6F6F6" w:color="auto" w:val="clear"/>
              </w:rPr>
              <w:t>Китай, Shanghai Liangrun</w:t>
            </w:r>
            <w:r>
              <w:rPr>
                <w:spacing w:val="-18"/>
                <w:sz w:val="20"/>
                <w:shd w:fill="F6F6F6" w:color="auto" w:val="clear"/>
              </w:rPr>
              <w:t> </w:t>
            </w:r>
            <w:r>
              <w:rPr>
                <w:sz w:val="20"/>
                <w:shd w:fill="F6F6F6" w:color="auto" w:val="clear"/>
              </w:rPr>
              <w:t>Biomedicine</w:t>
            </w:r>
            <w:r>
              <w:rPr>
                <w:sz w:val="20"/>
              </w:rPr>
              <w:t> </w:t>
            </w:r>
            <w:r>
              <w:rPr>
                <w:sz w:val="20"/>
                <w:shd w:fill="F6F6F6" w:color="auto" w:val="clear"/>
              </w:rPr>
              <w:t>Technology Со., Ltd., Level 4,</w:t>
            </w:r>
            <w:r>
              <w:rPr>
                <w:spacing w:val="-17"/>
                <w:sz w:val="20"/>
                <w:shd w:fill="F6F6F6" w:color="auto" w:val="clear"/>
              </w:rPr>
              <w:t> </w:t>
            </w:r>
            <w:r>
              <w:rPr>
                <w:sz w:val="20"/>
                <w:shd w:fill="F6F6F6" w:color="auto" w:val="clear"/>
              </w:rPr>
              <w:t>Building</w:t>
            </w:r>
            <w:r>
              <w:rPr>
                <w:sz w:val="20"/>
              </w:rPr>
              <w:t> </w:t>
            </w:r>
            <w:r>
              <w:rPr>
                <w:sz w:val="20"/>
                <w:shd w:fill="F6F6F6" w:color="auto" w:val="clear"/>
              </w:rPr>
              <w:t>1, No. 271 Gangʻao Road, Pilot</w:t>
            </w:r>
            <w:r>
              <w:rPr>
                <w:spacing w:val="-5"/>
                <w:sz w:val="20"/>
                <w:shd w:fill="F6F6F6" w:color="auto" w:val="clear"/>
              </w:rPr>
              <w:t> </w:t>
            </w:r>
            <w:r>
              <w:rPr>
                <w:sz w:val="20"/>
                <w:shd w:fill="F6F6F6" w:color="auto" w:val="clear"/>
              </w:rPr>
              <w:t>Free</w:t>
            </w:r>
          </w:p>
          <w:p>
            <w:pPr>
              <w:pStyle w:val="TableParagraph"/>
              <w:spacing w:line="218" w:lineRule="exact"/>
              <w:ind w:left="109"/>
              <w:jc w:val="both"/>
              <w:rPr>
                <w:sz w:val="20"/>
              </w:rPr>
            </w:pPr>
            <w:r>
              <w:rPr>
                <w:sz w:val="20"/>
                <w:shd w:fill="F6F6F6" w:color="auto" w:val="clear"/>
              </w:rPr>
              <w:t>Trade Zone, Shanghai, 200131, China</w:t>
            </w:r>
          </w:p>
        </w:tc>
      </w:tr>
      <w:tr>
        <w:trPr>
          <w:trHeight w:val="1163" w:hRule="atLeast"/>
        </w:trPr>
        <w:tc>
          <w:tcPr>
            <w:tcW w:w="530" w:type="dxa"/>
            <w:shd w:val="clear" w:color="auto" w:fill="F1F1F1"/>
          </w:tcPr>
          <w:p>
            <w:pPr>
              <w:pStyle w:val="TableParagraph"/>
              <w:rPr>
                <w:b/>
                <w:sz w:val="22"/>
              </w:rPr>
            </w:pPr>
          </w:p>
          <w:p>
            <w:pPr>
              <w:pStyle w:val="TableParagraph"/>
              <w:spacing w:before="10"/>
              <w:rPr>
                <w:b/>
                <w:sz w:val="17"/>
              </w:rPr>
            </w:pPr>
          </w:p>
          <w:p>
            <w:pPr>
              <w:pStyle w:val="TableParagraph"/>
              <w:ind w:left="107"/>
              <w:rPr>
                <w:sz w:val="20"/>
              </w:rPr>
            </w:pPr>
            <w:r>
              <w:rPr>
                <w:sz w:val="20"/>
              </w:rPr>
              <w:t>26</w:t>
            </w:r>
          </w:p>
        </w:tc>
        <w:tc>
          <w:tcPr>
            <w:tcW w:w="1699" w:type="dxa"/>
            <w:shd w:val="clear" w:color="auto" w:fill="F1F1F1"/>
          </w:tcPr>
          <w:p>
            <w:pPr>
              <w:pStyle w:val="TableParagraph"/>
              <w:rPr>
                <w:b/>
                <w:sz w:val="22"/>
              </w:rPr>
            </w:pPr>
          </w:p>
          <w:p>
            <w:pPr>
              <w:pStyle w:val="TableParagraph"/>
              <w:spacing w:before="3"/>
              <w:rPr>
                <w:b/>
                <w:sz w:val="17"/>
              </w:rPr>
            </w:pPr>
          </w:p>
          <w:p>
            <w:pPr>
              <w:pStyle w:val="TableParagraph"/>
              <w:ind w:left="115"/>
              <w:rPr>
                <w:sz w:val="20"/>
              </w:rPr>
            </w:pPr>
            <w:r>
              <w:rPr>
                <w:sz w:val="20"/>
              </w:rPr>
              <w:t>26.06.2020</w:t>
            </w:r>
          </w:p>
        </w:tc>
        <w:tc>
          <w:tcPr>
            <w:tcW w:w="1699" w:type="dxa"/>
            <w:shd w:val="clear" w:color="auto" w:fill="F1F1F1"/>
          </w:tcPr>
          <w:p>
            <w:pPr>
              <w:pStyle w:val="TableParagraph"/>
              <w:rPr>
                <w:b/>
                <w:sz w:val="22"/>
              </w:rPr>
            </w:pPr>
          </w:p>
          <w:p>
            <w:pPr>
              <w:pStyle w:val="TableParagraph"/>
              <w:spacing w:before="3"/>
              <w:rPr>
                <w:b/>
                <w:sz w:val="17"/>
              </w:rPr>
            </w:pPr>
          </w:p>
          <w:p>
            <w:pPr>
              <w:pStyle w:val="TableParagraph"/>
              <w:ind w:left="89" w:right="178"/>
              <w:jc w:val="center"/>
              <w:rPr>
                <w:sz w:val="20"/>
              </w:rPr>
            </w:pPr>
            <w:r>
              <w:rPr>
                <w:sz w:val="20"/>
              </w:rPr>
              <w:t>РЗН 2020/11074</w:t>
            </w:r>
          </w:p>
        </w:tc>
        <w:tc>
          <w:tcPr>
            <w:tcW w:w="5467" w:type="dxa"/>
            <w:shd w:val="clear" w:color="auto" w:fill="F1F1F1"/>
          </w:tcPr>
          <w:p>
            <w:pPr>
              <w:pStyle w:val="TableParagraph"/>
              <w:ind w:left="118" w:right="261"/>
              <w:rPr>
                <w:sz w:val="20"/>
              </w:rPr>
            </w:pPr>
            <w:r>
              <w:rPr>
                <w:sz w:val="20"/>
              </w:rPr>
              <w:t>Набор реагентов для выявления антител IgG/IgM вирусной инфекции COVID-19, вызываемой коронавирусом</w:t>
            </w:r>
          </w:p>
          <w:p>
            <w:pPr>
              <w:pStyle w:val="TableParagraph"/>
              <w:ind w:left="118" w:right="80"/>
              <w:rPr>
                <w:sz w:val="20"/>
              </w:rPr>
            </w:pPr>
            <w:r>
              <w:rPr>
                <w:sz w:val="20"/>
              </w:rPr>
              <w:t>SARS-CoV-2 методом иммунохроматографического анализа в сыворотке, плазме или цельной крови человека</w:t>
            </w:r>
          </w:p>
          <w:p>
            <w:pPr>
              <w:pStyle w:val="TableParagraph"/>
              <w:ind w:left="118"/>
              <w:rPr>
                <w:sz w:val="20"/>
              </w:rPr>
            </w:pPr>
            <w:r>
              <w:rPr>
                <w:sz w:val="20"/>
              </w:rPr>
              <w:t>"Экспресс-тест COVID-19 IgG/IgM"</w:t>
            </w:r>
          </w:p>
        </w:tc>
        <w:tc>
          <w:tcPr>
            <w:tcW w:w="2229" w:type="dxa"/>
            <w:shd w:val="clear" w:color="auto" w:fill="F1F1F1"/>
          </w:tcPr>
          <w:p>
            <w:pPr>
              <w:pStyle w:val="TableParagraph"/>
              <w:spacing w:before="2"/>
              <w:rPr>
                <w:b/>
                <w:sz w:val="29"/>
              </w:rPr>
            </w:pPr>
          </w:p>
          <w:p>
            <w:pPr>
              <w:pStyle w:val="TableParagraph"/>
              <w:ind w:left="118" w:right="439"/>
              <w:rPr>
                <w:sz w:val="20"/>
              </w:rPr>
            </w:pPr>
            <w:r>
              <w:rPr>
                <w:sz w:val="20"/>
              </w:rPr>
              <w:t>"Ханчжоу ОллТест Биотек Ко., Лтд."</w:t>
            </w:r>
          </w:p>
        </w:tc>
        <w:tc>
          <w:tcPr>
            <w:tcW w:w="3508" w:type="dxa"/>
            <w:shd w:val="clear" w:color="auto" w:fill="F6F6F6"/>
          </w:tcPr>
          <w:p>
            <w:pPr>
              <w:pStyle w:val="TableParagraph"/>
              <w:ind w:left="109" w:right="199"/>
              <w:rPr>
                <w:sz w:val="20"/>
              </w:rPr>
            </w:pPr>
            <w:r>
              <w:rPr>
                <w:sz w:val="20"/>
              </w:rPr>
              <w:t>Hangzhou AllTest Biotech Co., Ltd., 550#, Yinhai Street, Hangzhou Economic and Technological Development Area, 310018 Hangzhou,</w:t>
            </w:r>
          </w:p>
          <w:p>
            <w:pPr>
              <w:pStyle w:val="TableParagraph"/>
              <w:spacing w:line="226" w:lineRule="exact"/>
              <w:ind w:left="109"/>
              <w:rPr>
                <w:sz w:val="20"/>
              </w:rPr>
            </w:pPr>
            <w:r>
              <w:rPr>
                <w:sz w:val="20"/>
              </w:rPr>
              <w:t>P.R. China</w:t>
            </w:r>
          </w:p>
        </w:tc>
      </w:tr>
      <w:tr>
        <w:trPr>
          <w:trHeight w:val="705" w:hRule="atLeast"/>
        </w:trPr>
        <w:tc>
          <w:tcPr>
            <w:tcW w:w="530" w:type="dxa"/>
          </w:tcPr>
          <w:p>
            <w:pPr>
              <w:pStyle w:val="TableParagraph"/>
              <w:spacing w:before="9"/>
              <w:rPr>
                <w:b/>
                <w:sz w:val="19"/>
              </w:rPr>
            </w:pPr>
          </w:p>
          <w:p>
            <w:pPr>
              <w:pStyle w:val="TableParagraph"/>
              <w:ind w:left="107"/>
              <w:rPr>
                <w:sz w:val="20"/>
              </w:rPr>
            </w:pPr>
            <w:r>
              <w:rPr>
                <w:sz w:val="20"/>
              </w:rPr>
              <w:t>27</w:t>
            </w:r>
          </w:p>
        </w:tc>
        <w:tc>
          <w:tcPr>
            <w:tcW w:w="1699" w:type="dxa"/>
          </w:tcPr>
          <w:p>
            <w:pPr>
              <w:pStyle w:val="TableParagraph"/>
              <w:spacing w:before="2"/>
              <w:rPr>
                <w:b/>
                <w:sz w:val="19"/>
              </w:rPr>
            </w:pPr>
          </w:p>
          <w:p>
            <w:pPr>
              <w:pStyle w:val="TableParagraph"/>
              <w:ind w:left="115"/>
              <w:rPr>
                <w:sz w:val="20"/>
              </w:rPr>
            </w:pPr>
            <w:r>
              <w:rPr>
                <w:sz w:val="20"/>
              </w:rPr>
              <w:t>02.07.2020</w:t>
            </w:r>
          </w:p>
        </w:tc>
        <w:tc>
          <w:tcPr>
            <w:tcW w:w="1699" w:type="dxa"/>
          </w:tcPr>
          <w:p>
            <w:pPr>
              <w:pStyle w:val="TableParagraph"/>
              <w:spacing w:before="2"/>
              <w:rPr>
                <w:b/>
                <w:sz w:val="19"/>
              </w:rPr>
            </w:pPr>
          </w:p>
          <w:p>
            <w:pPr>
              <w:pStyle w:val="TableParagraph"/>
              <w:ind w:left="89" w:right="178"/>
              <w:jc w:val="center"/>
              <w:rPr>
                <w:sz w:val="20"/>
              </w:rPr>
            </w:pPr>
            <w:r>
              <w:rPr>
                <w:sz w:val="20"/>
              </w:rPr>
              <w:t>РЗН 2020/11132</w:t>
            </w:r>
          </w:p>
        </w:tc>
        <w:tc>
          <w:tcPr>
            <w:tcW w:w="5467" w:type="dxa"/>
          </w:tcPr>
          <w:p>
            <w:pPr>
              <w:pStyle w:val="TableParagraph"/>
              <w:ind w:left="118" w:right="341"/>
              <w:rPr>
                <w:sz w:val="20"/>
              </w:rPr>
            </w:pPr>
            <w:r>
              <w:rPr>
                <w:sz w:val="20"/>
              </w:rPr>
              <w:t>Экспресс-тест НАДАЛ® иммунохроматографический для обнаружения антител IgG/IgM к коронавирусу Covid-19</w:t>
            </w:r>
          </w:p>
          <w:p>
            <w:pPr>
              <w:pStyle w:val="TableParagraph"/>
              <w:ind w:left="118"/>
              <w:rPr>
                <w:sz w:val="20"/>
              </w:rPr>
            </w:pPr>
            <w:r>
              <w:rPr>
                <w:sz w:val="20"/>
              </w:rPr>
              <w:t>с буферным раствором и пипеткой</w:t>
            </w:r>
          </w:p>
        </w:tc>
        <w:tc>
          <w:tcPr>
            <w:tcW w:w="2229" w:type="dxa"/>
          </w:tcPr>
          <w:p>
            <w:pPr>
              <w:pStyle w:val="TableParagraph"/>
              <w:spacing w:before="106"/>
              <w:ind w:left="118" w:right="664"/>
              <w:rPr>
                <w:sz w:val="20"/>
              </w:rPr>
            </w:pPr>
            <w:r>
              <w:rPr>
                <w:sz w:val="20"/>
              </w:rPr>
              <w:t>"нал вон минден ГмбХ"</w:t>
            </w:r>
          </w:p>
        </w:tc>
        <w:tc>
          <w:tcPr>
            <w:tcW w:w="3508" w:type="dxa"/>
          </w:tcPr>
          <w:p>
            <w:pPr>
              <w:pStyle w:val="TableParagraph"/>
              <w:ind w:left="109" w:right="121"/>
              <w:rPr>
                <w:sz w:val="20"/>
              </w:rPr>
            </w:pPr>
            <w:r>
              <w:rPr>
                <w:sz w:val="20"/>
                <w:shd w:fill="F6F6F6" w:color="auto" w:val="clear"/>
              </w:rPr>
              <w:t>Германия, Дальнее зарубежье, nal von</w:t>
            </w:r>
            <w:r>
              <w:rPr>
                <w:sz w:val="20"/>
              </w:rPr>
              <w:t> </w:t>
            </w:r>
            <w:r>
              <w:rPr>
                <w:sz w:val="20"/>
                <w:shd w:fill="F6F6F6" w:color="auto" w:val="clear"/>
              </w:rPr>
              <w:t>minden GmbH, Carl-Zeiss-Str. 12,</w:t>
            </w:r>
            <w:r>
              <w:rPr>
                <w:sz w:val="20"/>
              </w:rPr>
              <w:t> </w:t>
            </w:r>
            <w:r>
              <w:rPr>
                <w:sz w:val="20"/>
                <w:shd w:fill="F6F6F6" w:color="auto" w:val="clear"/>
              </w:rPr>
              <w:t>47445 Moers, Germany</w:t>
            </w:r>
          </w:p>
        </w:tc>
      </w:tr>
      <w:tr>
        <w:trPr>
          <w:trHeight w:val="1622" w:hRule="atLeast"/>
        </w:trPr>
        <w:tc>
          <w:tcPr>
            <w:tcW w:w="530" w:type="dxa"/>
            <w:shd w:val="clear" w:color="auto" w:fill="F1F1F1"/>
          </w:tcPr>
          <w:p>
            <w:pPr>
              <w:pStyle w:val="TableParagraph"/>
              <w:rPr>
                <w:b/>
                <w:sz w:val="22"/>
              </w:rPr>
            </w:pPr>
          </w:p>
          <w:p>
            <w:pPr>
              <w:pStyle w:val="TableParagraph"/>
              <w:rPr>
                <w:b/>
                <w:sz w:val="22"/>
              </w:rPr>
            </w:pPr>
          </w:p>
          <w:p>
            <w:pPr>
              <w:pStyle w:val="TableParagraph"/>
              <w:spacing w:before="180"/>
              <w:ind w:left="107"/>
              <w:rPr>
                <w:sz w:val="20"/>
              </w:rPr>
            </w:pPr>
            <w:r>
              <w:rPr>
                <w:sz w:val="20"/>
              </w:rPr>
              <w:t>28</w:t>
            </w:r>
          </w:p>
        </w:tc>
        <w:tc>
          <w:tcPr>
            <w:tcW w:w="1699" w:type="dxa"/>
            <w:shd w:val="clear" w:color="auto" w:fill="F1F1F1"/>
          </w:tcPr>
          <w:p>
            <w:pPr>
              <w:pStyle w:val="TableParagraph"/>
              <w:rPr>
                <w:b/>
                <w:sz w:val="22"/>
              </w:rPr>
            </w:pPr>
          </w:p>
          <w:p>
            <w:pPr>
              <w:pStyle w:val="TableParagraph"/>
              <w:rPr>
                <w:b/>
                <w:sz w:val="22"/>
              </w:rPr>
            </w:pPr>
          </w:p>
          <w:p>
            <w:pPr>
              <w:pStyle w:val="TableParagraph"/>
              <w:spacing w:before="166"/>
              <w:ind w:left="115"/>
              <w:rPr>
                <w:sz w:val="20"/>
              </w:rPr>
            </w:pPr>
            <w:r>
              <w:rPr>
                <w:sz w:val="20"/>
              </w:rPr>
              <w:t>06.07.2020</w:t>
            </w:r>
          </w:p>
        </w:tc>
        <w:tc>
          <w:tcPr>
            <w:tcW w:w="1699" w:type="dxa"/>
            <w:shd w:val="clear" w:color="auto" w:fill="F1F1F1"/>
          </w:tcPr>
          <w:p>
            <w:pPr>
              <w:pStyle w:val="TableParagraph"/>
              <w:rPr>
                <w:b/>
                <w:sz w:val="22"/>
              </w:rPr>
            </w:pPr>
          </w:p>
          <w:p>
            <w:pPr>
              <w:pStyle w:val="TableParagraph"/>
              <w:rPr>
                <w:b/>
                <w:sz w:val="22"/>
              </w:rPr>
            </w:pPr>
          </w:p>
          <w:p>
            <w:pPr>
              <w:pStyle w:val="TableParagraph"/>
              <w:spacing w:before="173"/>
              <w:ind w:left="89" w:right="178"/>
              <w:jc w:val="center"/>
              <w:rPr>
                <w:sz w:val="20"/>
              </w:rPr>
            </w:pPr>
            <w:r>
              <w:rPr>
                <w:sz w:val="20"/>
              </w:rPr>
              <w:t>РЗН 2020/11182</w:t>
            </w:r>
          </w:p>
        </w:tc>
        <w:tc>
          <w:tcPr>
            <w:tcW w:w="5467" w:type="dxa"/>
            <w:shd w:val="clear" w:color="auto" w:fill="F1F1F1"/>
          </w:tcPr>
          <w:p>
            <w:pPr>
              <w:pStyle w:val="TableParagraph"/>
              <w:rPr>
                <w:b/>
                <w:sz w:val="22"/>
              </w:rPr>
            </w:pPr>
          </w:p>
          <w:p>
            <w:pPr>
              <w:pStyle w:val="TableParagraph"/>
              <w:spacing w:before="196"/>
              <w:ind w:left="118" w:right="199"/>
              <w:rPr>
                <w:sz w:val="20"/>
              </w:rPr>
            </w:pPr>
            <w:r>
              <w:rPr>
                <w:sz w:val="20"/>
              </w:rPr>
              <w:t>Набор реагентов экспресс-теста DIAQUICK COVID-19 IgG/IgM (цельная венозная и капиллярная кровь, сыворотка и плазма)</w:t>
            </w:r>
          </w:p>
        </w:tc>
        <w:tc>
          <w:tcPr>
            <w:tcW w:w="2229" w:type="dxa"/>
            <w:shd w:val="clear" w:color="auto" w:fill="F1F1F1"/>
          </w:tcPr>
          <w:p>
            <w:pPr>
              <w:pStyle w:val="TableParagraph"/>
              <w:spacing w:line="221" w:lineRule="exact"/>
              <w:ind w:left="118"/>
              <w:rPr>
                <w:sz w:val="20"/>
              </w:rPr>
            </w:pPr>
            <w:r>
              <w:rPr>
                <w:sz w:val="20"/>
              </w:rPr>
              <w:t>"ДИАЛАБ</w:t>
            </w:r>
          </w:p>
          <w:p>
            <w:pPr>
              <w:pStyle w:val="TableParagraph"/>
              <w:ind w:left="118" w:right="258"/>
              <w:rPr>
                <w:sz w:val="20"/>
              </w:rPr>
            </w:pPr>
            <w:r>
              <w:rPr>
                <w:sz w:val="20"/>
              </w:rPr>
              <w:t>Продукцион унд Фертриб фон хемиш- технишен Продуктен унд Лаборинструментен ГмбХ"</w:t>
            </w:r>
          </w:p>
        </w:tc>
        <w:tc>
          <w:tcPr>
            <w:tcW w:w="3508" w:type="dxa"/>
            <w:shd w:val="clear" w:color="auto" w:fill="F6F6F6"/>
          </w:tcPr>
          <w:p>
            <w:pPr>
              <w:pStyle w:val="TableParagraph"/>
              <w:spacing w:before="113"/>
              <w:ind w:left="109" w:right="536"/>
              <w:rPr>
                <w:sz w:val="20"/>
              </w:rPr>
            </w:pPr>
            <w:r>
              <w:rPr>
                <w:sz w:val="20"/>
              </w:rPr>
              <w:t>Австрия, Dialab Produktion und Vertrieb von chemisch-technischen Produkten und Laborinstrumenten Gesellschaft m.b.H, IZ-NOE Sued, Hondastrasse, Objekt M55 2351 Wr.Neudorf, Austria</w:t>
            </w:r>
          </w:p>
        </w:tc>
      </w:tr>
      <w:tr>
        <w:trPr>
          <w:trHeight w:val="1381" w:hRule="atLeast"/>
        </w:trPr>
        <w:tc>
          <w:tcPr>
            <w:tcW w:w="530" w:type="dxa"/>
          </w:tcPr>
          <w:p>
            <w:pPr>
              <w:pStyle w:val="TableParagraph"/>
              <w:rPr>
                <w:b/>
                <w:sz w:val="22"/>
              </w:rPr>
            </w:pPr>
          </w:p>
          <w:p>
            <w:pPr>
              <w:pStyle w:val="TableParagraph"/>
              <w:spacing w:before="3"/>
              <w:rPr>
                <w:b/>
                <w:sz w:val="27"/>
              </w:rPr>
            </w:pPr>
          </w:p>
          <w:p>
            <w:pPr>
              <w:pStyle w:val="TableParagraph"/>
              <w:ind w:left="107"/>
              <w:rPr>
                <w:sz w:val="20"/>
              </w:rPr>
            </w:pPr>
            <w:r>
              <w:rPr>
                <w:sz w:val="20"/>
              </w:rPr>
              <w:t>29</w:t>
            </w:r>
          </w:p>
        </w:tc>
        <w:tc>
          <w:tcPr>
            <w:tcW w:w="1699" w:type="dxa"/>
          </w:tcPr>
          <w:p>
            <w:pPr>
              <w:pStyle w:val="TableParagraph"/>
              <w:rPr>
                <w:b/>
                <w:sz w:val="22"/>
              </w:rPr>
            </w:pPr>
          </w:p>
          <w:p>
            <w:pPr>
              <w:pStyle w:val="TableParagraph"/>
              <w:rPr>
                <w:b/>
                <w:sz w:val="26"/>
              </w:rPr>
            </w:pPr>
          </w:p>
          <w:p>
            <w:pPr>
              <w:pStyle w:val="TableParagraph"/>
              <w:ind w:left="115"/>
              <w:rPr>
                <w:sz w:val="20"/>
              </w:rPr>
            </w:pPr>
            <w:r>
              <w:rPr>
                <w:sz w:val="20"/>
              </w:rPr>
              <w:t>03.07.2020</w:t>
            </w:r>
          </w:p>
        </w:tc>
        <w:tc>
          <w:tcPr>
            <w:tcW w:w="1699" w:type="dxa"/>
          </w:tcPr>
          <w:p>
            <w:pPr>
              <w:pStyle w:val="TableParagraph"/>
              <w:rPr>
                <w:b/>
                <w:sz w:val="22"/>
              </w:rPr>
            </w:pPr>
          </w:p>
          <w:p>
            <w:pPr>
              <w:pStyle w:val="TableParagraph"/>
              <w:spacing w:before="7"/>
              <w:rPr>
                <w:b/>
                <w:sz w:val="26"/>
              </w:rPr>
            </w:pPr>
          </w:p>
          <w:p>
            <w:pPr>
              <w:pStyle w:val="TableParagraph"/>
              <w:ind w:left="89" w:right="178"/>
              <w:jc w:val="center"/>
              <w:rPr>
                <w:sz w:val="20"/>
              </w:rPr>
            </w:pPr>
            <w:r>
              <w:rPr>
                <w:sz w:val="20"/>
              </w:rPr>
              <w:t>РЗН 2020/11189</w:t>
            </w:r>
          </w:p>
        </w:tc>
        <w:tc>
          <w:tcPr>
            <w:tcW w:w="5467" w:type="dxa"/>
          </w:tcPr>
          <w:p>
            <w:pPr>
              <w:pStyle w:val="TableParagraph"/>
              <w:spacing w:before="7"/>
              <w:rPr>
                <w:b/>
                <w:sz w:val="28"/>
              </w:rPr>
            </w:pPr>
          </w:p>
          <w:p>
            <w:pPr>
              <w:pStyle w:val="TableParagraph"/>
              <w:ind w:left="118" w:right="353"/>
              <w:rPr>
                <w:sz w:val="20"/>
              </w:rPr>
            </w:pPr>
            <w:r>
              <w:rPr>
                <w:sz w:val="20"/>
              </w:rPr>
              <w:t>Набор реагентов экспресс-теста для обнаружения антител IgG и IgM к коронавирусу COVID-19 (2019-nCov) Green Spring</w:t>
            </w:r>
          </w:p>
        </w:tc>
        <w:tc>
          <w:tcPr>
            <w:tcW w:w="2229" w:type="dxa"/>
          </w:tcPr>
          <w:p>
            <w:pPr>
              <w:pStyle w:val="TableParagraph"/>
              <w:spacing w:before="6"/>
              <w:rPr>
                <w:b/>
                <w:sz w:val="18"/>
              </w:rPr>
            </w:pPr>
          </w:p>
          <w:p>
            <w:pPr>
              <w:pStyle w:val="TableParagraph"/>
              <w:spacing w:before="1"/>
              <w:ind w:left="118" w:right="348"/>
              <w:rPr>
                <w:sz w:val="20"/>
              </w:rPr>
            </w:pPr>
            <w:r>
              <w:rPr>
                <w:sz w:val="20"/>
              </w:rPr>
              <w:t>"Шэньчжэнь Лвшиюань Биотекнолоджи Ко., Лтд."</w:t>
            </w:r>
          </w:p>
        </w:tc>
        <w:tc>
          <w:tcPr>
            <w:tcW w:w="3508" w:type="dxa"/>
          </w:tcPr>
          <w:p>
            <w:pPr>
              <w:pStyle w:val="TableParagraph"/>
              <w:ind w:left="109" w:right="119" w:firstLine="50"/>
              <w:rPr>
                <w:sz w:val="20"/>
              </w:rPr>
            </w:pPr>
            <w:r>
              <w:rPr>
                <w:sz w:val="20"/>
                <w:shd w:fill="F6F6F6" w:color="auto" w:val="clear"/>
              </w:rPr>
              <w:t>Китай, Shenzhen Lvshiyuan</w:t>
            </w:r>
            <w:r>
              <w:rPr>
                <w:sz w:val="20"/>
              </w:rPr>
              <w:t> </w:t>
            </w:r>
            <w:r>
              <w:rPr>
                <w:sz w:val="20"/>
                <w:shd w:fill="F6F6F6" w:color="auto" w:val="clear"/>
              </w:rPr>
              <w:t>Biotechnology Co., Ltd, 101, 201, 301,</w:t>
            </w:r>
            <w:r>
              <w:rPr>
                <w:sz w:val="20"/>
              </w:rPr>
              <w:t> </w:t>
            </w:r>
            <w:r>
              <w:rPr>
                <w:sz w:val="20"/>
                <w:shd w:fill="F6F6F6" w:color="auto" w:val="clear"/>
              </w:rPr>
              <w:t>D Building No. 2 Industrial Avenue,</w:t>
            </w:r>
            <w:r>
              <w:rPr>
                <w:sz w:val="20"/>
              </w:rPr>
              <w:t> </w:t>
            </w:r>
            <w:r>
              <w:rPr>
                <w:sz w:val="20"/>
                <w:shd w:fill="F6F6F6" w:color="auto" w:val="clear"/>
              </w:rPr>
              <w:t>Buxin Village, Buxin Community,</w:t>
            </w:r>
            <w:r>
              <w:rPr>
                <w:sz w:val="20"/>
              </w:rPr>
              <w:t> </w:t>
            </w:r>
            <w:r>
              <w:rPr>
                <w:sz w:val="20"/>
                <w:shd w:fill="F6F6F6" w:color="auto" w:val="clear"/>
              </w:rPr>
              <w:t>Dapeng Subdistrict Office, Dapeng New</w:t>
            </w:r>
          </w:p>
          <w:p>
            <w:pPr>
              <w:pStyle w:val="TableParagraph"/>
              <w:spacing w:line="219" w:lineRule="exact"/>
              <w:ind w:left="109"/>
              <w:rPr>
                <w:sz w:val="20"/>
              </w:rPr>
            </w:pPr>
            <w:r>
              <w:rPr>
                <w:sz w:val="20"/>
                <w:shd w:fill="F6F6F6" w:color="auto" w:val="clear"/>
              </w:rPr>
              <w:t>District, Shenzhen, 518120, China</w:t>
            </w:r>
          </w:p>
        </w:tc>
      </w:tr>
      <w:tr>
        <w:trPr>
          <w:trHeight w:val="1379" w:hRule="atLeast"/>
        </w:trPr>
        <w:tc>
          <w:tcPr>
            <w:tcW w:w="530" w:type="dxa"/>
            <w:shd w:val="clear" w:color="auto" w:fill="F1F1F1"/>
          </w:tcPr>
          <w:p>
            <w:pPr>
              <w:pStyle w:val="TableParagraph"/>
              <w:rPr>
                <w:b/>
                <w:sz w:val="22"/>
              </w:rPr>
            </w:pPr>
          </w:p>
          <w:p>
            <w:pPr>
              <w:pStyle w:val="TableParagraph"/>
              <w:rPr>
                <w:b/>
                <w:sz w:val="27"/>
              </w:rPr>
            </w:pPr>
          </w:p>
          <w:p>
            <w:pPr>
              <w:pStyle w:val="TableParagraph"/>
              <w:spacing w:before="1"/>
              <w:ind w:left="107"/>
              <w:rPr>
                <w:sz w:val="20"/>
              </w:rPr>
            </w:pPr>
            <w:r>
              <w:rPr>
                <w:sz w:val="20"/>
              </w:rPr>
              <w:t>30</w:t>
            </w:r>
          </w:p>
        </w:tc>
        <w:tc>
          <w:tcPr>
            <w:tcW w:w="1699" w:type="dxa"/>
            <w:shd w:val="clear" w:color="auto" w:fill="F1F1F1"/>
          </w:tcPr>
          <w:p>
            <w:pPr>
              <w:pStyle w:val="TableParagraph"/>
              <w:rPr>
                <w:b/>
                <w:sz w:val="22"/>
              </w:rPr>
            </w:pPr>
          </w:p>
          <w:p>
            <w:pPr>
              <w:pStyle w:val="TableParagraph"/>
              <w:spacing w:before="5"/>
              <w:rPr>
                <w:b/>
                <w:sz w:val="26"/>
              </w:rPr>
            </w:pPr>
          </w:p>
          <w:p>
            <w:pPr>
              <w:pStyle w:val="TableParagraph"/>
              <w:ind w:left="115"/>
              <w:rPr>
                <w:sz w:val="20"/>
              </w:rPr>
            </w:pPr>
            <w:r>
              <w:rPr>
                <w:sz w:val="20"/>
              </w:rPr>
              <w:t>07.07.2020</w:t>
            </w:r>
          </w:p>
        </w:tc>
        <w:tc>
          <w:tcPr>
            <w:tcW w:w="1699" w:type="dxa"/>
            <w:shd w:val="clear" w:color="auto" w:fill="F1F1F1"/>
          </w:tcPr>
          <w:p>
            <w:pPr>
              <w:pStyle w:val="TableParagraph"/>
              <w:rPr>
                <w:b/>
                <w:sz w:val="22"/>
              </w:rPr>
            </w:pPr>
          </w:p>
          <w:p>
            <w:pPr>
              <w:pStyle w:val="TableParagraph"/>
              <w:spacing w:before="5"/>
              <w:rPr>
                <w:b/>
                <w:sz w:val="26"/>
              </w:rPr>
            </w:pPr>
          </w:p>
          <w:p>
            <w:pPr>
              <w:pStyle w:val="TableParagraph"/>
              <w:ind w:left="89" w:right="178"/>
              <w:jc w:val="center"/>
              <w:rPr>
                <w:sz w:val="20"/>
              </w:rPr>
            </w:pPr>
            <w:r>
              <w:rPr>
                <w:sz w:val="20"/>
              </w:rPr>
              <w:t>РЗН 2020/11209</w:t>
            </w:r>
          </w:p>
        </w:tc>
        <w:tc>
          <w:tcPr>
            <w:tcW w:w="5467" w:type="dxa"/>
            <w:shd w:val="clear" w:color="auto" w:fill="F1F1F1"/>
          </w:tcPr>
          <w:p>
            <w:pPr>
              <w:pStyle w:val="TableParagraph"/>
              <w:spacing w:before="4"/>
              <w:rPr>
                <w:b/>
                <w:sz w:val="18"/>
              </w:rPr>
            </w:pPr>
          </w:p>
          <w:p>
            <w:pPr>
              <w:pStyle w:val="TableParagraph"/>
              <w:ind w:left="118" w:right="95"/>
              <w:rPr>
                <w:sz w:val="20"/>
              </w:rPr>
            </w:pPr>
            <w:r>
              <w:rPr>
                <w:sz w:val="20"/>
              </w:rPr>
              <w:t>Набор реагентов экспресс-теста иммунохроматографического для обнаружения антител IgG и IgM к коронавирусу 2019-nCoV (STANDARD Q COVID-19 IgM/IgG Combo)</w:t>
            </w:r>
          </w:p>
        </w:tc>
        <w:tc>
          <w:tcPr>
            <w:tcW w:w="2229" w:type="dxa"/>
            <w:shd w:val="clear" w:color="auto" w:fill="F1F1F1"/>
          </w:tcPr>
          <w:p>
            <w:pPr>
              <w:pStyle w:val="TableParagraph"/>
              <w:rPr>
                <w:b/>
                <w:sz w:val="22"/>
              </w:rPr>
            </w:pPr>
          </w:p>
          <w:p>
            <w:pPr>
              <w:pStyle w:val="TableParagraph"/>
              <w:spacing w:before="5"/>
              <w:rPr>
                <w:b/>
                <w:sz w:val="26"/>
              </w:rPr>
            </w:pPr>
          </w:p>
          <w:p>
            <w:pPr>
              <w:pStyle w:val="TableParagraph"/>
              <w:ind w:left="118"/>
              <w:rPr>
                <w:sz w:val="20"/>
              </w:rPr>
            </w:pPr>
            <w:r>
              <w:rPr>
                <w:sz w:val="20"/>
              </w:rPr>
              <w:t>"СД Биосенсор Инк."</w:t>
            </w:r>
          </w:p>
        </w:tc>
        <w:tc>
          <w:tcPr>
            <w:tcW w:w="3508" w:type="dxa"/>
            <w:shd w:val="clear" w:color="auto" w:fill="F6F6F6"/>
          </w:tcPr>
          <w:p>
            <w:pPr>
              <w:pStyle w:val="TableParagraph"/>
              <w:ind w:left="109" w:right="218"/>
              <w:rPr>
                <w:sz w:val="20"/>
              </w:rPr>
            </w:pPr>
            <w:r>
              <w:rPr>
                <w:sz w:val="20"/>
              </w:rPr>
              <w:t>Республика Корея, Дальнее зарубежье, SD Biosensor Inc.,Digital Empire Building, C-4th&amp;5th floor, 16, Deogyeong-daero 1556beon-gil, Yeongtong-gu, Suwon-si, Gyeonggi-do</w:t>
            </w:r>
          </w:p>
          <w:p>
            <w:pPr>
              <w:pStyle w:val="TableParagraph"/>
              <w:spacing w:line="219" w:lineRule="exact"/>
              <w:ind w:left="109"/>
              <w:rPr>
                <w:sz w:val="20"/>
              </w:rPr>
            </w:pPr>
            <w:r>
              <w:rPr>
                <w:sz w:val="20"/>
              </w:rPr>
              <w:t>443-813, Republic of Korea</w:t>
            </w:r>
          </w:p>
        </w:tc>
      </w:tr>
      <w:tr>
        <w:trPr>
          <w:trHeight w:val="1149" w:hRule="atLeast"/>
        </w:trPr>
        <w:tc>
          <w:tcPr>
            <w:tcW w:w="530" w:type="dxa"/>
          </w:tcPr>
          <w:p>
            <w:pPr>
              <w:pStyle w:val="TableParagraph"/>
              <w:rPr>
                <w:b/>
                <w:sz w:val="22"/>
              </w:rPr>
            </w:pPr>
          </w:p>
          <w:p>
            <w:pPr>
              <w:pStyle w:val="TableParagraph"/>
              <w:spacing w:before="196"/>
              <w:ind w:left="107"/>
              <w:rPr>
                <w:sz w:val="20"/>
              </w:rPr>
            </w:pPr>
            <w:r>
              <w:rPr>
                <w:sz w:val="20"/>
              </w:rPr>
              <w:t>31</w:t>
            </w:r>
          </w:p>
        </w:tc>
        <w:tc>
          <w:tcPr>
            <w:tcW w:w="1699" w:type="dxa"/>
          </w:tcPr>
          <w:p>
            <w:pPr>
              <w:pStyle w:val="TableParagraph"/>
              <w:rPr>
                <w:b/>
                <w:sz w:val="22"/>
              </w:rPr>
            </w:pPr>
          </w:p>
          <w:p>
            <w:pPr>
              <w:pStyle w:val="TableParagraph"/>
              <w:spacing w:before="191"/>
              <w:ind w:left="115"/>
              <w:rPr>
                <w:sz w:val="20"/>
              </w:rPr>
            </w:pPr>
            <w:r>
              <w:rPr>
                <w:sz w:val="20"/>
              </w:rPr>
              <w:t>08.07.2020</w:t>
            </w:r>
          </w:p>
        </w:tc>
        <w:tc>
          <w:tcPr>
            <w:tcW w:w="1699" w:type="dxa"/>
          </w:tcPr>
          <w:p>
            <w:pPr>
              <w:pStyle w:val="TableParagraph"/>
              <w:rPr>
                <w:b/>
                <w:sz w:val="22"/>
              </w:rPr>
            </w:pPr>
          </w:p>
          <w:p>
            <w:pPr>
              <w:pStyle w:val="TableParagraph"/>
              <w:spacing w:before="191"/>
              <w:ind w:left="89" w:right="178"/>
              <w:jc w:val="center"/>
              <w:rPr>
                <w:sz w:val="20"/>
              </w:rPr>
            </w:pPr>
            <w:r>
              <w:rPr>
                <w:sz w:val="20"/>
              </w:rPr>
              <w:t>РЗН 2020/11235</w:t>
            </w:r>
          </w:p>
        </w:tc>
        <w:tc>
          <w:tcPr>
            <w:tcW w:w="5467" w:type="dxa"/>
          </w:tcPr>
          <w:p>
            <w:pPr>
              <w:pStyle w:val="TableParagraph"/>
              <w:spacing w:before="6"/>
              <w:rPr>
                <w:b/>
                <w:sz w:val="18"/>
              </w:rPr>
            </w:pPr>
          </w:p>
          <w:p>
            <w:pPr>
              <w:pStyle w:val="TableParagraph"/>
              <w:spacing w:before="1"/>
              <w:ind w:left="117" w:right="1171"/>
              <w:rPr>
                <w:sz w:val="20"/>
              </w:rPr>
            </w:pPr>
            <w:r>
              <w:rPr>
                <w:sz w:val="20"/>
              </w:rPr>
              <w:t>Экспресс-тест для качественной оценки наличия 2019-nCOV/COVID-19 IgG/IgM в человеческой сыворотке/плазме/цельной крови</w:t>
            </w:r>
          </w:p>
        </w:tc>
        <w:tc>
          <w:tcPr>
            <w:tcW w:w="2229" w:type="dxa"/>
          </w:tcPr>
          <w:p>
            <w:pPr>
              <w:pStyle w:val="TableParagraph"/>
              <w:spacing w:before="7"/>
              <w:rPr>
                <w:b/>
                <w:sz w:val="28"/>
              </w:rPr>
            </w:pPr>
          </w:p>
          <w:p>
            <w:pPr>
              <w:pStyle w:val="TableParagraph"/>
              <w:ind w:left="118" w:right="331"/>
              <w:rPr>
                <w:sz w:val="20"/>
              </w:rPr>
            </w:pPr>
            <w:r>
              <w:rPr>
                <w:sz w:val="20"/>
              </w:rPr>
              <w:t>"Хангжоу Реали Теч Со.. Лтд."</w:t>
            </w:r>
          </w:p>
        </w:tc>
        <w:tc>
          <w:tcPr>
            <w:tcW w:w="3508" w:type="dxa"/>
          </w:tcPr>
          <w:p>
            <w:pPr>
              <w:pStyle w:val="TableParagraph"/>
              <w:ind w:left="109" w:right="146"/>
              <w:rPr>
                <w:sz w:val="20"/>
              </w:rPr>
            </w:pPr>
            <w:r>
              <w:rPr>
                <w:sz w:val="20"/>
                <w:shd w:fill="F6F6F6" w:color="auto" w:val="clear"/>
              </w:rPr>
              <w:t>Китай, Hangzhou Realy Tech Со., Ltd.,</w:t>
            </w:r>
            <w:r>
              <w:rPr>
                <w:sz w:val="20"/>
              </w:rPr>
              <w:t> </w:t>
            </w:r>
            <w:r>
              <w:rPr>
                <w:sz w:val="20"/>
                <w:shd w:fill="F6F6F6" w:color="auto" w:val="clear"/>
              </w:rPr>
              <w:t>4th Floor, #12 Building, Eastern</w:t>
            </w:r>
            <w:r>
              <w:rPr>
                <w:sz w:val="20"/>
              </w:rPr>
              <w:t> </w:t>
            </w:r>
            <w:r>
              <w:rPr>
                <w:sz w:val="20"/>
                <w:shd w:fill="F6F6F6" w:color="auto" w:val="clear"/>
              </w:rPr>
              <w:t>Medicine Town, Xiasha</w:t>
            </w:r>
            <w:r>
              <w:rPr>
                <w:sz w:val="20"/>
              </w:rPr>
              <w:t> </w:t>
            </w:r>
            <w:r>
              <w:rPr>
                <w:sz w:val="20"/>
                <w:shd w:fill="F6F6F6" w:color="auto" w:val="clear"/>
              </w:rPr>
              <w:t>Economic&amp;Technology Development,</w:t>
            </w:r>
          </w:p>
          <w:p>
            <w:pPr>
              <w:pStyle w:val="TableParagraph"/>
              <w:spacing w:line="219" w:lineRule="exact"/>
              <w:ind w:left="109"/>
              <w:rPr>
                <w:sz w:val="20"/>
              </w:rPr>
            </w:pPr>
            <w:r>
              <w:rPr>
                <w:sz w:val="20"/>
                <w:shd w:fill="F6F6F6" w:color="auto" w:val="clear"/>
              </w:rPr>
              <w:t>310018 Hangzhou, Zhejiang, P.R. China</w:t>
            </w:r>
          </w:p>
        </w:tc>
      </w:tr>
    </w:tbl>
    <w:p>
      <w:pPr>
        <w:spacing w:after="0" w:line="219" w:lineRule="exact"/>
        <w:rPr>
          <w:sz w:val="20"/>
        </w:rPr>
        <w:sectPr>
          <w:pgSz w:w="16850" w:h="11920" w:orient="landscape"/>
          <w:pgMar w:header="0" w:footer="1110" w:top="1040" w:bottom="1300" w:left="880" w:right="360"/>
        </w:sectPr>
      </w:pPr>
    </w:p>
    <w:tbl>
      <w:tblPr>
        <w:tblW w:w="0" w:type="auto"/>
        <w:jc w:val="left"/>
        <w:tblInd w:w="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30"/>
        <w:gridCol w:w="1699"/>
        <w:gridCol w:w="1699"/>
        <w:gridCol w:w="5467"/>
        <w:gridCol w:w="2229"/>
        <w:gridCol w:w="3508"/>
      </w:tblGrid>
      <w:tr>
        <w:trPr>
          <w:trHeight w:val="1163" w:hRule="atLeast"/>
        </w:trPr>
        <w:tc>
          <w:tcPr>
            <w:tcW w:w="530" w:type="dxa"/>
            <w:shd w:val="clear" w:color="auto" w:fill="F1F1F1"/>
          </w:tcPr>
          <w:p>
            <w:pPr>
              <w:pStyle w:val="TableParagraph"/>
              <w:rPr>
                <w:b/>
                <w:sz w:val="22"/>
              </w:rPr>
            </w:pPr>
          </w:p>
          <w:p>
            <w:pPr>
              <w:pStyle w:val="TableParagraph"/>
              <w:spacing w:before="10"/>
              <w:rPr>
                <w:b/>
                <w:sz w:val="17"/>
              </w:rPr>
            </w:pPr>
          </w:p>
          <w:p>
            <w:pPr>
              <w:pStyle w:val="TableParagraph"/>
              <w:ind w:left="107"/>
              <w:rPr>
                <w:sz w:val="20"/>
              </w:rPr>
            </w:pPr>
            <w:r>
              <w:rPr>
                <w:sz w:val="20"/>
              </w:rPr>
              <w:t>32</w:t>
            </w:r>
          </w:p>
        </w:tc>
        <w:tc>
          <w:tcPr>
            <w:tcW w:w="1699" w:type="dxa"/>
            <w:shd w:val="clear" w:color="auto" w:fill="F1F1F1"/>
          </w:tcPr>
          <w:p>
            <w:pPr>
              <w:pStyle w:val="TableParagraph"/>
              <w:rPr>
                <w:b/>
                <w:sz w:val="22"/>
              </w:rPr>
            </w:pPr>
          </w:p>
          <w:p>
            <w:pPr>
              <w:pStyle w:val="TableParagraph"/>
              <w:spacing w:before="191"/>
              <w:ind w:left="115"/>
              <w:rPr>
                <w:sz w:val="20"/>
              </w:rPr>
            </w:pPr>
            <w:r>
              <w:rPr>
                <w:sz w:val="20"/>
              </w:rPr>
              <w:t>16.07.2020</w:t>
            </w:r>
          </w:p>
        </w:tc>
        <w:tc>
          <w:tcPr>
            <w:tcW w:w="1699" w:type="dxa"/>
            <w:shd w:val="clear" w:color="auto" w:fill="F1F1F1"/>
          </w:tcPr>
          <w:p>
            <w:pPr>
              <w:pStyle w:val="TableParagraph"/>
              <w:rPr>
                <w:b/>
                <w:sz w:val="22"/>
              </w:rPr>
            </w:pPr>
          </w:p>
          <w:p>
            <w:pPr>
              <w:pStyle w:val="TableParagraph"/>
              <w:spacing w:before="3"/>
              <w:rPr>
                <w:b/>
                <w:sz w:val="17"/>
              </w:rPr>
            </w:pPr>
          </w:p>
          <w:p>
            <w:pPr>
              <w:pStyle w:val="TableParagraph"/>
              <w:ind w:left="89" w:right="178"/>
              <w:jc w:val="center"/>
              <w:rPr>
                <w:sz w:val="20"/>
              </w:rPr>
            </w:pPr>
            <w:r>
              <w:rPr>
                <w:sz w:val="20"/>
              </w:rPr>
              <w:t>РЗН 2020/11343</w:t>
            </w:r>
          </w:p>
        </w:tc>
        <w:tc>
          <w:tcPr>
            <w:tcW w:w="5467" w:type="dxa"/>
            <w:shd w:val="clear" w:color="auto" w:fill="F1F1F1"/>
          </w:tcPr>
          <w:p>
            <w:pPr>
              <w:pStyle w:val="TableParagraph"/>
              <w:ind w:left="118" w:right="310"/>
              <w:rPr>
                <w:sz w:val="20"/>
              </w:rPr>
            </w:pPr>
            <w:r>
              <w:rPr>
                <w:sz w:val="20"/>
              </w:rPr>
              <w:t>Набор реагентов "Экспресс-тест SARS-CoV-2 (COVID-19) IgM/IgG" для качественного обнаружения иммуноглобулинов класса G и М (IgM и IgG) к коронавирусу методом иммунохроматографического анализа в сыворотке, плазме или цельной крови</w:t>
            </w:r>
          </w:p>
        </w:tc>
        <w:tc>
          <w:tcPr>
            <w:tcW w:w="2229" w:type="dxa"/>
            <w:shd w:val="clear" w:color="auto" w:fill="F1F1F1"/>
          </w:tcPr>
          <w:p>
            <w:pPr>
              <w:pStyle w:val="TableParagraph"/>
              <w:ind w:left="118" w:right="142"/>
              <w:rPr>
                <w:sz w:val="20"/>
              </w:rPr>
            </w:pPr>
            <w:r>
              <w:rPr>
                <w:sz w:val="20"/>
              </w:rPr>
              <w:t>MedicalSystem Biotechnology Co., Ltd. (МедикалСистем Биотехнолоджи Ко., Лтд.)</w:t>
            </w:r>
          </w:p>
        </w:tc>
        <w:tc>
          <w:tcPr>
            <w:tcW w:w="3508" w:type="dxa"/>
            <w:shd w:val="clear" w:color="auto" w:fill="F6F6F6"/>
          </w:tcPr>
          <w:p>
            <w:pPr>
              <w:pStyle w:val="TableParagraph"/>
              <w:spacing w:before="10"/>
              <w:rPr>
                <w:b/>
                <w:sz w:val="29"/>
              </w:rPr>
            </w:pPr>
          </w:p>
          <w:p>
            <w:pPr>
              <w:pStyle w:val="TableParagraph"/>
              <w:ind w:left="109"/>
              <w:rPr>
                <w:sz w:val="20"/>
              </w:rPr>
            </w:pPr>
            <w:r>
              <w:rPr>
                <w:sz w:val="20"/>
              </w:rPr>
              <w:t>Китай, , No.299, Qiming South Road, Yinzhou District, 315104 Ningbo, China</w:t>
            </w:r>
          </w:p>
        </w:tc>
      </w:tr>
      <w:tr>
        <w:trPr>
          <w:trHeight w:val="935" w:hRule="atLeast"/>
        </w:trPr>
        <w:tc>
          <w:tcPr>
            <w:tcW w:w="530" w:type="dxa"/>
          </w:tcPr>
          <w:p>
            <w:pPr>
              <w:pStyle w:val="TableParagraph"/>
              <w:spacing w:before="10"/>
              <w:rPr>
                <w:b/>
                <w:sz w:val="29"/>
              </w:rPr>
            </w:pPr>
          </w:p>
          <w:p>
            <w:pPr>
              <w:pStyle w:val="TableParagraph"/>
              <w:ind w:left="107"/>
              <w:rPr>
                <w:sz w:val="20"/>
              </w:rPr>
            </w:pPr>
            <w:r>
              <w:rPr>
                <w:sz w:val="20"/>
              </w:rPr>
              <w:t>33</w:t>
            </w:r>
          </w:p>
        </w:tc>
        <w:tc>
          <w:tcPr>
            <w:tcW w:w="1699" w:type="dxa"/>
          </w:tcPr>
          <w:p>
            <w:pPr>
              <w:pStyle w:val="TableParagraph"/>
              <w:spacing w:before="2"/>
              <w:rPr>
                <w:b/>
                <w:sz w:val="29"/>
              </w:rPr>
            </w:pPr>
          </w:p>
          <w:p>
            <w:pPr>
              <w:pStyle w:val="TableParagraph"/>
              <w:spacing w:before="1"/>
              <w:ind w:left="115"/>
              <w:rPr>
                <w:sz w:val="20"/>
              </w:rPr>
            </w:pPr>
            <w:r>
              <w:rPr>
                <w:sz w:val="20"/>
              </w:rPr>
              <w:t>17.07.2020</w:t>
            </w:r>
          </w:p>
        </w:tc>
        <w:tc>
          <w:tcPr>
            <w:tcW w:w="1699" w:type="dxa"/>
          </w:tcPr>
          <w:p>
            <w:pPr>
              <w:pStyle w:val="TableParagraph"/>
              <w:spacing w:before="2"/>
              <w:rPr>
                <w:b/>
                <w:sz w:val="29"/>
              </w:rPr>
            </w:pPr>
          </w:p>
          <w:p>
            <w:pPr>
              <w:pStyle w:val="TableParagraph"/>
              <w:spacing w:before="1"/>
              <w:ind w:left="89" w:right="178"/>
              <w:jc w:val="center"/>
              <w:rPr>
                <w:sz w:val="20"/>
              </w:rPr>
            </w:pPr>
            <w:r>
              <w:rPr>
                <w:sz w:val="20"/>
              </w:rPr>
              <w:t>РЗН 2020/11361</w:t>
            </w:r>
          </w:p>
        </w:tc>
        <w:tc>
          <w:tcPr>
            <w:tcW w:w="5467" w:type="dxa"/>
          </w:tcPr>
          <w:p>
            <w:pPr>
              <w:pStyle w:val="TableParagraph"/>
              <w:ind w:left="118" w:right="380"/>
              <w:rPr>
                <w:sz w:val="20"/>
              </w:rPr>
            </w:pPr>
            <w:r>
              <w:rPr>
                <w:sz w:val="20"/>
              </w:rPr>
              <w:t>Набор экспресс-теста "Lumiratek COVID-19 IgG/IgM" для качественного дифференцированного определения IgG</w:t>
            </w:r>
          </w:p>
          <w:p>
            <w:pPr>
              <w:pStyle w:val="TableParagraph"/>
              <w:ind w:left="118"/>
              <w:rPr>
                <w:sz w:val="20"/>
              </w:rPr>
            </w:pPr>
            <w:r>
              <w:rPr>
                <w:sz w:val="20"/>
              </w:rPr>
              <w:t>и IgM антител к SARS-CoV-2 в цельной (венозной или капиллярной) крови, сыворотке или плазме</w:t>
            </w:r>
          </w:p>
        </w:tc>
        <w:tc>
          <w:tcPr>
            <w:tcW w:w="2229" w:type="dxa"/>
          </w:tcPr>
          <w:p>
            <w:pPr>
              <w:pStyle w:val="TableParagraph"/>
              <w:spacing w:before="2"/>
              <w:rPr>
                <w:b/>
                <w:sz w:val="19"/>
              </w:rPr>
            </w:pPr>
          </w:p>
          <w:p>
            <w:pPr>
              <w:pStyle w:val="TableParagraph"/>
              <w:ind w:left="118" w:right="269"/>
              <w:rPr>
                <w:sz w:val="20"/>
              </w:rPr>
            </w:pPr>
            <w:r>
              <w:rPr>
                <w:sz w:val="20"/>
              </w:rPr>
              <w:t>HangZhou Biotest Biotech Co.,Ltd.</w:t>
            </w:r>
          </w:p>
        </w:tc>
        <w:tc>
          <w:tcPr>
            <w:tcW w:w="3508" w:type="dxa"/>
          </w:tcPr>
          <w:p>
            <w:pPr>
              <w:pStyle w:val="TableParagraph"/>
              <w:spacing w:before="113"/>
              <w:ind w:left="109" w:right="566"/>
              <w:rPr>
                <w:sz w:val="20"/>
              </w:rPr>
            </w:pPr>
            <w:r>
              <w:rPr>
                <w:sz w:val="20"/>
                <w:shd w:fill="F6F6F6" w:color="auto" w:val="clear"/>
              </w:rPr>
              <w:t>Китай, 17#, Futai Road, Zhongtai</w:t>
            </w:r>
            <w:r>
              <w:rPr>
                <w:sz w:val="20"/>
              </w:rPr>
              <w:t> </w:t>
            </w:r>
            <w:r>
              <w:rPr>
                <w:sz w:val="20"/>
                <w:shd w:fill="F6F6F6" w:color="auto" w:val="clear"/>
              </w:rPr>
              <w:t>Street, Yuhang District, Hangzhou,</w:t>
            </w:r>
            <w:r>
              <w:rPr>
                <w:sz w:val="20"/>
              </w:rPr>
              <w:t> </w:t>
            </w:r>
            <w:r>
              <w:rPr>
                <w:sz w:val="20"/>
                <w:shd w:fill="F6F6F6" w:color="auto" w:val="clear"/>
              </w:rPr>
              <w:t>311121-P.R.</w:t>
            </w:r>
          </w:p>
        </w:tc>
      </w:tr>
      <w:tr>
        <w:trPr>
          <w:trHeight w:val="933" w:hRule="atLeast"/>
        </w:trPr>
        <w:tc>
          <w:tcPr>
            <w:tcW w:w="530" w:type="dxa"/>
            <w:shd w:val="clear" w:color="auto" w:fill="F1F1F1"/>
          </w:tcPr>
          <w:p>
            <w:pPr>
              <w:pStyle w:val="TableParagraph"/>
              <w:spacing w:before="7"/>
              <w:rPr>
                <w:b/>
                <w:sz w:val="29"/>
              </w:rPr>
            </w:pPr>
          </w:p>
          <w:p>
            <w:pPr>
              <w:pStyle w:val="TableParagraph"/>
              <w:ind w:left="107"/>
              <w:rPr>
                <w:sz w:val="20"/>
              </w:rPr>
            </w:pPr>
            <w:r>
              <w:rPr>
                <w:sz w:val="20"/>
              </w:rPr>
              <w:t>34</w:t>
            </w:r>
          </w:p>
        </w:tc>
        <w:tc>
          <w:tcPr>
            <w:tcW w:w="1699" w:type="dxa"/>
            <w:shd w:val="clear" w:color="auto" w:fill="F1F1F1"/>
          </w:tcPr>
          <w:p>
            <w:pPr>
              <w:pStyle w:val="TableParagraph"/>
              <w:rPr>
                <w:b/>
                <w:sz w:val="29"/>
              </w:rPr>
            </w:pPr>
          </w:p>
          <w:p>
            <w:pPr>
              <w:pStyle w:val="TableParagraph"/>
              <w:ind w:left="115"/>
              <w:rPr>
                <w:sz w:val="20"/>
              </w:rPr>
            </w:pPr>
            <w:r>
              <w:rPr>
                <w:sz w:val="20"/>
              </w:rPr>
              <w:t>24.07.2020</w:t>
            </w:r>
          </w:p>
        </w:tc>
        <w:tc>
          <w:tcPr>
            <w:tcW w:w="1699" w:type="dxa"/>
            <w:shd w:val="clear" w:color="auto" w:fill="F1F1F1"/>
          </w:tcPr>
          <w:p>
            <w:pPr>
              <w:pStyle w:val="TableParagraph"/>
              <w:rPr>
                <w:b/>
                <w:sz w:val="29"/>
              </w:rPr>
            </w:pPr>
          </w:p>
          <w:p>
            <w:pPr>
              <w:pStyle w:val="TableParagraph"/>
              <w:ind w:left="89" w:right="178"/>
              <w:jc w:val="center"/>
              <w:rPr>
                <w:sz w:val="20"/>
              </w:rPr>
            </w:pPr>
            <w:r>
              <w:rPr>
                <w:sz w:val="20"/>
              </w:rPr>
              <w:t>РЗН 2020/11396</w:t>
            </w:r>
          </w:p>
        </w:tc>
        <w:tc>
          <w:tcPr>
            <w:tcW w:w="5467" w:type="dxa"/>
            <w:shd w:val="clear" w:color="auto" w:fill="F1F1F1"/>
          </w:tcPr>
          <w:p>
            <w:pPr>
              <w:pStyle w:val="TableParagraph"/>
              <w:ind w:left="118" w:right="233"/>
              <w:rPr>
                <w:sz w:val="20"/>
              </w:rPr>
            </w:pPr>
            <w:r>
              <w:rPr>
                <w:sz w:val="20"/>
              </w:rPr>
              <w:t>Набор реагентов для иммунохроматографического выявления антител к вирусу SARS-CoV-2 в образцах цельной крови, сыворотки или плазмы (COVID-19 IgG/IgM Antibody Assay Kit (Colloidal Gold Method))</w:t>
            </w:r>
          </w:p>
        </w:tc>
        <w:tc>
          <w:tcPr>
            <w:tcW w:w="2229" w:type="dxa"/>
            <w:shd w:val="clear" w:color="auto" w:fill="F1F1F1"/>
          </w:tcPr>
          <w:p>
            <w:pPr>
              <w:pStyle w:val="TableParagraph"/>
              <w:spacing w:before="103"/>
              <w:ind w:left="118" w:right="572"/>
              <w:jc w:val="both"/>
              <w:rPr>
                <w:sz w:val="20"/>
              </w:rPr>
            </w:pPr>
            <w:r>
              <w:rPr>
                <w:sz w:val="20"/>
              </w:rPr>
              <w:t>Surge Medical Inc. ("Сердж Медикал Инк.")</w:t>
            </w:r>
          </w:p>
        </w:tc>
        <w:tc>
          <w:tcPr>
            <w:tcW w:w="3508" w:type="dxa"/>
            <w:shd w:val="clear" w:color="auto" w:fill="F1F1F1"/>
          </w:tcPr>
          <w:p>
            <w:pPr>
              <w:pStyle w:val="TableParagraph"/>
              <w:ind w:left="109" w:right="94"/>
              <w:jc w:val="both"/>
              <w:rPr>
                <w:sz w:val="20"/>
              </w:rPr>
            </w:pPr>
            <w:r>
              <w:rPr>
                <w:sz w:val="20"/>
              </w:rPr>
              <w:t>Китай, , №.2, Factory Building 999- 999/551-072,Zi'an Coutryside, Tonghua Development</w:t>
            </w:r>
            <w:r>
              <w:rPr>
                <w:spacing w:val="-18"/>
                <w:sz w:val="20"/>
              </w:rPr>
              <w:t> </w:t>
            </w:r>
            <w:r>
              <w:rPr>
                <w:sz w:val="20"/>
              </w:rPr>
              <w:t>District,Tonghua</w:t>
            </w:r>
            <w:r>
              <w:rPr>
                <w:spacing w:val="-17"/>
                <w:sz w:val="20"/>
              </w:rPr>
              <w:t> </w:t>
            </w:r>
            <w:r>
              <w:rPr>
                <w:sz w:val="20"/>
              </w:rPr>
              <w:t>City,</w:t>
            </w:r>
            <w:r>
              <w:rPr>
                <w:spacing w:val="-16"/>
                <w:sz w:val="20"/>
              </w:rPr>
              <w:t> </w:t>
            </w:r>
            <w:r>
              <w:rPr>
                <w:sz w:val="20"/>
              </w:rPr>
              <w:t>Jilin Province, 134001, P.R.</w:t>
            </w:r>
            <w:r>
              <w:rPr>
                <w:spacing w:val="-2"/>
                <w:sz w:val="20"/>
              </w:rPr>
              <w:t> </w:t>
            </w:r>
            <w:r>
              <w:rPr>
                <w:sz w:val="20"/>
              </w:rPr>
              <w:t>China</w:t>
            </w:r>
          </w:p>
        </w:tc>
      </w:tr>
      <w:tr>
        <w:trPr>
          <w:trHeight w:val="1163" w:hRule="atLeast"/>
        </w:trPr>
        <w:tc>
          <w:tcPr>
            <w:tcW w:w="530" w:type="dxa"/>
          </w:tcPr>
          <w:p>
            <w:pPr>
              <w:pStyle w:val="TableParagraph"/>
              <w:rPr>
                <w:b/>
                <w:sz w:val="22"/>
              </w:rPr>
            </w:pPr>
          </w:p>
          <w:p>
            <w:pPr>
              <w:pStyle w:val="TableParagraph"/>
              <w:spacing w:before="7"/>
              <w:rPr>
                <w:b/>
                <w:sz w:val="17"/>
              </w:rPr>
            </w:pPr>
          </w:p>
          <w:p>
            <w:pPr>
              <w:pStyle w:val="TableParagraph"/>
              <w:ind w:left="107"/>
              <w:rPr>
                <w:sz w:val="20"/>
              </w:rPr>
            </w:pPr>
            <w:r>
              <w:rPr>
                <w:sz w:val="20"/>
              </w:rPr>
              <w:t>35</w:t>
            </w:r>
          </w:p>
        </w:tc>
        <w:tc>
          <w:tcPr>
            <w:tcW w:w="1699" w:type="dxa"/>
          </w:tcPr>
          <w:p>
            <w:pPr>
              <w:pStyle w:val="TableParagraph"/>
              <w:rPr>
                <w:b/>
                <w:sz w:val="22"/>
              </w:rPr>
            </w:pPr>
          </w:p>
          <w:p>
            <w:pPr>
              <w:pStyle w:val="TableParagraph"/>
              <w:spacing w:before="3"/>
              <w:rPr>
                <w:b/>
                <w:sz w:val="17"/>
              </w:rPr>
            </w:pPr>
          </w:p>
          <w:p>
            <w:pPr>
              <w:pStyle w:val="TableParagraph"/>
              <w:ind w:left="115"/>
              <w:rPr>
                <w:sz w:val="20"/>
              </w:rPr>
            </w:pPr>
            <w:r>
              <w:rPr>
                <w:sz w:val="20"/>
              </w:rPr>
              <w:t>24.07.2020</w:t>
            </w:r>
          </w:p>
        </w:tc>
        <w:tc>
          <w:tcPr>
            <w:tcW w:w="1699" w:type="dxa"/>
          </w:tcPr>
          <w:p>
            <w:pPr>
              <w:pStyle w:val="TableParagraph"/>
              <w:rPr>
                <w:b/>
                <w:sz w:val="22"/>
              </w:rPr>
            </w:pPr>
          </w:p>
          <w:p>
            <w:pPr>
              <w:pStyle w:val="TableParagraph"/>
              <w:spacing w:before="3"/>
              <w:rPr>
                <w:b/>
                <w:sz w:val="17"/>
              </w:rPr>
            </w:pPr>
          </w:p>
          <w:p>
            <w:pPr>
              <w:pStyle w:val="TableParagraph"/>
              <w:ind w:left="89" w:right="178"/>
              <w:jc w:val="center"/>
              <w:rPr>
                <w:sz w:val="20"/>
              </w:rPr>
            </w:pPr>
            <w:r>
              <w:rPr>
                <w:sz w:val="20"/>
              </w:rPr>
              <w:t>РЗН 2020/11400</w:t>
            </w:r>
          </w:p>
        </w:tc>
        <w:tc>
          <w:tcPr>
            <w:tcW w:w="5467" w:type="dxa"/>
          </w:tcPr>
          <w:p>
            <w:pPr>
              <w:pStyle w:val="TableParagraph"/>
              <w:ind w:left="118" w:right="443"/>
              <w:rPr>
                <w:sz w:val="20"/>
              </w:rPr>
            </w:pPr>
            <w:r>
              <w:rPr>
                <w:sz w:val="20"/>
              </w:rPr>
              <w:t>Набор реагентов "Экспресс-тест для качественного выявления антител (IgG и IgM) к SARS-CoV-2 в цельной крови, сыворотке или плазме крови человека методом иммунохроматографии (COVID-19 IgG/IgM Rapid Test Cassette)"</w:t>
            </w:r>
          </w:p>
        </w:tc>
        <w:tc>
          <w:tcPr>
            <w:tcW w:w="2229" w:type="dxa"/>
          </w:tcPr>
          <w:p>
            <w:pPr>
              <w:pStyle w:val="TableParagraph"/>
              <w:spacing w:before="2"/>
              <w:rPr>
                <w:b/>
                <w:sz w:val="29"/>
              </w:rPr>
            </w:pPr>
          </w:p>
          <w:p>
            <w:pPr>
              <w:pStyle w:val="TableParagraph"/>
              <w:ind w:left="118" w:right="496"/>
              <w:rPr>
                <w:sz w:val="20"/>
              </w:rPr>
            </w:pPr>
            <w:r>
              <w:rPr>
                <w:sz w:val="20"/>
              </w:rPr>
              <w:t>"Ханчжоу Биотест Биотех Ко., Лтд."</w:t>
            </w:r>
          </w:p>
        </w:tc>
        <w:tc>
          <w:tcPr>
            <w:tcW w:w="3508" w:type="dxa"/>
          </w:tcPr>
          <w:p>
            <w:pPr>
              <w:pStyle w:val="TableParagraph"/>
              <w:spacing w:before="113"/>
              <w:ind w:left="109" w:right="94"/>
              <w:jc w:val="both"/>
              <w:rPr>
                <w:sz w:val="20"/>
              </w:rPr>
            </w:pPr>
            <w:r>
              <w:rPr>
                <w:sz w:val="20"/>
              </w:rPr>
              <w:t>КНР, Hangzhou Biotest Biotech Co., Ltd., 17#, Futai Road, Zhongtai Street, Yuhang District, 311121 Hangzhou,</w:t>
            </w:r>
            <w:r>
              <w:rPr>
                <w:spacing w:val="-22"/>
                <w:sz w:val="20"/>
              </w:rPr>
              <w:t> </w:t>
            </w:r>
            <w:r>
              <w:rPr>
                <w:sz w:val="20"/>
              </w:rPr>
              <w:t>P.R. of</w:t>
            </w:r>
            <w:r>
              <w:rPr>
                <w:spacing w:val="-3"/>
                <w:sz w:val="20"/>
              </w:rPr>
              <w:t> </w:t>
            </w:r>
            <w:r>
              <w:rPr>
                <w:sz w:val="20"/>
              </w:rPr>
              <w:t>China</w:t>
            </w:r>
          </w:p>
        </w:tc>
      </w:tr>
      <w:tr>
        <w:trPr>
          <w:trHeight w:val="918" w:hRule="atLeast"/>
        </w:trPr>
        <w:tc>
          <w:tcPr>
            <w:tcW w:w="530" w:type="dxa"/>
            <w:shd w:val="clear" w:color="auto" w:fill="F1F1F1"/>
          </w:tcPr>
          <w:p>
            <w:pPr>
              <w:pStyle w:val="TableParagraph"/>
              <w:spacing w:before="2"/>
              <w:rPr>
                <w:b/>
                <w:sz w:val="29"/>
              </w:rPr>
            </w:pPr>
          </w:p>
          <w:p>
            <w:pPr>
              <w:pStyle w:val="TableParagraph"/>
              <w:ind w:left="107"/>
              <w:rPr>
                <w:sz w:val="20"/>
              </w:rPr>
            </w:pPr>
            <w:r>
              <w:rPr>
                <w:sz w:val="20"/>
              </w:rPr>
              <w:t>36</w:t>
            </w:r>
          </w:p>
        </w:tc>
        <w:tc>
          <w:tcPr>
            <w:tcW w:w="1699" w:type="dxa"/>
            <w:shd w:val="clear" w:color="auto" w:fill="F1F1F1"/>
          </w:tcPr>
          <w:p>
            <w:pPr>
              <w:pStyle w:val="TableParagraph"/>
              <w:spacing w:before="7"/>
              <w:rPr>
                <w:b/>
                <w:sz w:val="28"/>
              </w:rPr>
            </w:pPr>
          </w:p>
          <w:p>
            <w:pPr>
              <w:pStyle w:val="TableParagraph"/>
              <w:ind w:left="115"/>
              <w:rPr>
                <w:sz w:val="20"/>
              </w:rPr>
            </w:pPr>
            <w:r>
              <w:rPr>
                <w:sz w:val="20"/>
              </w:rPr>
              <w:t>24.07.2020</w:t>
            </w:r>
          </w:p>
        </w:tc>
        <w:tc>
          <w:tcPr>
            <w:tcW w:w="1699" w:type="dxa"/>
            <w:shd w:val="clear" w:color="auto" w:fill="F1F1F1"/>
          </w:tcPr>
          <w:p>
            <w:pPr>
              <w:pStyle w:val="TableParagraph"/>
              <w:spacing w:before="7"/>
              <w:rPr>
                <w:b/>
                <w:sz w:val="28"/>
              </w:rPr>
            </w:pPr>
          </w:p>
          <w:p>
            <w:pPr>
              <w:pStyle w:val="TableParagraph"/>
              <w:ind w:left="89" w:right="178"/>
              <w:jc w:val="center"/>
              <w:rPr>
                <w:sz w:val="20"/>
              </w:rPr>
            </w:pPr>
            <w:r>
              <w:rPr>
                <w:sz w:val="20"/>
              </w:rPr>
              <w:t>РЗН 2020/11402</w:t>
            </w:r>
          </w:p>
        </w:tc>
        <w:tc>
          <w:tcPr>
            <w:tcW w:w="5467" w:type="dxa"/>
            <w:shd w:val="clear" w:color="auto" w:fill="F1F1F1"/>
          </w:tcPr>
          <w:p>
            <w:pPr>
              <w:pStyle w:val="TableParagraph"/>
              <w:spacing w:before="98"/>
              <w:ind w:left="118" w:right="140"/>
              <w:rPr>
                <w:sz w:val="20"/>
              </w:rPr>
            </w:pPr>
            <w:r>
              <w:rPr>
                <w:sz w:val="20"/>
              </w:rPr>
              <w:t>Экспресс-тест COVITEST для определения антител IgG/IgM к коронавирусу SARS-CoV-2 (Цельная (венозная или капиллярная) кровь/сыворотка/плазма)</w:t>
            </w:r>
          </w:p>
        </w:tc>
        <w:tc>
          <w:tcPr>
            <w:tcW w:w="2229" w:type="dxa"/>
            <w:shd w:val="clear" w:color="auto" w:fill="F1F1F1"/>
          </w:tcPr>
          <w:p>
            <w:pPr>
              <w:pStyle w:val="TableParagraph"/>
              <w:spacing w:before="98"/>
              <w:ind w:left="118" w:right="138"/>
              <w:rPr>
                <w:sz w:val="20"/>
              </w:rPr>
            </w:pPr>
            <w:r>
              <w:rPr>
                <w:sz w:val="20"/>
              </w:rPr>
              <w:t>Эшуэр Тек. (Ханчжоу) Ко., Лтд./Assure Tech (Hangzhou) Co., Ltd.</w:t>
            </w:r>
          </w:p>
        </w:tc>
        <w:tc>
          <w:tcPr>
            <w:tcW w:w="3508" w:type="dxa"/>
            <w:shd w:val="clear" w:color="auto" w:fill="F1F1F1"/>
          </w:tcPr>
          <w:p>
            <w:pPr>
              <w:pStyle w:val="TableParagraph"/>
              <w:ind w:left="109" w:right="312"/>
              <w:rPr>
                <w:sz w:val="20"/>
              </w:rPr>
            </w:pPr>
            <w:r>
              <w:rPr>
                <w:sz w:val="20"/>
              </w:rPr>
              <w:t>Китай, 2nd-5th Floor, Building 4, No. 1418-50, Moganshan Road, Gongshu District, Hangzhou, 310011, Zhejiang</w:t>
            </w:r>
          </w:p>
          <w:p>
            <w:pPr>
              <w:pStyle w:val="TableParagraph"/>
              <w:spacing w:line="218" w:lineRule="exact"/>
              <w:ind w:left="109"/>
              <w:rPr>
                <w:sz w:val="20"/>
              </w:rPr>
            </w:pPr>
            <w:r>
              <w:rPr>
                <w:sz w:val="20"/>
              </w:rPr>
              <w:t>P.R. China.</w:t>
            </w:r>
          </w:p>
        </w:tc>
      </w:tr>
      <w:tr>
        <w:trPr>
          <w:trHeight w:val="1166" w:hRule="atLeast"/>
        </w:trPr>
        <w:tc>
          <w:tcPr>
            <w:tcW w:w="530" w:type="dxa"/>
          </w:tcPr>
          <w:p>
            <w:pPr>
              <w:pStyle w:val="TableParagraph"/>
              <w:rPr>
                <w:b/>
                <w:sz w:val="22"/>
              </w:rPr>
            </w:pPr>
          </w:p>
          <w:p>
            <w:pPr>
              <w:pStyle w:val="TableParagraph"/>
              <w:spacing w:before="10"/>
              <w:rPr>
                <w:b/>
                <w:sz w:val="17"/>
              </w:rPr>
            </w:pPr>
          </w:p>
          <w:p>
            <w:pPr>
              <w:pStyle w:val="TableParagraph"/>
              <w:ind w:left="107"/>
              <w:rPr>
                <w:sz w:val="20"/>
              </w:rPr>
            </w:pPr>
            <w:r>
              <w:rPr>
                <w:sz w:val="20"/>
              </w:rPr>
              <w:t>37</w:t>
            </w:r>
          </w:p>
        </w:tc>
        <w:tc>
          <w:tcPr>
            <w:tcW w:w="1699" w:type="dxa"/>
          </w:tcPr>
          <w:p>
            <w:pPr>
              <w:pStyle w:val="TableParagraph"/>
              <w:rPr>
                <w:b/>
                <w:sz w:val="22"/>
              </w:rPr>
            </w:pPr>
          </w:p>
          <w:p>
            <w:pPr>
              <w:pStyle w:val="TableParagraph"/>
              <w:spacing w:before="3"/>
              <w:rPr>
                <w:b/>
                <w:sz w:val="17"/>
              </w:rPr>
            </w:pPr>
          </w:p>
          <w:p>
            <w:pPr>
              <w:pStyle w:val="TableParagraph"/>
              <w:ind w:left="115"/>
              <w:rPr>
                <w:sz w:val="20"/>
              </w:rPr>
            </w:pPr>
            <w:r>
              <w:rPr>
                <w:sz w:val="20"/>
              </w:rPr>
              <w:t>24.07.2020</w:t>
            </w:r>
          </w:p>
        </w:tc>
        <w:tc>
          <w:tcPr>
            <w:tcW w:w="1699" w:type="dxa"/>
          </w:tcPr>
          <w:p>
            <w:pPr>
              <w:pStyle w:val="TableParagraph"/>
              <w:rPr>
                <w:b/>
                <w:sz w:val="22"/>
              </w:rPr>
            </w:pPr>
          </w:p>
          <w:p>
            <w:pPr>
              <w:pStyle w:val="TableParagraph"/>
              <w:spacing w:before="3"/>
              <w:rPr>
                <w:b/>
                <w:sz w:val="17"/>
              </w:rPr>
            </w:pPr>
          </w:p>
          <w:p>
            <w:pPr>
              <w:pStyle w:val="TableParagraph"/>
              <w:ind w:left="89" w:right="178"/>
              <w:jc w:val="center"/>
              <w:rPr>
                <w:sz w:val="20"/>
              </w:rPr>
            </w:pPr>
            <w:r>
              <w:rPr>
                <w:sz w:val="20"/>
              </w:rPr>
              <w:t>РЗН 2020/11428</w:t>
            </w:r>
          </w:p>
        </w:tc>
        <w:tc>
          <w:tcPr>
            <w:tcW w:w="5467" w:type="dxa"/>
          </w:tcPr>
          <w:p>
            <w:pPr>
              <w:pStyle w:val="TableParagraph"/>
              <w:spacing w:before="2"/>
              <w:rPr>
                <w:b/>
                <w:sz w:val="19"/>
              </w:rPr>
            </w:pPr>
          </w:p>
          <w:p>
            <w:pPr>
              <w:pStyle w:val="TableParagraph"/>
              <w:ind w:left="118" w:right="331"/>
              <w:jc w:val="both"/>
              <w:rPr>
                <w:sz w:val="20"/>
              </w:rPr>
            </w:pPr>
            <w:r>
              <w:rPr>
                <w:sz w:val="20"/>
              </w:rPr>
              <w:t>Набор реагентов SARS-CoV-2 Antibody Test (colloidal gold immunochromatography) для выявления антител IgM/IgG к коронавирусу иммунохроматографическим методом</w:t>
            </w:r>
          </w:p>
        </w:tc>
        <w:tc>
          <w:tcPr>
            <w:tcW w:w="2229" w:type="dxa"/>
          </w:tcPr>
          <w:p>
            <w:pPr>
              <w:pStyle w:val="TableParagraph"/>
              <w:ind w:left="118" w:right="141"/>
              <w:rPr>
                <w:sz w:val="20"/>
              </w:rPr>
            </w:pPr>
            <w:r>
              <w:rPr>
                <w:sz w:val="20"/>
              </w:rPr>
              <w:t>"Бейджинг Лепу Медикал Технолоджи Ко., Лтд." Beijing Lepu Medical Technology Co., Ltd.</w:t>
            </w:r>
          </w:p>
        </w:tc>
        <w:tc>
          <w:tcPr>
            <w:tcW w:w="3508" w:type="dxa"/>
          </w:tcPr>
          <w:p>
            <w:pPr>
              <w:pStyle w:val="TableParagraph"/>
              <w:spacing w:before="9"/>
              <w:rPr>
                <w:b/>
                <w:sz w:val="19"/>
              </w:rPr>
            </w:pPr>
          </w:p>
          <w:p>
            <w:pPr>
              <w:pStyle w:val="TableParagraph"/>
              <w:ind w:left="109" w:right="223"/>
              <w:rPr>
                <w:sz w:val="20"/>
              </w:rPr>
            </w:pPr>
            <w:r>
              <w:rPr>
                <w:sz w:val="20"/>
              </w:rPr>
              <w:t>Китай, Building 7-1, No. 37 ChaoQian Road, Changping District, Beijing 102200</w:t>
            </w:r>
          </w:p>
        </w:tc>
      </w:tr>
      <w:tr>
        <w:trPr>
          <w:trHeight w:val="702" w:hRule="atLeast"/>
        </w:trPr>
        <w:tc>
          <w:tcPr>
            <w:tcW w:w="530" w:type="dxa"/>
            <w:shd w:val="clear" w:color="auto" w:fill="F1F1F1"/>
          </w:tcPr>
          <w:p>
            <w:pPr>
              <w:pStyle w:val="TableParagraph"/>
              <w:spacing w:before="7"/>
              <w:rPr>
                <w:b/>
                <w:sz w:val="19"/>
              </w:rPr>
            </w:pPr>
          </w:p>
          <w:p>
            <w:pPr>
              <w:pStyle w:val="TableParagraph"/>
              <w:ind w:left="107"/>
              <w:rPr>
                <w:sz w:val="20"/>
              </w:rPr>
            </w:pPr>
            <w:r>
              <w:rPr>
                <w:sz w:val="20"/>
              </w:rPr>
              <w:t>38</w:t>
            </w:r>
          </w:p>
        </w:tc>
        <w:tc>
          <w:tcPr>
            <w:tcW w:w="1699" w:type="dxa"/>
            <w:shd w:val="clear" w:color="auto" w:fill="F1F1F1"/>
          </w:tcPr>
          <w:p>
            <w:pPr>
              <w:pStyle w:val="TableParagraph"/>
              <w:spacing w:before="2"/>
              <w:rPr>
                <w:b/>
                <w:sz w:val="19"/>
              </w:rPr>
            </w:pPr>
          </w:p>
          <w:p>
            <w:pPr>
              <w:pStyle w:val="TableParagraph"/>
              <w:ind w:left="115"/>
              <w:rPr>
                <w:sz w:val="20"/>
              </w:rPr>
            </w:pPr>
            <w:r>
              <w:rPr>
                <w:sz w:val="20"/>
              </w:rPr>
              <w:t>31.07.2020</w:t>
            </w:r>
          </w:p>
        </w:tc>
        <w:tc>
          <w:tcPr>
            <w:tcW w:w="1699" w:type="dxa"/>
            <w:shd w:val="clear" w:color="auto" w:fill="F1F1F1"/>
          </w:tcPr>
          <w:p>
            <w:pPr>
              <w:pStyle w:val="TableParagraph"/>
              <w:spacing w:before="2"/>
              <w:rPr>
                <w:b/>
                <w:sz w:val="19"/>
              </w:rPr>
            </w:pPr>
          </w:p>
          <w:p>
            <w:pPr>
              <w:pStyle w:val="TableParagraph"/>
              <w:ind w:left="89" w:right="178"/>
              <w:jc w:val="center"/>
              <w:rPr>
                <w:sz w:val="20"/>
              </w:rPr>
            </w:pPr>
            <w:r>
              <w:rPr>
                <w:sz w:val="20"/>
              </w:rPr>
              <w:t>РЗН 2020/11533</w:t>
            </w:r>
          </w:p>
        </w:tc>
        <w:tc>
          <w:tcPr>
            <w:tcW w:w="5467" w:type="dxa"/>
            <w:shd w:val="clear" w:color="auto" w:fill="F1F1F1"/>
          </w:tcPr>
          <w:p>
            <w:pPr>
              <w:pStyle w:val="TableParagraph"/>
              <w:ind w:left="118" w:right="126"/>
              <w:rPr>
                <w:sz w:val="20"/>
              </w:rPr>
            </w:pPr>
            <w:r>
              <w:rPr>
                <w:sz w:val="20"/>
              </w:rPr>
              <w:t>Иммунохроматографический экспресс-тест для определения антител IgM и IgG к вирусу SARS-CoV-2 в человеческих образцах цельной крови, плазмы или сыворотки</w:t>
            </w:r>
          </w:p>
        </w:tc>
        <w:tc>
          <w:tcPr>
            <w:tcW w:w="2229" w:type="dxa"/>
            <w:shd w:val="clear" w:color="auto" w:fill="F1F1F1"/>
          </w:tcPr>
          <w:p>
            <w:pPr>
              <w:pStyle w:val="TableParagraph"/>
              <w:spacing w:before="2"/>
              <w:rPr>
                <w:b/>
                <w:sz w:val="19"/>
              </w:rPr>
            </w:pPr>
          </w:p>
          <w:p>
            <w:pPr>
              <w:pStyle w:val="TableParagraph"/>
              <w:ind w:left="118"/>
              <w:rPr>
                <w:sz w:val="20"/>
              </w:rPr>
            </w:pPr>
            <w:r>
              <w:rPr>
                <w:sz w:val="20"/>
              </w:rPr>
              <w:t>"ВЕДАЛАБ АО"</w:t>
            </w:r>
          </w:p>
        </w:tc>
        <w:tc>
          <w:tcPr>
            <w:tcW w:w="3508" w:type="dxa"/>
            <w:shd w:val="clear" w:color="auto" w:fill="F1F1F1"/>
          </w:tcPr>
          <w:p>
            <w:pPr>
              <w:pStyle w:val="TableParagraph"/>
              <w:spacing w:line="237" w:lineRule="auto"/>
              <w:ind w:left="109" w:right="216"/>
              <w:rPr>
                <w:sz w:val="20"/>
              </w:rPr>
            </w:pPr>
            <w:r>
              <w:rPr>
                <w:sz w:val="20"/>
              </w:rPr>
              <w:t>Франция, VEDALAB S.A., Rue de l'Expansion ZAT du Londeau - Cerise</w:t>
            </w:r>
            <w:r>
              <w:rPr>
                <w:spacing w:val="-16"/>
                <w:sz w:val="20"/>
              </w:rPr>
              <w:t> </w:t>
            </w:r>
            <w:r>
              <w:rPr>
                <w:sz w:val="20"/>
              </w:rPr>
              <w:t>-</w:t>
            </w:r>
          </w:p>
          <w:p>
            <w:pPr>
              <w:pStyle w:val="TableParagraph"/>
              <w:spacing w:line="227" w:lineRule="exact" w:before="1"/>
              <w:ind w:left="109"/>
              <w:rPr>
                <w:sz w:val="20"/>
              </w:rPr>
            </w:pPr>
            <w:r>
              <w:rPr>
                <w:sz w:val="20"/>
              </w:rPr>
              <w:t>B. P. 181 61006, Alencon cedex</w:t>
            </w:r>
            <w:r>
              <w:rPr>
                <w:spacing w:val="-17"/>
                <w:sz w:val="20"/>
              </w:rPr>
              <w:t> </w:t>
            </w:r>
            <w:r>
              <w:rPr>
                <w:sz w:val="20"/>
              </w:rPr>
              <w:t>France</w:t>
            </w:r>
          </w:p>
        </w:tc>
      </w:tr>
      <w:tr>
        <w:trPr>
          <w:trHeight w:val="1012" w:hRule="atLeast"/>
        </w:trPr>
        <w:tc>
          <w:tcPr>
            <w:tcW w:w="530" w:type="dxa"/>
          </w:tcPr>
          <w:p>
            <w:pPr>
              <w:pStyle w:val="TableParagraph"/>
              <w:rPr>
                <w:b/>
                <w:sz w:val="32"/>
              </w:rPr>
            </w:pPr>
          </w:p>
          <w:p>
            <w:pPr>
              <w:pStyle w:val="TableParagraph"/>
              <w:ind w:left="107"/>
              <w:rPr>
                <w:sz w:val="22"/>
              </w:rPr>
            </w:pPr>
            <w:r>
              <w:rPr>
                <w:sz w:val="22"/>
              </w:rPr>
              <w:t>39</w:t>
            </w:r>
          </w:p>
        </w:tc>
        <w:tc>
          <w:tcPr>
            <w:tcW w:w="1699" w:type="dxa"/>
          </w:tcPr>
          <w:p>
            <w:pPr>
              <w:pStyle w:val="TableParagraph"/>
              <w:spacing w:before="6"/>
              <w:rPr>
                <w:b/>
                <w:sz w:val="32"/>
              </w:rPr>
            </w:pPr>
          </w:p>
          <w:p>
            <w:pPr>
              <w:pStyle w:val="TableParagraph"/>
              <w:ind w:left="115"/>
              <w:rPr>
                <w:sz w:val="20"/>
              </w:rPr>
            </w:pPr>
            <w:r>
              <w:rPr>
                <w:sz w:val="20"/>
              </w:rPr>
              <w:t>31.07.2020</w:t>
            </w:r>
          </w:p>
        </w:tc>
        <w:tc>
          <w:tcPr>
            <w:tcW w:w="1699" w:type="dxa"/>
          </w:tcPr>
          <w:p>
            <w:pPr>
              <w:pStyle w:val="TableParagraph"/>
              <w:spacing w:before="6"/>
              <w:rPr>
                <w:b/>
                <w:sz w:val="32"/>
              </w:rPr>
            </w:pPr>
          </w:p>
          <w:p>
            <w:pPr>
              <w:pStyle w:val="TableParagraph"/>
              <w:ind w:left="89" w:right="178"/>
              <w:jc w:val="center"/>
              <w:rPr>
                <w:sz w:val="20"/>
              </w:rPr>
            </w:pPr>
            <w:r>
              <w:rPr>
                <w:sz w:val="20"/>
              </w:rPr>
              <w:t>РЗН 2020/11536</w:t>
            </w:r>
          </w:p>
        </w:tc>
        <w:tc>
          <w:tcPr>
            <w:tcW w:w="5467" w:type="dxa"/>
          </w:tcPr>
          <w:p>
            <w:pPr>
              <w:pStyle w:val="TableParagraph"/>
              <w:spacing w:before="144"/>
              <w:ind w:left="118" w:right="388"/>
              <w:rPr>
                <w:sz w:val="20"/>
              </w:rPr>
            </w:pPr>
            <w:r>
              <w:rPr>
                <w:sz w:val="20"/>
              </w:rPr>
              <w:t>Экспресс-тест Accu News COVID-19 IgM/IgG Ab Test для качественной оценки наличия COVID-19 IgM/IgG</w:t>
            </w:r>
          </w:p>
          <w:p>
            <w:pPr>
              <w:pStyle w:val="TableParagraph"/>
              <w:spacing w:before="1"/>
              <w:ind w:left="117"/>
              <w:rPr>
                <w:sz w:val="20"/>
              </w:rPr>
            </w:pPr>
            <w:r>
              <w:rPr>
                <w:sz w:val="20"/>
              </w:rPr>
              <w:t>в человеческой сыворотке/плазме/цельной крови</w:t>
            </w:r>
          </w:p>
        </w:tc>
        <w:tc>
          <w:tcPr>
            <w:tcW w:w="2229" w:type="dxa"/>
          </w:tcPr>
          <w:p>
            <w:pPr>
              <w:pStyle w:val="TableParagraph"/>
              <w:spacing w:before="6"/>
              <w:rPr>
                <w:b/>
                <w:sz w:val="22"/>
              </w:rPr>
            </w:pPr>
          </w:p>
          <w:p>
            <w:pPr>
              <w:pStyle w:val="TableParagraph"/>
              <w:ind w:left="118" w:right="269"/>
              <w:rPr>
                <w:sz w:val="20"/>
              </w:rPr>
            </w:pPr>
            <w:r>
              <w:rPr>
                <w:sz w:val="20"/>
              </w:rPr>
              <w:t>"Бао Риуан Биотек (Бейджинг) Ко."</w:t>
            </w:r>
          </w:p>
        </w:tc>
        <w:tc>
          <w:tcPr>
            <w:tcW w:w="3508" w:type="dxa"/>
          </w:tcPr>
          <w:p>
            <w:pPr>
              <w:pStyle w:val="TableParagraph"/>
              <w:ind w:left="109" w:right="436"/>
              <w:rPr>
                <w:sz w:val="22"/>
              </w:rPr>
            </w:pPr>
            <w:r>
              <w:rPr>
                <w:sz w:val="22"/>
              </w:rPr>
              <w:t>Китай, Bao Ruiyuan Biotech (Beijing) Co., Ltd., No. 8 Central Road, Doudian Town, Fangshan</w:t>
            </w:r>
          </w:p>
          <w:p>
            <w:pPr>
              <w:pStyle w:val="TableParagraph"/>
              <w:spacing w:line="245" w:lineRule="exact"/>
              <w:ind w:left="109"/>
              <w:rPr>
                <w:sz w:val="22"/>
              </w:rPr>
            </w:pPr>
            <w:r>
              <w:rPr>
                <w:sz w:val="22"/>
              </w:rPr>
              <w:t>District, Beijing 102433, China</w:t>
            </w:r>
          </w:p>
        </w:tc>
      </w:tr>
      <w:tr>
        <w:trPr>
          <w:trHeight w:val="885" w:hRule="atLeast"/>
        </w:trPr>
        <w:tc>
          <w:tcPr>
            <w:tcW w:w="530" w:type="dxa"/>
            <w:shd w:val="clear" w:color="auto" w:fill="F1F1F1"/>
          </w:tcPr>
          <w:p>
            <w:pPr>
              <w:pStyle w:val="TableParagraph"/>
              <w:spacing w:before="6"/>
              <w:rPr>
                <w:b/>
                <w:sz w:val="26"/>
              </w:rPr>
            </w:pPr>
          </w:p>
          <w:p>
            <w:pPr>
              <w:pStyle w:val="TableParagraph"/>
              <w:ind w:left="107"/>
              <w:rPr>
                <w:sz w:val="22"/>
              </w:rPr>
            </w:pPr>
            <w:r>
              <w:rPr>
                <w:sz w:val="22"/>
              </w:rPr>
              <w:t>40</w:t>
            </w:r>
          </w:p>
        </w:tc>
        <w:tc>
          <w:tcPr>
            <w:tcW w:w="1699" w:type="dxa"/>
            <w:shd w:val="clear" w:color="auto" w:fill="F1F1F1"/>
          </w:tcPr>
          <w:p>
            <w:pPr>
              <w:pStyle w:val="TableParagraph"/>
              <w:spacing w:before="1"/>
              <w:rPr>
                <w:b/>
                <w:sz w:val="27"/>
              </w:rPr>
            </w:pPr>
          </w:p>
          <w:p>
            <w:pPr>
              <w:pStyle w:val="TableParagraph"/>
              <w:ind w:left="115"/>
              <w:rPr>
                <w:sz w:val="20"/>
              </w:rPr>
            </w:pPr>
            <w:r>
              <w:rPr>
                <w:sz w:val="20"/>
              </w:rPr>
              <w:t>03.08.2020</w:t>
            </w:r>
          </w:p>
        </w:tc>
        <w:tc>
          <w:tcPr>
            <w:tcW w:w="1699" w:type="dxa"/>
            <w:shd w:val="clear" w:color="auto" w:fill="F1F1F1"/>
          </w:tcPr>
          <w:p>
            <w:pPr>
              <w:pStyle w:val="TableParagraph"/>
              <w:spacing w:before="1"/>
              <w:rPr>
                <w:b/>
                <w:sz w:val="27"/>
              </w:rPr>
            </w:pPr>
          </w:p>
          <w:p>
            <w:pPr>
              <w:pStyle w:val="TableParagraph"/>
              <w:ind w:left="89" w:right="179"/>
              <w:jc w:val="center"/>
              <w:rPr>
                <w:sz w:val="20"/>
              </w:rPr>
            </w:pPr>
            <w:r>
              <w:rPr>
                <w:sz w:val="20"/>
              </w:rPr>
              <w:t>РЗН 2020/11567</w:t>
            </w:r>
          </w:p>
        </w:tc>
        <w:tc>
          <w:tcPr>
            <w:tcW w:w="5467" w:type="dxa"/>
            <w:shd w:val="clear" w:color="auto" w:fill="F1F1F1"/>
          </w:tcPr>
          <w:p>
            <w:pPr>
              <w:pStyle w:val="TableParagraph"/>
              <w:spacing w:line="229" w:lineRule="exact" w:before="82"/>
              <w:ind w:left="118"/>
              <w:rPr>
                <w:sz w:val="20"/>
              </w:rPr>
            </w:pPr>
            <w:r>
              <w:rPr>
                <w:sz w:val="20"/>
              </w:rPr>
              <w:t>Набор для экспресс-тестирования</w:t>
            </w:r>
          </w:p>
          <w:p>
            <w:pPr>
              <w:pStyle w:val="TableParagraph"/>
              <w:ind w:left="118" w:right="574"/>
              <w:rPr>
                <w:sz w:val="20"/>
              </w:rPr>
            </w:pPr>
            <w:r>
              <w:rPr>
                <w:sz w:val="20"/>
              </w:rPr>
              <w:t>(цельная кровь/сыворотка/плазма) на антитела IgG/IgM к коронавирусу COVID-19</w:t>
            </w:r>
          </w:p>
        </w:tc>
        <w:tc>
          <w:tcPr>
            <w:tcW w:w="2229" w:type="dxa"/>
            <w:shd w:val="clear" w:color="auto" w:fill="F1F1F1"/>
          </w:tcPr>
          <w:p>
            <w:pPr>
              <w:pStyle w:val="TableParagraph"/>
              <w:ind w:left="118" w:right="259"/>
              <w:rPr>
                <w:sz w:val="20"/>
              </w:rPr>
            </w:pPr>
            <w:r>
              <w:rPr>
                <w:sz w:val="20"/>
              </w:rPr>
              <w:t>"Инзек Интернешнел Трейдинг Б.В."</w:t>
            </w:r>
          </w:p>
        </w:tc>
        <w:tc>
          <w:tcPr>
            <w:tcW w:w="3508" w:type="dxa"/>
            <w:shd w:val="clear" w:color="auto" w:fill="F1F1F1"/>
          </w:tcPr>
          <w:p>
            <w:pPr>
              <w:pStyle w:val="TableParagraph"/>
              <w:spacing w:line="242" w:lineRule="auto"/>
              <w:ind w:left="109" w:right="91"/>
              <w:jc w:val="both"/>
              <w:rPr>
                <w:sz w:val="22"/>
              </w:rPr>
            </w:pPr>
            <w:r>
              <w:rPr>
                <w:sz w:val="22"/>
              </w:rPr>
              <w:t>Нидерланды, Inzek International Trading B.V., Vissenstraat 32, 7324 AL, Apeldoorn, Netherlands</w:t>
            </w:r>
          </w:p>
        </w:tc>
      </w:tr>
    </w:tbl>
    <w:p>
      <w:pPr>
        <w:spacing w:after="0" w:line="242" w:lineRule="auto"/>
        <w:jc w:val="both"/>
        <w:rPr>
          <w:sz w:val="22"/>
        </w:rPr>
        <w:sectPr>
          <w:pgSz w:w="16850" w:h="11920" w:orient="landscape"/>
          <w:pgMar w:header="0" w:footer="1110" w:top="1040" w:bottom="1300" w:left="880" w:right="360"/>
        </w:sectPr>
      </w:pPr>
    </w:p>
    <w:tbl>
      <w:tblPr>
        <w:tblW w:w="0" w:type="auto"/>
        <w:jc w:val="left"/>
        <w:tblInd w:w="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30"/>
        <w:gridCol w:w="1699"/>
        <w:gridCol w:w="1699"/>
        <w:gridCol w:w="5467"/>
        <w:gridCol w:w="2229"/>
        <w:gridCol w:w="3508"/>
      </w:tblGrid>
      <w:tr>
        <w:trPr>
          <w:trHeight w:val="1276" w:hRule="atLeast"/>
        </w:trPr>
        <w:tc>
          <w:tcPr>
            <w:tcW w:w="530" w:type="dxa"/>
          </w:tcPr>
          <w:p>
            <w:pPr>
              <w:pStyle w:val="TableParagraph"/>
              <w:rPr>
                <w:b/>
                <w:sz w:val="24"/>
              </w:rPr>
            </w:pPr>
          </w:p>
          <w:p>
            <w:pPr>
              <w:pStyle w:val="TableParagraph"/>
              <w:spacing w:before="5"/>
              <w:rPr>
                <w:b/>
                <w:sz w:val="19"/>
              </w:rPr>
            </w:pPr>
          </w:p>
          <w:p>
            <w:pPr>
              <w:pStyle w:val="TableParagraph"/>
              <w:ind w:left="107"/>
              <w:rPr>
                <w:sz w:val="22"/>
              </w:rPr>
            </w:pPr>
            <w:r>
              <w:rPr>
                <w:sz w:val="22"/>
              </w:rPr>
              <w:t>41</w:t>
            </w:r>
          </w:p>
        </w:tc>
        <w:tc>
          <w:tcPr>
            <w:tcW w:w="1699" w:type="dxa"/>
          </w:tcPr>
          <w:p>
            <w:pPr>
              <w:pStyle w:val="TableParagraph"/>
              <w:rPr>
                <w:b/>
                <w:sz w:val="22"/>
              </w:rPr>
            </w:pPr>
          </w:p>
          <w:p>
            <w:pPr>
              <w:pStyle w:val="TableParagraph"/>
              <w:rPr>
                <w:b/>
                <w:sz w:val="22"/>
              </w:rPr>
            </w:pPr>
          </w:p>
          <w:p>
            <w:pPr>
              <w:pStyle w:val="TableParagraph"/>
              <w:ind w:left="115"/>
              <w:rPr>
                <w:sz w:val="20"/>
              </w:rPr>
            </w:pPr>
            <w:r>
              <w:rPr>
                <w:sz w:val="20"/>
              </w:rPr>
              <w:t>04.08.2020</w:t>
            </w:r>
          </w:p>
        </w:tc>
        <w:tc>
          <w:tcPr>
            <w:tcW w:w="1699" w:type="dxa"/>
          </w:tcPr>
          <w:p>
            <w:pPr>
              <w:pStyle w:val="TableParagraph"/>
              <w:rPr>
                <w:b/>
                <w:sz w:val="22"/>
              </w:rPr>
            </w:pPr>
          </w:p>
          <w:p>
            <w:pPr>
              <w:pStyle w:val="TableParagraph"/>
              <w:rPr>
                <w:b/>
                <w:sz w:val="22"/>
              </w:rPr>
            </w:pPr>
          </w:p>
          <w:p>
            <w:pPr>
              <w:pStyle w:val="TableParagraph"/>
              <w:ind w:left="89" w:right="178"/>
              <w:jc w:val="center"/>
              <w:rPr>
                <w:sz w:val="20"/>
              </w:rPr>
            </w:pPr>
            <w:r>
              <w:rPr>
                <w:sz w:val="20"/>
              </w:rPr>
              <w:t>РЗН 2020/11523</w:t>
            </w:r>
          </w:p>
        </w:tc>
        <w:tc>
          <w:tcPr>
            <w:tcW w:w="5467" w:type="dxa"/>
          </w:tcPr>
          <w:p>
            <w:pPr>
              <w:pStyle w:val="TableParagraph"/>
              <w:rPr>
                <w:b/>
                <w:sz w:val="24"/>
              </w:rPr>
            </w:pPr>
          </w:p>
          <w:p>
            <w:pPr>
              <w:pStyle w:val="TableParagraph"/>
              <w:ind w:left="118" w:right="501"/>
              <w:rPr>
                <w:sz w:val="20"/>
              </w:rPr>
            </w:pPr>
            <w:r>
              <w:rPr>
                <w:sz w:val="20"/>
              </w:rPr>
              <w:t>Набор для качественного обнаружения антител IgM/IgG к коронавирусу (SARS-CoV-2) методом иммунохроматографии (COVID-19 IgG/IgM Test)</w:t>
            </w:r>
          </w:p>
        </w:tc>
        <w:tc>
          <w:tcPr>
            <w:tcW w:w="2229" w:type="dxa"/>
          </w:tcPr>
          <w:p>
            <w:pPr>
              <w:pStyle w:val="TableParagraph"/>
              <w:ind w:left="118" w:right="447"/>
              <w:rPr>
                <w:sz w:val="20"/>
              </w:rPr>
            </w:pPr>
            <w:r>
              <w:rPr>
                <w:sz w:val="20"/>
              </w:rPr>
              <w:t>Хьюмазис Ко. Лтд, Республика Корея Humasis Co. Ltd., Republic of Korea</w:t>
            </w:r>
          </w:p>
        </w:tc>
        <w:tc>
          <w:tcPr>
            <w:tcW w:w="3508" w:type="dxa"/>
          </w:tcPr>
          <w:p>
            <w:pPr>
              <w:pStyle w:val="TableParagraph"/>
              <w:spacing w:line="242" w:lineRule="exact"/>
              <w:ind w:left="109"/>
              <w:jc w:val="both"/>
              <w:rPr>
                <w:sz w:val="22"/>
              </w:rPr>
            </w:pPr>
            <w:r>
              <w:rPr>
                <w:sz w:val="22"/>
              </w:rPr>
              <w:t>Республика  Корея,  Rm.  114,</w:t>
            </w:r>
            <w:r>
              <w:rPr>
                <w:spacing w:val="49"/>
                <w:sz w:val="22"/>
              </w:rPr>
              <w:t> </w:t>
            </w:r>
            <w:r>
              <w:rPr>
                <w:sz w:val="22"/>
              </w:rPr>
              <w:t>502,</w:t>
            </w:r>
          </w:p>
          <w:p>
            <w:pPr>
              <w:pStyle w:val="TableParagraph"/>
              <w:spacing w:line="252" w:lineRule="exact" w:before="1"/>
              <w:ind w:left="109"/>
              <w:jc w:val="both"/>
              <w:rPr>
                <w:sz w:val="22"/>
              </w:rPr>
            </w:pPr>
            <w:r>
              <w:rPr>
                <w:sz w:val="22"/>
              </w:rPr>
              <w:t>504, 604, 604-1, B03-01, D03-02,</w:t>
            </w:r>
            <w:r>
              <w:rPr>
                <w:spacing w:val="-40"/>
                <w:sz w:val="22"/>
              </w:rPr>
              <w:t> </w:t>
            </w:r>
            <w:r>
              <w:rPr>
                <w:sz w:val="22"/>
              </w:rPr>
              <w:t>88,</w:t>
            </w:r>
          </w:p>
          <w:p>
            <w:pPr>
              <w:pStyle w:val="TableParagraph"/>
              <w:ind w:left="109" w:right="92"/>
              <w:jc w:val="both"/>
              <w:rPr>
                <w:sz w:val="22"/>
              </w:rPr>
            </w:pPr>
            <w:r>
              <w:rPr>
                <w:sz w:val="22"/>
              </w:rPr>
              <w:t>Jeonpa-ro, Dongan-gu, Anyang-si, Gyeonggido, 14042, Republic of Korea</w:t>
            </w:r>
          </w:p>
        </w:tc>
      </w:tr>
      <w:tr>
        <w:trPr>
          <w:trHeight w:val="1163" w:hRule="atLeast"/>
        </w:trPr>
        <w:tc>
          <w:tcPr>
            <w:tcW w:w="530" w:type="dxa"/>
            <w:shd w:val="clear" w:color="auto" w:fill="F1F1F1"/>
          </w:tcPr>
          <w:p>
            <w:pPr>
              <w:pStyle w:val="TableParagraph"/>
              <w:rPr>
                <w:b/>
                <w:sz w:val="24"/>
              </w:rPr>
            </w:pPr>
          </w:p>
          <w:p>
            <w:pPr>
              <w:pStyle w:val="TableParagraph"/>
              <w:spacing w:before="166"/>
              <w:ind w:left="107"/>
              <w:rPr>
                <w:sz w:val="22"/>
              </w:rPr>
            </w:pPr>
            <w:r>
              <w:rPr>
                <w:sz w:val="22"/>
              </w:rPr>
              <w:t>42</w:t>
            </w:r>
          </w:p>
        </w:tc>
        <w:tc>
          <w:tcPr>
            <w:tcW w:w="1699" w:type="dxa"/>
            <w:shd w:val="clear" w:color="auto" w:fill="F1F1F1"/>
          </w:tcPr>
          <w:p>
            <w:pPr>
              <w:pStyle w:val="TableParagraph"/>
              <w:rPr>
                <w:b/>
                <w:sz w:val="22"/>
              </w:rPr>
            </w:pPr>
          </w:p>
          <w:p>
            <w:pPr>
              <w:pStyle w:val="TableParagraph"/>
              <w:spacing w:before="196"/>
              <w:ind w:left="115"/>
              <w:rPr>
                <w:sz w:val="20"/>
              </w:rPr>
            </w:pPr>
            <w:r>
              <w:rPr>
                <w:sz w:val="20"/>
              </w:rPr>
              <w:t>05.08.2020</w:t>
            </w:r>
          </w:p>
        </w:tc>
        <w:tc>
          <w:tcPr>
            <w:tcW w:w="1699" w:type="dxa"/>
            <w:shd w:val="clear" w:color="auto" w:fill="F1F1F1"/>
          </w:tcPr>
          <w:p>
            <w:pPr>
              <w:pStyle w:val="TableParagraph"/>
              <w:rPr>
                <w:b/>
                <w:sz w:val="22"/>
              </w:rPr>
            </w:pPr>
          </w:p>
          <w:p>
            <w:pPr>
              <w:pStyle w:val="TableParagraph"/>
              <w:spacing w:before="196"/>
              <w:ind w:left="89" w:right="178"/>
              <w:jc w:val="center"/>
              <w:rPr>
                <w:sz w:val="20"/>
              </w:rPr>
            </w:pPr>
            <w:r>
              <w:rPr>
                <w:sz w:val="20"/>
              </w:rPr>
              <w:t>РЗН 2020/11590</w:t>
            </w:r>
          </w:p>
        </w:tc>
        <w:tc>
          <w:tcPr>
            <w:tcW w:w="5467" w:type="dxa"/>
            <w:shd w:val="clear" w:color="auto" w:fill="F1F1F1"/>
          </w:tcPr>
          <w:p>
            <w:pPr>
              <w:pStyle w:val="TableParagraph"/>
              <w:ind w:left="118" w:right="152"/>
              <w:rPr>
                <w:sz w:val="20"/>
              </w:rPr>
            </w:pPr>
            <w:r>
              <w:rPr>
                <w:sz w:val="20"/>
              </w:rPr>
              <w:t>Набор реагентов "Тест-система иммунохроматографическая для качественного выявления антител IgG / IgM к коронавирусу SARS-CoV-2 в образцах сыворотки, плазмы или цельной крови человека" "ИМБИАН-SARS-CoV-2 IgG/IgM ИХА"</w:t>
            </w:r>
          </w:p>
        </w:tc>
        <w:tc>
          <w:tcPr>
            <w:tcW w:w="2229" w:type="dxa"/>
            <w:shd w:val="clear" w:color="auto" w:fill="F1F1F1"/>
          </w:tcPr>
          <w:p>
            <w:pPr>
              <w:pStyle w:val="TableParagraph"/>
              <w:spacing w:line="221" w:lineRule="exact"/>
              <w:ind w:left="118"/>
              <w:rPr>
                <w:sz w:val="20"/>
              </w:rPr>
            </w:pPr>
            <w:r>
              <w:rPr>
                <w:sz w:val="20"/>
              </w:rPr>
              <w:t>ООО "ИМБИАН ЛАБ"</w:t>
            </w:r>
          </w:p>
        </w:tc>
        <w:tc>
          <w:tcPr>
            <w:tcW w:w="3508" w:type="dxa"/>
            <w:shd w:val="clear" w:color="auto" w:fill="F1F1F1"/>
          </w:tcPr>
          <w:p>
            <w:pPr>
              <w:pStyle w:val="TableParagraph"/>
              <w:spacing w:line="242" w:lineRule="auto"/>
              <w:ind w:left="109"/>
              <w:rPr>
                <w:sz w:val="22"/>
              </w:rPr>
            </w:pPr>
            <w:r>
              <w:rPr>
                <w:sz w:val="22"/>
              </w:rPr>
              <w:t>630099, Россия, г. Новосибирск, Красный пр-кт, д. 17/1, эт. 5, пом. 1</w:t>
            </w:r>
          </w:p>
        </w:tc>
      </w:tr>
      <w:tr>
        <w:trPr>
          <w:trHeight w:val="1021" w:hRule="atLeast"/>
        </w:trPr>
        <w:tc>
          <w:tcPr>
            <w:tcW w:w="530" w:type="dxa"/>
          </w:tcPr>
          <w:p>
            <w:pPr>
              <w:pStyle w:val="TableParagraph"/>
              <w:spacing w:before="4"/>
              <w:rPr>
                <w:b/>
                <w:sz w:val="32"/>
              </w:rPr>
            </w:pPr>
          </w:p>
          <w:p>
            <w:pPr>
              <w:pStyle w:val="TableParagraph"/>
              <w:spacing w:before="1"/>
              <w:ind w:left="107"/>
              <w:rPr>
                <w:sz w:val="22"/>
              </w:rPr>
            </w:pPr>
            <w:r>
              <w:rPr>
                <w:sz w:val="22"/>
              </w:rPr>
              <w:t>43</w:t>
            </w:r>
          </w:p>
        </w:tc>
        <w:tc>
          <w:tcPr>
            <w:tcW w:w="1699" w:type="dxa"/>
          </w:tcPr>
          <w:p>
            <w:pPr>
              <w:pStyle w:val="TableParagraph"/>
              <w:spacing w:before="11"/>
              <w:rPr>
                <w:b/>
                <w:sz w:val="32"/>
              </w:rPr>
            </w:pPr>
          </w:p>
          <w:p>
            <w:pPr>
              <w:pStyle w:val="TableParagraph"/>
              <w:ind w:left="115"/>
              <w:rPr>
                <w:sz w:val="20"/>
              </w:rPr>
            </w:pPr>
            <w:r>
              <w:rPr>
                <w:sz w:val="20"/>
              </w:rPr>
              <w:t>12.08.2020</w:t>
            </w:r>
          </w:p>
        </w:tc>
        <w:tc>
          <w:tcPr>
            <w:tcW w:w="1699" w:type="dxa"/>
          </w:tcPr>
          <w:p>
            <w:pPr>
              <w:pStyle w:val="TableParagraph"/>
              <w:spacing w:before="11"/>
              <w:rPr>
                <w:b/>
                <w:sz w:val="32"/>
              </w:rPr>
            </w:pPr>
          </w:p>
          <w:p>
            <w:pPr>
              <w:pStyle w:val="TableParagraph"/>
              <w:ind w:left="89" w:right="178"/>
              <w:jc w:val="center"/>
              <w:rPr>
                <w:sz w:val="20"/>
              </w:rPr>
            </w:pPr>
            <w:r>
              <w:rPr>
                <w:sz w:val="20"/>
              </w:rPr>
              <w:t>РЗН 2020/11703</w:t>
            </w:r>
          </w:p>
        </w:tc>
        <w:tc>
          <w:tcPr>
            <w:tcW w:w="5467" w:type="dxa"/>
          </w:tcPr>
          <w:p>
            <w:pPr>
              <w:pStyle w:val="TableParagraph"/>
              <w:spacing w:before="11"/>
              <w:rPr>
                <w:b/>
                <w:sz w:val="22"/>
              </w:rPr>
            </w:pPr>
          </w:p>
          <w:p>
            <w:pPr>
              <w:pStyle w:val="TableParagraph"/>
              <w:ind w:left="118" w:right="377"/>
              <w:rPr>
                <w:sz w:val="20"/>
              </w:rPr>
            </w:pPr>
            <w:r>
              <w:rPr>
                <w:sz w:val="20"/>
              </w:rPr>
              <w:t>Набор для диагностики антител IgM / IgG к коронавирусу (SARS-CoV-2) методом иммунохроматографии</w:t>
            </w:r>
          </w:p>
        </w:tc>
        <w:tc>
          <w:tcPr>
            <w:tcW w:w="2229" w:type="dxa"/>
          </w:tcPr>
          <w:p>
            <w:pPr>
              <w:pStyle w:val="TableParagraph"/>
              <w:spacing w:before="11"/>
              <w:rPr>
                <w:b/>
                <w:sz w:val="22"/>
              </w:rPr>
            </w:pPr>
          </w:p>
          <w:p>
            <w:pPr>
              <w:pStyle w:val="TableParagraph"/>
              <w:ind w:left="118" w:right="269"/>
              <w:rPr>
                <w:sz w:val="20"/>
              </w:rPr>
            </w:pPr>
            <w:r>
              <w:rPr>
                <w:sz w:val="20"/>
              </w:rPr>
              <w:t>"Чжухай Ливзон Дайагностикс Инк."</w:t>
            </w:r>
          </w:p>
        </w:tc>
        <w:tc>
          <w:tcPr>
            <w:tcW w:w="3508" w:type="dxa"/>
          </w:tcPr>
          <w:p>
            <w:pPr>
              <w:pStyle w:val="TableParagraph"/>
              <w:ind w:left="109" w:right="185"/>
              <w:rPr>
                <w:sz w:val="22"/>
              </w:rPr>
            </w:pPr>
            <w:r>
              <w:rPr>
                <w:sz w:val="22"/>
              </w:rPr>
              <w:t>КНР, Zhuhai Livzon Diagnostics Inc., No. 266, Tongchang Road, Xiangzhou District, 519060 Zhuhai, Guangdong, P.R. China</w:t>
            </w:r>
          </w:p>
        </w:tc>
      </w:tr>
      <w:tr>
        <w:trPr>
          <w:trHeight w:val="1526" w:hRule="atLeast"/>
        </w:trPr>
        <w:tc>
          <w:tcPr>
            <w:tcW w:w="530" w:type="dxa"/>
            <w:shd w:val="clear" w:color="auto" w:fill="F1F1F1"/>
          </w:tcPr>
          <w:p>
            <w:pPr>
              <w:pStyle w:val="TableParagraph"/>
              <w:rPr>
                <w:b/>
                <w:sz w:val="24"/>
              </w:rPr>
            </w:pPr>
          </w:p>
          <w:p>
            <w:pPr>
              <w:pStyle w:val="TableParagraph"/>
              <w:spacing w:before="3"/>
              <w:rPr>
                <w:b/>
                <w:sz w:val="30"/>
              </w:rPr>
            </w:pPr>
          </w:p>
          <w:p>
            <w:pPr>
              <w:pStyle w:val="TableParagraph"/>
              <w:spacing w:before="1"/>
              <w:ind w:left="107"/>
              <w:rPr>
                <w:sz w:val="22"/>
              </w:rPr>
            </w:pPr>
            <w:r>
              <w:rPr>
                <w:sz w:val="22"/>
              </w:rPr>
              <w:t>44</w:t>
            </w:r>
          </w:p>
        </w:tc>
        <w:tc>
          <w:tcPr>
            <w:tcW w:w="1699" w:type="dxa"/>
            <w:shd w:val="clear" w:color="auto" w:fill="F1F1F1"/>
          </w:tcPr>
          <w:p>
            <w:pPr>
              <w:pStyle w:val="TableParagraph"/>
              <w:rPr>
                <w:b/>
                <w:sz w:val="22"/>
              </w:rPr>
            </w:pPr>
          </w:p>
          <w:p>
            <w:pPr>
              <w:pStyle w:val="TableParagraph"/>
              <w:spacing w:before="10"/>
              <w:rPr>
                <w:b/>
                <w:sz w:val="32"/>
              </w:rPr>
            </w:pPr>
          </w:p>
          <w:p>
            <w:pPr>
              <w:pStyle w:val="TableParagraph"/>
              <w:ind w:left="115"/>
              <w:rPr>
                <w:sz w:val="20"/>
              </w:rPr>
            </w:pPr>
            <w:r>
              <w:rPr>
                <w:sz w:val="20"/>
              </w:rPr>
              <w:t>13.08.2020</w:t>
            </w:r>
          </w:p>
        </w:tc>
        <w:tc>
          <w:tcPr>
            <w:tcW w:w="1699" w:type="dxa"/>
            <w:shd w:val="clear" w:color="auto" w:fill="F1F1F1"/>
          </w:tcPr>
          <w:p>
            <w:pPr>
              <w:pStyle w:val="TableParagraph"/>
              <w:rPr>
                <w:b/>
                <w:sz w:val="22"/>
              </w:rPr>
            </w:pPr>
          </w:p>
          <w:p>
            <w:pPr>
              <w:pStyle w:val="TableParagraph"/>
              <w:spacing w:before="10"/>
              <w:rPr>
                <w:b/>
                <w:sz w:val="32"/>
              </w:rPr>
            </w:pPr>
          </w:p>
          <w:p>
            <w:pPr>
              <w:pStyle w:val="TableParagraph"/>
              <w:ind w:left="89" w:right="178"/>
              <w:jc w:val="center"/>
              <w:rPr>
                <w:sz w:val="20"/>
              </w:rPr>
            </w:pPr>
            <w:r>
              <w:rPr>
                <w:sz w:val="20"/>
              </w:rPr>
              <w:t>РЗН 2020/11711</w:t>
            </w:r>
          </w:p>
        </w:tc>
        <w:tc>
          <w:tcPr>
            <w:tcW w:w="5467" w:type="dxa"/>
            <w:shd w:val="clear" w:color="auto" w:fill="F1F1F1"/>
          </w:tcPr>
          <w:p>
            <w:pPr>
              <w:pStyle w:val="TableParagraph"/>
              <w:rPr>
                <w:b/>
                <w:sz w:val="22"/>
              </w:rPr>
            </w:pPr>
          </w:p>
          <w:p>
            <w:pPr>
              <w:pStyle w:val="TableParagraph"/>
              <w:spacing w:before="10"/>
              <w:rPr>
                <w:b/>
                <w:sz w:val="22"/>
              </w:rPr>
            </w:pPr>
          </w:p>
          <w:p>
            <w:pPr>
              <w:pStyle w:val="TableParagraph"/>
              <w:ind w:left="118"/>
              <w:rPr>
                <w:sz w:val="20"/>
              </w:rPr>
            </w:pPr>
            <w:r>
              <w:rPr>
                <w:sz w:val="20"/>
              </w:rPr>
              <w:t>Набор реагентов "Экспресс-тест IgG/IgM на выявление</w:t>
            </w:r>
          </w:p>
          <w:p>
            <w:pPr>
              <w:pStyle w:val="TableParagraph"/>
              <w:ind w:left="118"/>
              <w:rPr>
                <w:sz w:val="20"/>
              </w:rPr>
            </w:pPr>
            <w:r>
              <w:rPr>
                <w:sz w:val="20"/>
              </w:rPr>
              <w:t>COVID-19"</w:t>
            </w:r>
          </w:p>
        </w:tc>
        <w:tc>
          <w:tcPr>
            <w:tcW w:w="2229" w:type="dxa"/>
            <w:shd w:val="clear" w:color="auto" w:fill="F1F1F1"/>
          </w:tcPr>
          <w:p>
            <w:pPr>
              <w:pStyle w:val="TableParagraph"/>
              <w:rPr>
                <w:b/>
                <w:sz w:val="22"/>
              </w:rPr>
            </w:pPr>
          </w:p>
          <w:p>
            <w:pPr>
              <w:pStyle w:val="TableParagraph"/>
              <w:spacing w:before="10"/>
              <w:rPr>
                <w:b/>
                <w:sz w:val="22"/>
              </w:rPr>
            </w:pPr>
          </w:p>
          <w:p>
            <w:pPr>
              <w:pStyle w:val="TableParagraph"/>
              <w:ind w:left="118" w:right="253"/>
              <w:rPr>
                <w:sz w:val="20"/>
              </w:rPr>
            </w:pPr>
            <w:r>
              <w:rPr>
                <w:sz w:val="20"/>
              </w:rPr>
              <w:t>"ХАНЧЖОУ РИЭЛИ ТЕК КО. ЛТД."</w:t>
            </w:r>
          </w:p>
        </w:tc>
        <w:tc>
          <w:tcPr>
            <w:tcW w:w="3508" w:type="dxa"/>
            <w:shd w:val="clear" w:color="auto" w:fill="F1F1F1"/>
          </w:tcPr>
          <w:p>
            <w:pPr>
              <w:pStyle w:val="TableParagraph"/>
              <w:ind w:left="109" w:right="423"/>
              <w:rPr>
                <w:sz w:val="22"/>
              </w:rPr>
            </w:pPr>
            <w:r>
              <w:rPr>
                <w:sz w:val="22"/>
              </w:rPr>
              <w:t>Китай, HANGZHOU REALY TECH СО., LTD., 4th Floor, #12</w:t>
            </w:r>
          </w:p>
          <w:p>
            <w:pPr>
              <w:pStyle w:val="TableParagraph"/>
              <w:ind w:left="109" w:right="320"/>
              <w:rPr>
                <w:sz w:val="22"/>
              </w:rPr>
            </w:pPr>
            <w:r>
              <w:rPr>
                <w:sz w:val="22"/>
              </w:rPr>
              <w:t>Building, Eastern Medicine Town, Xiasha Economic&amp;Technology Development, 310018 Hangzhou, Zhejiang, P.R. China</w:t>
            </w:r>
          </w:p>
        </w:tc>
      </w:tr>
      <w:tr>
        <w:trPr>
          <w:trHeight w:val="1394" w:hRule="atLeast"/>
        </w:trPr>
        <w:tc>
          <w:tcPr>
            <w:tcW w:w="530" w:type="dxa"/>
          </w:tcPr>
          <w:p>
            <w:pPr>
              <w:pStyle w:val="TableParagraph"/>
              <w:rPr>
                <w:b/>
                <w:sz w:val="24"/>
              </w:rPr>
            </w:pPr>
          </w:p>
          <w:p>
            <w:pPr>
              <w:pStyle w:val="TableParagraph"/>
              <w:spacing w:before="8"/>
              <w:rPr>
                <w:b/>
                <w:sz w:val="24"/>
              </w:rPr>
            </w:pPr>
          </w:p>
          <w:p>
            <w:pPr>
              <w:pStyle w:val="TableParagraph"/>
              <w:ind w:left="107"/>
              <w:rPr>
                <w:sz w:val="22"/>
              </w:rPr>
            </w:pPr>
            <w:r>
              <w:rPr>
                <w:sz w:val="22"/>
              </w:rPr>
              <w:t>45</w:t>
            </w:r>
          </w:p>
        </w:tc>
        <w:tc>
          <w:tcPr>
            <w:tcW w:w="1699" w:type="dxa"/>
          </w:tcPr>
          <w:p>
            <w:pPr>
              <w:pStyle w:val="TableParagraph"/>
              <w:rPr>
                <w:b/>
                <w:sz w:val="22"/>
              </w:rPr>
            </w:pPr>
          </w:p>
          <w:p>
            <w:pPr>
              <w:pStyle w:val="TableParagraph"/>
              <w:spacing w:before="3"/>
              <w:rPr>
                <w:b/>
                <w:sz w:val="27"/>
              </w:rPr>
            </w:pPr>
          </w:p>
          <w:p>
            <w:pPr>
              <w:pStyle w:val="TableParagraph"/>
              <w:ind w:left="115"/>
              <w:rPr>
                <w:sz w:val="20"/>
              </w:rPr>
            </w:pPr>
            <w:r>
              <w:rPr>
                <w:sz w:val="20"/>
              </w:rPr>
              <w:t>14.08.2020</w:t>
            </w:r>
          </w:p>
        </w:tc>
        <w:tc>
          <w:tcPr>
            <w:tcW w:w="1699" w:type="dxa"/>
          </w:tcPr>
          <w:p>
            <w:pPr>
              <w:pStyle w:val="TableParagraph"/>
              <w:rPr>
                <w:b/>
                <w:sz w:val="22"/>
              </w:rPr>
            </w:pPr>
          </w:p>
          <w:p>
            <w:pPr>
              <w:pStyle w:val="TableParagraph"/>
              <w:spacing w:before="3"/>
              <w:rPr>
                <w:b/>
                <w:sz w:val="27"/>
              </w:rPr>
            </w:pPr>
          </w:p>
          <w:p>
            <w:pPr>
              <w:pStyle w:val="TableParagraph"/>
              <w:ind w:left="89" w:right="179"/>
              <w:jc w:val="center"/>
              <w:rPr>
                <w:sz w:val="20"/>
              </w:rPr>
            </w:pPr>
            <w:r>
              <w:rPr>
                <w:sz w:val="20"/>
              </w:rPr>
              <w:t>РЗН 2020/11747</w:t>
            </w:r>
          </w:p>
        </w:tc>
        <w:tc>
          <w:tcPr>
            <w:tcW w:w="5467" w:type="dxa"/>
          </w:tcPr>
          <w:p>
            <w:pPr>
              <w:pStyle w:val="TableParagraph"/>
              <w:ind w:left="118" w:right="891"/>
              <w:rPr>
                <w:sz w:val="20"/>
              </w:rPr>
            </w:pPr>
            <w:r>
              <w:rPr>
                <w:sz w:val="20"/>
              </w:rPr>
              <w:t>Набор реагентов для иммунохроматографического выявления антител IgG/IgM к новому коронавирусу (COVID-19), метод коллоидного золота в образцах сыворотки, плазмы и цельной крови человека</w:t>
            </w:r>
          </w:p>
          <w:p>
            <w:pPr>
              <w:pStyle w:val="TableParagraph"/>
              <w:ind w:left="118" w:right="586"/>
              <w:rPr>
                <w:sz w:val="20"/>
              </w:rPr>
            </w:pPr>
            <w:r>
              <w:rPr>
                <w:sz w:val="20"/>
              </w:rPr>
              <w:t>(Novel coronavirus (COVID-19) IgG/IgM antibody test kit (colloidal gold)</w:t>
            </w:r>
          </w:p>
        </w:tc>
        <w:tc>
          <w:tcPr>
            <w:tcW w:w="2229" w:type="dxa"/>
          </w:tcPr>
          <w:p>
            <w:pPr>
              <w:pStyle w:val="TableParagraph"/>
              <w:spacing w:before="2"/>
              <w:rPr>
                <w:b/>
                <w:sz w:val="29"/>
              </w:rPr>
            </w:pPr>
          </w:p>
          <w:p>
            <w:pPr>
              <w:pStyle w:val="TableParagraph"/>
              <w:ind w:left="118" w:right="459"/>
              <w:rPr>
                <w:sz w:val="20"/>
              </w:rPr>
            </w:pPr>
            <w:r>
              <w:rPr>
                <w:sz w:val="20"/>
              </w:rPr>
              <w:t>"Чанчжоу Биовин Фармацетикал Ко., Лтд."</w:t>
            </w:r>
          </w:p>
        </w:tc>
        <w:tc>
          <w:tcPr>
            <w:tcW w:w="3508" w:type="dxa"/>
          </w:tcPr>
          <w:p>
            <w:pPr>
              <w:pStyle w:val="TableParagraph"/>
              <w:spacing w:before="48"/>
              <w:ind w:left="109" w:right="179"/>
              <w:rPr>
                <w:sz w:val="22"/>
              </w:rPr>
            </w:pPr>
            <w:r>
              <w:rPr>
                <w:sz w:val="22"/>
              </w:rPr>
              <w:t>Китай, Changzhou Biowin Pharmaceutical Co., Ltd., Building 3, Caltech port, 218 Fumin Road, Changzhou Economic Development Zone, Changzhou 213025, China</w:t>
            </w:r>
          </w:p>
        </w:tc>
      </w:tr>
      <w:tr>
        <w:trPr>
          <w:trHeight w:val="1528" w:hRule="atLeast"/>
        </w:trPr>
        <w:tc>
          <w:tcPr>
            <w:tcW w:w="530" w:type="dxa"/>
            <w:shd w:val="clear" w:color="auto" w:fill="F1F1F1"/>
          </w:tcPr>
          <w:p>
            <w:pPr>
              <w:pStyle w:val="TableParagraph"/>
              <w:rPr>
                <w:b/>
                <w:sz w:val="24"/>
              </w:rPr>
            </w:pPr>
          </w:p>
          <w:p>
            <w:pPr>
              <w:pStyle w:val="TableParagraph"/>
              <w:spacing w:before="6"/>
              <w:rPr>
                <w:b/>
                <w:sz w:val="30"/>
              </w:rPr>
            </w:pPr>
          </w:p>
          <w:p>
            <w:pPr>
              <w:pStyle w:val="TableParagraph"/>
              <w:ind w:left="107"/>
              <w:rPr>
                <w:sz w:val="22"/>
              </w:rPr>
            </w:pPr>
            <w:r>
              <w:rPr>
                <w:sz w:val="22"/>
              </w:rPr>
              <w:t>46</w:t>
            </w:r>
          </w:p>
        </w:tc>
        <w:tc>
          <w:tcPr>
            <w:tcW w:w="1699" w:type="dxa"/>
            <w:shd w:val="clear" w:color="auto" w:fill="F1F1F1"/>
          </w:tcPr>
          <w:p>
            <w:pPr>
              <w:pStyle w:val="TableParagraph"/>
              <w:rPr>
                <w:b/>
                <w:sz w:val="22"/>
              </w:rPr>
            </w:pPr>
          </w:p>
          <w:p>
            <w:pPr>
              <w:pStyle w:val="TableParagraph"/>
              <w:rPr>
                <w:b/>
                <w:sz w:val="22"/>
              </w:rPr>
            </w:pPr>
          </w:p>
          <w:p>
            <w:pPr>
              <w:pStyle w:val="TableParagraph"/>
              <w:spacing w:before="128"/>
              <w:ind w:left="115"/>
              <w:rPr>
                <w:sz w:val="20"/>
              </w:rPr>
            </w:pPr>
            <w:r>
              <w:rPr>
                <w:sz w:val="20"/>
              </w:rPr>
              <w:t>17.08.2020</w:t>
            </w:r>
          </w:p>
        </w:tc>
        <w:tc>
          <w:tcPr>
            <w:tcW w:w="1699" w:type="dxa"/>
            <w:shd w:val="clear" w:color="auto" w:fill="F1F1F1"/>
          </w:tcPr>
          <w:p>
            <w:pPr>
              <w:pStyle w:val="TableParagraph"/>
              <w:rPr>
                <w:b/>
                <w:sz w:val="22"/>
              </w:rPr>
            </w:pPr>
          </w:p>
          <w:p>
            <w:pPr>
              <w:pStyle w:val="TableParagraph"/>
              <w:rPr>
                <w:b/>
                <w:sz w:val="22"/>
              </w:rPr>
            </w:pPr>
          </w:p>
          <w:p>
            <w:pPr>
              <w:pStyle w:val="TableParagraph"/>
              <w:spacing w:before="128"/>
              <w:ind w:left="89" w:right="178"/>
              <w:jc w:val="center"/>
              <w:rPr>
                <w:sz w:val="20"/>
              </w:rPr>
            </w:pPr>
            <w:r>
              <w:rPr>
                <w:sz w:val="20"/>
              </w:rPr>
              <w:t>РЗН 2020/11766</w:t>
            </w:r>
          </w:p>
        </w:tc>
        <w:tc>
          <w:tcPr>
            <w:tcW w:w="5467" w:type="dxa"/>
            <w:shd w:val="clear" w:color="auto" w:fill="F1F1F1"/>
          </w:tcPr>
          <w:p>
            <w:pPr>
              <w:pStyle w:val="TableParagraph"/>
              <w:rPr>
                <w:b/>
                <w:sz w:val="22"/>
              </w:rPr>
            </w:pPr>
          </w:p>
          <w:p>
            <w:pPr>
              <w:pStyle w:val="TableParagraph"/>
              <w:spacing w:before="150"/>
              <w:ind w:left="118" w:right="312" w:firstLine="50"/>
              <w:rPr>
                <w:sz w:val="20"/>
              </w:rPr>
            </w:pPr>
            <w:r>
              <w:rPr>
                <w:sz w:val="20"/>
              </w:rPr>
              <w:t>Набор реагентов для выявления антител класса IgM и IgG к SARS-Cov-2 методом иммунохроматографического анализа "2019-nCov Ab test (Colloidal Gold)"</w:t>
            </w:r>
          </w:p>
        </w:tc>
        <w:tc>
          <w:tcPr>
            <w:tcW w:w="2229" w:type="dxa"/>
            <w:shd w:val="clear" w:color="auto" w:fill="F1F1F1"/>
          </w:tcPr>
          <w:p>
            <w:pPr>
              <w:pStyle w:val="TableParagraph"/>
              <w:rPr>
                <w:b/>
                <w:sz w:val="22"/>
              </w:rPr>
            </w:pPr>
          </w:p>
          <w:p>
            <w:pPr>
              <w:pStyle w:val="TableParagraph"/>
              <w:spacing w:before="150"/>
              <w:ind w:left="118" w:right="126"/>
              <w:rPr>
                <w:sz w:val="20"/>
              </w:rPr>
            </w:pPr>
            <w:r>
              <w:rPr>
                <w:sz w:val="20"/>
              </w:rPr>
              <w:t>"Инновита (Таншань) Биолоджикал Технолоджи Ко., Лтд."</w:t>
            </w:r>
          </w:p>
        </w:tc>
        <w:tc>
          <w:tcPr>
            <w:tcW w:w="3508" w:type="dxa"/>
            <w:shd w:val="clear" w:color="auto" w:fill="F1F1F1"/>
          </w:tcPr>
          <w:p>
            <w:pPr>
              <w:pStyle w:val="TableParagraph"/>
              <w:ind w:left="109" w:right="454"/>
              <w:rPr>
                <w:sz w:val="22"/>
              </w:rPr>
            </w:pPr>
            <w:r>
              <w:rPr>
                <w:sz w:val="22"/>
              </w:rPr>
              <w:t>Китай, Innovita (Tangshan) Biological Technology Co., Ltd., No. 699 Juxin Street, High-tech Industrial Development Zone, Qian&amp;#699;an, Hebei, 064400, China</w:t>
            </w:r>
          </w:p>
        </w:tc>
      </w:tr>
      <w:tr>
        <w:trPr>
          <w:trHeight w:val="1393" w:hRule="atLeast"/>
        </w:trPr>
        <w:tc>
          <w:tcPr>
            <w:tcW w:w="530" w:type="dxa"/>
          </w:tcPr>
          <w:p>
            <w:pPr>
              <w:pStyle w:val="TableParagraph"/>
              <w:rPr>
                <w:b/>
                <w:sz w:val="24"/>
              </w:rPr>
            </w:pPr>
          </w:p>
          <w:p>
            <w:pPr>
              <w:pStyle w:val="TableParagraph"/>
              <w:spacing w:before="8"/>
              <w:rPr>
                <w:b/>
                <w:sz w:val="24"/>
              </w:rPr>
            </w:pPr>
          </w:p>
          <w:p>
            <w:pPr>
              <w:pStyle w:val="TableParagraph"/>
              <w:ind w:left="107"/>
              <w:rPr>
                <w:sz w:val="22"/>
              </w:rPr>
            </w:pPr>
            <w:r>
              <w:rPr>
                <w:sz w:val="22"/>
              </w:rPr>
              <w:t>47</w:t>
            </w:r>
          </w:p>
        </w:tc>
        <w:tc>
          <w:tcPr>
            <w:tcW w:w="1699" w:type="dxa"/>
          </w:tcPr>
          <w:p>
            <w:pPr>
              <w:pStyle w:val="TableParagraph"/>
              <w:rPr>
                <w:b/>
                <w:sz w:val="22"/>
              </w:rPr>
            </w:pPr>
          </w:p>
          <w:p>
            <w:pPr>
              <w:pStyle w:val="TableParagraph"/>
              <w:spacing w:before="3"/>
              <w:rPr>
                <w:b/>
                <w:sz w:val="27"/>
              </w:rPr>
            </w:pPr>
          </w:p>
          <w:p>
            <w:pPr>
              <w:pStyle w:val="TableParagraph"/>
              <w:ind w:left="115"/>
              <w:rPr>
                <w:sz w:val="20"/>
              </w:rPr>
            </w:pPr>
            <w:r>
              <w:rPr>
                <w:sz w:val="20"/>
              </w:rPr>
              <w:t>19.08.2020</w:t>
            </w:r>
          </w:p>
        </w:tc>
        <w:tc>
          <w:tcPr>
            <w:tcW w:w="1699" w:type="dxa"/>
          </w:tcPr>
          <w:p>
            <w:pPr>
              <w:pStyle w:val="TableParagraph"/>
              <w:rPr>
                <w:b/>
                <w:sz w:val="22"/>
              </w:rPr>
            </w:pPr>
          </w:p>
          <w:p>
            <w:pPr>
              <w:pStyle w:val="TableParagraph"/>
              <w:spacing w:before="3"/>
              <w:rPr>
                <w:b/>
                <w:sz w:val="27"/>
              </w:rPr>
            </w:pPr>
          </w:p>
          <w:p>
            <w:pPr>
              <w:pStyle w:val="TableParagraph"/>
              <w:ind w:left="89" w:right="178"/>
              <w:jc w:val="center"/>
              <w:rPr>
                <w:sz w:val="20"/>
              </w:rPr>
            </w:pPr>
            <w:r>
              <w:rPr>
                <w:sz w:val="20"/>
              </w:rPr>
              <w:t>РЗН 2020/11771</w:t>
            </w:r>
          </w:p>
        </w:tc>
        <w:tc>
          <w:tcPr>
            <w:tcW w:w="5467" w:type="dxa"/>
          </w:tcPr>
          <w:p>
            <w:pPr>
              <w:pStyle w:val="TableParagraph"/>
              <w:ind w:left="118" w:right="91"/>
              <w:rPr>
                <w:sz w:val="20"/>
              </w:rPr>
            </w:pPr>
            <w:r>
              <w:rPr>
                <w:sz w:val="20"/>
              </w:rPr>
              <w:t>Набор COVID-19 IgM/IgG для иммунохроматографического анализа, предназначенный для быстрого и дифференциального обнаружения иммуноглобулинов класса M (IgM) и иммуноглобулинов класса G (IgG) к COVID-19</w:t>
            </w:r>
          </w:p>
          <w:p>
            <w:pPr>
              <w:pStyle w:val="TableParagraph"/>
              <w:ind w:left="118" w:right="441" w:hanging="1"/>
              <w:rPr>
                <w:sz w:val="20"/>
              </w:rPr>
            </w:pPr>
            <w:r>
              <w:rPr>
                <w:sz w:val="20"/>
              </w:rPr>
              <w:t>в сыворотке, плазме, цельной венозной или капиллярной крови человека</w:t>
            </w:r>
          </w:p>
        </w:tc>
        <w:tc>
          <w:tcPr>
            <w:tcW w:w="2229" w:type="dxa"/>
          </w:tcPr>
          <w:p>
            <w:pPr>
              <w:pStyle w:val="TableParagraph"/>
              <w:rPr>
                <w:b/>
                <w:sz w:val="22"/>
              </w:rPr>
            </w:pPr>
          </w:p>
          <w:p>
            <w:pPr>
              <w:pStyle w:val="TableParagraph"/>
              <w:spacing w:before="3"/>
              <w:rPr>
                <w:b/>
                <w:sz w:val="27"/>
              </w:rPr>
            </w:pPr>
          </w:p>
          <w:p>
            <w:pPr>
              <w:pStyle w:val="TableParagraph"/>
              <w:ind w:left="118"/>
              <w:rPr>
                <w:sz w:val="20"/>
              </w:rPr>
            </w:pPr>
            <w:r>
              <w:rPr>
                <w:sz w:val="20"/>
              </w:rPr>
              <w:t>"ДженБоди Инк."</w:t>
            </w:r>
          </w:p>
        </w:tc>
        <w:tc>
          <w:tcPr>
            <w:tcW w:w="3508" w:type="dxa"/>
          </w:tcPr>
          <w:p>
            <w:pPr>
              <w:pStyle w:val="TableParagraph"/>
              <w:spacing w:before="176"/>
              <w:ind w:left="109" w:right="381"/>
              <w:rPr>
                <w:sz w:val="22"/>
              </w:rPr>
            </w:pPr>
            <w:r>
              <w:rPr>
                <w:sz w:val="22"/>
              </w:rPr>
              <w:t>Корея, GenBody Inc., 3-18 Eopseong 2-gil, Seobuk-gu, Cheonan-si, Chungcheongman-do 31077, Republic of Korea</w:t>
            </w:r>
          </w:p>
        </w:tc>
      </w:tr>
    </w:tbl>
    <w:p>
      <w:pPr>
        <w:spacing w:after="0"/>
        <w:rPr>
          <w:sz w:val="22"/>
        </w:rPr>
        <w:sectPr>
          <w:pgSz w:w="16850" w:h="11920" w:orient="landscape"/>
          <w:pgMar w:header="0" w:footer="1110" w:top="1040" w:bottom="1300" w:left="880" w:right="360"/>
        </w:sectPr>
      </w:pPr>
    </w:p>
    <w:tbl>
      <w:tblPr>
        <w:tblW w:w="0" w:type="auto"/>
        <w:jc w:val="left"/>
        <w:tblInd w:w="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30"/>
        <w:gridCol w:w="1699"/>
        <w:gridCol w:w="1699"/>
        <w:gridCol w:w="5467"/>
        <w:gridCol w:w="2229"/>
        <w:gridCol w:w="3508"/>
      </w:tblGrid>
      <w:tr>
        <w:trPr>
          <w:trHeight w:val="1276" w:hRule="atLeast"/>
        </w:trPr>
        <w:tc>
          <w:tcPr>
            <w:tcW w:w="530" w:type="dxa"/>
            <w:shd w:val="clear" w:color="auto" w:fill="F1F1F1"/>
          </w:tcPr>
          <w:p>
            <w:pPr>
              <w:pStyle w:val="TableParagraph"/>
              <w:rPr>
                <w:b/>
                <w:sz w:val="24"/>
              </w:rPr>
            </w:pPr>
          </w:p>
          <w:p>
            <w:pPr>
              <w:pStyle w:val="TableParagraph"/>
              <w:spacing w:before="5"/>
              <w:rPr>
                <w:b/>
                <w:sz w:val="19"/>
              </w:rPr>
            </w:pPr>
          </w:p>
          <w:p>
            <w:pPr>
              <w:pStyle w:val="TableParagraph"/>
              <w:ind w:left="107"/>
              <w:rPr>
                <w:sz w:val="22"/>
              </w:rPr>
            </w:pPr>
            <w:r>
              <w:rPr>
                <w:sz w:val="22"/>
              </w:rPr>
              <w:t>48</w:t>
            </w:r>
          </w:p>
        </w:tc>
        <w:tc>
          <w:tcPr>
            <w:tcW w:w="1699" w:type="dxa"/>
            <w:shd w:val="clear" w:color="auto" w:fill="F1F1F1"/>
          </w:tcPr>
          <w:p>
            <w:pPr>
              <w:pStyle w:val="TableParagraph"/>
              <w:rPr>
                <w:b/>
                <w:sz w:val="22"/>
              </w:rPr>
            </w:pPr>
          </w:p>
          <w:p>
            <w:pPr>
              <w:pStyle w:val="TableParagraph"/>
              <w:rPr>
                <w:b/>
                <w:sz w:val="22"/>
              </w:rPr>
            </w:pPr>
          </w:p>
          <w:p>
            <w:pPr>
              <w:pStyle w:val="TableParagraph"/>
              <w:ind w:left="115"/>
              <w:rPr>
                <w:sz w:val="20"/>
              </w:rPr>
            </w:pPr>
            <w:r>
              <w:rPr>
                <w:sz w:val="20"/>
              </w:rPr>
              <w:t>25.08.2020</w:t>
            </w:r>
          </w:p>
        </w:tc>
        <w:tc>
          <w:tcPr>
            <w:tcW w:w="1699" w:type="dxa"/>
            <w:shd w:val="clear" w:color="auto" w:fill="F1F1F1"/>
          </w:tcPr>
          <w:p>
            <w:pPr>
              <w:pStyle w:val="TableParagraph"/>
              <w:rPr>
                <w:b/>
                <w:sz w:val="22"/>
              </w:rPr>
            </w:pPr>
          </w:p>
          <w:p>
            <w:pPr>
              <w:pStyle w:val="TableParagraph"/>
              <w:rPr>
                <w:b/>
                <w:sz w:val="22"/>
              </w:rPr>
            </w:pPr>
          </w:p>
          <w:p>
            <w:pPr>
              <w:pStyle w:val="TableParagraph"/>
              <w:ind w:left="89" w:right="178"/>
              <w:jc w:val="center"/>
              <w:rPr>
                <w:sz w:val="20"/>
              </w:rPr>
            </w:pPr>
            <w:r>
              <w:rPr>
                <w:sz w:val="20"/>
              </w:rPr>
              <w:t>РЗН 2020/11809</w:t>
            </w:r>
          </w:p>
        </w:tc>
        <w:tc>
          <w:tcPr>
            <w:tcW w:w="5467" w:type="dxa"/>
            <w:shd w:val="clear" w:color="auto" w:fill="F1F1F1"/>
          </w:tcPr>
          <w:p>
            <w:pPr>
              <w:pStyle w:val="TableParagraph"/>
              <w:spacing w:before="46"/>
              <w:ind w:left="118" w:right="230"/>
              <w:rPr>
                <w:sz w:val="20"/>
              </w:rPr>
            </w:pPr>
            <w:r>
              <w:rPr>
                <w:sz w:val="20"/>
              </w:rPr>
              <w:t>Набор реагентов для иммунохроматографического выявления антител IgG/IgM к коронавирусу (SARS-COV-2) в образцах сыворотки, плазмы и цельной крови человека (2019-nCOV) IgM/IgG Antibody Combo Test Kit (Colloidal Gold)</w:t>
            </w:r>
          </w:p>
        </w:tc>
        <w:tc>
          <w:tcPr>
            <w:tcW w:w="2229" w:type="dxa"/>
            <w:shd w:val="clear" w:color="auto" w:fill="F1F1F1"/>
          </w:tcPr>
          <w:p>
            <w:pPr>
              <w:pStyle w:val="TableParagraph"/>
              <w:rPr>
                <w:b/>
                <w:sz w:val="32"/>
              </w:rPr>
            </w:pPr>
          </w:p>
          <w:p>
            <w:pPr>
              <w:pStyle w:val="TableParagraph"/>
              <w:spacing w:line="244" w:lineRule="auto"/>
              <w:ind w:left="108" w:right="512"/>
              <w:rPr>
                <w:sz w:val="22"/>
              </w:rPr>
            </w:pPr>
            <w:r>
              <w:rPr>
                <w:sz w:val="22"/>
              </w:rPr>
              <w:t>"Ханчжоу Лайхэ Биотек Ко. Лтд."</w:t>
            </w:r>
          </w:p>
        </w:tc>
        <w:tc>
          <w:tcPr>
            <w:tcW w:w="3508" w:type="dxa"/>
            <w:shd w:val="clear" w:color="auto" w:fill="F1F1F1"/>
          </w:tcPr>
          <w:p>
            <w:pPr>
              <w:pStyle w:val="TableParagraph"/>
              <w:spacing w:line="242" w:lineRule="auto"/>
              <w:ind w:left="109" w:right="199"/>
              <w:rPr>
                <w:sz w:val="22"/>
              </w:rPr>
            </w:pPr>
            <w:r>
              <w:rPr>
                <w:sz w:val="22"/>
              </w:rPr>
              <w:t>Китай, Hangzhou Laihe Biotech Co., Ltd., Floor 1, Room</w:t>
            </w:r>
            <w:r>
              <w:rPr>
                <w:spacing w:val="2"/>
                <w:sz w:val="22"/>
              </w:rPr>
              <w:t> </w:t>
            </w:r>
            <w:r>
              <w:rPr>
                <w:spacing w:val="-3"/>
                <w:sz w:val="22"/>
              </w:rPr>
              <w:t>505-512</w:t>
            </w:r>
          </w:p>
          <w:p>
            <w:pPr>
              <w:pStyle w:val="TableParagraph"/>
              <w:spacing w:line="242" w:lineRule="auto"/>
              <w:ind w:left="109" w:right="317"/>
              <w:rPr>
                <w:sz w:val="22"/>
              </w:rPr>
            </w:pPr>
            <w:r>
              <w:rPr>
                <w:sz w:val="22"/>
              </w:rPr>
              <w:t>Floor 5, Building B, 688 Binʻan Road, Binjiang District</w:t>
            </w:r>
            <w:r>
              <w:rPr>
                <w:spacing w:val="-10"/>
                <w:sz w:val="22"/>
              </w:rPr>
              <w:t> </w:t>
            </w:r>
            <w:r>
              <w:rPr>
                <w:sz w:val="22"/>
              </w:rPr>
              <w:t>Hangzhou,</w:t>
            </w:r>
          </w:p>
          <w:p>
            <w:pPr>
              <w:pStyle w:val="TableParagraph"/>
              <w:spacing w:line="250" w:lineRule="exact"/>
              <w:ind w:left="109"/>
              <w:rPr>
                <w:sz w:val="22"/>
              </w:rPr>
            </w:pPr>
            <w:r>
              <w:rPr>
                <w:sz w:val="22"/>
              </w:rPr>
              <w:t>Zhejiang 310052, China</w:t>
            </w:r>
          </w:p>
        </w:tc>
      </w:tr>
      <w:tr>
        <w:trPr>
          <w:trHeight w:val="933" w:hRule="atLeast"/>
        </w:trPr>
        <w:tc>
          <w:tcPr>
            <w:tcW w:w="530" w:type="dxa"/>
          </w:tcPr>
          <w:p>
            <w:pPr>
              <w:pStyle w:val="TableParagraph"/>
              <w:spacing w:before="7"/>
              <w:rPr>
                <w:b/>
                <w:sz w:val="28"/>
              </w:rPr>
            </w:pPr>
          </w:p>
          <w:p>
            <w:pPr>
              <w:pStyle w:val="TableParagraph"/>
              <w:ind w:left="107"/>
              <w:rPr>
                <w:sz w:val="22"/>
              </w:rPr>
            </w:pPr>
            <w:r>
              <w:rPr>
                <w:sz w:val="22"/>
              </w:rPr>
              <w:t>49</w:t>
            </w:r>
          </w:p>
        </w:tc>
        <w:tc>
          <w:tcPr>
            <w:tcW w:w="1699" w:type="dxa"/>
          </w:tcPr>
          <w:p>
            <w:pPr>
              <w:pStyle w:val="TableParagraph"/>
              <w:rPr>
                <w:b/>
                <w:sz w:val="29"/>
              </w:rPr>
            </w:pPr>
          </w:p>
          <w:p>
            <w:pPr>
              <w:pStyle w:val="TableParagraph"/>
              <w:ind w:left="115"/>
              <w:rPr>
                <w:sz w:val="20"/>
              </w:rPr>
            </w:pPr>
            <w:r>
              <w:rPr>
                <w:sz w:val="20"/>
              </w:rPr>
              <w:t>25.08.2020</w:t>
            </w:r>
          </w:p>
        </w:tc>
        <w:tc>
          <w:tcPr>
            <w:tcW w:w="1699" w:type="dxa"/>
          </w:tcPr>
          <w:p>
            <w:pPr>
              <w:pStyle w:val="TableParagraph"/>
              <w:rPr>
                <w:b/>
                <w:sz w:val="29"/>
              </w:rPr>
            </w:pPr>
          </w:p>
          <w:p>
            <w:pPr>
              <w:pStyle w:val="TableParagraph"/>
              <w:ind w:left="89" w:right="178"/>
              <w:jc w:val="center"/>
              <w:rPr>
                <w:sz w:val="20"/>
              </w:rPr>
            </w:pPr>
            <w:r>
              <w:rPr>
                <w:sz w:val="20"/>
              </w:rPr>
              <w:t>РЗН 2020/11811</w:t>
            </w:r>
          </w:p>
        </w:tc>
        <w:tc>
          <w:tcPr>
            <w:tcW w:w="5467" w:type="dxa"/>
          </w:tcPr>
          <w:p>
            <w:pPr>
              <w:pStyle w:val="TableParagraph"/>
              <w:ind w:left="118" w:right="185"/>
              <w:rPr>
                <w:sz w:val="20"/>
              </w:rPr>
            </w:pPr>
            <w:r>
              <w:rPr>
                <w:sz w:val="20"/>
              </w:rPr>
              <w:t>Набор иммунохроматографический для качественного обнаружения антител IgG/IgM к SARS-CoV-2 в сыворотке, плазме и цельной (капиллярной и венозной) крови человека "АИН SARS-CoV-2 CoronaPass-IgG/IgM"</w:t>
            </w:r>
          </w:p>
        </w:tc>
        <w:tc>
          <w:tcPr>
            <w:tcW w:w="2229" w:type="dxa"/>
          </w:tcPr>
          <w:p>
            <w:pPr>
              <w:pStyle w:val="TableParagraph"/>
              <w:spacing w:before="2"/>
              <w:rPr>
                <w:b/>
                <w:sz w:val="28"/>
              </w:rPr>
            </w:pPr>
          </w:p>
          <w:p>
            <w:pPr>
              <w:pStyle w:val="TableParagraph"/>
              <w:spacing w:before="1"/>
              <w:ind w:left="108"/>
              <w:rPr>
                <w:sz w:val="22"/>
              </w:rPr>
            </w:pPr>
            <w:r>
              <w:rPr>
                <w:sz w:val="22"/>
              </w:rPr>
              <w:t>ООО "АИН"</w:t>
            </w:r>
          </w:p>
        </w:tc>
        <w:tc>
          <w:tcPr>
            <w:tcW w:w="3508" w:type="dxa"/>
          </w:tcPr>
          <w:p>
            <w:pPr>
              <w:pStyle w:val="TableParagraph"/>
              <w:spacing w:before="197"/>
              <w:ind w:left="109"/>
              <w:rPr>
                <w:sz w:val="22"/>
              </w:rPr>
            </w:pPr>
            <w:r>
              <w:rPr>
                <w:sz w:val="22"/>
              </w:rPr>
              <w:t>119071, Россия, Москва,</w:t>
            </w:r>
          </w:p>
          <w:p>
            <w:pPr>
              <w:pStyle w:val="TableParagraph"/>
              <w:spacing w:before="2"/>
              <w:ind w:left="109"/>
              <w:rPr>
                <w:sz w:val="22"/>
              </w:rPr>
            </w:pPr>
            <w:r>
              <w:rPr>
                <w:sz w:val="22"/>
              </w:rPr>
              <w:t>Ленинский проспект, д. 33, стр. 5</w:t>
            </w:r>
          </w:p>
        </w:tc>
      </w:tr>
      <w:tr>
        <w:trPr>
          <w:trHeight w:val="1273" w:hRule="atLeast"/>
        </w:trPr>
        <w:tc>
          <w:tcPr>
            <w:tcW w:w="530" w:type="dxa"/>
            <w:shd w:val="clear" w:color="auto" w:fill="F1F1F1"/>
          </w:tcPr>
          <w:p>
            <w:pPr>
              <w:pStyle w:val="TableParagraph"/>
              <w:rPr>
                <w:b/>
                <w:sz w:val="24"/>
              </w:rPr>
            </w:pPr>
          </w:p>
          <w:p>
            <w:pPr>
              <w:pStyle w:val="TableParagraph"/>
              <w:spacing w:before="5"/>
              <w:rPr>
                <w:b/>
                <w:sz w:val="19"/>
              </w:rPr>
            </w:pPr>
          </w:p>
          <w:p>
            <w:pPr>
              <w:pStyle w:val="TableParagraph"/>
              <w:ind w:left="107"/>
              <w:rPr>
                <w:sz w:val="22"/>
              </w:rPr>
            </w:pPr>
            <w:r>
              <w:rPr>
                <w:sz w:val="22"/>
              </w:rPr>
              <w:t>50</w:t>
            </w:r>
          </w:p>
        </w:tc>
        <w:tc>
          <w:tcPr>
            <w:tcW w:w="1699" w:type="dxa"/>
            <w:shd w:val="clear" w:color="auto" w:fill="F1F1F1"/>
          </w:tcPr>
          <w:p>
            <w:pPr>
              <w:pStyle w:val="TableParagraph"/>
              <w:rPr>
                <w:b/>
                <w:sz w:val="22"/>
              </w:rPr>
            </w:pPr>
          </w:p>
          <w:p>
            <w:pPr>
              <w:pStyle w:val="TableParagraph"/>
              <w:rPr>
                <w:b/>
                <w:sz w:val="22"/>
              </w:rPr>
            </w:pPr>
          </w:p>
          <w:p>
            <w:pPr>
              <w:pStyle w:val="TableParagraph"/>
              <w:ind w:left="115"/>
              <w:rPr>
                <w:sz w:val="20"/>
              </w:rPr>
            </w:pPr>
            <w:r>
              <w:rPr>
                <w:sz w:val="20"/>
              </w:rPr>
              <w:t>25.08.2020</w:t>
            </w:r>
          </w:p>
        </w:tc>
        <w:tc>
          <w:tcPr>
            <w:tcW w:w="1699" w:type="dxa"/>
            <w:shd w:val="clear" w:color="auto" w:fill="F1F1F1"/>
          </w:tcPr>
          <w:p>
            <w:pPr>
              <w:pStyle w:val="TableParagraph"/>
              <w:rPr>
                <w:b/>
                <w:sz w:val="22"/>
              </w:rPr>
            </w:pPr>
          </w:p>
          <w:p>
            <w:pPr>
              <w:pStyle w:val="TableParagraph"/>
              <w:rPr>
                <w:b/>
                <w:sz w:val="22"/>
              </w:rPr>
            </w:pPr>
          </w:p>
          <w:p>
            <w:pPr>
              <w:pStyle w:val="TableParagraph"/>
              <w:ind w:left="89" w:right="178"/>
              <w:jc w:val="center"/>
              <w:rPr>
                <w:sz w:val="20"/>
              </w:rPr>
            </w:pPr>
            <w:r>
              <w:rPr>
                <w:sz w:val="20"/>
              </w:rPr>
              <w:t>РЗН 2020/11812</w:t>
            </w:r>
          </w:p>
        </w:tc>
        <w:tc>
          <w:tcPr>
            <w:tcW w:w="5467" w:type="dxa"/>
            <w:shd w:val="clear" w:color="auto" w:fill="F1F1F1"/>
          </w:tcPr>
          <w:p>
            <w:pPr>
              <w:pStyle w:val="TableParagraph"/>
              <w:spacing w:before="46"/>
              <w:ind w:left="118" w:right="317"/>
              <w:rPr>
                <w:sz w:val="20"/>
              </w:rPr>
            </w:pPr>
            <w:r>
              <w:rPr>
                <w:sz w:val="20"/>
              </w:rPr>
              <w:t>Набор реагентов "Экспресс-тест кассета 2019-nCOV IgG/IgM" для качественного иммунохроматографического анализа для выявления антител IgG и IgM к новой коронавирусной инфекции 2019-nCov в образце цельной крови, сыворотки или плазмы</w:t>
            </w:r>
          </w:p>
        </w:tc>
        <w:tc>
          <w:tcPr>
            <w:tcW w:w="2229" w:type="dxa"/>
            <w:shd w:val="clear" w:color="auto" w:fill="F1F1F1"/>
          </w:tcPr>
          <w:p>
            <w:pPr>
              <w:pStyle w:val="TableParagraph"/>
              <w:rPr>
                <w:b/>
                <w:sz w:val="32"/>
              </w:rPr>
            </w:pPr>
          </w:p>
          <w:p>
            <w:pPr>
              <w:pStyle w:val="TableParagraph"/>
              <w:spacing w:line="244" w:lineRule="auto"/>
              <w:ind w:left="108" w:right="285"/>
              <w:rPr>
                <w:sz w:val="22"/>
              </w:rPr>
            </w:pPr>
            <w:r>
              <w:rPr>
                <w:sz w:val="22"/>
              </w:rPr>
              <w:t>"Ханчжоу ОллТест Биотек Ко., Лтд."</w:t>
            </w:r>
          </w:p>
        </w:tc>
        <w:tc>
          <w:tcPr>
            <w:tcW w:w="3508" w:type="dxa"/>
            <w:shd w:val="clear" w:color="auto" w:fill="F1F1F1"/>
          </w:tcPr>
          <w:p>
            <w:pPr>
              <w:pStyle w:val="TableParagraph"/>
              <w:ind w:left="109" w:right="118"/>
              <w:rPr>
                <w:sz w:val="22"/>
              </w:rPr>
            </w:pPr>
            <w:r>
              <w:rPr>
                <w:sz w:val="22"/>
              </w:rPr>
              <w:t>Hangzhou AllTest Biotech Co., Ltd., 550#, Yinhai Street, Hangzhou Economic and Technological Development Area, 310018 Hangzhou, P.R. China</w:t>
            </w:r>
          </w:p>
        </w:tc>
      </w:tr>
    </w:tbl>
    <w:p>
      <w:pPr>
        <w:pStyle w:val="BodyText"/>
        <w:ind w:left="0"/>
        <w:jc w:val="left"/>
      </w:pPr>
      <w:bookmarkStart w:name="_bookmark53" w:id="219"/>
      <w:bookmarkEnd w:id="219"/>
      <w:r>
        <w:rPr/>
      </w:r>
      <w:r>
        <w:rPr/>
      </w:r>
    </w:p>
    <w:p>
      <w:pPr>
        <w:spacing w:after="0"/>
        <w:jc w:val="left"/>
        <w:sectPr>
          <w:pgSz w:w="16850" w:h="11920" w:orient="landscape"/>
          <w:pgMar w:header="0" w:footer="1110" w:top="1040" w:bottom="1300" w:left="880" w:right="360"/>
        </w:sectPr>
      </w:pPr>
    </w:p>
    <w:p>
      <w:pPr>
        <w:pStyle w:val="Heading3"/>
        <w:spacing w:before="69"/>
        <w:ind w:left="12764"/>
        <w:jc w:val="left"/>
      </w:pPr>
      <w:bookmarkStart w:name="Приложение 5-3" w:id="220"/>
      <w:bookmarkEnd w:id="220"/>
      <w:r>
        <w:rPr>
          <w:b w:val="0"/>
        </w:rPr>
      </w:r>
      <w:bookmarkStart w:name="_bookmark54" w:id="221"/>
      <w:bookmarkEnd w:id="221"/>
      <w:r>
        <w:rPr>
          <w:b w:val="0"/>
        </w:rPr>
      </w:r>
      <w:r>
        <w:rPr>
          <w:color w:val="1F487C"/>
        </w:rPr>
        <w:t>Приложение 5-3</w:t>
      </w:r>
    </w:p>
    <w:p>
      <w:pPr>
        <w:spacing w:line="259" w:lineRule="auto" w:before="143"/>
        <w:ind w:left="3132" w:right="2950" w:hanging="996"/>
        <w:jc w:val="left"/>
        <w:rPr>
          <w:b/>
          <w:sz w:val="28"/>
        </w:rPr>
      </w:pPr>
      <w:r>
        <w:rPr>
          <w:b/>
          <w:sz w:val="28"/>
        </w:rPr>
        <w:t>Зарегистрированные в Российской Федерации диагностические наборы реагентов для выявления антигена SARS-CoV-2 (по состоянию на 25.08.2020)</w:t>
      </w:r>
    </w:p>
    <w:p>
      <w:pPr>
        <w:pStyle w:val="BodyText"/>
        <w:ind w:left="0"/>
        <w:jc w:val="left"/>
        <w:rPr>
          <w:b/>
          <w:sz w:val="20"/>
        </w:rPr>
      </w:pPr>
    </w:p>
    <w:p>
      <w:pPr>
        <w:pStyle w:val="BodyText"/>
        <w:spacing w:before="3"/>
        <w:ind w:left="0"/>
        <w:jc w:val="left"/>
        <w:rPr>
          <w:b/>
          <w:sz w:val="10"/>
        </w:rPr>
      </w:pPr>
    </w:p>
    <w:tbl>
      <w:tblPr>
        <w:tblW w:w="0" w:type="auto"/>
        <w:jc w:val="left"/>
        <w:tblInd w:w="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30"/>
        <w:gridCol w:w="1699"/>
        <w:gridCol w:w="1699"/>
        <w:gridCol w:w="5467"/>
        <w:gridCol w:w="2229"/>
        <w:gridCol w:w="3508"/>
      </w:tblGrid>
      <w:tr>
        <w:trPr>
          <w:trHeight w:val="2277" w:hRule="atLeast"/>
        </w:trPr>
        <w:tc>
          <w:tcPr>
            <w:tcW w:w="530" w:type="dxa"/>
            <w:shd w:val="clear" w:color="auto" w:fill="F1F1F1"/>
          </w:tcPr>
          <w:p>
            <w:pPr>
              <w:pStyle w:val="TableParagraph"/>
              <w:rPr>
                <w:b/>
                <w:sz w:val="24"/>
              </w:rPr>
            </w:pPr>
          </w:p>
          <w:p>
            <w:pPr>
              <w:pStyle w:val="TableParagraph"/>
              <w:rPr>
                <w:b/>
                <w:sz w:val="24"/>
              </w:rPr>
            </w:pPr>
          </w:p>
          <w:p>
            <w:pPr>
              <w:pStyle w:val="TableParagraph"/>
              <w:rPr>
                <w:b/>
                <w:sz w:val="24"/>
              </w:rPr>
            </w:pPr>
          </w:p>
          <w:p>
            <w:pPr>
              <w:pStyle w:val="TableParagraph"/>
              <w:spacing w:before="183"/>
              <w:ind w:left="107"/>
              <w:rPr>
                <w:b/>
                <w:sz w:val="22"/>
              </w:rPr>
            </w:pPr>
            <w:r>
              <w:rPr>
                <w:b/>
                <w:w w:val="100"/>
                <w:sz w:val="22"/>
              </w:rPr>
              <w:t>№</w:t>
            </w:r>
          </w:p>
        </w:tc>
        <w:tc>
          <w:tcPr>
            <w:tcW w:w="1699" w:type="dxa"/>
            <w:shd w:val="clear" w:color="auto" w:fill="F1F1F1"/>
          </w:tcPr>
          <w:p>
            <w:pPr>
              <w:pStyle w:val="TableParagraph"/>
              <w:rPr>
                <w:b/>
                <w:sz w:val="24"/>
              </w:rPr>
            </w:pPr>
          </w:p>
          <w:p>
            <w:pPr>
              <w:pStyle w:val="TableParagraph"/>
              <w:spacing w:before="11"/>
              <w:rPr>
                <w:b/>
                <w:sz w:val="30"/>
              </w:rPr>
            </w:pPr>
          </w:p>
          <w:p>
            <w:pPr>
              <w:pStyle w:val="TableParagraph"/>
              <w:ind w:left="105" w:right="153"/>
              <w:rPr>
                <w:b/>
                <w:sz w:val="22"/>
              </w:rPr>
            </w:pPr>
            <w:r>
              <w:rPr>
                <w:b/>
                <w:sz w:val="22"/>
              </w:rPr>
              <w:t>Дата гос. регистрации медицинского изделия</w:t>
            </w:r>
          </w:p>
        </w:tc>
        <w:tc>
          <w:tcPr>
            <w:tcW w:w="1699" w:type="dxa"/>
            <w:shd w:val="clear" w:color="auto" w:fill="F1F1F1"/>
          </w:tcPr>
          <w:p>
            <w:pPr>
              <w:pStyle w:val="TableParagraph"/>
              <w:rPr>
                <w:b/>
                <w:sz w:val="24"/>
              </w:rPr>
            </w:pPr>
          </w:p>
          <w:p>
            <w:pPr>
              <w:pStyle w:val="TableParagraph"/>
              <w:spacing w:before="11"/>
              <w:rPr>
                <w:b/>
                <w:sz w:val="30"/>
              </w:rPr>
            </w:pPr>
          </w:p>
          <w:p>
            <w:pPr>
              <w:pStyle w:val="TableParagraph"/>
              <w:ind w:left="108" w:right="150"/>
              <w:rPr>
                <w:b/>
                <w:sz w:val="22"/>
              </w:rPr>
            </w:pPr>
            <w:r>
              <w:rPr>
                <w:b/>
                <w:sz w:val="22"/>
              </w:rPr>
              <w:t>Регистрац. номер медицинского изделия</w:t>
            </w:r>
          </w:p>
        </w:tc>
        <w:tc>
          <w:tcPr>
            <w:tcW w:w="5467" w:type="dxa"/>
            <w:shd w:val="clear" w:color="auto" w:fill="F1F1F1"/>
          </w:tcPr>
          <w:p>
            <w:pPr>
              <w:pStyle w:val="TableParagraph"/>
              <w:rPr>
                <w:b/>
                <w:sz w:val="24"/>
              </w:rPr>
            </w:pPr>
          </w:p>
          <w:p>
            <w:pPr>
              <w:pStyle w:val="TableParagraph"/>
              <w:rPr>
                <w:b/>
                <w:sz w:val="24"/>
              </w:rPr>
            </w:pPr>
          </w:p>
          <w:p>
            <w:pPr>
              <w:pStyle w:val="TableParagraph"/>
              <w:rPr>
                <w:b/>
                <w:sz w:val="24"/>
              </w:rPr>
            </w:pPr>
          </w:p>
          <w:p>
            <w:pPr>
              <w:pStyle w:val="TableParagraph"/>
              <w:spacing w:before="183"/>
              <w:ind w:left="108"/>
              <w:rPr>
                <w:b/>
                <w:sz w:val="22"/>
              </w:rPr>
            </w:pPr>
            <w:r>
              <w:rPr>
                <w:b/>
                <w:sz w:val="22"/>
              </w:rPr>
              <w:t>Наименование медицинского изделия</w:t>
            </w:r>
          </w:p>
        </w:tc>
        <w:tc>
          <w:tcPr>
            <w:tcW w:w="2229" w:type="dxa"/>
            <w:shd w:val="clear" w:color="auto" w:fill="F1F1F1"/>
          </w:tcPr>
          <w:p>
            <w:pPr>
              <w:pStyle w:val="TableParagraph"/>
              <w:ind w:left="108" w:right="616"/>
              <w:rPr>
                <w:b/>
                <w:sz w:val="22"/>
              </w:rPr>
            </w:pPr>
            <w:r>
              <w:rPr>
                <w:b/>
                <w:sz w:val="22"/>
              </w:rPr>
              <w:t>Наименование организации- производителя медицинского изделия или организации- изготовителя</w:t>
            </w:r>
          </w:p>
          <w:p>
            <w:pPr>
              <w:pStyle w:val="TableParagraph"/>
              <w:spacing w:line="252" w:lineRule="exact" w:before="2"/>
              <w:ind w:left="108" w:right="680"/>
              <w:rPr>
                <w:b/>
                <w:sz w:val="22"/>
              </w:rPr>
            </w:pPr>
            <w:r>
              <w:rPr>
                <w:b/>
                <w:sz w:val="22"/>
              </w:rPr>
              <w:t>медицинского изделия</w:t>
            </w:r>
          </w:p>
        </w:tc>
        <w:tc>
          <w:tcPr>
            <w:tcW w:w="3508" w:type="dxa"/>
            <w:shd w:val="clear" w:color="auto" w:fill="F1F1F1"/>
          </w:tcPr>
          <w:p>
            <w:pPr>
              <w:pStyle w:val="TableParagraph"/>
              <w:rPr>
                <w:b/>
                <w:sz w:val="24"/>
              </w:rPr>
            </w:pPr>
          </w:p>
          <w:p>
            <w:pPr>
              <w:pStyle w:val="TableParagraph"/>
              <w:spacing w:before="10"/>
              <w:rPr>
                <w:b/>
                <w:sz w:val="19"/>
              </w:rPr>
            </w:pPr>
          </w:p>
          <w:p>
            <w:pPr>
              <w:pStyle w:val="TableParagraph"/>
              <w:ind w:left="109" w:right="92"/>
              <w:rPr>
                <w:b/>
                <w:sz w:val="22"/>
              </w:rPr>
            </w:pPr>
            <w:r>
              <w:rPr>
                <w:b/>
                <w:sz w:val="22"/>
              </w:rPr>
              <w:t>Место нахождения организации- производителя медицинского изделия или организации - изготовителя медицинского изделия</w:t>
            </w:r>
          </w:p>
        </w:tc>
      </w:tr>
      <w:tr>
        <w:trPr>
          <w:trHeight w:val="1264" w:hRule="atLeast"/>
        </w:trPr>
        <w:tc>
          <w:tcPr>
            <w:tcW w:w="530" w:type="dxa"/>
          </w:tcPr>
          <w:p>
            <w:pPr>
              <w:pStyle w:val="TableParagraph"/>
              <w:rPr>
                <w:b/>
                <w:sz w:val="24"/>
              </w:rPr>
            </w:pPr>
          </w:p>
          <w:p>
            <w:pPr>
              <w:pStyle w:val="TableParagraph"/>
              <w:spacing w:before="10"/>
              <w:rPr>
                <w:b/>
                <w:sz w:val="19"/>
              </w:rPr>
            </w:pPr>
          </w:p>
          <w:p>
            <w:pPr>
              <w:pStyle w:val="TableParagraph"/>
              <w:ind w:left="107"/>
              <w:rPr>
                <w:sz w:val="22"/>
              </w:rPr>
            </w:pPr>
            <w:r>
              <w:rPr>
                <w:w w:val="100"/>
                <w:sz w:val="22"/>
              </w:rPr>
              <w:t>1</w:t>
            </w:r>
          </w:p>
        </w:tc>
        <w:tc>
          <w:tcPr>
            <w:tcW w:w="1699" w:type="dxa"/>
          </w:tcPr>
          <w:p>
            <w:pPr>
              <w:pStyle w:val="TableParagraph"/>
              <w:rPr>
                <w:b/>
                <w:sz w:val="24"/>
              </w:rPr>
            </w:pPr>
          </w:p>
          <w:p>
            <w:pPr>
              <w:pStyle w:val="TableParagraph"/>
              <w:spacing w:before="10"/>
              <w:rPr>
                <w:b/>
                <w:sz w:val="19"/>
              </w:rPr>
            </w:pPr>
          </w:p>
          <w:p>
            <w:pPr>
              <w:pStyle w:val="TableParagraph"/>
              <w:ind w:left="105"/>
              <w:rPr>
                <w:sz w:val="22"/>
              </w:rPr>
            </w:pPr>
            <w:r>
              <w:rPr>
                <w:sz w:val="22"/>
              </w:rPr>
              <w:t>19.06.2020</w:t>
            </w:r>
          </w:p>
        </w:tc>
        <w:tc>
          <w:tcPr>
            <w:tcW w:w="1699" w:type="dxa"/>
          </w:tcPr>
          <w:p>
            <w:pPr>
              <w:pStyle w:val="TableParagraph"/>
              <w:spacing w:before="9"/>
              <w:rPr>
                <w:b/>
                <w:sz w:val="32"/>
              </w:rPr>
            </w:pPr>
          </w:p>
          <w:p>
            <w:pPr>
              <w:pStyle w:val="TableParagraph"/>
              <w:ind w:left="108" w:right="509"/>
              <w:rPr>
                <w:sz w:val="22"/>
              </w:rPr>
            </w:pPr>
            <w:r>
              <w:rPr>
                <w:sz w:val="22"/>
                <w:shd w:fill="F6F6F6" w:color="auto" w:val="clear"/>
              </w:rPr>
              <w:t>РЗН</w:t>
            </w:r>
            <w:r>
              <w:rPr>
                <w:sz w:val="22"/>
              </w:rPr>
              <w:t> </w:t>
            </w:r>
            <w:r>
              <w:rPr>
                <w:sz w:val="22"/>
                <w:shd w:fill="F6F6F6" w:color="auto" w:val="clear"/>
              </w:rPr>
              <w:t>2020/10935</w:t>
            </w:r>
          </w:p>
        </w:tc>
        <w:tc>
          <w:tcPr>
            <w:tcW w:w="5467" w:type="dxa"/>
          </w:tcPr>
          <w:p>
            <w:pPr>
              <w:pStyle w:val="TableParagraph"/>
              <w:ind w:left="108" w:right="294"/>
              <w:rPr>
                <w:sz w:val="22"/>
              </w:rPr>
            </w:pPr>
            <w:r>
              <w:rPr>
                <w:sz w:val="22"/>
              </w:rPr>
              <w:t>Набор реагентов для клинической лабораторной диагностики in vitro "Экспресс-тест для обнаружения антигена вируса SARS-CoV-2 в мазках из носоглотки методом иммунохроматографического анализа</w:t>
            </w:r>
          </w:p>
          <w:p>
            <w:pPr>
              <w:pStyle w:val="TableParagraph"/>
              <w:spacing w:line="233" w:lineRule="exact"/>
              <w:ind w:left="108"/>
              <w:rPr>
                <w:sz w:val="22"/>
              </w:rPr>
            </w:pPr>
            <w:r>
              <w:rPr>
                <w:sz w:val="22"/>
              </w:rPr>
              <w:t>(COVID-19 Ag Respi-Strip)"</w:t>
            </w:r>
          </w:p>
        </w:tc>
        <w:tc>
          <w:tcPr>
            <w:tcW w:w="2229" w:type="dxa"/>
          </w:tcPr>
          <w:p>
            <w:pPr>
              <w:pStyle w:val="TableParagraph"/>
              <w:rPr>
                <w:b/>
                <w:sz w:val="24"/>
              </w:rPr>
            </w:pPr>
          </w:p>
          <w:p>
            <w:pPr>
              <w:pStyle w:val="TableParagraph"/>
              <w:spacing w:before="10"/>
              <w:rPr>
                <w:b/>
                <w:sz w:val="19"/>
              </w:rPr>
            </w:pPr>
          </w:p>
          <w:p>
            <w:pPr>
              <w:pStyle w:val="TableParagraph"/>
              <w:ind w:left="108"/>
              <w:rPr>
                <w:sz w:val="22"/>
              </w:rPr>
            </w:pPr>
            <w:r>
              <w:rPr>
                <w:sz w:val="22"/>
              </w:rPr>
              <w:t>"Корис БиоКонцепт"</w:t>
            </w:r>
          </w:p>
        </w:tc>
        <w:tc>
          <w:tcPr>
            <w:tcW w:w="3508" w:type="dxa"/>
          </w:tcPr>
          <w:p>
            <w:pPr>
              <w:pStyle w:val="TableParagraph"/>
              <w:spacing w:before="8"/>
              <w:rPr>
                <w:b/>
                <w:sz w:val="21"/>
              </w:rPr>
            </w:pPr>
          </w:p>
          <w:p>
            <w:pPr>
              <w:pStyle w:val="TableParagraph"/>
              <w:spacing w:before="1"/>
              <w:ind w:left="109" w:right="136"/>
              <w:rPr>
                <w:sz w:val="22"/>
              </w:rPr>
            </w:pPr>
            <w:r>
              <w:rPr>
                <w:sz w:val="22"/>
                <w:shd w:fill="F6F6F6" w:color="auto" w:val="clear"/>
              </w:rPr>
              <w:t>Бельгия, Coris BioConcept, Science</w:t>
            </w:r>
            <w:r>
              <w:rPr>
                <w:sz w:val="22"/>
              </w:rPr>
              <w:t> </w:t>
            </w:r>
            <w:r>
              <w:rPr>
                <w:sz w:val="22"/>
                <w:shd w:fill="F6F6F6" w:color="auto" w:val="clear"/>
              </w:rPr>
              <w:t>Park Crealys, Rue Jean Sonet, 4A, В</w:t>
            </w:r>
          </w:p>
          <w:p>
            <w:pPr>
              <w:pStyle w:val="TableParagraph"/>
              <w:ind w:left="109"/>
              <w:rPr>
                <w:sz w:val="22"/>
              </w:rPr>
            </w:pPr>
            <w:r>
              <w:rPr>
                <w:sz w:val="22"/>
                <w:shd w:fill="F6F6F6" w:color="auto" w:val="clear"/>
              </w:rPr>
              <w:t>- 5032 Gembloux, Belgium</w:t>
            </w:r>
          </w:p>
        </w:tc>
      </w:tr>
      <w:tr>
        <w:trPr>
          <w:trHeight w:val="1163" w:hRule="atLeast"/>
        </w:trPr>
        <w:tc>
          <w:tcPr>
            <w:tcW w:w="530" w:type="dxa"/>
            <w:shd w:val="clear" w:color="auto" w:fill="F1F1F1"/>
          </w:tcPr>
          <w:p>
            <w:pPr>
              <w:pStyle w:val="TableParagraph"/>
              <w:rPr>
                <w:b/>
                <w:sz w:val="24"/>
              </w:rPr>
            </w:pPr>
          </w:p>
          <w:p>
            <w:pPr>
              <w:pStyle w:val="TableParagraph"/>
              <w:spacing w:before="178"/>
              <w:ind w:left="107"/>
              <w:rPr>
                <w:sz w:val="22"/>
              </w:rPr>
            </w:pPr>
            <w:r>
              <w:rPr>
                <w:w w:val="100"/>
                <w:sz w:val="22"/>
              </w:rPr>
              <w:t>2</w:t>
            </w:r>
          </w:p>
        </w:tc>
        <w:tc>
          <w:tcPr>
            <w:tcW w:w="1699" w:type="dxa"/>
            <w:shd w:val="clear" w:color="auto" w:fill="F1F1F1"/>
          </w:tcPr>
          <w:p>
            <w:pPr>
              <w:pStyle w:val="TableParagraph"/>
              <w:rPr>
                <w:b/>
                <w:sz w:val="22"/>
              </w:rPr>
            </w:pPr>
          </w:p>
          <w:p>
            <w:pPr>
              <w:pStyle w:val="TableParagraph"/>
              <w:spacing w:before="1"/>
              <w:rPr>
                <w:b/>
                <w:sz w:val="18"/>
              </w:rPr>
            </w:pPr>
          </w:p>
          <w:p>
            <w:pPr>
              <w:pStyle w:val="TableParagraph"/>
              <w:ind w:left="115"/>
              <w:rPr>
                <w:sz w:val="20"/>
              </w:rPr>
            </w:pPr>
            <w:r>
              <w:rPr>
                <w:sz w:val="20"/>
              </w:rPr>
              <w:t>19.06.2020</w:t>
            </w:r>
          </w:p>
        </w:tc>
        <w:tc>
          <w:tcPr>
            <w:tcW w:w="1699" w:type="dxa"/>
            <w:shd w:val="clear" w:color="auto" w:fill="F1F1F1"/>
          </w:tcPr>
          <w:p>
            <w:pPr>
              <w:pStyle w:val="TableParagraph"/>
              <w:spacing w:before="10"/>
              <w:rPr>
                <w:b/>
                <w:sz w:val="20"/>
              </w:rPr>
            </w:pPr>
          </w:p>
          <w:p>
            <w:pPr>
              <w:pStyle w:val="TableParagraph"/>
              <w:spacing w:line="326" w:lineRule="auto" w:before="1"/>
              <w:ind w:left="151" w:right="466" w:hanging="12"/>
              <w:rPr>
                <w:sz w:val="22"/>
              </w:rPr>
            </w:pPr>
            <w:r>
              <w:rPr>
                <w:sz w:val="22"/>
              </w:rPr>
              <w:t>РЗН 2020/10935</w:t>
            </w:r>
          </w:p>
        </w:tc>
        <w:tc>
          <w:tcPr>
            <w:tcW w:w="5467" w:type="dxa"/>
            <w:shd w:val="clear" w:color="auto" w:fill="F1F1F1"/>
          </w:tcPr>
          <w:p>
            <w:pPr>
              <w:pStyle w:val="TableParagraph"/>
              <w:spacing w:line="230" w:lineRule="atLeast"/>
              <w:ind w:left="118" w:right="277"/>
              <w:rPr>
                <w:sz w:val="20"/>
              </w:rPr>
            </w:pPr>
            <w:r>
              <w:rPr>
                <w:sz w:val="20"/>
              </w:rPr>
              <w:t>Набор реагентов для клинической лабораторной диагностики in vitro "Экспресс-тест для обнаружения антигена вируса SARS-CoV-2 в мазках из носоглотки методом иммунохроматографического анализа (COVID-19 Ag Respi-Strip)"</w:t>
            </w:r>
          </w:p>
        </w:tc>
        <w:tc>
          <w:tcPr>
            <w:tcW w:w="2229" w:type="dxa"/>
            <w:shd w:val="clear" w:color="auto" w:fill="F1F1F1"/>
          </w:tcPr>
          <w:p>
            <w:pPr>
              <w:pStyle w:val="TableParagraph"/>
              <w:rPr>
                <w:b/>
                <w:sz w:val="22"/>
              </w:rPr>
            </w:pPr>
          </w:p>
          <w:p>
            <w:pPr>
              <w:pStyle w:val="TableParagraph"/>
              <w:spacing w:before="1"/>
              <w:rPr>
                <w:b/>
                <w:sz w:val="18"/>
              </w:rPr>
            </w:pPr>
          </w:p>
          <w:p>
            <w:pPr>
              <w:pStyle w:val="TableParagraph"/>
              <w:ind w:left="118"/>
              <w:rPr>
                <w:sz w:val="20"/>
              </w:rPr>
            </w:pPr>
            <w:r>
              <w:rPr>
                <w:sz w:val="20"/>
              </w:rPr>
              <w:t>ООО "ИнВитроТест"</w:t>
            </w:r>
          </w:p>
        </w:tc>
        <w:tc>
          <w:tcPr>
            <w:tcW w:w="3508" w:type="dxa"/>
            <w:shd w:val="clear" w:color="auto" w:fill="F1F1F1"/>
          </w:tcPr>
          <w:p>
            <w:pPr>
              <w:pStyle w:val="TableParagraph"/>
              <w:spacing w:before="195"/>
              <w:ind w:left="109" w:right="92"/>
              <w:rPr>
                <w:sz w:val="22"/>
              </w:rPr>
            </w:pPr>
            <w:r>
              <w:rPr>
                <w:sz w:val="22"/>
              </w:rPr>
              <w:t>Бельгия, Coris BioConcept, Science Park Crealys, Rue Jean Sonet, 4A, В</w:t>
            </w:r>
          </w:p>
          <w:p>
            <w:pPr>
              <w:pStyle w:val="TableParagraph"/>
              <w:spacing w:before="3"/>
              <w:ind w:left="109"/>
              <w:rPr>
                <w:sz w:val="22"/>
              </w:rPr>
            </w:pPr>
            <w:r>
              <w:rPr>
                <w:sz w:val="22"/>
              </w:rPr>
              <w:t>- 5032 Gembloux, Belgium</w:t>
            </w:r>
          </w:p>
        </w:tc>
      </w:tr>
      <w:tr>
        <w:trPr>
          <w:trHeight w:val="1770" w:hRule="atLeast"/>
        </w:trPr>
        <w:tc>
          <w:tcPr>
            <w:tcW w:w="530" w:type="dxa"/>
          </w:tcPr>
          <w:p>
            <w:pPr>
              <w:pStyle w:val="TableParagraph"/>
              <w:rPr>
                <w:b/>
                <w:sz w:val="24"/>
              </w:rPr>
            </w:pPr>
          </w:p>
          <w:p>
            <w:pPr>
              <w:pStyle w:val="TableParagraph"/>
              <w:rPr>
                <w:b/>
                <w:sz w:val="24"/>
              </w:rPr>
            </w:pPr>
          </w:p>
          <w:p>
            <w:pPr>
              <w:pStyle w:val="TableParagraph"/>
              <w:spacing w:before="207"/>
              <w:ind w:left="107"/>
              <w:rPr>
                <w:sz w:val="22"/>
              </w:rPr>
            </w:pPr>
            <w:r>
              <w:rPr>
                <w:w w:val="100"/>
                <w:sz w:val="22"/>
              </w:rPr>
              <w:t>3</w:t>
            </w:r>
          </w:p>
        </w:tc>
        <w:tc>
          <w:tcPr>
            <w:tcW w:w="1699" w:type="dxa"/>
          </w:tcPr>
          <w:p>
            <w:pPr>
              <w:pStyle w:val="TableParagraph"/>
              <w:rPr>
                <w:b/>
                <w:sz w:val="24"/>
              </w:rPr>
            </w:pPr>
          </w:p>
          <w:p>
            <w:pPr>
              <w:pStyle w:val="TableParagraph"/>
              <w:rPr>
                <w:b/>
                <w:sz w:val="24"/>
              </w:rPr>
            </w:pPr>
          </w:p>
          <w:p>
            <w:pPr>
              <w:pStyle w:val="TableParagraph"/>
              <w:spacing w:before="207"/>
              <w:ind w:left="105"/>
              <w:rPr>
                <w:sz w:val="22"/>
              </w:rPr>
            </w:pPr>
            <w:r>
              <w:rPr>
                <w:sz w:val="22"/>
              </w:rPr>
              <w:t>02.07.2020</w:t>
            </w:r>
          </w:p>
        </w:tc>
        <w:tc>
          <w:tcPr>
            <w:tcW w:w="1699" w:type="dxa"/>
          </w:tcPr>
          <w:p>
            <w:pPr>
              <w:pStyle w:val="TableParagraph"/>
              <w:rPr>
                <w:b/>
                <w:sz w:val="24"/>
              </w:rPr>
            </w:pPr>
          </w:p>
          <w:p>
            <w:pPr>
              <w:pStyle w:val="TableParagraph"/>
              <w:spacing w:before="11"/>
              <w:rPr>
                <w:b/>
                <w:sz w:val="30"/>
              </w:rPr>
            </w:pPr>
          </w:p>
          <w:p>
            <w:pPr>
              <w:pStyle w:val="TableParagraph"/>
              <w:ind w:left="108" w:right="509"/>
              <w:rPr>
                <w:sz w:val="22"/>
              </w:rPr>
            </w:pPr>
            <w:r>
              <w:rPr>
                <w:sz w:val="22"/>
              </w:rPr>
              <w:t>РЗН 2020/11113</w:t>
            </w:r>
          </w:p>
        </w:tc>
        <w:tc>
          <w:tcPr>
            <w:tcW w:w="5467" w:type="dxa"/>
          </w:tcPr>
          <w:p>
            <w:pPr>
              <w:pStyle w:val="TableParagraph"/>
              <w:rPr>
                <w:b/>
                <w:sz w:val="24"/>
              </w:rPr>
            </w:pPr>
          </w:p>
          <w:p>
            <w:pPr>
              <w:pStyle w:val="TableParagraph"/>
              <w:spacing w:before="10"/>
              <w:rPr>
                <w:b/>
                <w:sz w:val="19"/>
              </w:rPr>
            </w:pPr>
          </w:p>
          <w:p>
            <w:pPr>
              <w:pStyle w:val="TableParagraph"/>
              <w:ind w:left="108" w:right="558"/>
              <w:rPr>
                <w:sz w:val="22"/>
              </w:rPr>
            </w:pPr>
            <w:r>
              <w:rPr>
                <w:sz w:val="22"/>
              </w:rPr>
              <w:t>Набор реагентов для иммунохроматографического выявления антигена SARS-CoV-2 (STANDARD Q COVID-19 Ag)</w:t>
            </w:r>
          </w:p>
        </w:tc>
        <w:tc>
          <w:tcPr>
            <w:tcW w:w="2229" w:type="dxa"/>
          </w:tcPr>
          <w:p>
            <w:pPr>
              <w:pStyle w:val="TableParagraph"/>
              <w:rPr>
                <w:b/>
                <w:sz w:val="24"/>
              </w:rPr>
            </w:pPr>
          </w:p>
          <w:p>
            <w:pPr>
              <w:pStyle w:val="TableParagraph"/>
              <w:spacing w:before="11"/>
              <w:rPr>
                <w:b/>
                <w:sz w:val="30"/>
              </w:rPr>
            </w:pPr>
          </w:p>
          <w:p>
            <w:pPr>
              <w:pStyle w:val="TableParagraph"/>
              <w:ind w:left="108" w:right="1002"/>
              <w:rPr>
                <w:sz w:val="22"/>
              </w:rPr>
            </w:pPr>
            <w:r>
              <w:rPr>
                <w:sz w:val="22"/>
              </w:rPr>
              <w:t>ООО "Уайт Продакт"</w:t>
            </w:r>
          </w:p>
        </w:tc>
        <w:tc>
          <w:tcPr>
            <w:tcW w:w="3508" w:type="dxa"/>
          </w:tcPr>
          <w:p>
            <w:pPr>
              <w:pStyle w:val="TableParagraph"/>
              <w:ind w:left="109" w:right="153"/>
              <w:rPr>
                <w:sz w:val="22"/>
              </w:rPr>
            </w:pPr>
            <w:r>
              <w:rPr>
                <w:sz w:val="22"/>
              </w:rPr>
              <w:t>Республика Корея, Дальнее зарубежье, SD Biosensor Inc.,Digital Empire Building, C- 4th&amp;5th floor, 16, Deogyeong-daero 1556beon-gil, Yeongtong-gu, Suwon-si, Gyeonggi-do 443-813,</w:t>
            </w:r>
          </w:p>
          <w:p>
            <w:pPr>
              <w:pStyle w:val="TableParagraph"/>
              <w:spacing w:line="233" w:lineRule="exact"/>
              <w:ind w:left="109"/>
              <w:rPr>
                <w:sz w:val="22"/>
              </w:rPr>
            </w:pPr>
            <w:r>
              <w:rPr>
                <w:sz w:val="22"/>
              </w:rPr>
              <w:t>Republic of Korea</w:t>
            </w:r>
          </w:p>
        </w:tc>
      </w:tr>
      <w:tr>
        <w:trPr>
          <w:trHeight w:val="1012" w:hRule="atLeast"/>
        </w:trPr>
        <w:tc>
          <w:tcPr>
            <w:tcW w:w="530" w:type="dxa"/>
            <w:shd w:val="clear" w:color="auto" w:fill="F1F1F1"/>
          </w:tcPr>
          <w:p>
            <w:pPr>
              <w:pStyle w:val="TableParagraph"/>
              <w:spacing w:before="9"/>
              <w:rPr>
                <w:b/>
                <w:sz w:val="32"/>
              </w:rPr>
            </w:pPr>
          </w:p>
          <w:p>
            <w:pPr>
              <w:pStyle w:val="TableParagraph"/>
              <w:ind w:left="107"/>
              <w:rPr>
                <w:sz w:val="22"/>
              </w:rPr>
            </w:pPr>
            <w:r>
              <w:rPr>
                <w:w w:val="100"/>
                <w:sz w:val="22"/>
              </w:rPr>
              <w:t>4</w:t>
            </w:r>
          </w:p>
        </w:tc>
        <w:tc>
          <w:tcPr>
            <w:tcW w:w="1699" w:type="dxa"/>
            <w:shd w:val="clear" w:color="auto" w:fill="F1F1F1"/>
          </w:tcPr>
          <w:p>
            <w:pPr>
              <w:pStyle w:val="TableParagraph"/>
              <w:spacing w:before="9"/>
              <w:rPr>
                <w:b/>
                <w:sz w:val="32"/>
              </w:rPr>
            </w:pPr>
          </w:p>
          <w:p>
            <w:pPr>
              <w:pStyle w:val="TableParagraph"/>
              <w:ind w:left="105"/>
              <w:rPr>
                <w:sz w:val="22"/>
              </w:rPr>
            </w:pPr>
            <w:r>
              <w:rPr>
                <w:sz w:val="22"/>
              </w:rPr>
              <w:t>02.07.2020</w:t>
            </w:r>
          </w:p>
        </w:tc>
        <w:tc>
          <w:tcPr>
            <w:tcW w:w="1699" w:type="dxa"/>
            <w:shd w:val="clear" w:color="auto" w:fill="F1F1F1"/>
          </w:tcPr>
          <w:p>
            <w:pPr>
              <w:pStyle w:val="TableParagraph"/>
              <w:spacing w:before="11"/>
              <w:rPr>
                <w:b/>
                <w:sz w:val="21"/>
              </w:rPr>
            </w:pPr>
          </w:p>
          <w:p>
            <w:pPr>
              <w:pStyle w:val="TableParagraph"/>
              <w:ind w:left="108" w:right="509"/>
              <w:rPr>
                <w:sz w:val="22"/>
              </w:rPr>
            </w:pPr>
            <w:r>
              <w:rPr>
                <w:sz w:val="22"/>
              </w:rPr>
              <w:t>РЗН 2020/11161</w:t>
            </w:r>
          </w:p>
        </w:tc>
        <w:tc>
          <w:tcPr>
            <w:tcW w:w="5467" w:type="dxa"/>
            <w:shd w:val="clear" w:color="auto" w:fill="F1F1F1"/>
          </w:tcPr>
          <w:p>
            <w:pPr>
              <w:pStyle w:val="TableParagraph"/>
              <w:spacing w:before="125"/>
              <w:ind w:left="108" w:right="558"/>
              <w:rPr>
                <w:sz w:val="22"/>
              </w:rPr>
            </w:pPr>
            <w:r>
              <w:rPr>
                <w:sz w:val="22"/>
              </w:rPr>
              <w:t>Набор реагентов для иммунохроматографического выявления антигена SARS-CoV-2 (BIOCREDIT COVID-19 Ag)</w:t>
            </w:r>
          </w:p>
        </w:tc>
        <w:tc>
          <w:tcPr>
            <w:tcW w:w="2229" w:type="dxa"/>
            <w:shd w:val="clear" w:color="auto" w:fill="F1F1F1"/>
          </w:tcPr>
          <w:p>
            <w:pPr>
              <w:pStyle w:val="TableParagraph"/>
              <w:spacing w:before="9"/>
              <w:rPr>
                <w:b/>
                <w:sz w:val="32"/>
              </w:rPr>
            </w:pPr>
          </w:p>
          <w:p>
            <w:pPr>
              <w:pStyle w:val="TableParagraph"/>
              <w:ind w:left="108"/>
              <w:rPr>
                <w:sz w:val="22"/>
              </w:rPr>
            </w:pPr>
            <w:r>
              <w:rPr>
                <w:sz w:val="22"/>
              </w:rPr>
              <w:t>ООО "АВИВИР"</w:t>
            </w:r>
          </w:p>
        </w:tc>
        <w:tc>
          <w:tcPr>
            <w:tcW w:w="3508" w:type="dxa"/>
            <w:shd w:val="clear" w:color="auto" w:fill="F1F1F1"/>
          </w:tcPr>
          <w:p>
            <w:pPr>
              <w:pStyle w:val="TableParagraph"/>
              <w:ind w:left="109" w:right="128"/>
              <w:rPr>
                <w:sz w:val="22"/>
              </w:rPr>
            </w:pPr>
            <w:r>
              <w:rPr>
                <w:sz w:val="22"/>
              </w:rPr>
              <w:t>Республика Корея, RapiGEN, Inc., 3-4F, 16, LS-ro 91beon-gil, Dongan- gu, Anyang-si, Gyeonggi-do 14119,</w:t>
            </w:r>
          </w:p>
          <w:p>
            <w:pPr>
              <w:pStyle w:val="TableParagraph"/>
              <w:spacing w:line="233" w:lineRule="exact"/>
              <w:ind w:left="109"/>
              <w:rPr>
                <w:sz w:val="22"/>
              </w:rPr>
            </w:pPr>
            <w:r>
              <w:rPr>
                <w:sz w:val="22"/>
              </w:rPr>
              <w:t>Republic of Korea</w:t>
            </w:r>
          </w:p>
        </w:tc>
      </w:tr>
    </w:tbl>
    <w:p>
      <w:pPr>
        <w:spacing w:after="0" w:line="233" w:lineRule="exact"/>
        <w:rPr>
          <w:sz w:val="22"/>
        </w:rPr>
        <w:sectPr>
          <w:pgSz w:w="16850" w:h="11920" w:orient="landscape"/>
          <w:pgMar w:header="0" w:footer="1110" w:top="960" w:bottom="1300" w:left="880" w:right="360"/>
        </w:sectPr>
      </w:pPr>
    </w:p>
    <w:p>
      <w:pPr>
        <w:pStyle w:val="Heading3"/>
        <w:spacing w:before="68"/>
        <w:ind w:left="13683"/>
        <w:jc w:val="left"/>
      </w:pPr>
      <w:bookmarkStart w:name="Приложение 6" w:id="222"/>
      <w:bookmarkEnd w:id="222"/>
      <w:r>
        <w:rPr>
          <w:b w:val="0"/>
        </w:rPr>
      </w:r>
      <w:bookmarkStart w:name="_bookmark55" w:id="223"/>
      <w:bookmarkEnd w:id="223"/>
      <w:r>
        <w:rPr>
          <w:b w:val="0"/>
        </w:rPr>
      </w:r>
      <w:r>
        <w:rPr>
          <w:color w:val="1F487C"/>
        </w:rPr>
        <w:t>Приложение 6</w:t>
      </w:r>
    </w:p>
    <w:p>
      <w:pPr>
        <w:spacing w:before="146"/>
        <w:ind w:left="934" w:right="0" w:firstLine="0"/>
        <w:jc w:val="left"/>
        <w:rPr>
          <w:b/>
          <w:sz w:val="28"/>
        </w:rPr>
      </w:pPr>
      <w:r>
        <w:rPr>
          <w:b/>
          <w:sz w:val="28"/>
        </w:rPr>
        <w:t>Лекарственные взаимодействия антитромботических и препаратов для лечения пациентов с COVID-19</w:t>
      </w:r>
    </w:p>
    <w:p>
      <w:pPr>
        <w:pStyle w:val="BodyText"/>
        <w:ind w:left="0"/>
        <w:jc w:val="left"/>
        <w:rPr>
          <w:b/>
          <w:sz w:val="16"/>
        </w:rPr>
      </w:pPr>
    </w:p>
    <w:tbl>
      <w:tblPr>
        <w:tblW w:w="0" w:type="auto"/>
        <w:jc w:val="left"/>
        <w:tblInd w:w="8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2119"/>
        <w:gridCol w:w="1701"/>
        <w:gridCol w:w="1955"/>
        <w:gridCol w:w="2615"/>
        <w:gridCol w:w="1559"/>
        <w:gridCol w:w="1701"/>
        <w:gridCol w:w="1843"/>
      </w:tblGrid>
      <w:tr>
        <w:trPr>
          <w:trHeight w:val="419" w:hRule="atLeast"/>
        </w:trPr>
        <w:tc>
          <w:tcPr>
            <w:tcW w:w="2119" w:type="dxa"/>
          </w:tcPr>
          <w:p>
            <w:pPr>
              <w:pStyle w:val="TableParagraph"/>
              <w:spacing w:before="71"/>
              <w:ind w:left="143"/>
              <w:rPr>
                <w:b/>
                <w:sz w:val="18"/>
              </w:rPr>
            </w:pPr>
            <w:r>
              <w:rPr>
                <w:b/>
                <w:sz w:val="18"/>
              </w:rPr>
              <w:t>Препарат</w:t>
            </w:r>
          </w:p>
        </w:tc>
        <w:tc>
          <w:tcPr>
            <w:tcW w:w="1701" w:type="dxa"/>
          </w:tcPr>
          <w:p>
            <w:pPr>
              <w:pStyle w:val="TableParagraph"/>
              <w:spacing w:before="71"/>
              <w:ind w:left="257" w:right="243"/>
              <w:jc w:val="center"/>
              <w:rPr>
                <w:b/>
                <w:sz w:val="18"/>
              </w:rPr>
            </w:pPr>
            <w:r>
              <w:rPr>
                <w:b/>
                <w:sz w:val="18"/>
              </w:rPr>
              <w:t>Фавипиравир</w:t>
            </w:r>
          </w:p>
        </w:tc>
        <w:tc>
          <w:tcPr>
            <w:tcW w:w="1955" w:type="dxa"/>
          </w:tcPr>
          <w:p>
            <w:pPr>
              <w:pStyle w:val="TableParagraph"/>
              <w:spacing w:before="71"/>
              <w:ind w:left="179" w:right="165"/>
              <w:jc w:val="center"/>
              <w:rPr>
                <w:b/>
                <w:sz w:val="18"/>
              </w:rPr>
            </w:pPr>
            <w:r>
              <w:rPr>
                <w:b/>
                <w:sz w:val="18"/>
              </w:rPr>
              <w:t>Гидроксихлорохин</w:t>
            </w:r>
          </w:p>
        </w:tc>
        <w:tc>
          <w:tcPr>
            <w:tcW w:w="2615" w:type="dxa"/>
          </w:tcPr>
          <w:p>
            <w:pPr>
              <w:pStyle w:val="TableParagraph"/>
              <w:spacing w:before="71"/>
              <w:ind w:left="262" w:right="252"/>
              <w:jc w:val="center"/>
              <w:rPr>
                <w:b/>
                <w:sz w:val="18"/>
              </w:rPr>
            </w:pPr>
            <w:r>
              <w:rPr>
                <w:b/>
                <w:sz w:val="18"/>
              </w:rPr>
              <w:t>Тоцилизумаб, сарилумаб</w:t>
            </w:r>
          </w:p>
        </w:tc>
        <w:tc>
          <w:tcPr>
            <w:tcW w:w="1559" w:type="dxa"/>
          </w:tcPr>
          <w:p>
            <w:pPr>
              <w:pStyle w:val="TableParagraph"/>
              <w:spacing w:before="71"/>
              <w:ind w:left="204" w:right="190"/>
              <w:jc w:val="center"/>
              <w:rPr>
                <w:b/>
                <w:sz w:val="18"/>
              </w:rPr>
            </w:pPr>
            <w:r>
              <w:rPr>
                <w:b/>
                <w:sz w:val="18"/>
              </w:rPr>
              <w:t>Барицитиниб</w:t>
            </w:r>
          </w:p>
        </w:tc>
        <w:tc>
          <w:tcPr>
            <w:tcW w:w="1701" w:type="dxa"/>
          </w:tcPr>
          <w:p>
            <w:pPr>
              <w:pStyle w:val="TableParagraph"/>
              <w:spacing w:before="71"/>
              <w:ind w:left="257" w:right="236"/>
              <w:jc w:val="center"/>
              <w:rPr>
                <w:b/>
                <w:sz w:val="18"/>
              </w:rPr>
            </w:pPr>
            <w:r>
              <w:rPr>
                <w:b/>
                <w:sz w:val="18"/>
              </w:rPr>
              <w:t>Дексаметазон</w:t>
            </w:r>
          </w:p>
        </w:tc>
        <w:tc>
          <w:tcPr>
            <w:tcW w:w="1843" w:type="dxa"/>
          </w:tcPr>
          <w:p>
            <w:pPr>
              <w:pStyle w:val="TableParagraph"/>
              <w:spacing w:before="71"/>
              <w:ind w:left="364"/>
              <w:rPr>
                <w:b/>
                <w:sz w:val="18"/>
              </w:rPr>
            </w:pPr>
            <w:r>
              <w:rPr>
                <w:b/>
                <w:sz w:val="18"/>
              </w:rPr>
              <w:t>Азитромицин</w:t>
            </w:r>
          </w:p>
        </w:tc>
      </w:tr>
      <w:tr>
        <w:trPr>
          <w:trHeight w:val="368" w:hRule="atLeast"/>
        </w:trPr>
        <w:tc>
          <w:tcPr>
            <w:tcW w:w="2119" w:type="dxa"/>
          </w:tcPr>
          <w:p>
            <w:pPr>
              <w:pStyle w:val="TableParagraph"/>
              <w:spacing w:before="71"/>
              <w:ind w:left="143"/>
              <w:rPr>
                <w:sz w:val="18"/>
              </w:rPr>
            </w:pPr>
            <w:r>
              <w:rPr>
                <w:sz w:val="18"/>
              </w:rPr>
              <w:t>Аценокумарол</w:t>
            </w:r>
          </w:p>
        </w:tc>
        <w:tc>
          <w:tcPr>
            <w:tcW w:w="1701" w:type="dxa"/>
            <w:shd w:val="clear" w:color="auto" w:fill="C5DFB3"/>
          </w:tcPr>
          <w:p>
            <w:pPr>
              <w:pStyle w:val="TableParagraph"/>
              <w:spacing w:before="73"/>
              <w:ind w:left="13"/>
              <w:jc w:val="center"/>
              <w:rPr>
                <w:rFonts w:ascii="Symbol" w:hAnsi="Symbol"/>
                <w:sz w:val="18"/>
              </w:rPr>
            </w:pPr>
            <w:r>
              <w:rPr>
                <w:rFonts w:ascii="Symbol" w:hAnsi="Symbol"/>
                <w:sz w:val="18"/>
              </w:rPr>
              <w:t></w:t>
            </w:r>
          </w:p>
        </w:tc>
        <w:tc>
          <w:tcPr>
            <w:tcW w:w="1955" w:type="dxa"/>
            <w:shd w:val="clear" w:color="auto" w:fill="C5DFB3"/>
          </w:tcPr>
          <w:p>
            <w:pPr>
              <w:pStyle w:val="TableParagraph"/>
              <w:spacing w:before="73"/>
              <w:ind w:left="14"/>
              <w:jc w:val="center"/>
              <w:rPr>
                <w:rFonts w:ascii="Symbol" w:hAnsi="Symbol"/>
                <w:sz w:val="18"/>
              </w:rPr>
            </w:pPr>
            <w:r>
              <w:rPr>
                <w:rFonts w:ascii="Symbol" w:hAnsi="Symbol"/>
                <w:sz w:val="18"/>
              </w:rPr>
              <w:t></w:t>
            </w:r>
          </w:p>
        </w:tc>
        <w:tc>
          <w:tcPr>
            <w:tcW w:w="2615" w:type="dxa"/>
            <w:shd w:val="clear" w:color="auto" w:fill="FFFF00"/>
          </w:tcPr>
          <w:p>
            <w:pPr>
              <w:pStyle w:val="TableParagraph"/>
              <w:spacing w:before="73"/>
              <w:ind w:left="17"/>
              <w:jc w:val="center"/>
              <w:rPr>
                <w:rFonts w:ascii="Symbol" w:hAnsi="Symbol"/>
                <w:sz w:val="18"/>
              </w:rPr>
            </w:pPr>
            <w:r>
              <w:rPr>
                <w:rFonts w:ascii="Symbol" w:hAnsi="Symbol"/>
                <w:sz w:val="18"/>
              </w:rPr>
              <w:t></w:t>
            </w:r>
          </w:p>
        </w:tc>
        <w:tc>
          <w:tcPr>
            <w:tcW w:w="1559" w:type="dxa"/>
            <w:shd w:val="clear" w:color="auto" w:fill="C5DFB3"/>
          </w:tcPr>
          <w:p>
            <w:pPr>
              <w:pStyle w:val="TableParagraph"/>
              <w:spacing w:before="73"/>
              <w:ind w:left="16"/>
              <w:jc w:val="center"/>
              <w:rPr>
                <w:rFonts w:ascii="Symbol" w:hAnsi="Symbol"/>
                <w:sz w:val="18"/>
              </w:rPr>
            </w:pPr>
            <w:r>
              <w:rPr>
                <w:rFonts w:ascii="Symbol" w:hAnsi="Symbol"/>
                <w:sz w:val="18"/>
              </w:rPr>
              <w:t></w:t>
            </w:r>
          </w:p>
        </w:tc>
        <w:tc>
          <w:tcPr>
            <w:tcW w:w="1701" w:type="dxa"/>
            <w:shd w:val="clear" w:color="auto" w:fill="FFFF00"/>
          </w:tcPr>
          <w:p>
            <w:pPr>
              <w:pStyle w:val="TableParagraph"/>
              <w:spacing w:before="73"/>
              <w:ind w:left="23"/>
              <w:jc w:val="center"/>
              <w:rPr>
                <w:rFonts w:ascii="Symbol" w:hAnsi="Symbol"/>
                <w:sz w:val="18"/>
              </w:rPr>
            </w:pPr>
            <w:r>
              <w:rPr>
                <w:rFonts w:ascii="Symbol" w:hAnsi="Symbol"/>
                <w:sz w:val="18"/>
              </w:rPr>
              <w:t></w:t>
            </w:r>
          </w:p>
        </w:tc>
        <w:tc>
          <w:tcPr>
            <w:tcW w:w="1843" w:type="dxa"/>
          </w:tcPr>
          <w:p>
            <w:pPr>
              <w:pStyle w:val="TableParagraph"/>
              <w:spacing w:before="71"/>
              <w:ind w:left="148"/>
              <w:rPr>
                <w:sz w:val="18"/>
              </w:rPr>
            </w:pPr>
            <w:r>
              <w:rPr>
                <w:sz w:val="18"/>
              </w:rPr>
              <w:t>Нет данных</w:t>
            </w:r>
          </w:p>
        </w:tc>
      </w:tr>
      <w:tr>
        <w:trPr>
          <w:trHeight w:val="364" w:hRule="atLeast"/>
        </w:trPr>
        <w:tc>
          <w:tcPr>
            <w:tcW w:w="2119" w:type="dxa"/>
          </w:tcPr>
          <w:p>
            <w:pPr>
              <w:pStyle w:val="TableParagraph"/>
              <w:spacing w:before="74"/>
              <w:ind w:left="143"/>
              <w:rPr>
                <w:sz w:val="18"/>
              </w:rPr>
            </w:pPr>
            <w:r>
              <w:rPr>
                <w:sz w:val="18"/>
              </w:rPr>
              <w:t>Апиксабан</w:t>
            </w:r>
          </w:p>
        </w:tc>
        <w:tc>
          <w:tcPr>
            <w:tcW w:w="1701" w:type="dxa"/>
            <w:shd w:val="clear" w:color="auto" w:fill="C5DFB3"/>
          </w:tcPr>
          <w:p>
            <w:pPr>
              <w:pStyle w:val="TableParagraph"/>
              <w:spacing w:before="73"/>
              <w:ind w:left="13"/>
              <w:jc w:val="center"/>
              <w:rPr>
                <w:rFonts w:ascii="Symbol" w:hAnsi="Symbol"/>
                <w:sz w:val="18"/>
              </w:rPr>
            </w:pPr>
            <w:r>
              <w:rPr>
                <w:rFonts w:ascii="Symbol" w:hAnsi="Symbol"/>
                <w:sz w:val="18"/>
              </w:rPr>
              <w:t></w:t>
            </w:r>
          </w:p>
        </w:tc>
        <w:tc>
          <w:tcPr>
            <w:tcW w:w="1955" w:type="dxa"/>
            <w:shd w:val="clear" w:color="auto" w:fill="FFFF00"/>
          </w:tcPr>
          <w:p>
            <w:pPr>
              <w:pStyle w:val="TableParagraph"/>
              <w:spacing w:before="73"/>
              <w:ind w:left="17"/>
              <w:jc w:val="center"/>
              <w:rPr>
                <w:rFonts w:ascii="Symbol" w:hAnsi="Symbol"/>
                <w:sz w:val="18"/>
              </w:rPr>
            </w:pPr>
            <w:r>
              <w:rPr>
                <w:rFonts w:ascii="Symbol" w:hAnsi="Symbol"/>
                <w:sz w:val="18"/>
              </w:rPr>
              <w:t></w:t>
            </w:r>
          </w:p>
        </w:tc>
        <w:tc>
          <w:tcPr>
            <w:tcW w:w="2615" w:type="dxa"/>
            <w:shd w:val="clear" w:color="auto" w:fill="FFFF00"/>
          </w:tcPr>
          <w:p>
            <w:pPr>
              <w:pStyle w:val="TableParagraph"/>
              <w:spacing w:before="73"/>
              <w:ind w:left="17"/>
              <w:jc w:val="center"/>
              <w:rPr>
                <w:rFonts w:ascii="Symbol" w:hAnsi="Symbol"/>
                <w:sz w:val="18"/>
              </w:rPr>
            </w:pPr>
            <w:r>
              <w:rPr>
                <w:rFonts w:ascii="Symbol" w:hAnsi="Symbol"/>
                <w:sz w:val="18"/>
              </w:rPr>
              <w:t></w:t>
            </w:r>
          </w:p>
        </w:tc>
        <w:tc>
          <w:tcPr>
            <w:tcW w:w="1559" w:type="dxa"/>
            <w:shd w:val="clear" w:color="auto" w:fill="C5DFB3"/>
          </w:tcPr>
          <w:p>
            <w:pPr>
              <w:pStyle w:val="TableParagraph"/>
              <w:spacing w:before="73"/>
              <w:ind w:left="16"/>
              <w:jc w:val="center"/>
              <w:rPr>
                <w:rFonts w:ascii="Symbol" w:hAnsi="Symbol"/>
                <w:sz w:val="18"/>
              </w:rPr>
            </w:pPr>
            <w:r>
              <w:rPr>
                <w:rFonts w:ascii="Symbol" w:hAnsi="Symbol"/>
                <w:sz w:val="18"/>
              </w:rPr>
              <w:t></w:t>
            </w:r>
          </w:p>
        </w:tc>
        <w:tc>
          <w:tcPr>
            <w:tcW w:w="1701" w:type="dxa"/>
            <w:shd w:val="clear" w:color="auto" w:fill="FFFF00"/>
          </w:tcPr>
          <w:p>
            <w:pPr>
              <w:pStyle w:val="TableParagraph"/>
              <w:spacing w:before="73"/>
              <w:ind w:left="23"/>
              <w:jc w:val="center"/>
              <w:rPr>
                <w:rFonts w:ascii="Symbol" w:hAnsi="Symbol"/>
                <w:sz w:val="18"/>
              </w:rPr>
            </w:pPr>
            <w:r>
              <w:rPr>
                <w:rFonts w:ascii="Symbol" w:hAnsi="Symbol"/>
                <w:sz w:val="18"/>
              </w:rPr>
              <w:t></w:t>
            </w:r>
          </w:p>
        </w:tc>
        <w:tc>
          <w:tcPr>
            <w:tcW w:w="1843" w:type="dxa"/>
          </w:tcPr>
          <w:p>
            <w:pPr>
              <w:pStyle w:val="TableParagraph"/>
              <w:spacing w:before="74"/>
              <w:ind w:left="148"/>
              <w:rPr>
                <w:sz w:val="18"/>
              </w:rPr>
            </w:pPr>
            <w:r>
              <w:rPr>
                <w:sz w:val="18"/>
              </w:rPr>
              <w:t>Нет данных</w:t>
            </w:r>
          </w:p>
        </w:tc>
      </w:tr>
      <w:tr>
        <w:trPr>
          <w:trHeight w:val="558" w:hRule="atLeast"/>
        </w:trPr>
        <w:tc>
          <w:tcPr>
            <w:tcW w:w="2119" w:type="dxa"/>
          </w:tcPr>
          <w:p>
            <w:pPr>
              <w:pStyle w:val="TableParagraph"/>
              <w:spacing w:before="74"/>
              <w:ind w:left="143" w:right="403"/>
              <w:rPr>
                <w:sz w:val="18"/>
              </w:rPr>
            </w:pPr>
            <w:r>
              <w:rPr>
                <w:sz w:val="18"/>
              </w:rPr>
              <w:t>Ацетилсалициловая кислота</w:t>
            </w:r>
          </w:p>
        </w:tc>
        <w:tc>
          <w:tcPr>
            <w:tcW w:w="1701" w:type="dxa"/>
            <w:shd w:val="clear" w:color="auto" w:fill="C5DFB3"/>
          </w:tcPr>
          <w:p>
            <w:pPr>
              <w:pStyle w:val="TableParagraph"/>
              <w:spacing w:before="75"/>
              <w:ind w:left="13"/>
              <w:jc w:val="center"/>
              <w:rPr>
                <w:rFonts w:ascii="Symbol" w:hAnsi="Symbol"/>
                <w:sz w:val="18"/>
              </w:rPr>
            </w:pPr>
            <w:r>
              <w:rPr>
                <w:rFonts w:ascii="Symbol" w:hAnsi="Symbol"/>
                <w:sz w:val="18"/>
              </w:rPr>
              <w:t></w:t>
            </w:r>
          </w:p>
        </w:tc>
        <w:tc>
          <w:tcPr>
            <w:tcW w:w="1955" w:type="dxa"/>
            <w:shd w:val="clear" w:color="auto" w:fill="C5DFB3"/>
          </w:tcPr>
          <w:p>
            <w:pPr>
              <w:pStyle w:val="TableParagraph"/>
              <w:spacing w:before="75"/>
              <w:ind w:left="14"/>
              <w:jc w:val="center"/>
              <w:rPr>
                <w:rFonts w:ascii="Symbol" w:hAnsi="Symbol"/>
                <w:sz w:val="18"/>
              </w:rPr>
            </w:pPr>
            <w:r>
              <w:rPr>
                <w:rFonts w:ascii="Symbol" w:hAnsi="Symbol"/>
                <w:sz w:val="18"/>
              </w:rPr>
              <w:t></w:t>
            </w:r>
          </w:p>
        </w:tc>
        <w:tc>
          <w:tcPr>
            <w:tcW w:w="2615" w:type="dxa"/>
            <w:shd w:val="clear" w:color="auto" w:fill="C5DFB3"/>
          </w:tcPr>
          <w:p>
            <w:pPr>
              <w:pStyle w:val="TableParagraph"/>
              <w:spacing w:before="75"/>
              <w:ind w:left="14"/>
              <w:jc w:val="center"/>
              <w:rPr>
                <w:rFonts w:ascii="Symbol" w:hAnsi="Symbol"/>
                <w:sz w:val="18"/>
              </w:rPr>
            </w:pPr>
            <w:r>
              <w:rPr>
                <w:rFonts w:ascii="Symbol" w:hAnsi="Symbol"/>
                <w:sz w:val="18"/>
              </w:rPr>
              <w:t></w:t>
            </w:r>
          </w:p>
        </w:tc>
        <w:tc>
          <w:tcPr>
            <w:tcW w:w="1559" w:type="dxa"/>
            <w:shd w:val="clear" w:color="auto" w:fill="C5DFB3"/>
          </w:tcPr>
          <w:p>
            <w:pPr>
              <w:pStyle w:val="TableParagraph"/>
              <w:spacing w:before="75"/>
              <w:ind w:left="16"/>
              <w:jc w:val="center"/>
              <w:rPr>
                <w:rFonts w:ascii="Symbol" w:hAnsi="Symbol"/>
                <w:sz w:val="18"/>
              </w:rPr>
            </w:pPr>
            <w:r>
              <w:rPr>
                <w:rFonts w:ascii="Symbol" w:hAnsi="Symbol"/>
                <w:sz w:val="18"/>
              </w:rPr>
              <w:t></w:t>
            </w:r>
          </w:p>
        </w:tc>
        <w:tc>
          <w:tcPr>
            <w:tcW w:w="1701" w:type="dxa"/>
            <w:shd w:val="clear" w:color="auto" w:fill="C5DFB3"/>
          </w:tcPr>
          <w:p>
            <w:pPr>
              <w:pStyle w:val="TableParagraph"/>
              <w:rPr>
                <w:sz w:val="18"/>
              </w:rPr>
            </w:pPr>
          </w:p>
        </w:tc>
        <w:tc>
          <w:tcPr>
            <w:tcW w:w="1843" w:type="dxa"/>
            <w:shd w:val="clear" w:color="auto" w:fill="C5DFB3"/>
          </w:tcPr>
          <w:p>
            <w:pPr>
              <w:pStyle w:val="TableParagraph"/>
              <w:spacing w:before="75"/>
              <w:ind w:left="23"/>
              <w:jc w:val="center"/>
              <w:rPr>
                <w:rFonts w:ascii="Symbol" w:hAnsi="Symbol"/>
                <w:sz w:val="18"/>
              </w:rPr>
            </w:pPr>
            <w:r>
              <w:rPr>
                <w:rFonts w:ascii="Symbol" w:hAnsi="Symbol"/>
                <w:sz w:val="18"/>
              </w:rPr>
              <w:t></w:t>
            </w:r>
          </w:p>
        </w:tc>
      </w:tr>
      <w:tr>
        <w:trPr>
          <w:trHeight w:val="364" w:hRule="atLeast"/>
        </w:trPr>
        <w:tc>
          <w:tcPr>
            <w:tcW w:w="2119" w:type="dxa"/>
          </w:tcPr>
          <w:p>
            <w:pPr>
              <w:pStyle w:val="TableParagraph"/>
              <w:spacing w:before="71"/>
              <w:ind w:left="143"/>
              <w:rPr>
                <w:sz w:val="18"/>
              </w:rPr>
            </w:pPr>
            <w:r>
              <w:rPr>
                <w:sz w:val="18"/>
              </w:rPr>
              <w:t>Клопидогрел</w:t>
            </w:r>
          </w:p>
        </w:tc>
        <w:tc>
          <w:tcPr>
            <w:tcW w:w="1701" w:type="dxa"/>
            <w:shd w:val="clear" w:color="auto" w:fill="C5DFB3"/>
          </w:tcPr>
          <w:p>
            <w:pPr>
              <w:pStyle w:val="TableParagraph"/>
              <w:spacing w:before="73"/>
              <w:ind w:left="13"/>
              <w:jc w:val="center"/>
              <w:rPr>
                <w:rFonts w:ascii="Symbol" w:hAnsi="Symbol"/>
                <w:sz w:val="18"/>
              </w:rPr>
            </w:pPr>
            <w:r>
              <w:rPr>
                <w:rFonts w:ascii="Symbol" w:hAnsi="Symbol"/>
                <w:sz w:val="18"/>
              </w:rPr>
              <w:t></w:t>
            </w:r>
          </w:p>
        </w:tc>
        <w:tc>
          <w:tcPr>
            <w:tcW w:w="1955" w:type="dxa"/>
            <w:shd w:val="clear" w:color="auto" w:fill="C5DFB3"/>
          </w:tcPr>
          <w:p>
            <w:pPr>
              <w:pStyle w:val="TableParagraph"/>
              <w:spacing w:before="73"/>
              <w:ind w:left="179" w:right="68"/>
              <w:jc w:val="center"/>
              <w:rPr>
                <w:sz w:val="18"/>
              </w:rPr>
            </w:pPr>
            <w:r>
              <w:rPr>
                <w:rFonts w:ascii="Symbol" w:hAnsi="Symbol"/>
                <w:sz w:val="18"/>
              </w:rPr>
              <w:t></w:t>
            </w:r>
            <w:r>
              <w:rPr>
                <w:sz w:val="18"/>
              </w:rPr>
              <w:t>*</w:t>
            </w:r>
          </w:p>
        </w:tc>
        <w:tc>
          <w:tcPr>
            <w:tcW w:w="2615" w:type="dxa"/>
            <w:shd w:val="clear" w:color="auto" w:fill="FFFF00"/>
          </w:tcPr>
          <w:p>
            <w:pPr>
              <w:pStyle w:val="TableParagraph"/>
              <w:spacing w:before="73"/>
              <w:ind w:left="17"/>
              <w:jc w:val="center"/>
              <w:rPr>
                <w:rFonts w:ascii="Symbol" w:hAnsi="Symbol"/>
                <w:sz w:val="18"/>
              </w:rPr>
            </w:pPr>
            <w:r>
              <w:rPr>
                <w:rFonts w:ascii="Symbol" w:hAnsi="Symbol"/>
                <w:sz w:val="18"/>
              </w:rPr>
              <w:t></w:t>
            </w:r>
          </w:p>
        </w:tc>
        <w:tc>
          <w:tcPr>
            <w:tcW w:w="1559" w:type="dxa"/>
            <w:shd w:val="clear" w:color="auto" w:fill="C5DFB3"/>
          </w:tcPr>
          <w:p>
            <w:pPr>
              <w:pStyle w:val="TableParagraph"/>
              <w:spacing w:before="73"/>
              <w:ind w:left="16"/>
              <w:jc w:val="center"/>
              <w:rPr>
                <w:rFonts w:ascii="Symbol" w:hAnsi="Symbol"/>
                <w:sz w:val="18"/>
              </w:rPr>
            </w:pPr>
            <w:r>
              <w:rPr>
                <w:rFonts w:ascii="Symbol" w:hAnsi="Symbol"/>
                <w:sz w:val="18"/>
              </w:rPr>
              <w:t></w:t>
            </w:r>
          </w:p>
        </w:tc>
        <w:tc>
          <w:tcPr>
            <w:tcW w:w="1701" w:type="dxa"/>
            <w:shd w:val="clear" w:color="auto" w:fill="C5DFB3"/>
          </w:tcPr>
          <w:p>
            <w:pPr>
              <w:pStyle w:val="TableParagraph"/>
              <w:rPr>
                <w:sz w:val="18"/>
              </w:rPr>
            </w:pPr>
          </w:p>
        </w:tc>
        <w:tc>
          <w:tcPr>
            <w:tcW w:w="1843" w:type="dxa"/>
            <w:shd w:val="clear" w:color="auto" w:fill="C5DFB3"/>
          </w:tcPr>
          <w:p>
            <w:pPr>
              <w:pStyle w:val="TableParagraph"/>
              <w:spacing w:before="73"/>
              <w:ind w:left="23"/>
              <w:jc w:val="center"/>
              <w:rPr>
                <w:rFonts w:ascii="Symbol" w:hAnsi="Symbol"/>
                <w:sz w:val="18"/>
              </w:rPr>
            </w:pPr>
            <w:r>
              <w:rPr>
                <w:rFonts w:ascii="Symbol" w:hAnsi="Symbol"/>
                <w:sz w:val="18"/>
              </w:rPr>
              <w:t></w:t>
            </w:r>
          </w:p>
        </w:tc>
      </w:tr>
      <w:tr>
        <w:trPr>
          <w:trHeight w:val="364" w:hRule="atLeast"/>
        </w:trPr>
        <w:tc>
          <w:tcPr>
            <w:tcW w:w="2119" w:type="dxa"/>
          </w:tcPr>
          <w:p>
            <w:pPr>
              <w:pStyle w:val="TableParagraph"/>
              <w:spacing w:before="74"/>
              <w:ind w:left="143"/>
              <w:rPr>
                <w:sz w:val="18"/>
              </w:rPr>
            </w:pPr>
            <w:r>
              <w:rPr>
                <w:sz w:val="18"/>
              </w:rPr>
              <w:t>Дабигатран</w:t>
            </w:r>
          </w:p>
        </w:tc>
        <w:tc>
          <w:tcPr>
            <w:tcW w:w="1701" w:type="dxa"/>
            <w:shd w:val="clear" w:color="auto" w:fill="C5DFB3"/>
          </w:tcPr>
          <w:p>
            <w:pPr>
              <w:pStyle w:val="TableParagraph"/>
              <w:spacing w:before="73"/>
              <w:ind w:left="13"/>
              <w:jc w:val="center"/>
              <w:rPr>
                <w:rFonts w:ascii="Symbol" w:hAnsi="Symbol"/>
                <w:sz w:val="18"/>
              </w:rPr>
            </w:pPr>
            <w:r>
              <w:rPr>
                <w:rFonts w:ascii="Symbol" w:hAnsi="Symbol"/>
                <w:sz w:val="18"/>
              </w:rPr>
              <w:t></w:t>
            </w:r>
          </w:p>
        </w:tc>
        <w:tc>
          <w:tcPr>
            <w:tcW w:w="1955" w:type="dxa"/>
            <w:shd w:val="clear" w:color="auto" w:fill="FBD4B5"/>
          </w:tcPr>
          <w:p>
            <w:pPr>
              <w:pStyle w:val="TableParagraph"/>
              <w:spacing w:before="73"/>
              <w:ind w:left="17"/>
              <w:jc w:val="center"/>
              <w:rPr>
                <w:rFonts w:ascii="Symbol" w:hAnsi="Symbol"/>
                <w:sz w:val="18"/>
              </w:rPr>
            </w:pPr>
            <w:r>
              <w:rPr>
                <w:rFonts w:ascii="Symbol" w:hAnsi="Symbol"/>
                <w:sz w:val="18"/>
              </w:rPr>
              <w:t></w:t>
            </w:r>
          </w:p>
        </w:tc>
        <w:tc>
          <w:tcPr>
            <w:tcW w:w="2615" w:type="dxa"/>
            <w:shd w:val="clear" w:color="auto" w:fill="C5DFB3"/>
          </w:tcPr>
          <w:p>
            <w:pPr>
              <w:pStyle w:val="TableParagraph"/>
              <w:spacing w:before="73"/>
              <w:ind w:left="14"/>
              <w:jc w:val="center"/>
              <w:rPr>
                <w:rFonts w:ascii="Symbol" w:hAnsi="Symbol"/>
                <w:sz w:val="18"/>
              </w:rPr>
            </w:pPr>
            <w:r>
              <w:rPr>
                <w:rFonts w:ascii="Symbol" w:hAnsi="Symbol"/>
                <w:sz w:val="18"/>
              </w:rPr>
              <w:t></w:t>
            </w:r>
          </w:p>
        </w:tc>
        <w:tc>
          <w:tcPr>
            <w:tcW w:w="1559" w:type="dxa"/>
            <w:shd w:val="clear" w:color="auto" w:fill="C5DFB3"/>
          </w:tcPr>
          <w:p>
            <w:pPr>
              <w:pStyle w:val="TableParagraph"/>
              <w:spacing w:before="73"/>
              <w:ind w:left="16"/>
              <w:jc w:val="center"/>
              <w:rPr>
                <w:rFonts w:ascii="Symbol" w:hAnsi="Symbol"/>
                <w:sz w:val="18"/>
              </w:rPr>
            </w:pPr>
            <w:r>
              <w:rPr>
                <w:rFonts w:ascii="Symbol" w:hAnsi="Symbol"/>
                <w:sz w:val="18"/>
              </w:rPr>
              <w:t></w:t>
            </w:r>
          </w:p>
        </w:tc>
        <w:tc>
          <w:tcPr>
            <w:tcW w:w="1701" w:type="dxa"/>
            <w:shd w:val="clear" w:color="auto" w:fill="FFFF00"/>
          </w:tcPr>
          <w:p>
            <w:pPr>
              <w:pStyle w:val="TableParagraph"/>
              <w:spacing w:before="73"/>
              <w:ind w:left="23"/>
              <w:jc w:val="center"/>
              <w:rPr>
                <w:rFonts w:ascii="Symbol" w:hAnsi="Symbol"/>
                <w:sz w:val="18"/>
              </w:rPr>
            </w:pPr>
            <w:r>
              <w:rPr>
                <w:rFonts w:ascii="Symbol" w:hAnsi="Symbol"/>
                <w:sz w:val="18"/>
              </w:rPr>
              <w:t></w:t>
            </w:r>
          </w:p>
        </w:tc>
        <w:tc>
          <w:tcPr>
            <w:tcW w:w="1843" w:type="dxa"/>
            <w:shd w:val="clear" w:color="auto" w:fill="FBD4B5"/>
          </w:tcPr>
          <w:p>
            <w:pPr>
              <w:pStyle w:val="TableParagraph"/>
              <w:spacing w:before="73"/>
              <w:ind w:left="21"/>
              <w:jc w:val="center"/>
              <w:rPr>
                <w:rFonts w:ascii="Symbol" w:hAnsi="Symbol"/>
                <w:sz w:val="18"/>
              </w:rPr>
            </w:pPr>
            <w:r>
              <w:rPr>
                <w:rFonts w:ascii="Symbol" w:hAnsi="Symbol"/>
                <w:sz w:val="18"/>
              </w:rPr>
              <w:t></w:t>
            </w:r>
          </w:p>
        </w:tc>
      </w:tr>
      <w:tr>
        <w:trPr>
          <w:trHeight w:val="366" w:hRule="atLeast"/>
        </w:trPr>
        <w:tc>
          <w:tcPr>
            <w:tcW w:w="2119" w:type="dxa"/>
          </w:tcPr>
          <w:p>
            <w:pPr>
              <w:pStyle w:val="TableParagraph"/>
              <w:spacing w:before="74"/>
              <w:ind w:left="143"/>
              <w:rPr>
                <w:sz w:val="18"/>
              </w:rPr>
            </w:pPr>
            <w:r>
              <w:rPr>
                <w:sz w:val="18"/>
              </w:rPr>
              <w:t>Дипиридамол</w:t>
            </w:r>
          </w:p>
        </w:tc>
        <w:tc>
          <w:tcPr>
            <w:tcW w:w="1701" w:type="dxa"/>
            <w:shd w:val="clear" w:color="auto" w:fill="C5DFB3"/>
          </w:tcPr>
          <w:p>
            <w:pPr>
              <w:pStyle w:val="TableParagraph"/>
              <w:spacing w:before="75"/>
              <w:ind w:left="13"/>
              <w:jc w:val="center"/>
              <w:rPr>
                <w:rFonts w:ascii="Symbol" w:hAnsi="Symbol"/>
                <w:sz w:val="18"/>
              </w:rPr>
            </w:pPr>
            <w:r>
              <w:rPr>
                <w:rFonts w:ascii="Symbol" w:hAnsi="Symbol"/>
                <w:sz w:val="18"/>
              </w:rPr>
              <w:t></w:t>
            </w:r>
          </w:p>
        </w:tc>
        <w:tc>
          <w:tcPr>
            <w:tcW w:w="1955" w:type="dxa"/>
            <w:shd w:val="clear" w:color="auto" w:fill="C5DFB3"/>
          </w:tcPr>
          <w:p>
            <w:pPr>
              <w:pStyle w:val="TableParagraph"/>
              <w:spacing w:before="75"/>
              <w:ind w:left="14"/>
              <w:jc w:val="center"/>
              <w:rPr>
                <w:rFonts w:ascii="Symbol" w:hAnsi="Symbol"/>
                <w:sz w:val="18"/>
              </w:rPr>
            </w:pPr>
            <w:r>
              <w:rPr>
                <w:rFonts w:ascii="Symbol" w:hAnsi="Symbol"/>
                <w:sz w:val="18"/>
              </w:rPr>
              <w:t></w:t>
            </w:r>
          </w:p>
        </w:tc>
        <w:tc>
          <w:tcPr>
            <w:tcW w:w="2615" w:type="dxa"/>
            <w:shd w:val="clear" w:color="auto" w:fill="C5DFB3"/>
          </w:tcPr>
          <w:p>
            <w:pPr>
              <w:pStyle w:val="TableParagraph"/>
              <w:spacing w:before="75"/>
              <w:ind w:left="14"/>
              <w:jc w:val="center"/>
              <w:rPr>
                <w:rFonts w:ascii="Symbol" w:hAnsi="Symbol"/>
                <w:sz w:val="18"/>
              </w:rPr>
            </w:pPr>
            <w:r>
              <w:rPr>
                <w:rFonts w:ascii="Symbol" w:hAnsi="Symbol"/>
                <w:sz w:val="18"/>
              </w:rPr>
              <w:t></w:t>
            </w:r>
          </w:p>
        </w:tc>
        <w:tc>
          <w:tcPr>
            <w:tcW w:w="1559" w:type="dxa"/>
            <w:shd w:val="clear" w:color="auto" w:fill="C5DFB3"/>
          </w:tcPr>
          <w:p>
            <w:pPr>
              <w:pStyle w:val="TableParagraph"/>
              <w:spacing w:before="75"/>
              <w:ind w:left="16"/>
              <w:jc w:val="center"/>
              <w:rPr>
                <w:rFonts w:ascii="Symbol" w:hAnsi="Symbol"/>
                <w:sz w:val="18"/>
              </w:rPr>
            </w:pPr>
            <w:r>
              <w:rPr>
                <w:rFonts w:ascii="Symbol" w:hAnsi="Symbol"/>
                <w:sz w:val="18"/>
              </w:rPr>
              <w:t></w:t>
            </w:r>
          </w:p>
        </w:tc>
        <w:tc>
          <w:tcPr>
            <w:tcW w:w="1701" w:type="dxa"/>
            <w:shd w:val="clear" w:color="auto" w:fill="C5DFB3"/>
          </w:tcPr>
          <w:p>
            <w:pPr>
              <w:pStyle w:val="TableParagraph"/>
              <w:rPr>
                <w:sz w:val="18"/>
              </w:rPr>
            </w:pPr>
          </w:p>
        </w:tc>
        <w:tc>
          <w:tcPr>
            <w:tcW w:w="1843" w:type="dxa"/>
          </w:tcPr>
          <w:p>
            <w:pPr>
              <w:pStyle w:val="TableParagraph"/>
              <w:spacing w:before="74"/>
              <w:ind w:left="148"/>
              <w:rPr>
                <w:sz w:val="18"/>
              </w:rPr>
            </w:pPr>
            <w:r>
              <w:rPr>
                <w:sz w:val="18"/>
              </w:rPr>
              <w:t>Нет данных</w:t>
            </w:r>
          </w:p>
        </w:tc>
      </w:tr>
      <w:tr>
        <w:trPr>
          <w:trHeight w:val="364" w:hRule="atLeast"/>
        </w:trPr>
        <w:tc>
          <w:tcPr>
            <w:tcW w:w="2119" w:type="dxa"/>
          </w:tcPr>
          <w:p>
            <w:pPr>
              <w:pStyle w:val="TableParagraph"/>
              <w:spacing w:before="71"/>
              <w:ind w:left="143"/>
              <w:rPr>
                <w:sz w:val="18"/>
              </w:rPr>
            </w:pPr>
            <w:r>
              <w:rPr>
                <w:sz w:val="18"/>
              </w:rPr>
              <w:t>Эноксапарин</w:t>
            </w:r>
          </w:p>
        </w:tc>
        <w:tc>
          <w:tcPr>
            <w:tcW w:w="1701" w:type="dxa"/>
            <w:shd w:val="clear" w:color="auto" w:fill="C5DFB3"/>
          </w:tcPr>
          <w:p>
            <w:pPr>
              <w:pStyle w:val="TableParagraph"/>
              <w:spacing w:before="73"/>
              <w:ind w:left="13"/>
              <w:jc w:val="center"/>
              <w:rPr>
                <w:rFonts w:ascii="Symbol" w:hAnsi="Symbol"/>
                <w:sz w:val="18"/>
              </w:rPr>
            </w:pPr>
            <w:r>
              <w:rPr>
                <w:rFonts w:ascii="Symbol" w:hAnsi="Symbol"/>
                <w:sz w:val="18"/>
              </w:rPr>
              <w:t></w:t>
            </w:r>
          </w:p>
        </w:tc>
        <w:tc>
          <w:tcPr>
            <w:tcW w:w="1955" w:type="dxa"/>
            <w:shd w:val="clear" w:color="auto" w:fill="C5DFB3"/>
          </w:tcPr>
          <w:p>
            <w:pPr>
              <w:pStyle w:val="TableParagraph"/>
              <w:spacing w:before="73"/>
              <w:ind w:left="14"/>
              <w:jc w:val="center"/>
              <w:rPr>
                <w:rFonts w:ascii="Symbol" w:hAnsi="Symbol"/>
                <w:sz w:val="18"/>
              </w:rPr>
            </w:pPr>
            <w:r>
              <w:rPr>
                <w:rFonts w:ascii="Symbol" w:hAnsi="Symbol"/>
                <w:sz w:val="18"/>
              </w:rPr>
              <w:t></w:t>
            </w:r>
          </w:p>
        </w:tc>
        <w:tc>
          <w:tcPr>
            <w:tcW w:w="2615" w:type="dxa"/>
            <w:shd w:val="clear" w:color="auto" w:fill="C5DFB3"/>
          </w:tcPr>
          <w:p>
            <w:pPr>
              <w:pStyle w:val="TableParagraph"/>
              <w:spacing w:before="73"/>
              <w:ind w:left="14"/>
              <w:jc w:val="center"/>
              <w:rPr>
                <w:rFonts w:ascii="Symbol" w:hAnsi="Symbol"/>
                <w:sz w:val="18"/>
              </w:rPr>
            </w:pPr>
            <w:r>
              <w:rPr>
                <w:rFonts w:ascii="Symbol" w:hAnsi="Symbol"/>
                <w:sz w:val="18"/>
              </w:rPr>
              <w:t></w:t>
            </w:r>
          </w:p>
        </w:tc>
        <w:tc>
          <w:tcPr>
            <w:tcW w:w="1559" w:type="dxa"/>
            <w:shd w:val="clear" w:color="auto" w:fill="C5DFB3"/>
          </w:tcPr>
          <w:p>
            <w:pPr>
              <w:pStyle w:val="TableParagraph"/>
              <w:spacing w:before="73"/>
              <w:ind w:left="16"/>
              <w:jc w:val="center"/>
              <w:rPr>
                <w:rFonts w:ascii="Symbol" w:hAnsi="Symbol"/>
                <w:sz w:val="18"/>
              </w:rPr>
            </w:pPr>
            <w:r>
              <w:rPr>
                <w:rFonts w:ascii="Symbol" w:hAnsi="Symbol"/>
                <w:sz w:val="18"/>
              </w:rPr>
              <w:t></w:t>
            </w:r>
          </w:p>
        </w:tc>
        <w:tc>
          <w:tcPr>
            <w:tcW w:w="1701" w:type="dxa"/>
            <w:shd w:val="clear" w:color="auto" w:fill="C5DFB3"/>
          </w:tcPr>
          <w:p>
            <w:pPr>
              <w:pStyle w:val="TableParagraph"/>
              <w:rPr>
                <w:sz w:val="18"/>
              </w:rPr>
            </w:pPr>
          </w:p>
        </w:tc>
        <w:tc>
          <w:tcPr>
            <w:tcW w:w="1843" w:type="dxa"/>
            <w:shd w:val="clear" w:color="auto" w:fill="C5DFB3"/>
          </w:tcPr>
          <w:p>
            <w:pPr>
              <w:pStyle w:val="TableParagraph"/>
              <w:spacing w:before="73"/>
              <w:ind w:left="23"/>
              <w:jc w:val="center"/>
              <w:rPr>
                <w:rFonts w:ascii="Symbol" w:hAnsi="Symbol"/>
                <w:sz w:val="18"/>
              </w:rPr>
            </w:pPr>
            <w:r>
              <w:rPr>
                <w:rFonts w:ascii="Symbol" w:hAnsi="Symbol"/>
                <w:sz w:val="18"/>
              </w:rPr>
              <w:t></w:t>
            </w:r>
          </w:p>
        </w:tc>
      </w:tr>
      <w:tr>
        <w:trPr>
          <w:trHeight w:val="364" w:hRule="atLeast"/>
        </w:trPr>
        <w:tc>
          <w:tcPr>
            <w:tcW w:w="2119" w:type="dxa"/>
          </w:tcPr>
          <w:p>
            <w:pPr>
              <w:pStyle w:val="TableParagraph"/>
              <w:spacing w:before="71"/>
              <w:ind w:left="143"/>
              <w:rPr>
                <w:sz w:val="18"/>
              </w:rPr>
            </w:pPr>
            <w:r>
              <w:rPr>
                <w:sz w:val="18"/>
              </w:rPr>
              <w:t>Фондапаринукс</w:t>
            </w:r>
          </w:p>
        </w:tc>
        <w:tc>
          <w:tcPr>
            <w:tcW w:w="1701" w:type="dxa"/>
            <w:shd w:val="clear" w:color="auto" w:fill="C5DFB3"/>
          </w:tcPr>
          <w:p>
            <w:pPr>
              <w:pStyle w:val="TableParagraph"/>
              <w:spacing w:before="73"/>
              <w:ind w:left="13"/>
              <w:jc w:val="center"/>
              <w:rPr>
                <w:rFonts w:ascii="Symbol" w:hAnsi="Symbol"/>
                <w:sz w:val="18"/>
              </w:rPr>
            </w:pPr>
            <w:r>
              <w:rPr>
                <w:rFonts w:ascii="Symbol" w:hAnsi="Symbol"/>
                <w:sz w:val="18"/>
              </w:rPr>
              <w:t></w:t>
            </w:r>
          </w:p>
        </w:tc>
        <w:tc>
          <w:tcPr>
            <w:tcW w:w="1955" w:type="dxa"/>
            <w:shd w:val="clear" w:color="auto" w:fill="C5DFB3"/>
          </w:tcPr>
          <w:p>
            <w:pPr>
              <w:pStyle w:val="TableParagraph"/>
              <w:spacing w:before="73"/>
              <w:ind w:left="14"/>
              <w:jc w:val="center"/>
              <w:rPr>
                <w:rFonts w:ascii="Symbol" w:hAnsi="Symbol"/>
                <w:sz w:val="18"/>
              </w:rPr>
            </w:pPr>
            <w:r>
              <w:rPr>
                <w:rFonts w:ascii="Symbol" w:hAnsi="Symbol"/>
                <w:sz w:val="18"/>
              </w:rPr>
              <w:t></w:t>
            </w:r>
          </w:p>
        </w:tc>
        <w:tc>
          <w:tcPr>
            <w:tcW w:w="2615" w:type="dxa"/>
            <w:shd w:val="clear" w:color="auto" w:fill="C5DFB3"/>
          </w:tcPr>
          <w:p>
            <w:pPr>
              <w:pStyle w:val="TableParagraph"/>
              <w:spacing w:before="73"/>
              <w:ind w:left="14"/>
              <w:jc w:val="center"/>
              <w:rPr>
                <w:rFonts w:ascii="Symbol" w:hAnsi="Symbol"/>
                <w:sz w:val="18"/>
              </w:rPr>
            </w:pPr>
            <w:r>
              <w:rPr>
                <w:rFonts w:ascii="Symbol" w:hAnsi="Symbol"/>
                <w:sz w:val="18"/>
              </w:rPr>
              <w:t></w:t>
            </w:r>
          </w:p>
        </w:tc>
        <w:tc>
          <w:tcPr>
            <w:tcW w:w="1559" w:type="dxa"/>
            <w:shd w:val="clear" w:color="auto" w:fill="C5DFB3"/>
          </w:tcPr>
          <w:p>
            <w:pPr>
              <w:pStyle w:val="TableParagraph"/>
              <w:spacing w:before="73"/>
              <w:ind w:left="16"/>
              <w:jc w:val="center"/>
              <w:rPr>
                <w:rFonts w:ascii="Symbol" w:hAnsi="Symbol"/>
                <w:sz w:val="18"/>
              </w:rPr>
            </w:pPr>
            <w:r>
              <w:rPr>
                <w:rFonts w:ascii="Symbol" w:hAnsi="Symbol"/>
                <w:sz w:val="18"/>
              </w:rPr>
              <w:t></w:t>
            </w:r>
          </w:p>
        </w:tc>
        <w:tc>
          <w:tcPr>
            <w:tcW w:w="1701" w:type="dxa"/>
            <w:shd w:val="clear" w:color="auto" w:fill="C5DFB3"/>
          </w:tcPr>
          <w:p>
            <w:pPr>
              <w:pStyle w:val="TableParagraph"/>
              <w:rPr>
                <w:sz w:val="18"/>
              </w:rPr>
            </w:pPr>
          </w:p>
        </w:tc>
        <w:tc>
          <w:tcPr>
            <w:tcW w:w="1843" w:type="dxa"/>
            <w:shd w:val="clear" w:color="auto" w:fill="C5DFB3"/>
          </w:tcPr>
          <w:p>
            <w:pPr>
              <w:pStyle w:val="TableParagraph"/>
              <w:spacing w:before="73"/>
              <w:ind w:left="23"/>
              <w:jc w:val="center"/>
              <w:rPr>
                <w:rFonts w:ascii="Symbol" w:hAnsi="Symbol"/>
                <w:sz w:val="18"/>
              </w:rPr>
            </w:pPr>
            <w:r>
              <w:rPr>
                <w:rFonts w:ascii="Symbol" w:hAnsi="Symbol"/>
                <w:sz w:val="18"/>
              </w:rPr>
              <w:t></w:t>
            </w:r>
          </w:p>
        </w:tc>
      </w:tr>
      <w:tr>
        <w:trPr>
          <w:trHeight w:val="364" w:hRule="atLeast"/>
        </w:trPr>
        <w:tc>
          <w:tcPr>
            <w:tcW w:w="2119" w:type="dxa"/>
          </w:tcPr>
          <w:p>
            <w:pPr>
              <w:pStyle w:val="TableParagraph"/>
              <w:spacing w:before="71"/>
              <w:ind w:left="143"/>
              <w:rPr>
                <w:sz w:val="18"/>
              </w:rPr>
            </w:pPr>
            <w:r>
              <w:rPr>
                <w:sz w:val="18"/>
              </w:rPr>
              <w:t>НФГ</w:t>
            </w:r>
          </w:p>
        </w:tc>
        <w:tc>
          <w:tcPr>
            <w:tcW w:w="1701" w:type="dxa"/>
            <w:shd w:val="clear" w:color="auto" w:fill="C5DFB3"/>
          </w:tcPr>
          <w:p>
            <w:pPr>
              <w:pStyle w:val="TableParagraph"/>
              <w:spacing w:before="73"/>
              <w:ind w:left="13"/>
              <w:jc w:val="center"/>
              <w:rPr>
                <w:rFonts w:ascii="Symbol" w:hAnsi="Symbol"/>
                <w:sz w:val="18"/>
              </w:rPr>
            </w:pPr>
            <w:r>
              <w:rPr>
                <w:rFonts w:ascii="Symbol" w:hAnsi="Symbol"/>
                <w:sz w:val="18"/>
              </w:rPr>
              <w:t></w:t>
            </w:r>
          </w:p>
        </w:tc>
        <w:tc>
          <w:tcPr>
            <w:tcW w:w="1955" w:type="dxa"/>
            <w:shd w:val="clear" w:color="auto" w:fill="C5DFB3"/>
          </w:tcPr>
          <w:p>
            <w:pPr>
              <w:pStyle w:val="TableParagraph"/>
              <w:spacing w:before="73"/>
              <w:ind w:left="14"/>
              <w:jc w:val="center"/>
              <w:rPr>
                <w:rFonts w:ascii="Symbol" w:hAnsi="Symbol"/>
                <w:sz w:val="18"/>
              </w:rPr>
            </w:pPr>
            <w:r>
              <w:rPr>
                <w:rFonts w:ascii="Symbol" w:hAnsi="Symbol"/>
                <w:sz w:val="18"/>
              </w:rPr>
              <w:t></w:t>
            </w:r>
          </w:p>
        </w:tc>
        <w:tc>
          <w:tcPr>
            <w:tcW w:w="2615" w:type="dxa"/>
            <w:shd w:val="clear" w:color="auto" w:fill="C5DFB3"/>
          </w:tcPr>
          <w:p>
            <w:pPr>
              <w:pStyle w:val="TableParagraph"/>
              <w:spacing w:before="73"/>
              <w:ind w:left="14"/>
              <w:jc w:val="center"/>
              <w:rPr>
                <w:rFonts w:ascii="Symbol" w:hAnsi="Symbol"/>
                <w:sz w:val="18"/>
              </w:rPr>
            </w:pPr>
            <w:r>
              <w:rPr>
                <w:rFonts w:ascii="Symbol" w:hAnsi="Symbol"/>
                <w:sz w:val="18"/>
              </w:rPr>
              <w:t></w:t>
            </w:r>
          </w:p>
        </w:tc>
        <w:tc>
          <w:tcPr>
            <w:tcW w:w="1559" w:type="dxa"/>
            <w:shd w:val="clear" w:color="auto" w:fill="C5DFB3"/>
          </w:tcPr>
          <w:p>
            <w:pPr>
              <w:pStyle w:val="TableParagraph"/>
              <w:spacing w:before="73"/>
              <w:ind w:left="16"/>
              <w:jc w:val="center"/>
              <w:rPr>
                <w:rFonts w:ascii="Symbol" w:hAnsi="Symbol"/>
                <w:sz w:val="18"/>
              </w:rPr>
            </w:pPr>
            <w:r>
              <w:rPr>
                <w:rFonts w:ascii="Symbol" w:hAnsi="Symbol"/>
                <w:sz w:val="18"/>
              </w:rPr>
              <w:t></w:t>
            </w:r>
          </w:p>
        </w:tc>
        <w:tc>
          <w:tcPr>
            <w:tcW w:w="1701" w:type="dxa"/>
            <w:shd w:val="clear" w:color="auto" w:fill="C5DFB3"/>
          </w:tcPr>
          <w:p>
            <w:pPr>
              <w:pStyle w:val="TableParagraph"/>
              <w:rPr>
                <w:sz w:val="18"/>
              </w:rPr>
            </w:pPr>
          </w:p>
        </w:tc>
        <w:tc>
          <w:tcPr>
            <w:tcW w:w="1843" w:type="dxa"/>
            <w:shd w:val="clear" w:color="auto" w:fill="FF0000"/>
          </w:tcPr>
          <w:p>
            <w:pPr>
              <w:pStyle w:val="TableParagraph"/>
              <w:spacing w:before="73"/>
              <w:ind w:left="21"/>
              <w:jc w:val="center"/>
              <w:rPr>
                <w:rFonts w:ascii="Symbol" w:hAnsi="Symbol"/>
                <w:sz w:val="18"/>
              </w:rPr>
            </w:pPr>
            <w:r>
              <w:rPr>
                <w:rFonts w:ascii="Symbol" w:hAnsi="Symbol"/>
                <w:sz w:val="18"/>
              </w:rPr>
              <w:t></w:t>
            </w:r>
          </w:p>
        </w:tc>
      </w:tr>
      <w:tr>
        <w:trPr>
          <w:trHeight w:val="364" w:hRule="atLeast"/>
        </w:trPr>
        <w:tc>
          <w:tcPr>
            <w:tcW w:w="2119" w:type="dxa"/>
          </w:tcPr>
          <w:p>
            <w:pPr>
              <w:pStyle w:val="TableParagraph"/>
              <w:spacing w:before="71"/>
              <w:ind w:left="143"/>
              <w:rPr>
                <w:sz w:val="18"/>
              </w:rPr>
            </w:pPr>
            <w:r>
              <w:rPr>
                <w:sz w:val="18"/>
              </w:rPr>
              <w:t>Прасугрел</w:t>
            </w:r>
          </w:p>
        </w:tc>
        <w:tc>
          <w:tcPr>
            <w:tcW w:w="1701" w:type="dxa"/>
            <w:shd w:val="clear" w:color="auto" w:fill="C5DFB3"/>
          </w:tcPr>
          <w:p>
            <w:pPr>
              <w:pStyle w:val="TableParagraph"/>
              <w:spacing w:before="73"/>
              <w:ind w:left="13"/>
              <w:jc w:val="center"/>
              <w:rPr>
                <w:rFonts w:ascii="Symbol" w:hAnsi="Symbol"/>
                <w:sz w:val="18"/>
              </w:rPr>
            </w:pPr>
            <w:r>
              <w:rPr>
                <w:rFonts w:ascii="Symbol" w:hAnsi="Symbol"/>
                <w:sz w:val="18"/>
              </w:rPr>
              <w:t></w:t>
            </w:r>
          </w:p>
        </w:tc>
        <w:tc>
          <w:tcPr>
            <w:tcW w:w="1955" w:type="dxa"/>
            <w:shd w:val="clear" w:color="auto" w:fill="C5DFB3"/>
          </w:tcPr>
          <w:p>
            <w:pPr>
              <w:pStyle w:val="TableParagraph"/>
              <w:spacing w:before="73"/>
              <w:ind w:left="14"/>
              <w:jc w:val="center"/>
              <w:rPr>
                <w:rFonts w:ascii="Symbol" w:hAnsi="Symbol"/>
                <w:sz w:val="18"/>
              </w:rPr>
            </w:pPr>
            <w:r>
              <w:rPr>
                <w:rFonts w:ascii="Symbol" w:hAnsi="Symbol"/>
                <w:sz w:val="18"/>
              </w:rPr>
              <w:t></w:t>
            </w:r>
          </w:p>
        </w:tc>
        <w:tc>
          <w:tcPr>
            <w:tcW w:w="2615" w:type="dxa"/>
            <w:shd w:val="clear" w:color="auto" w:fill="FFFF00"/>
          </w:tcPr>
          <w:p>
            <w:pPr>
              <w:pStyle w:val="TableParagraph"/>
              <w:spacing w:before="73"/>
              <w:ind w:left="17"/>
              <w:jc w:val="center"/>
              <w:rPr>
                <w:rFonts w:ascii="Symbol" w:hAnsi="Symbol"/>
                <w:sz w:val="18"/>
              </w:rPr>
            </w:pPr>
            <w:r>
              <w:rPr>
                <w:rFonts w:ascii="Symbol" w:hAnsi="Symbol"/>
                <w:sz w:val="18"/>
              </w:rPr>
              <w:t></w:t>
            </w:r>
          </w:p>
        </w:tc>
        <w:tc>
          <w:tcPr>
            <w:tcW w:w="1559" w:type="dxa"/>
            <w:shd w:val="clear" w:color="auto" w:fill="C5DFB3"/>
          </w:tcPr>
          <w:p>
            <w:pPr>
              <w:pStyle w:val="TableParagraph"/>
              <w:spacing w:before="73"/>
              <w:ind w:left="16"/>
              <w:jc w:val="center"/>
              <w:rPr>
                <w:rFonts w:ascii="Symbol" w:hAnsi="Symbol"/>
                <w:sz w:val="18"/>
              </w:rPr>
            </w:pPr>
            <w:r>
              <w:rPr>
                <w:rFonts w:ascii="Symbol" w:hAnsi="Symbol"/>
                <w:sz w:val="18"/>
              </w:rPr>
              <w:t></w:t>
            </w:r>
          </w:p>
        </w:tc>
        <w:tc>
          <w:tcPr>
            <w:tcW w:w="1701" w:type="dxa"/>
            <w:shd w:val="clear" w:color="auto" w:fill="C5DFB3"/>
          </w:tcPr>
          <w:p>
            <w:pPr>
              <w:pStyle w:val="TableParagraph"/>
              <w:rPr>
                <w:sz w:val="18"/>
              </w:rPr>
            </w:pPr>
          </w:p>
        </w:tc>
        <w:tc>
          <w:tcPr>
            <w:tcW w:w="1843" w:type="dxa"/>
            <w:shd w:val="clear" w:color="auto" w:fill="C5DFB3"/>
          </w:tcPr>
          <w:p>
            <w:pPr>
              <w:pStyle w:val="TableParagraph"/>
              <w:spacing w:before="73"/>
              <w:ind w:left="23"/>
              <w:jc w:val="center"/>
              <w:rPr>
                <w:rFonts w:ascii="Symbol" w:hAnsi="Symbol"/>
                <w:sz w:val="18"/>
              </w:rPr>
            </w:pPr>
            <w:r>
              <w:rPr>
                <w:rFonts w:ascii="Symbol" w:hAnsi="Symbol"/>
                <w:sz w:val="18"/>
              </w:rPr>
              <w:t></w:t>
            </w:r>
          </w:p>
        </w:tc>
      </w:tr>
      <w:tr>
        <w:trPr>
          <w:trHeight w:val="364" w:hRule="atLeast"/>
        </w:trPr>
        <w:tc>
          <w:tcPr>
            <w:tcW w:w="2119" w:type="dxa"/>
          </w:tcPr>
          <w:p>
            <w:pPr>
              <w:pStyle w:val="TableParagraph"/>
              <w:spacing w:before="71"/>
              <w:ind w:left="143"/>
              <w:rPr>
                <w:sz w:val="18"/>
              </w:rPr>
            </w:pPr>
            <w:r>
              <w:rPr>
                <w:sz w:val="18"/>
              </w:rPr>
              <w:t>Ривароксабан</w:t>
            </w:r>
          </w:p>
        </w:tc>
        <w:tc>
          <w:tcPr>
            <w:tcW w:w="1701" w:type="dxa"/>
            <w:shd w:val="clear" w:color="auto" w:fill="C5DFB3"/>
          </w:tcPr>
          <w:p>
            <w:pPr>
              <w:pStyle w:val="TableParagraph"/>
              <w:spacing w:before="73"/>
              <w:ind w:left="13"/>
              <w:jc w:val="center"/>
              <w:rPr>
                <w:rFonts w:ascii="Symbol" w:hAnsi="Symbol"/>
                <w:sz w:val="18"/>
              </w:rPr>
            </w:pPr>
            <w:r>
              <w:rPr>
                <w:rFonts w:ascii="Symbol" w:hAnsi="Symbol"/>
                <w:sz w:val="18"/>
              </w:rPr>
              <w:t></w:t>
            </w:r>
          </w:p>
        </w:tc>
        <w:tc>
          <w:tcPr>
            <w:tcW w:w="1955" w:type="dxa"/>
            <w:shd w:val="clear" w:color="auto" w:fill="FFFF00"/>
          </w:tcPr>
          <w:p>
            <w:pPr>
              <w:pStyle w:val="TableParagraph"/>
              <w:spacing w:before="73"/>
              <w:ind w:left="17"/>
              <w:jc w:val="center"/>
              <w:rPr>
                <w:rFonts w:ascii="Symbol" w:hAnsi="Symbol"/>
                <w:sz w:val="18"/>
              </w:rPr>
            </w:pPr>
            <w:r>
              <w:rPr>
                <w:rFonts w:ascii="Symbol" w:hAnsi="Symbol"/>
                <w:sz w:val="18"/>
              </w:rPr>
              <w:t></w:t>
            </w:r>
          </w:p>
        </w:tc>
        <w:tc>
          <w:tcPr>
            <w:tcW w:w="2615" w:type="dxa"/>
            <w:shd w:val="clear" w:color="auto" w:fill="FFFF00"/>
          </w:tcPr>
          <w:p>
            <w:pPr>
              <w:pStyle w:val="TableParagraph"/>
              <w:spacing w:before="73"/>
              <w:ind w:left="17"/>
              <w:jc w:val="center"/>
              <w:rPr>
                <w:rFonts w:ascii="Symbol" w:hAnsi="Symbol"/>
                <w:sz w:val="18"/>
              </w:rPr>
            </w:pPr>
            <w:r>
              <w:rPr>
                <w:rFonts w:ascii="Symbol" w:hAnsi="Symbol"/>
                <w:sz w:val="18"/>
              </w:rPr>
              <w:t></w:t>
            </w:r>
          </w:p>
        </w:tc>
        <w:tc>
          <w:tcPr>
            <w:tcW w:w="1559" w:type="dxa"/>
            <w:shd w:val="clear" w:color="auto" w:fill="C5DFB3"/>
          </w:tcPr>
          <w:p>
            <w:pPr>
              <w:pStyle w:val="TableParagraph"/>
              <w:spacing w:before="73"/>
              <w:ind w:left="16"/>
              <w:jc w:val="center"/>
              <w:rPr>
                <w:rFonts w:ascii="Symbol" w:hAnsi="Symbol"/>
                <w:sz w:val="18"/>
              </w:rPr>
            </w:pPr>
            <w:r>
              <w:rPr>
                <w:rFonts w:ascii="Symbol" w:hAnsi="Symbol"/>
                <w:sz w:val="18"/>
              </w:rPr>
              <w:t></w:t>
            </w:r>
          </w:p>
        </w:tc>
        <w:tc>
          <w:tcPr>
            <w:tcW w:w="1701" w:type="dxa"/>
            <w:shd w:val="clear" w:color="auto" w:fill="FFFF00"/>
          </w:tcPr>
          <w:p>
            <w:pPr>
              <w:pStyle w:val="TableParagraph"/>
              <w:spacing w:before="73"/>
              <w:ind w:left="23"/>
              <w:jc w:val="center"/>
              <w:rPr>
                <w:rFonts w:ascii="Symbol" w:hAnsi="Symbol"/>
                <w:sz w:val="18"/>
              </w:rPr>
            </w:pPr>
            <w:r>
              <w:rPr>
                <w:rFonts w:ascii="Symbol" w:hAnsi="Symbol"/>
                <w:sz w:val="18"/>
              </w:rPr>
              <w:t></w:t>
            </w:r>
          </w:p>
        </w:tc>
        <w:tc>
          <w:tcPr>
            <w:tcW w:w="1843" w:type="dxa"/>
            <w:shd w:val="clear" w:color="auto" w:fill="FBD4B5"/>
          </w:tcPr>
          <w:p>
            <w:pPr>
              <w:pStyle w:val="TableParagraph"/>
              <w:spacing w:before="73"/>
              <w:ind w:left="21"/>
              <w:jc w:val="center"/>
              <w:rPr>
                <w:rFonts w:ascii="Symbol" w:hAnsi="Symbol"/>
                <w:sz w:val="18"/>
              </w:rPr>
            </w:pPr>
            <w:r>
              <w:rPr>
                <w:rFonts w:ascii="Symbol" w:hAnsi="Symbol"/>
                <w:sz w:val="18"/>
              </w:rPr>
              <w:t></w:t>
            </w:r>
          </w:p>
        </w:tc>
      </w:tr>
      <w:tr>
        <w:trPr>
          <w:trHeight w:val="364" w:hRule="atLeast"/>
        </w:trPr>
        <w:tc>
          <w:tcPr>
            <w:tcW w:w="2119" w:type="dxa"/>
          </w:tcPr>
          <w:p>
            <w:pPr>
              <w:pStyle w:val="TableParagraph"/>
              <w:spacing w:before="71"/>
              <w:ind w:left="143"/>
              <w:rPr>
                <w:sz w:val="18"/>
              </w:rPr>
            </w:pPr>
            <w:r>
              <w:rPr>
                <w:sz w:val="18"/>
              </w:rPr>
              <w:t>Стрептокиназа</w:t>
            </w:r>
          </w:p>
        </w:tc>
        <w:tc>
          <w:tcPr>
            <w:tcW w:w="1701" w:type="dxa"/>
            <w:shd w:val="clear" w:color="auto" w:fill="C5DFB3"/>
          </w:tcPr>
          <w:p>
            <w:pPr>
              <w:pStyle w:val="TableParagraph"/>
              <w:spacing w:before="73"/>
              <w:ind w:left="13"/>
              <w:jc w:val="center"/>
              <w:rPr>
                <w:rFonts w:ascii="Symbol" w:hAnsi="Symbol"/>
                <w:sz w:val="18"/>
              </w:rPr>
            </w:pPr>
            <w:r>
              <w:rPr>
                <w:rFonts w:ascii="Symbol" w:hAnsi="Symbol"/>
                <w:sz w:val="18"/>
              </w:rPr>
              <w:t></w:t>
            </w:r>
          </w:p>
        </w:tc>
        <w:tc>
          <w:tcPr>
            <w:tcW w:w="1955" w:type="dxa"/>
            <w:shd w:val="clear" w:color="auto" w:fill="C5DFB3"/>
          </w:tcPr>
          <w:p>
            <w:pPr>
              <w:pStyle w:val="TableParagraph"/>
              <w:spacing w:before="73"/>
              <w:ind w:left="14"/>
              <w:jc w:val="center"/>
              <w:rPr>
                <w:rFonts w:ascii="Symbol" w:hAnsi="Symbol"/>
                <w:sz w:val="18"/>
              </w:rPr>
            </w:pPr>
            <w:r>
              <w:rPr>
                <w:rFonts w:ascii="Symbol" w:hAnsi="Symbol"/>
                <w:sz w:val="18"/>
              </w:rPr>
              <w:t></w:t>
            </w:r>
          </w:p>
        </w:tc>
        <w:tc>
          <w:tcPr>
            <w:tcW w:w="2615" w:type="dxa"/>
            <w:shd w:val="clear" w:color="auto" w:fill="C5DFB3"/>
          </w:tcPr>
          <w:p>
            <w:pPr>
              <w:pStyle w:val="TableParagraph"/>
              <w:spacing w:before="73"/>
              <w:ind w:left="14"/>
              <w:jc w:val="center"/>
              <w:rPr>
                <w:rFonts w:ascii="Symbol" w:hAnsi="Symbol"/>
                <w:sz w:val="18"/>
              </w:rPr>
            </w:pPr>
            <w:r>
              <w:rPr>
                <w:rFonts w:ascii="Symbol" w:hAnsi="Symbol"/>
                <w:sz w:val="18"/>
              </w:rPr>
              <w:t></w:t>
            </w:r>
          </w:p>
        </w:tc>
        <w:tc>
          <w:tcPr>
            <w:tcW w:w="1559" w:type="dxa"/>
            <w:shd w:val="clear" w:color="auto" w:fill="C5DFB3"/>
          </w:tcPr>
          <w:p>
            <w:pPr>
              <w:pStyle w:val="TableParagraph"/>
              <w:spacing w:before="73"/>
              <w:ind w:left="16"/>
              <w:jc w:val="center"/>
              <w:rPr>
                <w:rFonts w:ascii="Symbol" w:hAnsi="Symbol"/>
                <w:sz w:val="18"/>
              </w:rPr>
            </w:pPr>
            <w:r>
              <w:rPr>
                <w:rFonts w:ascii="Symbol" w:hAnsi="Symbol"/>
                <w:sz w:val="18"/>
              </w:rPr>
              <w:t></w:t>
            </w:r>
          </w:p>
        </w:tc>
        <w:tc>
          <w:tcPr>
            <w:tcW w:w="1701" w:type="dxa"/>
            <w:shd w:val="clear" w:color="auto" w:fill="C5DFB3"/>
          </w:tcPr>
          <w:p>
            <w:pPr>
              <w:pStyle w:val="TableParagraph"/>
              <w:rPr>
                <w:sz w:val="18"/>
              </w:rPr>
            </w:pPr>
          </w:p>
        </w:tc>
        <w:tc>
          <w:tcPr>
            <w:tcW w:w="1843" w:type="dxa"/>
            <w:shd w:val="clear" w:color="auto" w:fill="C5DFB3"/>
          </w:tcPr>
          <w:p>
            <w:pPr>
              <w:pStyle w:val="TableParagraph"/>
              <w:spacing w:before="73"/>
              <w:ind w:left="23"/>
              <w:jc w:val="center"/>
              <w:rPr>
                <w:rFonts w:ascii="Symbol" w:hAnsi="Symbol"/>
                <w:sz w:val="18"/>
              </w:rPr>
            </w:pPr>
            <w:r>
              <w:rPr>
                <w:rFonts w:ascii="Symbol" w:hAnsi="Symbol"/>
                <w:sz w:val="18"/>
              </w:rPr>
              <w:t></w:t>
            </w:r>
          </w:p>
        </w:tc>
      </w:tr>
      <w:tr>
        <w:trPr>
          <w:trHeight w:val="364" w:hRule="atLeast"/>
        </w:trPr>
        <w:tc>
          <w:tcPr>
            <w:tcW w:w="2119" w:type="dxa"/>
          </w:tcPr>
          <w:p>
            <w:pPr>
              <w:pStyle w:val="TableParagraph"/>
              <w:spacing w:before="74"/>
              <w:ind w:left="143"/>
              <w:rPr>
                <w:sz w:val="18"/>
              </w:rPr>
            </w:pPr>
            <w:r>
              <w:rPr>
                <w:sz w:val="18"/>
              </w:rPr>
              <w:t>Тикагрелор</w:t>
            </w:r>
          </w:p>
        </w:tc>
        <w:tc>
          <w:tcPr>
            <w:tcW w:w="1701" w:type="dxa"/>
            <w:shd w:val="clear" w:color="auto" w:fill="C5DFB3"/>
          </w:tcPr>
          <w:p>
            <w:pPr>
              <w:pStyle w:val="TableParagraph"/>
              <w:spacing w:before="73"/>
              <w:ind w:left="13"/>
              <w:jc w:val="center"/>
              <w:rPr>
                <w:rFonts w:ascii="Symbol" w:hAnsi="Symbol"/>
                <w:sz w:val="18"/>
              </w:rPr>
            </w:pPr>
            <w:r>
              <w:rPr>
                <w:rFonts w:ascii="Symbol" w:hAnsi="Symbol"/>
                <w:sz w:val="18"/>
              </w:rPr>
              <w:t></w:t>
            </w:r>
          </w:p>
        </w:tc>
        <w:tc>
          <w:tcPr>
            <w:tcW w:w="1955" w:type="dxa"/>
            <w:shd w:val="clear" w:color="auto" w:fill="C5DFB3"/>
          </w:tcPr>
          <w:p>
            <w:pPr>
              <w:pStyle w:val="TableParagraph"/>
              <w:spacing w:before="73"/>
              <w:ind w:left="14"/>
              <w:jc w:val="center"/>
              <w:rPr>
                <w:rFonts w:ascii="Symbol" w:hAnsi="Symbol"/>
                <w:sz w:val="18"/>
              </w:rPr>
            </w:pPr>
            <w:r>
              <w:rPr>
                <w:rFonts w:ascii="Symbol" w:hAnsi="Symbol"/>
                <w:sz w:val="18"/>
              </w:rPr>
              <w:t></w:t>
            </w:r>
          </w:p>
        </w:tc>
        <w:tc>
          <w:tcPr>
            <w:tcW w:w="2615" w:type="dxa"/>
            <w:shd w:val="clear" w:color="auto" w:fill="FFFF00"/>
          </w:tcPr>
          <w:p>
            <w:pPr>
              <w:pStyle w:val="TableParagraph"/>
              <w:spacing w:before="73"/>
              <w:ind w:left="17"/>
              <w:jc w:val="center"/>
              <w:rPr>
                <w:rFonts w:ascii="Symbol" w:hAnsi="Symbol"/>
                <w:sz w:val="18"/>
              </w:rPr>
            </w:pPr>
            <w:r>
              <w:rPr>
                <w:rFonts w:ascii="Symbol" w:hAnsi="Symbol"/>
                <w:sz w:val="18"/>
              </w:rPr>
              <w:t></w:t>
            </w:r>
          </w:p>
        </w:tc>
        <w:tc>
          <w:tcPr>
            <w:tcW w:w="1559" w:type="dxa"/>
            <w:shd w:val="clear" w:color="auto" w:fill="C5DFB3"/>
          </w:tcPr>
          <w:p>
            <w:pPr>
              <w:pStyle w:val="TableParagraph"/>
              <w:spacing w:before="73"/>
              <w:ind w:left="16"/>
              <w:jc w:val="center"/>
              <w:rPr>
                <w:rFonts w:ascii="Symbol" w:hAnsi="Symbol"/>
                <w:sz w:val="18"/>
              </w:rPr>
            </w:pPr>
            <w:r>
              <w:rPr>
                <w:rFonts w:ascii="Symbol" w:hAnsi="Symbol"/>
                <w:sz w:val="18"/>
              </w:rPr>
              <w:t></w:t>
            </w:r>
          </w:p>
        </w:tc>
        <w:tc>
          <w:tcPr>
            <w:tcW w:w="1701" w:type="dxa"/>
            <w:shd w:val="clear" w:color="auto" w:fill="C5DFB3"/>
          </w:tcPr>
          <w:p>
            <w:pPr>
              <w:pStyle w:val="TableParagraph"/>
              <w:rPr>
                <w:sz w:val="18"/>
              </w:rPr>
            </w:pPr>
          </w:p>
        </w:tc>
        <w:tc>
          <w:tcPr>
            <w:tcW w:w="1843" w:type="dxa"/>
            <w:shd w:val="clear" w:color="auto" w:fill="C5DFB3"/>
          </w:tcPr>
          <w:p>
            <w:pPr>
              <w:pStyle w:val="TableParagraph"/>
              <w:spacing w:before="73"/>
              <w:ind w:left="23"/>
              <w:jc w:val="center"/>
              <w:rPr>
                <w:rFonts w:ascii="Symbol" w:hAnsi="Symbol"/>
                <w:sz w:val="18"/>
              </w:rPr>
            </w:pPr>
            <w:r>
              <w:rPr>
                <w:rFonts w:ascii="Symbol" w:hAnsi="Symbol"/>
                <w:sz w:val="18"/>
              </w:rPr>
              <w:t></w:t>
            </w:r>
          </w:p>
        </w:tc>
      </w:tr>
      <w:tr>
        <w:trPr>
          <w:trHeight w:val="371" w:hRule="atLeast"/>
        </w:trPr>
        <w:tc>
          <w:tcPr>
            <w:tcW w:w="2119" w:type="dxa"/>
          </w:tcPr>
          <w:p>
            <w:pPr>
              <w:pStyle w:val="TableParagraph"/>
              <w:spacing w:before="74"/>
              <w:ind w:left="143"/>
              <w:rPr>
                <w:sz w:val="18"/>
              </w:rPr>
            </w:pPr>
            <w:r>
              <w:rPr>
                <w:sz w:val="18"/>
              </w:rPr>
              <w:t>Варфарин</w:t>
            </w:r>
          </w:p>
        </w:tc>
        <w:tc>
          <w:tcPr>
            <w:tcW w:w="1701" w:type="dxa"/>
            <w:shd w:val="clear" w:color="auto" w:fill="C5DFB3"/>
          </w:tcPr>
          <w:p>
            <w:pPr>
              <w:pStyle w:val="TableParagraph"/>
              <w:spacing w:before="75"/>
              <w:ind w:left="13"/>
              <w:jc w:val="center"/>
              <w:rPr>
                <w:rFonts w:ascii="Symbol" w:hAnsi="Symbol"/>
                <w:sz w:val="18"/>
              </w:rPr>
            </w:pPr>
            <w:r>
              <w:rPr>
                <w:rFonts w:ascii="Symbol" w:hAnsi="Symbol"/>
                <w:sz w:val="18"/>
              </w:rPr>
              <w:t></w:t>
            </w:r>
          </w:p>
        </w:tc>
        <w:tc>
          <w:tcPr>
            <w:tcW w:w="1955" w:type="dxa"/>
            <w:shd w:val="clear" w:color="auto" w:fill="C5DFB3"/>
          </w:tcPr>
          <w:p>
            <w:pPr>
              <w:pStyle w:val="TableParagraph"/>
              <w:spacing w:before="75"/>
              <w:ind w:left="14"/>
              <w:jc w:val="center"/>
              <w:rPr>
                <w:rFonts w:ascii="Symbol" w:hAnsi="Symbol"/>
                <w:sz w:val="18"/>
              </w:rPr>
            </w:pPr>
            <w:r>
              <w:rPr>
                <w:rFonts w:ascii="Symbol" w:hAnsi="Symbol"/>
                <w:sz w:val="18"/>
              </w:rPr>
              <w:t></w:t>
            </w:r>
          </w:p>
        </w:tc>
        <w:tc>
          <w:tcPr>
            <w:tcW w:w="2615" w:type="dxa"/>
            <w:shd w:val="clear" w:color="auto" w:fill="FFFF00"/>
          </w:tcPr>
          <w:p>
            <w:pPr>
              <w:pStyle w:val="TableParagraph"/>
              <w:spacing w:before="75"/>
              <w:ind w:left="17"/>
              <w:jc w:val="center"/>
              <w:rPr>
                <w:rFonts w:ascii="Symbol" w:hAnsi="Symbol"/>
                <w:sz w:val="18"/>
              </w:rPr>
            </w:pPr>
            <w:r>
              <w:rPr>
                <w:rFonts w:ascii="Symbol" w:hAnsi="Symbol"/>
                <w:sz w:val="18"/>
              </w:rPr>
              <w:t></w:t>
            </w:r>
          </w:p>
        </w:tc>
        <w:tc>
          <w:tcPr>
            <w:tcW w:w="1559" w:type="dxa"/>
            <w:shd w:val="clear" w:color="auto" w:fill="C5DFB3"/>
          </w:tcPr>
          <w:p>
            <w:pPr>
              <w:pStyle w:val="TableParagraph"/>
              <w:spacing w:before="75"/>
              <w:ind w:left="16"/>
              <w:jc w:val="center"/>
              <w:rPr>
                <w:rFonts w:ascii="Symbol" w:hAnsi="Symbol"/>
                <w:sz w:val="18"/>
              </w:rPr>
            </w:pPr>
            <w:r>
              <w:rPr>
                <w:rFonts w:ascii="Symbol" w:hAnsi="Symbol"/>
                <w:sz w:val="18"/>
              </w:rPr>
              <w:t></w:t>
            </w:r>
          </w:p>
        </w:tc>
        <w:tc>
          <w:tcPr>
            <w:tcW w:w="1701" w:type="dxa"/>
            <w:shd w:val="clear" w:color="auto" w:fill="FFFF00"/>
          </w:tcPr>
          <w:p>
            <w:pPr>
              <w:pStyle w:val="TableParagraph"/>
              <w:spacing w:before="75"/>
              <w:ind w:left="23"/>
              <w:jc w:val="center"/>
              <w:rPr>
                <w:rFonts w:ascii="Symbol" w:hAnsi="Symbol"/>
                <w:sz w:val="18"/>
              </w:rPr>
            </w:pPr>
            <w:r>
              <w:rPr>
                <w:rFonts w:ascii="Symbol" w:hAnsi="Symbol"/>
                <w:sz w:val="18"/>
              </w:rPr>
              <w:t></w:t>
            </w:r>
          </w:p>
        </w:tc>
        <w:tc>
          <w:tcPr>
            <w:tcW w:w="1843" w:type="dxa"/>
            <w:shd w:val="clear" w:color="auto" w:fill="FF0000"/>
          </w:tcPr>
          <w:p>
            <w:pPr>
              <w:pStyle w:val="TableParagraph"/>
              <w:spacing w:before="75"/>
              <w:ind w:left="21"/>
              <w:jc w:val="center"/>
              <w:rPr>
                <w:rFonts w:ascii="Symbol" w:hAnsi="Symbol"/>
                <w:sz w:val="18"/>
              </w:rPr>
            </w:pPr>
            <w:r>
              <w:rPr>
                <w:rFonts w:ascii="Symbol" w:hAnsi="Symbol"/>
                <w:sz w:val="18"/>
              </w:rPr>
              <w:t></w:t>
            </w:r>
          </w:p>
        </w:tc>
      </w:tr>
      <w:tr>
        <w:trPr>
          <w:trHeight w:val="340" w:hRule="atLeast"/>
        </w:trPr>
        <w:tc>
          <w:tcPr>
            <w:tcW w:w="2119" w:type="dxa"/>
          </w:tcPr>
          <w:p>
            <w:pPr>
              <w:pStyle w:val="TableParagraph"/>
              <w:spacing w:before="71"/>
              <w:ind w:left="13"/>
              <w:jc w:val="center"/>
              <w:rPr>
                <w:rFonts w:ascii="Symbol" w:hAnsi="Symbol"/>
                <w:sz w:val="16"/>
              </w:rPr>
            </w:pPr>
            <w:r>
              <w:rPr>
                <w:rFonts w:ascii="Symbol" w:hAnsi="Symbol"/>
                <w:w w:val="100"/>
                <w:sz w:val="16"/>
              </w:rPr>
              <w:t></w:t>
            </w:r>
          </w:p>
        </w:tc>
        <w:tc>
          <w:tcPr>
            <w:tcW w:w="11374" w:type="dxa"/>
            <w:gridSpan w:val="6"/>
          </w:tcPr>
          <w:p>
            <w:pPr>
              <w:pStyle w:val="TableParagraph"/>
              <w:spacing w:before="73"/>
              <w:ind w:left="105"/>
              <w:rPr>
                <w:sz w:val="16"/>
              </w:rPr>
            </w:pPr>
            <w:r>
              <w:rPr>
                <w:sz w:val="16"/>
              </w:rPr>
              <w:t>Повышает экспозицию антитромботического препарата</w:t>
            </w:r>
          </w:p>
        </w:tc>
      </w:tr>
      <w:tr>
        <w:trPr>
          <w:trHeight w:val="340" w:hRule="atLeast"/>
        </w:trPr>
        <w:tc>
          <w:tcPr>
            <w:tcW w:w="2119" w:type="dxa"/>
          </w:tcPr>
          <w:p>
            <w:pPr>
              <w:pStyle w:val="TableParagraph"/>
              <w:spacing w:before="71"/>
              <w:ind w:left="13"/>
              <w:jc w:val="center"/>
              <w:rPr>
                <w:rFonts w:ascii="Symbol" w:hAnsi="Symbol"/>
                <w:sz w:val="16"/>
              </w:rPr>
            </w:pPr>
            <w:r>
              <w:rPr>
                <w:rFonts w:ascii="Symbol" w:hAnsi="Symbol"/>
                <w:w w:val="100"/>
                <w:sz w:val="16"/>
              </w:rPr>
              <w:t></w:t>
            </w:r>
          </w:p>
        </w:tc>
        <w:tc>
          <w:tcPr>
            <w:tcW w:w="11374" w:type="dxa"/>
            <w:gridSpan w:val="6"/>
          </w:tcPr>
          <w:p>
            <w:pPr>
              <w:pStyle w:val="TableParagraph"/>
              <w:spacing w:before="73"/>
              <w:ind w:left="105"/>
              <w:rPr>
                <w:sz w:val="16"/>
              </w:rPr>
            </w:pPr>
            <w:r>
              <w:rPr>
                <w:sz w:val="16"/>
              </w:rPr>
              <w:t>Снижает экспозицию антитромботического препарата</w:t>
            </w:r>
          </w:p>
        </w:tc>
      </w:tr>
      <w:tr>
        <w:trPr>
          <w:trHeight w:val="340" w:hRule="atLeast"/>
        </w:trPr>
        <w:tc>
          <w:tcPr>
            <w:tcW w:w="2119" w:type="dxa"/>
          </w:tcPr>
          <w:p>
            <w:pPr>
              <w:pStyle w:val="TableParagraph"/>
              <w:spacing w:before="71"/>
              <w:ind w:left="880" w:right="868"/>
              <w:jc w:val="center"/>
              <w:rPr>
                <w:rFonts w:ascii="Symbol" w:hAnsi="Symbol"/>
                <w:sz w:val="16"/>
              </w:rPr>
            </w:pPr>
            <w:r>
              <w:rPr>
                <w:rFonts w:ascii="Symbol" w:hAnsi="Symbol"/>
                <w:sz w:val="16"/>
              </w:rPr>
              <w:t></w:t>
            </w:r>
          </w:p>
        </w:tc>
        <w:tc>
          <w:tcPr>
            <w:tcW w:w="11374" w:type="dxa"/>
            <w:gridSpan w:val="6"/>
          </w:tcPr>
          <w:p>
            <w:pPr>
              <w:pStyle w:val="TableParagraph"/>
              <w:spacing w:before="73"/>
              <w:ind w:left="105"/>
              <w:rPr>
                <w:sz w:val="16"/>
              </w:rPr>
            </w:pPr>
            <w:r>
              <w:rPr>
                <w:sz w:val="16"/>
              </w:rPr>
              <w:t>Не влияет на экспозицию антитромботического препарата</w:t>
            </w:r>
          </w:p>
        </w:tc>
      </w:tr>
      <w:tr>
        <w:trPr>
          <w:trHeight w:val="328" w:hRule="atLeast"/>
        </w:trPr>
        <w:tc>
          <w:tcPr>
            <w:tcW w:w="2119" w:type="dxa"/>
            <w:shd w:val="clear" w:color="auto" w:fill="FF0000"/>
          </w:tcPr>
          <w:p>
            <w:pPr>
              <w:pStyle w:val="TableParagraph"/>
              <w:rPr>
                <w:sz w:val="18"/>
              </w:rPr>
            </w:pPr>
          </w:p>
        </w:tc>
        <w:tc>
          <w:tcPr>
            <w:tcW w:w="11374" w:type="dxa"/>
            <w:gridSpan w:val="6"/>
          </w:tcPr>
          <w:p>
            <w:pPr>
              <w:pStyle w:val="TableParagraph"/>
              <w:spacing w:before="73"/>
              <w:ind w:left="143"/>
              <w:rPr>
                <w:sz w:val="16"/>
              </w:rPr>
            </w:pPr>
            <w:r>
              <w:rPr>
                <w:sz w:val="16"/>
              </w:rPr>
              <w:t>Препараты не следует назначать одновременно</w:t>
            </w:r>
          </w:p>
        </w:tc>
      </w:tr>
      <w:tr>
        <w:trPr>
          <w:trHeight w:val="361" w:hRule="atLeast"/>
        </w:trPr>
        <w:tc>
          <w:tcPr>
            <w:tcW w:w="2119" w:type="dxa"/>
            <w:shd w:val="clear" w:color="auto" w:fill="FBD4B5"/>
          </w:tcPr>
          <w:p>
            <w:pPr>
              <w:pStyle w:val="TableParagraph"/>
              <w:rPr>
                <w:sz w:val="18"/>
              </w:rPr>
            </w:pPr>
          </w:p>
        </w:tc>
        <w:tc>
          <w:tcPr>
            <w:tcW w:w="11374" w:type="dxa"/>
            <w:gridSpan w:val="6"/>
          </w:tcPr>
          <w:p>
            <w:pPr>
              <w:pStyle w:val="TableParagraph"/>
              <w:spacing w:before="73"/>
              <w:ind w:left="143"/>
              <w:rPr>
                <w:sz w:val="16"/>
              </w:rPr>
            </w:pPr>
            <w:r>
              <w:rPr>
                <w:sz w:val="16"/>
              </w:rPr>
              <w:t>Препараты могут потенциально взаимодействовать, может потребоваться коррекция дозы и мониторирование</w:t>
            </w:r>
          </w:p>
        </w:tc>
      </w:tr>
      <w:tr>
        <w:trPr>
          <w:trHeight w:val="328" w:hRule="atLeast"/>
        </w:trPr>
        <w:tc>
          <w:tcPr>
            <w:tcW w:w="2119" w:type="dxa"/>
            <w:tcBorders>
              <w:bottom w:val="single" w:sz="4" w:space="0" w:color="000000"/>
            </w:tcBorders>
            <w:shd w:val="clear" w:color="auto" w:fill="FFFF00"/>
          </w:tcPr>
          <w:p>
            <w:pPr>
              <w:pStyle w:val="TableParagraph"/>
              <w:rPr>
                <w:sz w:val="18"/>
              </w:rPr>
            </w:pPr>
          </w:p>
        </w:tc>
        <w:tc>
          <w:tcPr>
            <w:tcW w:w="11374" w:type="dxa"/>
            <w:gridSpan w:val="6"/>
          </w:tcPr>
          <w:p>
            <w:pPr>
              <w:pStyle w:val="TableParagraph"/>
              <w:spacing w:before="73"/>
              <w:ind w:left="143"/>
              <w:rPr>
                <w:sz w:val="16"/>
              </w:rPr>
            </w:pPr>
            <w:r>
              <w:rPr>
                <w:sz w:val="16"/>
              </w:rPr>
              <w:t>Препараты слабо взаимодействуют</w:t>
            </w:r>
          </w:p>
        </w:tc>
      </w:tr>
      <w:tr>
        <w:trPr>
          <w:trHeight w:val="328" w:hRule="atLeast"/>
        </w:trPr>
        <w:tc>
          <w:tcPr>
            <w:tcW w:w="2119" w:type="dxa"/>
            <w:tcBorders>
              <w:top w:val="single" w:sz="4" w:space="0" w:color="000000"/>
              <w:left w:val="single" w:sz="4" w:space="0" w:color="000000"/>
              <w:bottom w:val="single" w:sz="4" w:space="0" w:color="000000"/>
              <w:right w:val="single" w:sz="4" w:space="0" w:color="000000"/>
            </w:tcBorders>
            <w:shd w:val="clear" w:color="auto" w:fill="C5DFB3"/>
          </w:tcPr>
          <w:p>
            <w:pPr>
              <w:pStyle w:val="TableParagraph"/>
              <w:rPr>
                <w:sz w:val="18"/>
              </w:rPr>
            </w:pPr>
          </w:p>
        </w:tc>
        <w:tc>
          <w:tcPr>
            <w:tcW w:w="11374" w:type="dxa"/>
            <w:gridSpan w:val="6"/>
            <w:tcBorders>
              <w:left w:val="single" w:sz="4" w:space="0" w:color="000000"/>
            </w:tcBorders>
          </w:tcPr>
          <w:p>
            <w:pPr>
              <w:pStyle w:val="TableParagraph"/>
              <w:spacing w:before="73"/>
              <w:ind w:left="146"/>
              <w:rPr>
                <w:sz w:val="16"/>
              </w:rPr>
            </w:pPr>
            <w:r>
              <w:rPr>
                <w:sz w:val="16"/>
              </w:rPr>
              <w:t>Препараты не взаимодействуют</w:t>
            </w:r>
          </w:p>
        </w:tc>
      </w:tr>
    </w:tbl>
    <w:p>
      <w:pPr>
        <w:spacing w:after="0"/>
        <w:rPr>
          <w:sz w:val="16"/>
        </w:rPr>
        <w:sectPr>
          <w:footerReference w:type="default" r:id="rId97"/>
          <w:pgSz w:w="16850" w:h="11920" w:orient="landscape"/>
          <w:pgMar w:footer="1153" w:header="0" w:top="1040" w:bottom="1340" w:left="880" w:right="360"/>
          <w:pgNumType w:start="202"/>
        </w:sectPr>
      </w:pPr>
    </w:p>
    <w:p>
      <w:pPr>
        <w:pStyle w:val="Heading3"/>
        <w:spacing w:before="104"/>
        <w:ind w:left="13599" w:right="413"/>
        <w:jc w:val="center"/>
      </w:pPr>
      <w:bookmarkStart w:name="Приложение 7" w:id="224"/>
      <w:bookmarkEnd w:id="224"/>
      <w:r>
        <w:rPr>
          <w:b w:val="0"/>
        </w:rPr>
      </w:r>
      <w:bookmarkStart w:name="_bookmark56" w:id="225"/>
      <w:bookmarkEnd w:id="225"/>
      <w:r>
        <w:rPr>
          <w:b w:val="0"/>
        </w:rPr>
      </w:r>
      <w:r>
        <w:rPr>
          <w:color w:val="1F487C"/>
        </w:rPr>
        <w:t>Приложение 7</w:t>
      </w:r>
    </w:p>
    <w:p>
      <w:pPr>
        <w:spacing w:before="146"/>
        <w:ind w:left="902" w:right="1066" w:firstLine="0"/>
        <w:jc w:val="center"/>
        <w:rPr>
          <w:b/>
          <w:sz w:val="28"/>
        </w:rPr>
      </w:pPr>
      <w:r>
        <w:rPr>
          <w:b/>
          <w:sz w:val="28"/>
        </w:rPr>
        <w:t>Список возможных к назначению лекарственных средств для лечения COVID-19 у взрослых</w:t>
      </w:r>
    </w:p>
    <w:p>
      <w:pPr>
        <w:pStyle w:val="BodyText"/>
        <w:ind w:left="0"/>
        <w:jc w:val="left"/>
        <w:rPr>
          <w:b/>
          <w:sz w:val="20"/>
        </w:rPr>
      </w:pPr>
    </w:p>
    <w:p>
      <w:pPr>
        <w:pStyle w:val="BodyText"/>
        <w:spacing w:before="10"/>
        <w:ind w:left="0"/>
        <w:jc w:val="left"/>
        <w:rPr>
          <w:b/>
          <w:sz w:val="16"/>
        </w:rPr>
      </w:pPr>
    </w:p>
    <w:tbl>
      <w:tblPr>
        <w:tblW w:w="0" w:type="auto"/>
        <w:jc w:val="left"/>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630"/>
        <w:gridCol w:w="3039"/>
        <w:gridCol w:w="1073"/>
        <w:gridCol w:w="2693"/>
        <w:gridCol w:w="5669"/>
        <w:gridCol w:w="1109"/>
      </w:tblGrid>
      <w:tr>
        <w:trPr>
          <w:trHeight w:val="563" w:hRule="atLeast"/>
        </w:trPr>
        <w:tc>
          <w:tcPr>
            <w:tcW w:w="1630" w:type="dxa"/>
            <w:shd w:val="clear" w:color="auto" w:fill="F1F1F1"/>
          </w:tcPr>
          <w:p>
            <w:pPr>
              <w:pStyle w:val="TableParagraph"/>
              <w:spacing w:before="14"/>
              <w:ind w:left="110" w:right="217"/>
              <w:rPr>
                <w:b/>
                <w:sz w:val="20"/>
              </w:rPr>
            </w:pPr>
            <w:r>
              <w:rPr>
                <w:b/>
                <w:w w:val="95"/>
                <w:sz w:val="20"/>
              </w:rPr>
              <w:t>Препарат </w:t>
            </w:r>
            <w:r>
              <w:rPr>
                <w:b/>
                <w:sz w:val="20"/>
              </w:rPr>
              <w:t>(МНН)</w:t>
            </w:r>
          </w:p>
        </w:tc>
        <w:tc>
          <w:tcPr>
            <w:tcW w:w="3039" w:type="dxa"/>
            <w:shd w:val="clear" w:color="auto" w:fill="F1F1F1"/>
          </w:tcPr>
          <w:p>
            <w:pPr>
              <w:pStyle w:val="TableParagraph"/>
              <w:spacing w:before="14"/>
              <w:ind w:left="165"/>
              <w:rPr>
                <w:b/>
                <w:sz w:val="20"/>
              </w:rPr>
            </w:pPr>
            <w:r>
              <w:rPr>
                <w:b/>
                <w:sz w:val="20"/>
              </w:rPr>
              <w:t>Механизм действия</w:t>
            </w:r>
          </w:p>
        </w:tc>
        <w:tc>
          <w:tcPr>
            <w:tcW w:w="1073" w:type="dxa"/>
            <w:shd w:val="clear" w:color="auto" w:fill="F1F1F1"/>
          </w:tcPr>
          <w:p>
            <w:pPr>
              <w:pStyle w:val="TableParagraph"/>
              <w:spacing w:before="14"/>
              <w:ind w:left="113" w:right="146"/>
              <w:rPr>
                <w:b/>
                <w:sz w:val="20"/>
              </w:rPr>
            </w:pPr>
            <w:r>
              <w:rPr>
                <w:b/>
                <w:sz w:val="20"/>
              </w:rPr>
              <w:t>Формы выпуска</w:t>
            </w:r>
          </w:p>
        </w:tc>
        <w:tc>
          <w:tcPr>
            <w:tcW w:w="2693" w:type="dxa"/>
            <w:shd w:val="clear" w:color="auto" w:fill="F1F1F1"/>
          </w:tcPr>
          <w:p>
            <w:pPr>
              <w:pStyle w:val="TableParagraph"/>
              <w:spacing w:before="14"/>
              <w:ind w:left="161"/>
              <w:rPr>
                <w:b/>
                <w:sz w:val="20"/>
              </w:rPr>
            </w:pPr>
            <w:r>
              <w:rPr>
                <w:b/>
                <w:sz w:val="20"/>
              </w:rPr>
              <w:t>Схемы назначения</w:t>
            </w:r>
          </w:p>
        </w:tc>
        <w:tc>
          <w:tcPr>
            <w:tcW w:w="5669" w:type="dxa"/>
            <w:shd w:val="clear" w:color="auto" w:fill="F1F1F1"/>
          </w:tcPr>
          <w:p>
            <w:pPr>
              <w:pStyle w:val="TableParagraph"/>
              <w:spacing w:before="14"/>
              <w:ind w:left="111"/>
              <w:rPr>
                <w:b/>
                <w:sz w:val="20"/>
              </w:rPr>
            </w:pPr>
            <w:r>
              <w:rPr>
                <w:b/>
                <w:sz w:val="20"/>
              </w:rPr>
              <w:t>Противопоказания, особые указания, побочные эффекты</w:t>
            </w:r>
          </w:p>
        </w:tc>
        <w:tc>
          <w:tcPr>
            <w:tcW w:w="1109" w:type="dxa"/>
            <w:shd w:val="clear" w:color="auto" w:fill="F1F1F1"/>
          </w:tcPr>
          <w:p>
            <w:pPr>
              <w:pStyle w:val="TableParagraph"/>
              <w:spacing w:before="14"/>
              <w:ind w:left="156"/>
              <w:rPr>
                <w:b/>
                <w:sz w:val="20"/>
              </w:rPr>
            </w:pPr>
            <w:r>
              <w:rPr>
                <w:b/>
                <w:sz w:val="20"/>
              </w:rPr>
              <w:t>Ссылки</w:t>
            </w:r>
          </w:p>
        </w:tc>
      </w:tr>
      <w:tr>
        <w:trPr>
          <w:trHeight w:val="4240" w:hRule="atLeast"/>
        </w:trPr>
        <w:tc>
          <w:tcPr>
            <w:tcW w:w="1630" w:type="dxa"/>
          </w:tcPr>
          <w:p>
            <w:pPr>
              <w:pStyle w:val="TableParagraph"/>
              <w:spacing w:before="14"/>
              <w:ind w:left="110"/>
              <w:rPr>
                <w:b/>
                <w:sz w:val="20"/>
              </w:rPr>
            </w:pPr>
            <w:r>
              <w:rPr>
                <w:b/>
                <w:sz w:val="20"/>
              </w:rPr>
              <w:t>Фавипиравир</w:t>
            </w:r>
          </w:p>
        </w:tc>
        <w:tc>
          <w:tcPr>
            <w:tcW w:w="3039" w:type="dxa"/>
          </w:tcPr>
          <w:p>
            <w:pPr>
              <w:pStyle w:val="TableParagraph"/>
              <w:spacing w:before="14"/>
              <w:ind w:left="164" w:right="162"/>
              <w:rPr>
                <w:sz w:val="20"/>
              </w:rPr>
            </w:pPr>
            <w:r>
              <w:rPr>
                <w:sz w:val="20"/>
              </w:rPr>
              <w:t>Ингибирует РНК-зависимую РНК-полимеразу вируса SARS- CoV-2</w:t>
            </w:r>
          </w:p>
        </w:tc>
        <w:tc>
          <w:tcPr>
            <w:tcW w:w="1073" w:type="dxa"/>
          </w:tcPr>
          <w:p>
            <w:pPr>
              <w:pStyle w:val="TableParagraph"/>
              <w:spacing w:before="14"/>
              <w:ind w:left="113"/>
              <w:rPr>
                <w:sz w:val="20"/>
              </w:rPr>
            </w:pPr>
            <w:r>
              <w:rPr>
                <w:sz w:val="20"/>
              </w:rPr>
              <w:t>Таблетки</w:t>
            </w:r>
          </w:p>
        </w:tc>
        <w:tc>
          <w:tcPr>
            <w:tcW w:w="2693" w:type="dxa"/>
          </w:tcPr>
          <w:p>
            <w:pPr>
              <w:pStyle w:val="TableParagraph"/>
              <w:spacing w:before="14"/>
              <w:ind w:left="161" w:right="102"/>
              <w:jc w:val="both"/>
              <w:rPr>
                <w:sz w:val="20"/>
              </w:rPr>
            </w:pPr>
            <w:r>
              <w:rPr>
                <w:sz w:val="20"/>
              </w:rPr>
              <w:t>С массой ˂75 кг: по 1600 мг 2 р/сут в 1-й день и далее</w:t>
            </w:r>
            <w:r>
              <w:rPr>
                <w:spacing w:val="-15"/>
                <w:sz w:val="20"/>
              </w:rPr>
              <w:t> </w:t>
            </w:r>
            <w:r>
              <w:rPr>
                <w:sz w:val="20"/>
              </w:rPr>
              <w:t>по 600 мг 2 р/сут в 2-10-й</w:t>
            </w:r>
            <w:r>
              <w:rPr>
                <w:spacing w:val="-12"/>
                <w:sz w:val="20"/>
              </w:rPr>
              <w:t> </w:t>
            </w:r>
            <w:r>
              <w:rPr>
                <w:sz w:val="20"/>
              </w:rPr>
              <w:t>дни.</w:t>
            </w:r>
          </w:p>
          <w:p>
            <w:pPr>
              <w:pStyle w:val="TableParagraph"/>
              <w:spacing w:before="11"/>
              <w:rPr>
                <w:b/>
                <w:sz w:val="19"/>
              </w:rPr>
            </w:pPr>
          </w:p>
          <w:p>
            <w:pPr>
              <w:pStyle w:val="TableParagraph"/>
              <w:ind w:left="161" w:right="47"/>
              <w:jc w:val="both"/>
              <w:rPr>
                <w:sz w:val="20"/>
              </w:rPr>
            </w:pPr>
            <w:r>
              <w:rPr>
                <w:sz w:val="20"/>
              </w:rPr>
              <w:t>С массой тела 75 кг и более: по 1800 мг 2 раза/сут в 1-й день, далее по 800 мг </w:t>
            </w:r>
            <w:r>
              <w:rPr>
                <w:spacing w:val="-11"/>
                <w:sz w:val="20"/>
              </w:rPr>
              <w:t>2</w:t>
            </w:r>
          </w:p>
          <w:p>
            <w:pPr>
              <w:pStyle w:val="TableParagraph"/>
              <w:spacing w:before="1"/>
              <w:ind w:left="161"/>
              <w:jc w:val="both"/>
              <w:rPr>
                <w:sz w:val="20"/>
              </w:rPr>
            </w:pPr>
            <w:r>
              <w:rPr>
                <w:sz w:val="20"/>
              </w:rPr>
              <w:t>раза/сут со 2 по 10 день.</w:t>
            </w:r>
          </w:p>
        </w:tc>
        <w:tc>
          <w:tcPr>
            <w:tcW w:w="5669" w:type="dxa"/>
          </w:tcPr>
          <w:p>
            <w:pPr>
              <w:pStyle w:val="TableParagraph"/>
              <w:numPr>
                <w:ilvl w:val="0"/>
                <w:numId w:val="57"/>
              </w:numPr>
              <w:tabs>
                <w:tab w:pos="215" w:val="left" w:leader="none"/>
              </w:tabs>
              <w:spacing w:line="245" w:lineRule="exact" w:before="14" w:after="0"/>
              <w:ind w:left="214" w:right="0" w:hanging="104"/>
              <w:jc w:val="left"/>
              <w:rPr>
                <w:sz w:val="20"/>
              </w:rPr>
            </w:pPr>
            <w:r>
              <w:rPr>
                <w:sz w:val="20"/>
              </w:rPr>
              <w:t>Повышенная чувствительность к</w:t>
            </w:r>
            <w:r>
              <w:rPr>
                <w:spacing w:val="-5"/>
                <w:sz w:val="20"/>
              </w:rPr>
              <w:t> </w:t>
            </w:r>
            <w:r>
              <w:rPr>
                <w:sz w:val="20"/>
              </w:rPr>
              <w:t>фавипиравиру;</w:t>
            </w:r>
          </w:p>
          <w:p>
            <w:pPr>
              <w:pStyle w:val="TableParagraph"/>
              <w:numPr>
                <w:ilvl w:val="0"/>
                <w:numId w:val="57"/>
              </w:numPr>
              <w:tabs>
                <w:tab w:pos="215" w:val="left" w:leader="none"/>
              </w:tabs>
              <w:spacing w:line="244" w:lineRule="exact" w:before="0" w:after="0"/>
              <w:ind w:left="214" w:right="0" w:hanging="104"/>
              <w:jc w:val="left"/>
              <w:rPr>
                <w:sz w:val="20"/>
              </w:rPr>
            </w:pPr>
            <w:r>
              <w:rPr>
                <w:sz w:val="20"/>
              </w:rPr>
              <w:t>Тяжелая печеночная</w:t>
            </w:r>
            <w:r>
              <w:rPr>
                <w:spacing w:val="1"/>
                <w:sz w:val="20"/>
              </w:rPr>
              <w:t> </w:t>
            </w:r>
            <w:r>
              <w:rPr>
                <w:sz w:val="20"/>
              </w:rPr>
              <w:t>недостаточность;</w:t>
            </w:r>
          </w:p>
          <w:p>
            <w:pPr>
              <w:pStyle w:val="TableParagraph"/>
              <w:numPr>
                <w:ilvl w:val="0"/>
                <w:numId w:val="57"/>
              </w:numPr>
              <w:tabs>
                <w:tab w:pos="215" w:val="left" w:leader="none"/>
              </w:tabs>
              <w:spacing w:line="244" w:lineRule="exact" w:before="0" w:after="0"/>
              <w:ind w:left="214" w:right="0" w:hanging="104"/>
              <w:jc w:val="left"/>
              <w:rPr>
                <w:sz w:val="20"/>
              </w:rPr>
            </w:pPr>
            <w:r>
              <w:rPr>
                <w:sz w:val="20"/>
              </w:rPr>
              <w:t>СКФ &lt; 30</w:t>
            </w:r>
            <w:r>
              <w:rPr>
                <w:spacing w:val="1"/>
                <w:sz w:val="20"/>
              </w:rPr>
              <w:t> </w:t>
            </w:r>
            <w:r>
              <w:rPr>
                <w:sz w:val="20"/>
              </w:rPr>
              <w:t>мл/мин;</w:t>
            </w:r>
          </w:p>
          <w:p>
            <w:pPr>
              <w:pStyle w:val="TableParagraph"/>
              <w:numPr>
                <w:ilvl w:val="0"/>
                <w:numId w:val="57"/>
              </w:numPr>
              <w:tabs>
                <w:tab w:pos="215" w:val="left" w:leader="none"/>
              </w:tabs>
              <w:spacing w:line="240" w:lineRule="auto" w:before="0" w:after="0"/>
              <w:ind w:left="214" w:right="247" w:hanging="104"/>
              <w:jc w:val="left"/>
              <w:rPr>
                <w:sz w:val="20"/>
              </w:rPr>
            </w:pPr>
            <w:r>
              <w:rPr>
                <w:sz w:val="20"/>
              </w:rPr>
              <w:t>Беременность или планирование беременности во время приема препарата и в течение 7 дней после его окончания (женщинам и мужчинам необходимо использовать наиболее эффективные методы контрацепции при половых</w:t>
            </w:r>
            <w:r>
              <w:rPr>
                <w:spacing w:val="-24"/>
                <w:sz w:val="20"/>
              </w:rPr>
              <w:t> </w:t>
            </w:r>
            <w:r>
              <w:rPr>
                <w:sz w:val="20"/>
              </w:rPr>
              <w:t>контактах, например, презерватив со спермицидом);</w:t>
            </w:r>
          </w:p>
          <w:p>
            <w:pPr>
              <w:pStyle w:val="TableParagraph"/>
              <w:numPr>
                <w:ilvl w:val="0"/>
                <w:numId w:val="57"/>
              </w:numPr>
              <w:tabs>
                <w:tab w:pos="215" w:val="left" w:leader="none"/>
              </w:tabs>
              <w:spacing w:line="244" w:lineRule="exact" w:before="0" w:after="0"/>
              <w:ind w:left="214" w:right="0" w:hanging="104"/>
              <w:jc w:val="left"/>
              <w:rPr>
                <w:sz w:val="20"/>
              </w:rPr>
            </w:pPr>
            <w:r>
              <w:rPr>
                <w:sz w:val="20"/>
              </w:rPr>
              <w:t>Период грудного</w:t>
            </w:r>
            <w:r>
              <w:rPr>
                <w:spacing w:val="-1"/>
                <w:sz w:val="20"/>
              </w:rPr>
              <w:t> </w:t>
            </w:r>
            <w:r>
              <w:rPr>
                <w:sz w:val="20"/>
              </w:rPr>
              <w:t>вскармливания;</w:t>
            </w:r>
          </w:p>
          <w:p>
            <w:pPr>
              <w:pStyle w:val="TableParagraph"/>
              <w:numPr>
                <w:ilvl w:val="0"/>
                <w:numId w:val="57"/>
              </w:numPr>
              <w:tabs>
                <w:tab w:pos="215" w:val="left" w:leader="none"/>
              </w:tabs>
              <w:spacing w:line="240" w:lineRule="auto" w:before="0" w:after="0"/>
              <w:ind w:left="111" w:right="3165" w:firstLine="0"/>
              <w:jc w:val="left"/>
              <w:rPr>
                <w:sz w:val="20"/>
              </w:rPr>
            </w:pPr>
            <w:r>
              <w:rPr>
                <w:sz w:val="20"/>
              </w:rPr>
              <w:t>Детский возраст до 18</w:t>
            </w:r>
            <w:r>
              <w:rPr>
                <w:spacing w:val="-11"/>
                <w:sz w:val="20"/>
              </w:rPr>
              <w:t> </w:t>
            </w:r>
            <w:r>
              <w:rPr>
                <w:sz w:val="20"/>
              </w:rPr>
              <w:t>лет. С</w:t>
            </w:r>
            <w:r>
              <w:rPr>
                <w:spacing w:val="-2"/>
                <w:sz w:val="20"/>
              </w:rPr>
              <w:t> </w:t>
            </w:r>
            <w:r>
              <w:rPr>
                <w:sz w:val="20"/>
              </w:rPr>
              <w:t>осторожностью:</w:t>
            </w:r>
          </w:p>
          <w:p>
            <w:pPr>
              <w:pStyle w:val="TableParagraph"/>
              <w:spacing w:before="1"/>
              <w:ind w:left="214" w:right="456"/>
              <w:rPr>
                <w:sz w:val="20"/>
              </w:rPr>
            </w:pPr>
            <w:r>
              <w:rPr>
                <w:sz w:val="20"/>
              </w:rPr>
              <w:t>У пациентов с подагрой и гиперурикемией в анамнезе, у пожилых пациентов, пациентов с печеночной недостаточностью легкой и средней степени тяжести, пациентов с почечной недостаточностью средней степени тяжести (СКФ &lt; 60 мл/мин и ≥ 30 мл/мин).</w:t>
            </w:r>
          </w:p>
          <w:p>
            <w:pPr>
              <w:pStyle w:val="TableParagraph"/>
              <w:spacing w:line="230" w:lineRule="exact" w:before="1"/>
              <w:ind w:left="214" w:right="462"/>
              <w:rPr>
                <w:sz w:val="20"/>
              </w:rPr>
            </w:pPr>
            <w:r>
              <w:rPr>
                <w:sz w:val="20"/>
              </w:rPr>
              <w:t>Может применяться как в амбулаторной практике, так и в стационаре.</w:t>
            </w:r>
          </w:p>
        </w:tc>
        <w:tc>
          <w:tcPr>
            <w:tcW w:w="1109" w:type="dxa"/>
          </w:tcPr>
          <w:p>
            <w:pPr>
              <w:pStyle w:val="TableParagraph"/>
              <w:spacing w:before="14"/>
              <w:ind w:left="156"/>
              <w:rPr>
                <w:sz w:val="20"/>
              </w:rPr>
            </w:pPr>
            <w:r>
              <w:rPr>
                <w:sz w:val="20"/>
              </w:rPr>
              <w:t>156, 157,</w:t>
            </w:r>
          </w:p>
          <w:p>
            <w:pPr>
              <w:pStyle w:val="TableParagraph"/>
              <w:spacing w:before="1"/>
              <w:ind w:left="156"/>
              <w:rPr>
                <w:sz w:val="20"/>
              </w:rPr>
            </w:pPr>
            <w:r>
              <w:rPr>
                <w:sz w:val="20"/>
              </w:rPr>
              <w:t>158</w:t>
            </w:r>
          </w:p>
        </w:tc>
      </w:tr>
      <w:tr>
        <w:trPr>
          <w:trHeight w:val="3487" w:hRule="atLeast"/>
        </w:trPr>
        <w:tc>
          <w:tcPr>
            <w:tcW w:w="1630" w:type="dxa"/>
            <w:shd w:val="clear" w:color="auto" w:fill="F1F1F1"/>
          </w:tcPr>
          <w:p>
            <w:pPr>
              <w:pStyle w:val="TableParagraph"/>
              <w:spacing w:before="13"/>
              <w:ind w:left="110"/>
              <w:rPr>
                <w:b/>
                <w:sz w:val="20"/>
              </w:rPr>
            </w:pPr>
            <w:r>
              <w:rPr>
                <w:b/>
                <w:sz w:val="20"/>
              </w:rPr>
              <w:t>Ремдесивир</w:t>
            </w:r>
          </w:p>
        </w:tc>
        <w:tc>
          <w:tcPr>
            <w:tcW w:w="3039" w:type="dxa"/>
            <w:shd w:val="clear" w:color="auto" w:fill="F1F1F1"/>
          </w:tcPr>
          <w:p>
            <w:pPr>
              <w:pStyle w:val="TableParagraph"/>
              <w:spacing w:before="13"/>
              <w:ind w:left="165" w:right="45"/>
              <w:rPr>
                <w:sz w:val="20"/>
              </w:rPr>
            </w:pPr>
            <w:r>
              <w:rPr>
                <w:sz w:val="20"/>
              </w:rPr>
              <w:t>Активный метаболит выступает в качестве аналога аденозинтрифосфата (АТФ) и конкурирует с природным АТФ- субстратом за включение в формирующиеся РНК-цепи с помощью РНК-зависимой РНК- полимеразы SARS-CoV-2</w:t>
            </w:r>
          </w:p>
        </w:tc>
        <w:tc>
          <w:tcPr>
            <w:tcW w:w="1073" w:type="dxa"/>
            <w:shd w:val="clear" w:color="auto" w:fill="F1F1F1"/>
          </w:tcPr>
          <w:p>
            <w:pPr>
              <w:pStyle w:val="TableParagraph"/>
              <w:spacing w:before="13"/>
              <w:ind w:left="113" w:right="284"/>
              <w:rPr>
                <w:sz w:val="20"/>
              </w:rPr>
            </w:pPr>
            <w:r>
              <w:rPr>
                <w:sz w:val="20"/>
              </w:rPr>
              <w:t>Лиофи- лизат</w:t>
            </w:r>
          </w:p>
        </w:tc>
        <w:tc>
          <w:tcPr>
            <w:tcW w:w="2693" w:type="dxa"/>
            <w:shd w:val="clear" w:color="auto" w:fill="F1F1F1"/>
          </w:tcPr>
          <w:p>
            <w:pPr>
              <w:pStyle w:val="TableParagraph"/>
              <w:spacing w:before="13"/>
              <w:ind w:left="161" w:right="73"/>
              <w:rPr>
                <w:sz w:val="20"/>
              </w:rPr>
            </w:pPr>
            <w:r>
              <w:rPr>
                <w:sz w:val="20"/>
              </w:rPr>
              <w:t>Лиофилизат разбавляют в 0,9 % растворе натрия хлорида (до общего объема 100 или 250 мл) и вводят в/в в течение 30-120 мин.</w:t>
            </w:r>
          </w:p>
          <w:p>
            <w:pPr>
              <w:pStyle w:val="TableParagraph"/>
              <w:ind w:left="161" w:right="86"/>
              <w:rPr>
                <w:sz w:val="20"/>
              </w:rPr>
            </w:pPr>
            <w:r>
              <w:rPr>
                <w:sz w:val="20"/>
              </w:rPr>
              <w:t>1-й день: 200 мг однократно в/в.</w:t>
            </w:r>
          </w:p>
          <w:p>
            <w:pPr>
              <w:pStyle w:val="TableParagraph"/>
              <w:ind w:left="161" w:right="410"/>
              <w:rPr>
                <w:sz w:val="20"/>
              </w:rPr>
            </w:pPr>
            <w:r>
              <w:rPr>
                <w:sz w:val="20"/>
              </w:rPr>
              <w:t>Со 2-го дня: 100 мг в/в 1 р/сут.</w:t>
            </w:r>
          </w:p>
          <w:p>
            <w:pPr>
              <w:pStyle w:val="TableParagraph"/>
              <w:ind w:left="161"/>
              <w:rPr>
                <w:sz w:val="20"/>
              </w:rPr>
            </w:pPr>
            <w:r>
              <w:rPr>
                <w:sz w:val="20"/>
              </w:rPr>
              <w:t>Общий курс не более 10</w:t>
            </w:r>
          </w:p>
          <w:p>
            <w:pPr>
              <w:pStyle w:val="TableParagraph"/>
              <w:ind w:left="161"/>
              <w:rPr>
                <w:sz w:val="20"/>
              </w:rPr>
            </w:pPr>
            <w:r>
              <w:rPr>
                <w:sz w:val="20"/>
              </w:rPr>
              <w:t>дней.</w:t>
            </w:r>
          </w:p>
        </w:tc>
        <w:tc>
          <w:tcPr>
            <w:tcW w:w="5669" w:type="dxa"/>
            <w:shd w:val="clear" w:color="auto" w:fill="F1F1F1"/>
          </w:tcPr>
          <w:p>
            <w:pPr>
              <w:pStyle w:val="TableParagraph"/>
              <w:spacing w:line="229" w:lineRule="exact" w:before="13"/>
              <w:ind w:left="214"/>
              <w:rPr>
                <w:sz w:val="20"/>
              </w:rPr>
            </w:pPr>
            <w:r>
              <w:rPr>
                <w:sz w:val="20"/>
              </w:rPr>
              <w:t>Противопоказан:</w:t>
            </w:r>
          </w:p>
          <w:p>
            <w:pPr>
              <w:pStyle w:val="TableParagraph"/>
              <w:numPr>
                <w:ilvl w:val="0"/>
                <w:numId w:val="58"/>
              </w:numPr>
              <w:tabs>
                <w:tab w:pos="491" w:val="left" w:leader="none"/>
              </w:tabs>
              <w:spacing w:line="244" w:lineRule="exact" w:before="0" w:after="0"/>
              <w:ind w:left="490" w:right="0" w:hanging="145"/>
              <w:jc w:val="left"/>
              <w:rPr>
                <w:sz w:val="20"/>
              </w:rPr>
            </w:pPr>
            <w:r>
              <w:rPr>
                <w:sz w:val="20"/>
              </w:rPr>
              <w:t>детям (до 18</w:t>
            </w:r>
            <w:r>
              <w:rPr>
                <w:spacing w:val="2"/>
                <w:sz w:val="20"/>
              </w:rPr>
              <w:t> </w:t>
            </w:r>
            <w:r>
              <w:rPr>
                <w:sz w:val="20"/>
              </w:rPr>
              <w:t>лет);</w:t>
            </w:r>
          </w:p>
          <w:p>
            <w:pPr>
              <w:pStyle w:val="TableParagraph"/>
              <w:numPr>
                <w:ilvl w:val="0"/>
                <w:numId w:val="58"/>
              </w:numPr>
              <w:tabs>
                <w:tab w:pos="491" w:val="left" w:leader="none"/>
              </w:tabs>
              <w:spacing w:line="245" w:lineRule="exact" w:before="0" w:after="0"/>
              <w:ind w:left="490" w:right="0" w:hanging="145"/>
              <w:jc w:val="left"/>
              <w:rPr>
                <w:sz w:val="20"/>
              </w:rPr>
            </w:pPr>
            <w:r>
              <w:rPr>
                <w:sz w:val="20"/>
              </w:rPr>
              <w:t>пациентам с СКФ &lt; 30</w:t>
            </w:r>
            <w:r>
              <w:rPr>
                <w:spacing w:val="1"/>
                <w:sz w:val="20"/>
              </w:rPr>
              <w:t> </w:t>
            </w:r>
            <w:r>
              <w:rPr>
                <w:sz w:val="20"/>
              </w:rPr>
              <w:t>мл/мин;</w:t>
            </w:r>
          </w:p>
          <w:p>
            <w:pPr>
              <w:pStyle w:val="TableParagraph"/>
              <w:numPr>
                <w:ilvl w:val="0"/>
                <w:numId w:val="58"/>
              </w:numPr>
              <w:tabs>
                <w:tab w:pos="491" w:val="left" w:leader="none"/>
              </w:tabs>
              <w:spacing w:line="245" w:lineRule="exact" w:before="0" w:after="0"/>
              <w:ind w:left="490" w:right="0" w:hanging="145"/>
              <w:jc w:val="left"/>
              <w:rPr>
                <w:sz w:val="20"/>
              </w:rPr>
            </w:pPr>
            <w:r>
              <w:rPr>
                <w:sz w:val="20"/>
              </w:rPr>
              <w:t>при АЛТ ≥ 5</w:t>
            </w:r>
            <w:r>
              <w:rPr>
                <w:spacing w:val="5"/>
                <w:sz w:val="20"/>
              </w:rPr>
              <w:t> </w:t>
            </w:r>
            <w:r>
              <w:rPr>
                <w:sz w:val="20"/>
              </w:rPr>
              <w:t>ВГН;</w:t>
            </w:r>
          </w:p>
          <w:p>
            <w:pPr>
              <w:pStyle w:val="TableParagraph"/>
              <w:numPr>
                <w:ilvl w:val="0"/>
                <w:numId w:val="58"/>
              </w:numPr>
              <w:tabs>
                <w:tab w:pos="491" w:val="left" w:leader="none"/>
              </w:tabs>
              <w:spacing w:line="240" w:lineRule="auto" w:before="0" w:after="0"/>
              <w:ind w:left="490" w:right="0" w:hanging="143"/>
              <w:jc w:val="left"/>
              <w:rPr>
                <w:sz w:val="20"/>
              </w:rPr>
            </w:pPr>
            <w:r>
              <w:rPr>
                <w:sz w:val="20"/>
              </w:rPr>
              <w:t>при беременности и грудном</w:t>
            </w:r>
            <w:r>
              <w:rPr>
                <w:spacing w:val="-3"/>
                <w:sz w:val="20"/>
              </w:rPr>
              <w:t> </w:t>
            </w:r>
            <w:r>
              <w:rPr>
                <w:sz w:val="20"/>
              </w:rPr>
              <w:t>вскармливании.</w:t>
            </w:r>
          </w:p>
          <w:p>
            <w:pPr>
              <w:pStyle w:val="TableParagraph"/>
              <w:spacing w:before="8"/>
              <w:rPr>
                <w:b/>
                <w:sz w:val="19"/>
              </w:rPr>
            </w:pPr>
          </w:p>
          <w:p>
            <w:pPr>
              <w:pStyle w:val="TableParagraph"/>
              <w:spacing w:before="1"/>
              <w:ind w:left="214"/>
              <w:rPr>
                <w:sz w:val="20"/>
              </w:rPr>
            </w:pPr>
            <w:r>
              <w:rPr>
                <w:sz w:val="20"/>
              </w:rPr>
              <w:t>Запрещено вводить внутримышено.</w:t>
            </w:r>
          </w:p>
          <w:p>
            <w:pPr>
              <w:pStyle w:val="TableParagraph"/>
              <w:rPr>
                <w:b/>
                <w:sz w:val="20"/>
              </w:rPr>
            </w:pPr>
          </w:p>
          <w:p>
            <w:pPr>
              <w:pStyle w:val="TableParagraph"/>
              <w:ind w:left="204" w:right="1307"/>
              <w:rPr>
                <w:sz w:val="20"/>
              </w:rPr>
            </w:pPr>
            <w:r>
              <w:rPr>
                <w:sz w:val="20"/>
              </w:rPr>
              <w:t>Не рекомендуется одновременное применение с гидроксихлорохином.</w:t>
            </w:r>
          </w:p>
        </w:tc>
        <w:tc>
          <w:tcPr>
            <w:tcW w:w="1109" w:type="dxa"/>
            <w:shd w:val="clear" w:color="auto" w:fill="F1F1F1"/>
          </w:tcPr>
          <w:p>
            <w:pPr>
              <w:pStyle w:val="TableParagraph"/>
              <w:spacing w:before="13"/>
              <w:ind w:left="156"/>
              <w:rPr>
                <w:sz w:val="20"/>
              </w:rPr>
            </w:pPr>
            <w:r>
              <w:rPr>
                <w:sz w:val="20"/>
              </w:rPr>
              <w:t>174</w:t>
            </w:r>
          </w:p>
        </w:tc>
      </w:tr>
    </w:tbl>
    <w:p>
      <w:pPr>
        <w:spacing w:after="0"/>
        <w:rPr>
          <w:sz w:val="20"/>
        </w:rPr>
        <w:sectPr>
          <w:footerReference w:type="default" r:id="rId98"/>
          <w:pgSz w:w="16850" w:h="11920" w:orient="landscape"/>
          <w:pgMar w:footer="699" w:header="0" w:top="1100" w:bottom="880" w:left="880" w:right="360"/>
          <w:pgNumType w:start="203"/>
        </w:sectPr>
      </w:pPr>
    </w:p>
    <w:p>
      <w:pPr>
        <w:pStyle w:val="BodyText"/>
        <w:spacing w:before="3"/>
        <w:ind w:left="0"/>
        <w:jc w:val="left"/>
        <w:rPr>
          <w:b/>
          <w:sz w:val="2"/>
        </w:rPr>
      </w:pPr>
      <w:bookmarkStart w:name="_bookmark57" w:id="226"/>
      <w:bookmarkEnd w:id="226"/>
      <w:r>
        <w:rPr/>
      </w:r>
      <w:r>
        <w:rPr>
          <w:b/>
          <w:sz w:val="2"/>
        </w:rPr>
      </w:r>
    </w:p>
    <w:tbl>
      <w:tblPr>
        <w:tblW w:w="0" w:type="auto"/>
        <w:jc w:val="left"/>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630"/>
        <w:gridCol w:w="3039"/>
        <w:gridCol w:w="1073"/>
        <w:gridCol w:w="2693"/>
        <w:gridCol w:w="5669"/>
        <w:gridCol w:w="1109"/>
      </w:tblGrid>
      <w:tr>
        <w:trPr>
          <w:trHeight w:val="563" w:hRule="atLeast"/>
        </w:trPr>
        <w:tc>
          <w:tcPr>
            <w:tcW w:w="1630" w:type="dxa"/>
            <w:shd w:val="clear" w:color="auto" w:fill="F1F1F1"/>
          </w:tcPr>
          <w:p>
            <w:pPr>
              <w:pStyle w:val="TableParagraph"/>
              <w:rPr>
                <w:sz w:val="18"/>
              </w:rPr>
            </w:pPr>
          </w:p>
        </w:tc>
        <w:tc>
          <w:tcPr>
            <w:tcW w:w="3039" w:type="dxa"/>
            <w:shd w:val="clear" w:color="auto" w:fill="F1F1F1"/>
          </w:tcPr>
          <w:p>
            <w:pPr>
              <w:pStyle w:val="TableParagraph"/>
              <w:rPr>
                <w:sz w:val="18"/>
              </w:rPr>
            </w:pPr>
          </w:p>
        </w:tc>
        <w:tc>
          <w:tcPr>
            <w:tcW w:w="1073" w:type="dxa"/>
            <w:shd w:val="clear" w:color="auto" w:fill="F1F1F1"/>
          </w:tcPr>
          <w:p>
            <w:pPr>
              <w:pStyle w:val="TableParagraph"/>
              <w:rPr>
                <w:sz w:val="18"/>
              </w:rPr>
            </w:pPr>
          </w:p>
        </w:tc>
        <w:tc>
          <w:tcPr>
            <w:tcW w:w="2693" w:type="dxa"/>
            <w:shd w:val="clear" w:color="auto" w:fill="F1F1F1"/>
          </w:tcPr>
          <w:p>
            <w:pPr>
              <w:pStyle w:val="TableParagraph"/>
              <w:rPr>
                <w:sz w:val="18"/>
              </w:rPr>
            </w:pPr>
          </w:p>
        </w:tc>
        <w:tc>
          <w:tcPr>
            <w:tcW w:w="5669" w:type="dxa"/>
            <w:shd w:val="clear" w:color="auto" w:fill="F1F1F1"/>
          </w:tcPr>
          <w:p>
            <w:pPr>
              <w:pStyle w:val="TableParagraph"/>
              <w:rPr>
                <w:sz w:val="18"/>
              </w:rPr>
            </w:pPr>
          </w:p>
        </w:tc>
        <w:tc>
          <w:tcPr>
            <w:tcW w:w="1109" w:type="dxa"/>
            <w:shd w:val="clear" w:color="auto" w:fill="F1F1F1"/>
          </w:tcPr>
          <w:p>
            <w:pPr>
              <w:pStyle w:val="TableParagraph"/>
              <w:rPr>
                <w:sz w:val="18"/>
              </w:rPr>
            </w:pPr>
          </w:p>
        </w:tc>
      </w:tr>
      <w:tr>
        <w:trPr>
          <w:trHeight w:val="3330" w:hRule="atLeast"/>
        </w:trPr>
        <w:tc>
          <w:tcPr>
            <w:tcW w:w="1630" w:type="dxa"/>
            <w:shd w:val="clear" w:color="auto" w:fill="F1F1F1"/>
          </w:tcPr>
          <w:p>
            <w:pPr>
              <w:pStyle w:val="TableParagraph"/>
              <w:spacing w:before="14"/>
              <w:ind w:left="110" w:right="217"/>
              <w:rPr>
                <w:b/>
                <w:sz w:val="20"/>
              </w:rPr>
            </w:pPr>
            <w:r>
              <w:rPr>
                <w:b/>
                <w:w w:val="95"/>
                <w:sz w:val="20"/>
              </w:rPr>
              <w:t>Гидрокси- </w:t>
            </w:r>
            <w:r>
              <w:rPr>
                <w:b/>
                <w:sz w:val="20"/>
              </w:rPr>
              <w:t>хлорохин</w:t>
            </w:r>
          </w:p>
        </w:tc>
        <w:tc>
          <w:tcPr>
            <w:tcW w:w="3039" w:type="dxa"/>
            <w:shd w:val="clear" w:color="auto" w:fill="F1F1F1"/>
          </w:tcPr>
          <w:p>
            <w:pPr>
              <w:pStyle w:val="TableParagraph"/>
              <w:spacing w:before="14"/>
              <w:ind w:left="165" w:right="599"/>
              <w:rPr>
                <w:sz w:val="20"/>
              </w:rPr>
            </w:pPr>
            <w:r>
              <w:rPr>
                <w:sz w:val="20"/>
              </w:rPr>
              <w:t>Используется для лечения малярии и некоторых системных заболеваний соединительной ткани.</w:t>
            </w:r>
          </w:p>
          <w:p>
            <w:pPr>
              <w:pStyle w:val="TableParagraph"/>
              <w:ind w:left="165" w:right="39"/>
              <w:rPr>
                <w:sz w:val="20"/>
              </w:rPr>
            </w:pPr>
            <w:r>
              <w:rPr>
                <w:sz w:val="20"/>
              </w:rPr>
              <w:t>Блокирует репликацию вируса, подавляет его цитопатическое действие и предотвращают стимуляцию неспецифического воспалительного ответа, которая отмечена у пациентов</w:t>
            </w:r>
          </w:p>
          <w:p>
            <w:pPr>
              <w:pStyle w:val="TableParagraph"/>
              <w:ind w:left="165"/>
              <w:rPr>
                <w:sz w:val="20"/>
              </w:rPr>
            </w:pPr>
            <w:r>
              <w:rPr>
                <w:sz w:val="20"/>
              </w:rPr>
              <w:t>с COVID-19.</w:t>
            </w:r>
          </w:p>
        </w:tc>
        <w:tc>
          <w:tcPr>
            <w:tcW w:w="1073" w:type="dxa"/>
            <w:shd w:val="clear" w:color="auto" w:fill="F1F1F1"/>
          </w:tcPr>
          <w:p>
            <w:pPr>
              <w:pStyle w:val="TableParagraph"/>
              <w:spacing w:before="14"/>
              <w:ind w:left="113"/>
              <w:rPr>
                <w:sz w:val="20"/>
              </w:rPr>
            </w:pPr>
            <w:r>
              <w:rPr>
                <w:sz w:val="20"/>
              </w:rPr>
              <w:t>Таблетки</w:t>
            </w:r>
          </w:p>
        </w:tc>
        <w:tc>
          <w:tcPr>
            <w:tcW w:w="2693" w:type="dxa"/>
            <w:shd w:val="clear" w:color="auto" w:fill="F1F1F1"/>
          </w:tcPr>
          <w:p>
            <w:pPr>
              <w:pStyle w:val="TableParagraph"/>
              <w:spacing w:before="14"/>
              <w:ind w:left="214"/>
              <w:rPr>
                <w:sz w:val="20"/>
              </w:rPr>
            </w:pPr>
            <w:r>
              <w:rPr>
                <w:sz w:val="20"/>
              </w:rPr>
              <w:t>400 мг в 1-й день (200 мг 2 р/сут), далее 200 мг в сутки (100 мг 2 р/сут), в течение</w:t>
            </w:r>
          </w:p>
          <w:p>
            <w:pPr>
              <w:pStyle w:val="TableParagraph"/>
              <w:spacing w:before="2"/>
              <w:ind w:left="214"/>
              <w:rPr>
                <w:sz w:val="20"/>
              </w:rPr>
            </w:pPr>
            <w:r>
              <w:rPr>
                <w:sz w:val="20"/>
              </w:rPr>
              <w:t>6-8 дней</w:t>
            </w:r>
          </w:p>
        </w:tc>
        <w:tc>
          <w:tcPr>
            <w:tcW w:w="5669" w:type="dxa"/>
            <w:shd w:val="clear" w:color="auto" w:fill="F1F1F1"/>
          </w:tcPr>
          <w:p>
            <w:pPr>
              <w:pStyle w:val="TableParagraph"/>
              <w:spacing w:before="14"/>
              <w:ind w:left="111"/>
              <w:rPr>
                <w:sz w:val="20"/>
              </w:rPr>
            </w:pPr>
            <w:r>
              <w:rPr>
                <w:sz w:val="20"/>
              </w:rPr>
              <w:t>С осторожностью:</w:t>
            </w:r>
          </w:p>
          <w:p>
            <w:pPr>
              <w:pStyle w:val="TableParagraph"/>
              <w:numPr>
                <w:ilvl w:val="0"/>
                <w:numId w:val="59"/>
              </w:numPr>
              <w:tabs>
                <w:tab w:pos="215" w:val="left" w:leader="none"/>
              </w:tabs>
              <w:spacing w:line="240" w:lineRule="auto" w:before="1" w:after="0"/>
              <w:ind w:left="214" w:right="590" w:hanging="104"/>
              <w:jc w:val="left"/>
              <w:rPr>
                <w:sz w:val="20"/>
              </w:rPr>
            </w:pPr>
            <w:r>
              <w:rPr>
                <w:sz w:val="20"/>
              </w:rPr>
              <w:t>Пациентам с удлиненным интервалом QT, нарушением сердечного ритма (особенно в сочетании с</w:t>
            </w:r>
            <w:r>
              <w:rPr>
                <w:spacing w:val="-14"/>
                <w:sz w:val="20"/>
              </w:rPr>
              <w:t> </w:t>
            </w:r>
            <w:r>
              <w:rPr>
                <w:sz w:val="20"/>
              </w:rPr>
              <w:t>макролидом),</w:t>
            </w:r>
          </w:p>
          <w:p>
            <w:pPr>
              <w:pStyle w:val="TableParagraph"/>
              <w:numPr>
                <w:ilvl w:val="0"/>
                <w:numId w:val="59"/>
              </w:numPr>
              <w:tabs>
                <w:tab w:pos="215" w:val="left" w:leader="none"/>
              </w:tabs>
              <w:spacing w:line="237" w:lineRule="auto" w:before="2" w:after="0"/>
              <w:ind w:left="214" w:right="610" w:hanging="104"/>
              <w:jc w:val="left"/>
              <w:rPr>
                <w:sz w:val="20"/>
              </w:rPr>
            </w:pPr>
            <w:r>
              <w:rPr>
                <w:sz w:val="20"/>
              </w:rPr>
              <w:t>Пациентам с почечной и печеночной</w:t>
            </w:r>
            <w:r>
              <w:rPr>
                <w:spacing w:val="-23"/>
                <w:sz w:val="20"/>
              </w:rPr>
              <w:t> </w:t>
            </w:r>
            <w:r>
              <w:rPr>
                <w:sz w:val="20"/>
              </w:rPr>
              <w:t>недостаточностью, гепатитом,</w:t>
            </w:r>
          </w:p>
          <w:p>
            <w:pPr>
              <w:pStyle w:val="TableParagraph"/>
              <w:numPr>
                <w:ilvl w:val="0"/>
                <w:numId w:val="59"/>
              </w:numPr>
              <w:tabs>
                <w:tab w:pos="215" w:val="left" w:leader="none"/>
              </w:tabs>
              <w:spacing w:line="245" w:lineRule="exact" w:before="1" w:after="0"/>
              <w:ind w:left="214" w:right="0" w:hanging="104"/>
              <w:jc w:val="left"/>
              <w:rPr>
                <w:sz w:val="20"/>
              </w:rPr>
            </w:pPr>
            <w:r>
              <w:rPr>
                <w:sz w:val="20"/>
              </w:rPr>
              <w:t>При перенесенных гематологических</w:t>
            </w:r>
            <w:r>
              <w:rPr>
                <w:spacing w:val="-6"/>
                <w:sz w:val="20"/>
              </w:rPr>
              <w:t> </w:t>
            </w:r>
            <w:r>
              <w:rPr>
                <w:sz w:val="20"/>
              </w:rPr>
              <w:t>заболеваниях,</w:t>
            </w:r>
          </w:p>
          <w:p>
            <w:pPr>
              <w:pStyle w:val="TableParagraph"/>
              <w:numPr>
                <w:ilvl w:val="0"/>
                <w:numId w:val="59"/>
              </w:numPr>
              <w:tabs>
                <w:tab w:pos="215" w:val="left" w:leader="none"/>
              </w:tabs>
              <w:spacing w:line="240" w:lineRule="auto" w:before="0" w:after="0"/>
              <w:ind w:left="214" w:right="0" w:hanging="104"/>
              <w:jc w:val="left"/>
              <w:rPr>
                <w:sz w:val="20"/>
              </w:rPr>
            </w:pPr>
            <w:r>
              <w:rPr>
                <w:sz w:val="20"/>
              </w:rPr>
              <w:t>При</w:t>
            </w:r>
            <w:r>
              <w:rPr>
                <w:spacing w:val="-2"/>
                <w:sz w:val="20"/>
              </w:rPr>
              <w:t> </w:t>
            </w:r>
            <w:r>
              <w:rPr>
                <w:sz w:val="20"/>
              </w:rPr>
              <w:t>псориазе.</w:t>
            </w:r>
          </w:p>
          <w:p>
            <w:pPr>
              <w:pStyle w:val="TableParagraph"/>
              <w:spacing w:before="11"/>
              <w:rPr>
                <w:b/>
                <w:sz w:val="19"/>
              </w:rPr>
            </w:pPr>
          </w:p>
          <w:p>
            <w:pPr>
              <w:pStyle w:val="TableParagraph"/>
              <w:ind w:left="159" w:right="580"/>
              <w:rPr>
                <w:sz w:val="20"/>
              </w:rPr>
            </w:pPr>
            <w:r>
              <w:rPr>
                <w:sz w:val="20"/>
              </w:rPr>
              <w:t>Противопоказан пациентам с ретинопатией; беременным женщинам.</w:t>
            </w:r>
          </w:p>
          <w:p>
            <w:pPr>
              <w:pStyle w:val="TableParagraph"/>
              <w:spacing w:before="10"/>
              <w:rPr>
                <w:b/>
                <w:sz w:val="19"/>
              </w:rPr>
            </w:pPr>
          </w:p>
          <w:p>
            <w:pPr>
              <w:pStyle w:val="TableParagraph"/>
              <w:spacing w:before="1"/>
              <w:ind w:left="159" w:right="54"/>
              <w:rPr>
                <w:sz w:val="20"/>
              </w:rPr>
            </w:pPr>
            <w:r>
              <w:rPr>
                <w:sz w:val="20"/>
              </w:rPr>
              <w:t>Часто вызывает нарушение сна, анорексию, тромбоцитопению, головную боль.</w:t>
            </w:r>
          </w:p>
        </w:tc>
        <w:tc>
          <w:tcPr>
            <w:tcW w:w="1109" w:type="dxa"/>
            <w:shd w:val="clear" w:color="auto" w:fill="F1F1F1"/>
          </w:tcPr>
          <w:p>
            <w:pPr>
              <w:pStyle w:val="TableParagraph"/>
              <w:spacing w:before="14"/>
              <w:ind w:left="156"/>
              <w:rPr>
                <w:sz w:val="20"/>
              </w:rPr>
            </w:pPr>
            <w:r>
              <w:rPr>
                <w:sz w:val="20"/>
              </w:rPr>
              <w:t>23, 93</w:t>
            </w:r>
          </w:p>
        </w:tc>
      </w:tr>
      <w:tr>
        <w:trPr>
          <w:trHeight w:val="1883" w:hRule="atLeast"/>
        </w:trPr>
        <w:tc>
          <w:tcPr>
            <w:tcW w:w="1630" w:type="dxa"/>
          </w:tcPr>
          <w:p>
            <w:pPr>
              <w:pStyle w:val="TableParagraph"/>
              <w:spacing w:before="14"/>
              <w:ind w:left="110"/>
              <w:rPr>
                <w:b/>
                <w:sz w:val="20"/>
              </w:rPr>
            </w:pPr>
            <w:r>
              <w:rPr>
                <w:b/>
                <w:sz w:val="20"/>
              </w:rPr>
              <w:t>Азитромицин</w:t>
            </w:r>
          </w:p>
        </w:tc>
        <w:tc>
          <w:tcPr>
            <w:tcW w:w="3039" w:type="dxa"/>
          </w:tcPr>
          <w:p>
            <w:pPr>
              <w:pStyle w:val="TableParagraph"/>
              <w:spacing w:before="14"/>
              <w:ind w:left="165" w:right="91"/>
              <w:rPr>
                <w:sz w:val="20"/>
              </w:rPr>
            </w:pPr>
            <w:r>
              <w:rPr>
                <w:sz w:val="20"/>
              </w:rPr>
              <w:t>Полусинтетический антибиотик из группы макролидов, имеются данные о повышении эффективности в отношении COVID-19 при совместном применении с гидроксихлорохином.</w:t>
            </w:r>
          </w:p>
        </w:tc>
        <w:tc>
          <w:tcPr>
            <w:tcW w:w="1073" w:type="dxa"/>
          </w:tcPr>
          <w:p>
            <w:pPr>
              <w:pStyle w:val="TableParagraph"/>
              <w:spacing w:before="14"/>
              <w:ind w:left="113"/>
              <w:rPr>
                <w:sz w:val="20"/>
              </w:rPr>
            </w:pPr>
            <w:r>
              <w:rPr>
                <w:sz w:val="20"/>
              </w:rPr>
              <w:t>Таблетки</w:t>
            </w:r>
          </w:p>
          <w:p>
            <w:pPr>
              <w:pStyle w:val="TableParagraph"/>
              <w:spacing w:before="10"/>
              <w:rPr>
                <w:b/>
                <w:sz w:val="19"/>
              </w:rPr>
            </w:pPr>
          </w:p>
          <w:p>
            <w:pPr>
              <w:pStyle w:val="TableParagraph"/>
              <w:ind w:left="145"/>
              <w:rPr>
                <w:sz w:val="20"/>
              </w:rPr>
            </w:pPr>
            <w:r>
              <w:rPr>
                <w:w w:val="95"/>
                <w:sz w:val="20"/>
              </w:rPr>
              <w:t>Лиофили- </w:t>
            </w:r>
            <w:r>
              <w:rPr>
                <w:sz w:val="20"/>
              </w:rPr>
              <w:t>зат</w:t>
            </w:r>
          </w:p>
        </w:tc>
        <w:tc>
          <w:tcPr>
            <w:tcW w:w="2693" w:type="dxa"/>
          </w:tcPr>
          <w:p>
            <w:pPr>
              <w:pStyle w:val="TableParagraph"/>
              <w:spacing w:before="14"/>
              <w:ind w:left="161"/>
              <w:rPr>
                <w:sz w:val="20"/>
              </w:rPr>
            </w:pPr>
            <w:r>
              <w:rPr>
                <w:sz w:val="20"/>
              </w:rPr>
              <w:t>250 мг per os или в/в</w:t>
            </w:r>
          </w:p>
          <w:p>
            <w:pPr>
              <w:pStyle w:val="TableParagraph"/>
              <w:spacing w:before="1"/>
              <w:ind w:left="161"/>
              <w:rPr>
                <w:sz w:val="20"/>
              </w:rPr>
            </w:pPr>
            <w:r>
              <w:rPr>
                <w:sz w:val="20"/>
              </w:rPr>
              <w:t>1 р/сут в течение 5 дней</w:t>
            </w:r>
          </w:p>
        </w:tc>
        <w:tc>
          <w:tcPr>
            <w:tcW w:w="5669" w:type="dxa"/>
          </w:tcPr>
          <w:p>
            <w:pPr>
              <w:pStyle w:val="TableParagraph"/>
              <w:spacing w:before="14"/>
              <w:ind w:left="214" w:right="742" w:hanging="104"/>
              <w:rPr>
                <w:sz w:val="20"/>
              </w:rPr>
            </w:pPr>
            <w:r>
              <w:rPr>
                <w:sz w:val="20"/>
              </w:rPr>
              <w:t>Часто вызывает нарушения зрения, слуха, диарею, боли в животе, артралгии, лимфопению, сыпь.</w:t>
            </w:r>
          </w:p>
          <w:p>
            <w:pPr>
              <w:pStyle w:val="TableParagraph"/>
              <w:ind w:left="214" w:right="556" w:hanging="104"/>
              <w:rPr>
                <w:sz w:val="20"/>
              </w:rPr>
            </w:pPr>
            <w:r>
              <w:rPr>
                <w:sz w:val="20"/>
              </w:rPr>
              <w:t>Противопоказан при тяжелой печеночной и/или почечной недостаточности, при беременности.</w:t>
            </w:r>
          </w:p>
          <w:p>
            <w:pPr>
              <w:pStyle w:val="TableParagraph"/>
              <w:ind w:left="111"/>
              <w:rPr>
                <w:sz w:val="20"/>
              </w:rPr>
            </w:pPr>
            <w:r>
              <w:rPr>
                <w:sz w:val="20"/>
              </w:rPr>
              <w:t>С осторожностью</w:t>
            </w:r>
          </w:p>
          <w:p>
            <w:pPr>
              <w:pStyle w:val="TableParagraph"/>
              <w:numPr>
                <w:ilvl w:val="0"/>
                <w:numId w:val="60"/>
              </w:numPr>
              <w:tabs>
                <w:tab w:pos="215" w:val="left" w:leader="none"/>
              </w:tabs>
              <w:spacing w:line="245" w:lineRule="exact" w:before="0" w:after="0"/>
              <w:ind w:left="214" w:right="0" w:hanging="104"/>
              <w:jc w:val="left"/>
              <w:rPr>
                <w:sz w:val="20"/>
              </w:rPr>
            </w:pPr>
            <w:r>
              <w:rPr>
                <w:sz w:val="20"/>
              </w:rPr>
              <w:t>Пациентам с удлиненным интервалом</w:t>
            </w:r>
            <w:r>
              <w:rPr>
                <w:spacing w:val="3"/>
                <w:sz w:val="20"/>
              </w:rPr>
              <w:t> </w:t>
            </w:r>
            <w:r>
              <w:rPr>
                <w:sz w:val="20"/>
              </w:rPr>
              <w:t>QT</w:t>
            </w:r>
          </w:p>
          <w:p>
            <w:pPr>
              <w:pStyle w:val="TableParagraph"/>
              <w:numPr>
                <w:ilvl w:val="0"/>
                <w:numId w:val="60"/>
              </w:numPr>
              <w:tabs>
                <w:tab w:pos="215" w:val="left" w:leader="none"/>
              </w:tabs>
              <w:spacing w:line="230" w:lineRule="exact" w:before="17" w:after="0"/>
              <w:ind w:left="214" w:right="803" w:hanging="104"/>
              <w:jc w:val="left"/>
              <w:rPr>
                <w:sz w:val="20"/>
              </w:rPr>
            </w:pPr>
            <w:r>
              <w:rPr>
                <w:sz w:val="20"/>
              </w:rPr>
              <w:t>При совместном назначении терфенадина,</w:t>
            </w:r>
            <w:r>
              <w:rPr>
                <w:spacing w:val="-17"/>
                <w:sz w:val="20"/>
              </w:rPr>
              <w:t> </w:t>
            </w:r>
            <w:r>
              <w:rPr>
                <w:sz w:val="20"/>
              </w:rPr>
              <w:t>варфарина, дигоксина.</w:t>
            </w:r>
          </w:p>
        </w:tc>
        <w:tc>
          <w:tcPr>
            <w:tcW w:w="1109" w:type="dxa"/>
          </w:tcPr>
          <w:p>
            <w:pPr>
              <w:pStyle w:val="TableParagraph"/>
              <w:spacing w:before="14"/>
              <w:ind w:left="156"/>
              <w:rPr>
                <w:sz w:val="20"/>
              </w:rPr>
            </w:pPr>
            <w:r>
              <w:rPr>
                <w:sz w:val="20"/>
              </w:rPr>
              <w:t>39</w:t>
            </w:r>
          </w:p>
        </w:tc>
      </w:tr>
      <w:tr>
        <w:trPr>
          <w:trHeight w:val="931" w:hRule="atLeast"/>
        </w:trPr>
        <w:tc>
          <w:tcPr>
            <w:tcW w:w="1630" w:type="dxa"/>
            <w:shd w:val="clear" w:color="auto" w:fill="F1F1F1"/>
          </w:tcPr>
          <w:p>
            <w:pPr>
              <w:pStyle w:val="TableParagraph"/>
              <w:spacing w:before="10"/>
              <w:ind w:left="110" w:right="217"/>
              <w:rPr>
                <w:b/>
                <w:sz w:val="20"/>
              </w:rPr>
            </w:pPr>
            <w:r>
              <w:rPr>
                <w:b/>
                <w:sz w:val="20"/>
              </w:rPr>
              <w:t>Рекомбинант- ный ИФН-α</w:t>
            </w:r>
          </w:p>
        </w:tc>
        <w:tc>
          <w:tcPr>
            <w:tcW w:w="3039" w:type="dxa"/>
            <w:shd w:val="clear" w:color="auto" w:fill="F1F1F1"/>
          </w:tcPr>
          <w:p>
            <w:pPr>
              <w:pStyle w:val="TableParagraph"/>
              <w:spacing w:line="230" w:lineRule="atLeast" w:before="10"/>
              <w:ind w:left="165" w:right="299"/>
              <w:rPr>
                <w:sz w:val="20"/>
              </w:rPr>
            </w:pPr>
            <w:r>
              <w:rPr>
                <w:sz w:val="20"/>
              </w:rPr>
              <w:t>Обладает местным иммуномодулирующим, противовоспалительным и противовирусным действием.</w:t>
            </w:r>
          </w:p>
        </w:tc>
        <w:tc>
          <w:tcPr>
            <w:tcW w:w="1073" w:type="dxa"/>
            <w:shd w:val="clear" w:color="auto" w:fill="F1F1F1"/>
          </w:tcPr>
          <w:p>
            <w:pPr>
              <w:pStyle w:val="TableParagraph"/>
              <w:spacing w:before="10"/>
              <w:ind w:left="113"/>
              <w:rPr>
                <w:sz w:val="20"/>
              </w:rPr>
            </w:pPr>
            <w:r>
              <w:rPr>
                <w:sz w:val="20"/>
              </w:rPr>
              <w:t>Раствор</w:t>
            </w:r>
          </w:p>
        </w:tc>
        <w:tc>
          <w:tcPr>
            <w:tcW w:w="2693" w:type="dxa"/>
            <w:shd w:val="clear" w:color="auto" w:fill="F1F1F1"/>
          </w:tcPr>
          <w:p>
            <w:pPr>
              <w:pStyle w:val="TableParagraph"/>
              <w:spacing w:before="10"/>
              <w:ind w:left="161" w:right="452"/>
              <w:rPr>
                <w:sz w:val="20"/>
              </w:rPr>
            </w:pPr>
            <w:r>
              <w:rPr>
                <w:sz w:val="20"/>
              </w:rPr>
              <w:t>По 3 капли в каждый носовой ход (3000 МЕ) 5 р/сут в течение 5 дней</w:t>
            </w:r>
          </w:p>
        </w:tc>
        <w:tc>
          <w:tcPr>
            <w:tcW w:w="5669" w:type="dxa"/>
            <w:shd w:val="clear" w:color="auto" w:fill="F1F1F1"/>
          </w:tcPr>
          <w:p>
            <w:pPr>
              <w:pStyle w:val="TableParagraph"/>
              <w:rPr>
                <w:sz w:val="18"/>
              </w:rPr>
            </w:pPr>
          </w:p>
        </w:tc>
        <w:tc>
          <w:tcPr>
            <w:tcW w:w="1109" w:type="dxa"/>
            <w:shd w:val="clear" w:color="auto" w:fill="F1F1F1"/>
          </w:tcPr>
          <w:p>
            <w:pPr>
              <w:pStyle w:val="TableParagraph"/>
              <w:spacing w:before="12"/>
              <w:ind w:left="156"/>
              <w:rPr>
                <w:sz w:val="20"/>
              </w:rPr>
            </w:pPr>
            <w:r>
              <w:rPr>
                <w:sz w:val="20"/>
              </w:rPr>
              <w:t>18, 21, 59,</w:t>
            </w:r>
          </w:p>
          <w:p>
            <w:pPr>
              <w:pStyle w:val="TableParagraph"/>
              <w:spacing w:before="17"/>
              <w:ind w:left="156"/>
              <w:rPr>
                <w:sz w:val="20"/>
              </w:rPr>
            </w:pPr>
            <w:r>
              <w:rPr>
                <w:sz w:val="20"/>
              </w:rPr>
              <w:t>73</w:t>
            </w:r>
          </w:p>
        </w:tc>
      </w:tr>
      <w:tr>
        <w:trPr>
          <w:trHeight w:val="1624" w:hRule="atLeast"/>
        </w:trPr>
        <w:tc>
          <w:tcPr>
            <w:tcW w:w="1630" w:type="dxa"/>
          </w:tcPr>
          <w:p>
            <w:pPr>
              <w:pStyle w:val="TableParagraph"/>
              <w:spacing w:before="14"/>
              <w:ind w:left="110"/>
              <w:rPr>
                <w:b/>
                <w:sz w:val="20"/>
              </w:rPr>
            </w:pPr>
            <w:r>
              <w:rPr>
                <w:b/>
                <w:sz w:val="20"/>
              </w:rPr>
              <w:t>Умифеновир</w:t>
            </w:r>
          </w:p>
        </w:tc>
        <w:tc>
          <w:tcPr>
            <w:tcW w:w="3039" w:type="dxa"/>
          </w:tcPr>
          <w:p>
            <w:pPr>
              <w:pStyle w:val="TableParagraph"/>
              <w:spacing w:before="14"/>
              <w:ind w:left="215" w:right="579"/>
              <w:rPr>
                <w:sz w:val="20"/>
              </w:rPr>
            </w:pPr>
            <w:r>
              <w:rPr>
                <w:sz w:val="20"/>
              </w:rPr>
              <w:t>Относится к ингибиторам слияния (фузии), взаимодействует</w:t>
            </w:r>
          </w:p>
          <w:p>
            <w:pPr>
              <w:pStyle w:val="TableParagraph"/>
              <w:ind w:left="215" w:right="484"/>
              <w:rPr>
                <w:sz w:val="20"/>
              </w:rPr>
            </w:pPr>
            <w:r>
              <w:rPr>
                <w:sz w:val="20"/>
              </w:rPr>
              <w:t>с гемагглютинином вируса и препятствует слиянию</w:t>
            </w:r>
          </w:p>
          <w:p>
            <w:pPr>
              <w:pStyle w:val="TableParagraph"/>
              <w:spacing w:line="230" w:lineRule="atLeast"/>
              <w:ind w:left="215" w:right="471"/>
              <w:rPr>
                <w:sz w:val="20"/>
              </w:rPr>
            </w:pPr>
            <w:r>
              <w:rPr>
                <w:sz w:val="20"/>
              </w:rPr>
              <w:t>липидной оболочки вируса и клеточных мембран.</w:t>
            </w:r>
          </w:p>
        </w:tc>
        <w:tc>
          <w:tcPr>
            <w:tcW w:w="1073" w:type="dxa"/>
          </w:tcPr>
          <w:p>
            <w:pPr>
              <w:pStyle w:val="TableParagraph"/>
              <w:spacing w:before="14"/>
              <w:ind w:left="113"/>
              <w:rPr>
                <w:sz w:val="20"/>
              </w:rPr>
            </w:pPr>
            <w:r>
              <w:rPr>
                <w:sz w:val="20"/>
              </w:rPr>
              <w:t>Капсулы</w:t>
            </w:r>
          </w:p>
        </w:tc>
        <w:tc>
          <w:tcPr>
            <w:tcW w:w="2693" w:type="dxa"/>
          </w:tcPr>
          <w:p>
            <w:pPr>
              <w:pStyle w:val="TableParagraph"/>
              <w:spacing w:before="14"/>
              <w:ind w:left="161"/>
              <w:rPr>
                <w:sz w:val="20"/>
              </w:rPr>
            </w:pPr>
            <w:r>
              <w:rPr>
                <w:sz w:val="20"/>
              </w:rPr>
              <w:t>по 200 мг 4 р/сут в течение</w:t>
            </w:r>
          </w:p>
          <w:p>
            <w:pPr>
              <w:pStyle w:val="TableParagraph"/>
              <w:spacing w:before="1"/>
              <w:ind w:left="161"/>
              <w:rPr>
                <w:sz w:val="20"/>
              </w:rPr>
            </w:pPr>
            <w:r>
              <w:rPr>
                <w:sz w:val="20"/>
              </w:rPr>
              <w:t>5-7 дней</w:t>
            </w:r>
          </w:p>
        </w:tc>
        <w:tc>
          <w:tcPr>
            <w:tcW w:w="5669" w:type="dxa"/>
          </w:tcPr>
          <w:p>
            <w:pPr>
              <w:pStyle w:val="TableParagraph"/>
              <w:spacing w:before="14"/>
              <w:ind w:left="111"/>
              <w:rPr>
                <w:sz w:val="20"/>
              </w:rPr>
            </w:pPr>
            <w:r>
              <w:rPr>
                <w:sz w:val="20"/>
              </w:rPr>
              <w:t>Противопоказан при беременности.</w:t>
            </w:r>
          </w:p>
        </w:tc>
        <w:tc>
          <w:tcPr>
            <w:tcW w:w="1109" w:type="dxa"/>
          </w:tcPr>
          <w:p>
            <w:pPr>
              <w:pStyle w:val="TableParagraph"/>
              <w:spacing w:before="14"/>
              <w:ind w:left="156"/>
              <w:rPr>
                <w:sz w:val="20"/>
              </w:rPr>
            </w:pPr>
            <w:r>
              <w:rPr>
                <w:sz w:val="20"/>
              </w:rPr>
              <w:t>101, 103,</w:t>
            </w:r>
          </w:p>
          <w:p>
            <w:pPr>
              <w:pStyle w:val="TableParagraph"/>
              <w:spacing w:before="18"/>
              <w:ind w:left="156"/>
              <w:rPr>
                <w:sz w:val="20"/>
              </w:rPr>
            </w:pPr>
            <w:r>
              <w:rPr>
                <w:sz w:val="20"/>
              </w:rPr>
              <w:t>111</w:t>
            </w:r>
          </w:p>
        </w:tc>
      </w:tr>
    </w:tbl>
    <w:p>
      <w:pPr>
        <w:spacing w:after="0"/>
        <w:rPr>
          <w:sz w:val="20"/>
        </w:rPr>
        <w:sectPr>
          <w:pgSz w:w="16850" w:h="11920" w:orient="landscape"/>
          <w:pgMar w:header="0" w:footer="699" w:top="1100" w:bottom="880" w:left="880" w:right="360"/>
        </w:sectPr>
      </w:pPr>
    </w:p>
    <w:p>
      <w:pPr>
        <w:pStyle w:val="BodyText"/>
        <w:spacing w:before="1"/>
        <w:ind w:left="0"/>
        <w:jc w:val="left"/>
        <w:rPr>
          <w:b/>
          <w:sz w:val="42"/>
        </w:rPr>
      </w:pPr>
    </w:p>
    <w:p>
      <w:pPr>
        <w:spacing w:before="0"/>
        <w:ind w:left="2480" w:right="0" w:firstLine="0"/>
        <w:jc w:val="left"/>
        <w:rPr>
          <w:b/>
          <w:sz w:val="28"/>
        </w:rPr>
      </w:pPr>
      <w:bookmarkStart w:name="Приложение 8" w:id="227"/>
      <w:bookmarkEnd w:id="227"/>
      <w:r>
        <w:rPr/>
      </w:r>
      <w:bookmarkStart w:name="_bookmark58" w:id="228"/>
      <w:bookmarkEnd w:id="228"/>
      <w:r>
        <w:rPr/>
      </w:r>
      <w:r>
        <w:rPr>
          <w:b/>
          <w:sz w:val="28"/>
        </w:rPr>
        <w:t>Препараты упреждающей противовоспалительной терапии COVID-19 у взрослых</w:t>
      </w:r>
    </w:p>
    <w:p>
      <w:pPr>
        <w:pStyle w:val="Heading3"/>
        <w:spacing w:before="65"/>
        <w:ind w:left="616"/>
        <w:jc w:val="left"/>
      </w:pPr>
      <w:r>
        <w:rPr>
          <w:b w:val="0"/>
        </w:rPr>
        <w:br w:type="column"/>
      </w:r>
      <w:r>
        <w:rPr>
          <w:color w:val="1F487C"/>
        </w:rPr>
        <w:t>Приложение 8</w:t>
      </w:r>
    </w:p>
    <w:p>
      <w:pPr>
        <w:spacing w:after="0"/>
        <w:jc w:val="left"/>
        <w:sectPr>
          <w:pgSz w:w="16850" w:h="11920" w:orient="landscape"/>
          <w:pgMar w:header="0" w:footer="699" w:top="1060" w:bottom="880" w:left="880" w:right="360"/>
          <w:cols w:num="2" w:equalWidth="0">
            <w:col w:w="12957" w:space="40"/>
            <w:col w:w="2613"/>
          </w:cols>
        </w:sectPr>
      </w:pPr>
    </w:p>
    <w:p>
      <w:pPr>
        <w:pStyle w:val="BodyText"/>
        <w:spacing w:before="11"/>
        <w:ind w:left="0"/>
        <w:jc w:val="left"/>
        <w:rPr>
          <w:b/>
          <w:sz w:val="28"/>
        </w:rPr>
      </w:pPr>
    </w:p>
    <w:tbl>
      <w:tblPr>
        <w:tblW w:w="0" w:type="auto"/>
        <w:jc w:val="left"/>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980"/>
        <w:gridCol w:w="2551"/>
        <w:gridCol w:w="1497"/>
        <w:gridCol w:w="3825"/>
        <w:gridCol w:w="3823"/>
        <w:gridCol w:w="1277"/>
      </w:tblGrid>
      <w:tr>
        <w:trPr>
          <w:trHeight w:val="561" w:hRule="atLeast"/>
        </w:trPr>
        <w:tc>
          <w:tcPr>
            <w:tcW w:w="1980" w:type="dxa"/>
            <w:shd w:val="clear" w:color="auto" w:fill="F1F1F1"/>
          </w:tcPr>
          <w:p>
            <w:pPr>
              <w:pStyle w:val="TableParagraph"/>
              <w:spacing w:before="12"/>
              <w:ind w:left="57"/>
              <w:rPr>
                <w:b/>
                <w:sz w:val="20"/>
              </w:rPr>
            </w:pPr>
            <w:r>
              <w:rPr>
                <w:b/>
                <w:sz w:val="20"/>
              </w:rPr>
              <w:t>Препарат (МНН)</w:t>
            </w:r>
          </w:p>
        </w:tc>
        <w:tc>
          <w:tcPr>
            <w:tcW w:w="2551" w:type="dxa"/>
            <w:shd w:val="clear" w:color="auto" w:fill="F1F1F1"/>
          </w:tcPr>
          <w:p>
            <w:pPr>
              <w:pStyle w:val="TableParagraph"/>
              <w:spacing w:before="12"/>
              <w:ind w:left="57"/>
              <w:rPr>
                <w:b/>
                <w:sz w:val="20"/>
              </w:rPr>
            </w:pPr>
            <w:r>
              <w:rPr>
                <w:b/>
                <w:sz w:val="20"/>
              </w:rPr>
              <w:t>Механизм действия</w:t>
            </w:r>
          </w:p>
        </w:tc>
        <w:tc>
          <w:tcPr>
            <w:tcW w:w="1497" w:type="dxa"/>
            <w:shd w:val="clear" w:color="auto" w:fill="F1F1F1"/>
          </w:tcPr>
          <w:p>
            <w:pPr>
              <w:pStyle w:val="TableParagraph"/>
              <w:spacing w:before="12"/>
              <w:ind w:left="57" w:right="626"/>
              <w:rPr>
                <w:b/>
                <w:sz w:val="20"/>
              </w:rPr>
            </w:pPr>
            <w:r>
              <w:rPr>
                <w:b/>
                <w:sz w:val="20"/>
              </w:rPr>
              <w:t>Формы выпуска</w:t>
            </w:r>
          </w:p>
        </w:tc>
        <w:tc>
          <w:tcPr>
            <w:tcW w:w="3825" w:type="dxa"/>
            <w:shd w:val="clear" w:color="auto" w:fill="F1F1F1"/>
          </w:tcPr>
          <w:p>
            <w:pPr>
              <w:pStyle w:val="TableParagraph"/>
              <w:spacing w:before="12"/>
              <w:ind w:left="55"/>
              <w:rPr>
                <w:b/>
                <w:sz w:val="20"/>
              </w:rPr>
            </w:pPr>
            <w:r>
              <w:rPr>
                <w:b/>
                <w:sz w:val="20"/>
              </w:rPr>
              <w:t>Схемы назначения</w:t>
            </w:r>
          </w:p>
        </w:tc>
        <w:tc>
          <w:tcPr>
            <w:tcW w:w="3823" w:type="dxa"/>
            <w:shd w:val="clear" w:color="auto" w:fill="F1F1F1"/>
          </w:tcPr>
          <w:p>
            <w:pPr>
              <w:pStyle w:val="TableParagraph"/>
              <w:spacing w:before="12"/>
              <w:ind w:left="58"/>
              <w:rPr>
                <w:b/>
                <w:sz w:val="20"/>
              </w:rPr>
            </w:pPr>
            <w:r>
              <w:rPr>
                <w:b/>
                <w:sz w:val="20"/>
              </w:rPr>
              <w:t>Противопоказания</w:t>
            </w:r>
          </w:p>
        </w:tc>
        <w:tc>
          <w:tcPr>
            <w:tcW w:w="1277" w:type="dxa"/>
            <w:shd w:val="clear" w:color="auto" w:fill="F1F1F1"/>
          </w:tcPr>
          <w:p>
            <w:pPr>
              <w:pStyle w:val="TableParagraph"/>
              <w:spacing w:before="12"/>
              <w:ind w:left="59"/>
              <w:rPr>
                <w:b/>
                <w:sz w:val="20"/>
              </w:rPr>
            </w:pPr>
            <w:r>
              <w:rPr>
                <w:b/>
                <w:sz w:val="20"/>
              </w:rPr>
              <w:t>Ссылки</w:t>
            </w:r>
          </w:p>
        </w:tc>
      </w:tr>
      <w:tr>
        <w:trPr>
          <w:trHeight w:val="380" w:hRule="atLeast"/>
        </w:trPr>
        <w:tc>
          <w:tcPr>
            <w:tcW w:w="1980" w:type="dxa"/>
            <w:tcBorders>
              <w:bottom w:val="nil"/>
            </w:tcBorders>
          </w:tcPr>
          <w:p>
            <w:pPr>
              <w:pStyle w:val="TableParagraph"/>
              <w:spacing w:line="209" w:lineRule="exact" w:before="151"/>
              <w:ind w:left="57"/>
              <w:rPr>
                <w:b/>
                <w:sz w:val="20"/>
              </w:rPr>
            </w:pPr>
            <w:r>
              <w:rPr>
                <w:b/>
                <w:sz w:val="20"/>
              </w:rPr>
              <w:t>Барицитиниб</w:t>
            </w:r>
          </w:p>
        </w:tc>
        <w:tc>
          <w:tcPr>
            <w:tcW w:w="2551" w:type="dxa"/>
            <w:tcBorders>
              <w:bottom w:val="nil"/>
            </w:tcBorders>
          </w:tcPr>
          <w:p>
            <w:pPr>
              <w:pStyle w:val="TableParagraph"/>
              <w:rPr>
                <w:sz w:val="20"/>
              </w:rPr>
            </w:pPr>
          </w:p>
        </w:tc>
        <w:tc>
          <w:tcPr>
            <w:tcW w:w="1497" w:type="dxa"/>
            <w:tcBorders>
              <w:bottom w:val="nil"/>
            </w:tcBorders>
          </w:tcPr>
          <w:p>
            <w:pPr>
              <w:pStyle w:val="TableParagraph"/>
              <w:rPr>
                <w:sz w:val="20"/>
              </w:rPr>
            </w:pPr>
          </w:p>
        </w:tc>
        <w:tc>
          <w:tcPr>
            <w:tcW w:w="3825" w:type="dxa"/>
            <w:tcBorders>
              <w:bottom w:val="nil"/>
            </w:tcBorders>
          </w:tcPr>
          <w:p>
            <w:pPr>
              <w:pStyle w:val="TableParagraph"/>
              <w:rPr>
                <w:sz w:val="20"/>
              </w:rPr>
            </w:pPr>
          </w:p>
        </w:tc>
        <w:tc>
          <w:tcPr>
            <w:tcW w:w="3823" w:type="dxa"/>
            <w:vMerge w:val="restart"/>
          </w:tcPr>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spacing w:before="2"/>
              <w:rPr>
                <w:b/>
                <w:sz w:val="26"/>
              </w:rPr>
            </w:pPr>
          </w:p>
          <w:p>
            <w:pPr>
              <w:pStyle w:val="TableParagraph"/>
              <w:numPr>
                <w:ilvl w:val="0"/>
                <w:numId w:val="61"/>
              </w:numPr>
              <w:tabs>
                <w:tab w:pos="215" w:val="left" w:leader="none"/>
              </w:tabs>
              <w:spacing w:line="240" w:lineRule="auto" w:before="0" w:after="0"/>
              <w:ind w:left="214" w:right="339" w:hanging="212"/>
              <w:jc w:val="left"/>
              <w:rPr>
                <w:sz w:val="20"/>
              </w:rPr>
            </w:pPr>
            <w:r>
              <w:rPr>
                <w:sz w:val="20"/>
              </w:rPr>
              <w:t>Сепсис, подтвержденный</w:t>
            </w:r>
            <w:r>
              <w:rPr>
                <w:spacing w:val="-18"/>
                <w:sz w:val="20"/>
              </w:rPr>
              <w:t> </w:t>
            </w:r>
            <w:r>
              <w:rPr>
                <w:sz w:val="20"/>
              </w:rPr>
              <w:t>патогенами, отличными от</w:t>
            </w:r>
            <w:r>
              <w:rPr>
                <w:spacing w:val="-3"/>
                <w:sz w:val="20"/>
              </w:rPr>
              <w:t> </w:t>
            </w:r>
            <w:r>
              <w:rPr>
                <w:sz w:val="20"/>
              </w:rPr>
              <w:t>COVID-19</w:t>
            </w:r>
          </w:p>
          <w:p>
            <w:pPr>
              <w:pStyle w:val="TableParagraph"/>
              <w:numPr>
                <w:ilvl w:val="0"/>
                <w:numId w:val="61"/>
              </w:numPr>
              <w:tabs>
                <w:tab w:pos="215" w:val="left" w:leader="none"/>
              </w:tabs>
              <w:spacing w:line="245" w:lineRule="exact" w:before="1" w:after="0"/>
              <w:ind w:left="214" w:right="0" w:hanging="212"/>
              <w:jc w:val="left"/>
              <w:rPr>
                <w:sz w:val="20"/>
              </w:rPr>
            </w:pPr>
            <w:r>
              <w:rPr>
                <w:sz w:val="20"/>
              </w:rPr>
              <w:t>Лимфопения</w:t>
            </w:r>
            <w:r>
              <w:rPr>
                <w:spacing w:val="-2"/>
                <w:sz w:val="20"/>
              </w:rPr>
              <w:t> </w:t>
            </w:r>
            <w:r>
              <w:rPr>
                <w:sz w:val="20"/>
              </w:rPr>
              <w:t>&lt;0,5*10</w:t>
            </w:r>
            <w:r>
              <w:rPr>
                <w:sz w:val="20"/>
                <w:vertAlign w:val="superscript"/>
              </w:rPr>
              <w:t>9</w:t>
            </w:r>
            <w:r>
              <w:rPr>
                <w:sz w:val="20"/>
                <w:vertAlign w:val="baseline"/>
              </w:rPr>
              <w:t>/л,</w:t>
            </w:r>
          </w:p>
          <w:p>
            <w:pPr>
              <w:pStyle w:val="TableParagraph"/>
              <w:numPr>
                <w:ilvl w:val="0"/>
                <w:numId w:val="61"/>
              </w:numPr>
              <w:tabs>
                <w:tab w:pos="215" w:val="left" w:leader="none"/>
              </w:tabs>
              <w:spacing w:line="245" w:lineRule="exact" w:before="0" w:after="0"/>
              <w:ind w:left="214" w:right="0" w:hanging="212"/>
              <w:jc w:val="left"/>
              <w:rPr>
                <w:sz w:val="20"/>
              </w:rPr>
            </w:pPr>
            <w:r>
              <w:rPr>
                <w:sz w:val="20"/>
              </w:rPr>
              <w:t>Нейтропения</w:t>
            </w:r>
            <w:r>
              <w:rPr>
                <w:spacing w:val="-2"/>
                <w:sz w:val="20"/>
              </w:rPr>
              <w:t> </w:t>
            </w:r>
            <w:r>
              <w:rPr>
                <w:sz w:val="20"/>
              </w:rPr>
              <w:t>&lt;1*10</w:t>
            </w:r>
            <w:r>
              <w:rPr>
                <w:sz w:val="20"/>
                <w:vertAlign w:val="superscript"/>
              </w:rPr>
              <w:t>9</w:t>
            </w:r>
            <w:r>
              <w:rPr>
                <w:sz w:val="20"/>
                <w:vertAlign w:val="baseline"/>
              </w:rPr>
              <w:t>/л,</w:t>
            </w:r>
          </w:p>
          <w:p>
            <w:pPr>
              <w:pStyle w:val="TableParagraph"/>
              <w:numPr>
                <w:ilvl w:val="0"/>
                <w:numId w:val="61"/>
              </w:numPr>
              <w:tabs>
                <w:tab w:pos="215" w:val="left" w:leader="none"/>
              </w:tabs>
              <w:spacing w:line="244" w:lineRule="exact" w:before="0" w:after="0"/>
              <w:ind w:left="214" w:right="0" w:hanging="212"/>
              <w:jc w:val="left"/>
              <w:rPr>
                <w:sz w:val="20"/>
              </w:rPr>
            </w:pPr>
            <w:r>
              <w:rPr>
                <w:sz w:val="20"/>
              </w:rPr>
              <w:t>Гемоглобин &lt;8</w:t>
            </w:r>
            <w:r>
              <w:rPr>
                <w:spacing w:val="-1"/>
                <w:sz w:val="20"/>
              </w:rPr>
              <w:t> </w:t>
            </w:r>
            <w:r>
              <w:rPr>
                <w:sz w:val="20"/>
              </w:rPr>
              <w:t>г/дл,</w:t>
            </w:r>
          </w:p>
          <w:p>
            <w:pPr>
              <w:pStyle w:val="TableParagraph"/>
              <w:numPr>
                <w:ilvl w:val="0"/>
                <w:numId w:val="61"/>
              </w:numPr>
              <w:tabs>
                <w:tab w:pos="215" w:val="left" w:leader="none"/>
              </w:tabs>
              <w:spacing w:line="244" w:lineRule="exact" w:before="0" w:after="0"/>
              <w:ind w:left="214" w:right="0" w:hanging="212"/>
              <w:jc w:val="left"/>
              <w:rPr>
                <w:sz w:val="20"/>
              </w:rPr>
            </w:pPr>
            <w:r>
              <w:rPr>
                <w:sz w:val="20"/>
              </w:rPr>
              <w:t>Клиренс креатинина &lt;30</w:t>
            </w:r>
            <w:r>
              <w:rPr>
                <w:spacing w:val="-3"/>
                <w:sz w:val="20"/>
              </w:rPr>
              <w:t> </w:t>
            </w:r>
            <w:r>
              <w:rPr>
                <w:sz w:val="20"/>
              </w:rPr>
              <w:t>мл/мин,</w:t>
            </w:r>
          </w:p>
          <w:p>
            <w:pPr>
              <w:pStyle w:val="TableParagraph"/>
              <w:numPr>
                <w:ilvl w:val="0"/>
                <w:numId w:val="61"/>
              </w:numPr>
              <w:tabs>
                <w:tab w:pos="215" w:val="left" w:leader="none"/>
              </w:tabs>
              <w:spacing w:line="240" w:lineRule="auto" w:before="0" w:after="0"/>
              <w:ind w:left="214" w:right="51" w:hanging="212"/>
              <w:jc w:val="left"/>
              <w:rPr>
                <w:sz w:val="20"/>
              </w:rPr>
            </w:pPr>
            <w:r>
              <w:rPr>
                <w:sz w:val="20"/>
              </w:rPr>
              <w:t>Тяжелая печеночная недостаточность/если есть подозрение</w:t>
            </w:r>
            <w:r>
              <w:rPr>
                <w:spacing w:val="-12"/>
                <w:sz w:val="20"/>
              </w:rPr>
              <w:t> </w:t>
            </w:r>
            <w:r>
              <w:rPr>
                <w:sz w:val="20"/>
              </w:rPr>
              <w:t>на лекарственное повреждение печени,</w:t>
            </w:r>
          </w:p>
          <w:p>
            <w:pPr>
              <w:pStyle w:val="TableParagraph"/>
              <w:numPr>
                <w:ilvl w:val="0"/>
                <w:numId w:val="61"/>
              </w:numPr>
              <w:tabs>
                <w:tab w:pos="215" w:val="left" w:leader="none"/>
              </w:tabs>
              <w:spacing w:line="245" w:lineRule="exact" w:before="0" w:after="0"/>
              <w:ind w:left="214" w:right="0" w:hanging="212"/>
              <w:jc w:val="left"/>
              <w:rPr>
                <w:sz w:val="20"/>
              </w:rPr>
            </w:pPr>
            <w:r>
              <w:rPr>
                <w:sz w:val="20"/>
              </w:rPr>
              <w:t>Активный гепатит</w:t>
            </w:r>
            <w:r>
              <w:rPr>
                <w:spacing w:val="-3"/>
                <w:sz w:val="20"/>
              </w:rPr>
              <w:t> </w:t>
            </w:r>
            <w:r>
              <w:rPr>
                <w:sz w:val="20"/>
              </w:rPr>
              <w:t>В,С,</w:t>
            </w:r>
          </w:p>
          <w:p>
            <w:pPr>
              <w:pStyle w:val="TableParagraph"/>
              <w:numPr>
                <w:ilvl w:val="0"/>
                <w:numId w:val="61"/>
              </w:numPr>
              <w:tabs>
                <w:tab w:pos="215" w:val="left" w:leader="none"/>
              </w:tabs>
              <w:spacing w:line="244" w:lineRule="exact" w:before="0" w:after="0"/>
              <w:ind w:left="214" w:right="0" w:hanging="212"/>
              <w:jc w:val="left"/>
              <w:rPr>
                <w:sz w:val="20"/>
              </w:rPr>
            </w:pPr>
            <w:r>
              <w:rPr>
                <w:sz w:val="20"/>
              </w:rPr>
              <w:t>Активный</w:t>
            </w:r>
            <w:r>
              <w:rPr>
                <w:spacing w:val="-2"/>
                <w:sz w:val="20"/>
              </w:rPr>
              <w:t> </w:t>
            </w:r>
            <w:r>
              <w:rPr>
                <w:sz w:val="20"/>
              </w:rPr>
              <w:t>туберкулез,</w:t>
            </w:r>
          </w:p>
          <w:p>
            <w:pPr>
              <w:pStyle w:val="TableParagraph"/>
              <w:numPr>
                <w:ilvl w:val="0"/>
                <w:numId w:val="61"/>
              </w:numPr>
              <w:tabs>
                <w:tab w:pos="215" w:val="left" w:leader="none"/>
              </w:tabs>
              <w:spacing w:line="240" w:lineRule="auto" w:before="0" w:after="0"/>
              <w:ind w:left="58" w:right="1668" w:hanging="55"/>
              <w:jc w:val="left"/>
              <w:rPr>
                <w:sz w:val="20"/>
              </w:rPr>
            </w:pPr>
            <w:r>
              <w:rPr>
                <w:sz w:val="20"/>
              </w:rPr>
              <w:t>ТВГ/ТЭЛА в</w:t>
            </w:r>
            <w:r>
              <w:rPr>
                <w:spacing w:val="-9"/>
                <w:sz w:val="20"/>
              </w:rPr>
              <w:t> </w:t>
            </w:r>
            <w:r>
              <w:rPr>
                <w:sz w:val="20"/>
              </w:rPr>
              <w:t>анамнезе С осторожностью: возраст старше 75</w:t>
            </w:r>
            <w:r>
              <w:rPr>
                <w:spacing w:val="-4"/>
                <w:sz w:val="20"/>
              </w:rPr>
              <w:t> </w:t>
            </w:r>
            <w:r>
              <w:rPr>
                <w:sz w:val="20"/>
              </w:rPr>
              <w:t>лет,</w:t>
            </w:r>
          </w:p>
          <w:p>
            <w:pPr>
              <w:pStyle w:val="TableParagraph"/>
              <w:ind w:left="58"/>
              <w:rPr>
                <w:sz w:val="20"/>
              </w:rPr>
            </w:pPr>
            <w:r>
              <w:rPr>
                <w:sz w:val="20"/>
              </w:rPr>
              <w:t>прием ЦОГ-2 ингибиторов</w:t>
            </w:r>
          </w:p>
        </w:tc>
        <w:tc>
          <w:tcPr>
            <w:tcW w:w="1277" w:type="dxa"/>
            <w:tcBorders>
              <w:bottom w:val="nil"/>
            </w:tcBorders>
          </w:tcPr>
          <w:p>
            <w:pPr>
              <w:pStyle w:val="TableParagraph"/>
              <w:spacing w:before="14"/>
              <w:ind w:left="59"/>
              <w:rPr>
                <w:sz w:val="20"/>
              </w:rPr>
            </w:pPr>
            <w:r>
              <w:rPr>
                <w:sz w:val="20"/>
              </w:rPr>
              <w:t>107, 114, 118</w:t>
            </w:r>
          </w:p>
        </w:tc>
      </w:tr>
      <w:tr>
        <w:trPr>
          <w:trHeight w:val="585" w:hRule="atLeast"/>
        </w:trPr>
        <w:tc>
          <w:tcPr>
            <w:tcW w:w="1980" w:type="dxa"/>
            <w:tcBorders>
              <w:top w:val="nil"/>
            </w:tcBorders>
          </w:tcPr>
          <w:p>
            <w:pPr>
              <w:pStyle w:val="TableParagraph"/>
              <w:rPr>
                <w:sz w:val="20"/>
              </w:rPr>
            </w:pPr>
          </w:p>
        </w:tc>
        <w:tc>
          <w:tcPr>
            <w:tcW w:w="2551" w:type="dxa"/>
            <w:tcBorders>
              <w:top w:val="nil"/>
              <w:bottom w:val="nil"/>
            </w:tcBorders>
          </w:tcPr>
          <w:p>
            <w:pPr>
              <w:pStyle w:val="TableParagraph"/>
              <w:rPr>
                <w:sz w:val="20"/>
              </w:rPr>
            </w:pPr>
          </w:p>
        </w:tc>
        <w:tc>
          <w:tcPr>
            <w:tcW w:w="1497" w:type="dxa"/>
            <w:tcBorders>
              <w:top w:val="nil"/>
              <w:bottom w:val="nil"/>
            </w:tcBorders>
          </w:tcPr>
          <w:p>
            <w:pPr>
              <w:pStyle w:val="TableParagraph"/>
              <w:rPr>
                <w:sz w:val="20"/>
              </w:rPr>
            </w:pPr>
          </w:p>
        </w:tc>
        <w:tc>
          <w:tcPr>
            <w:tcW w:w="3825" w:type="dxa"/>
            <w:tcBorders>
              <w:top w:val="nil"/>
            </w:tcBorders>
          </w:tcPr>
          <w:p>
            <w:pPr>
              <w:pStyle w:val="TableParagraph"/>
              <w:spacing w:line="220" w:lineRule="exact"/>
              <w:ind w:left="55"/>
              <w:rPr>
                <w:sz w:val="20"/>
              </w:rPr>
            </w:pPr>
            <w:r>
              <w:rPr>
                <w:sz w:val="20"/>
              </w:rPr>
              <w:t>4 мг 1 р/сут в течение 7-14 дней</w:t>
            </w:r>
          </w:p>
        </w:tc>
        <w:tc>
          <w:tcPr>
            <w:tcW w:w="3823" w:type="dxa"/>
            <w:vMerge/>
            <w:tcBorders>
              <w:top w:val="nil"/>
            </w:tcBorders>
          </w:tcPr>
          <w:p>
            <w:pPr>
              <w:rPr>
                <w:sz w:val="2"/>
                <w:szCs w:val="2"/>
              </w:rPr>
            </w:pPr>
          </w:p>
        </w:tc>
        <w:tc>
          <w:tcPr>
            <w:tcW w:w="1277" w:type="dxa"/>
            <w:tcBorders>
              <w:top w:val="nil"/>
            </w:tcBorders>
          </w:tcPr>
          <w:p>
            <w:pPr>
              <w:pStyle w:val="TableParagraph"/>
              <w:rPr>
                <w:sz w:val="20"/>
              </w:rPr>
            </w:pPr>
          </w:p>
        </w:tc>
      </w:tr>
      <w:tr>
        <w:trPr>
          <w:trHeight w:val="1127" w:hRule="atLeast"/>
        </w:trPr>
        <w:tc>
          <w:tcPr>
            <w:tcW w:w="1980" w:type="dxa"/>
            <w:tcBorders>
              <w:bottom w:val="nil"/>
            </w:tcBorders>
          </w:tcPr>
          <w:p>
            <w:pPr>
              <w:pStyle w:val="TableParagraph"/>
              <w:rPr>
                <w:sz w:val="20"/>
              </w:rPr>
            </w:pPr>
          </w:p>
        </w:tc>
        <w:tc>
          <w:tcPr>
            <w:tcW w:w="2551" w:type="dxa"/>
            <w:tcBorders>
              <w:top w:val="nil"/>
              <w:bottom w:val="nil"/>
            </w:tcBorders>
          </w:tcPr>
          <w:p>
            <w:pPr>
              <w:pStyle w:val="TableParagraph"/>
              <w:rPr>
                <w:b/>
                <w:sz w:val="22"/>
              </w:rPr>
            </w:pPr>
          </w:p>
          <w:p>
            <w:pPr>
              <w:pStyle w:val="TableParagraph"/>
              <w:rPr>
                <w:b/>
                <w:sz w:val="22"/>
              </w:rPr>
            </w:pPr>
          </w:p>
          <w:p>
            <w:pPr>
              <w:pStyle w:val="TableParagraph"/>
              <w:rPr>
                <w:b/>
                <w:sz w:val="22"/>
              </w:rPr>
            </w:pPr>
          </w:p>
          <w:p>
            <w:pPr>
              <w:pStyle w:val="TableParagraph"/>
              <w:spacing w:line="210" w:lineRule="exact" w:before="139"/>
              <w:ind w:left="57"/>
              <w:rPr>
                <w:sz w:val="20"/>
              </w:rPr>
            </w:pPr>
            <w:r>
              <w:rPr>
                <w:sz w:val="20"/>
              </w:rPr>
              <w:t>Является селективным</w:t>
            </w:r>
          </w:p>
        </w:tc>
        <w:tc>
          <w:tcPr>
            <w:tcW w:w="1497" w:type="dxa"/>
            <w:tcBorders>
              <w:top w:val="nil"/>
              <w:bottom w:val="nil"/>
            </w:tcBorders>
          </w:tcPr>
          <w:p>
            <w:pPr>
              <w:pStyle w:val="TableParagraph"/>
              <w:rPr>
                <w:sz w:val="20"/>
              </w:rPr>
            </w:pPr>
          </w:p>
        </w:tc>
        <w:tc>
          <w:tcPr>
            <w:tcW w:w="3825" w:type="dxa"/>
            <w:tcBorders>
              <w:bottom w:val="nil"/>
            </w:tcBorders>
          </w:tcPr>
          <w:p>
            <w:pPr>
              <w:pStyle w:val="TableParagraph"/>
              <w:rPr>
                <w:sz w:val="20"/>
              </w:rPr>
            </w:pPr>
          </w:p>
        </w:tc>
        <w:tc>
          <w:tcPr>
            <w:tcW w:w="3823" w:type="dxa"/>
            <w:vMerge/>
            <w:tcBorders>
              <w:top w:val="nil"/>
            </w:tcBorders>
          </w:tcPr>
          <w:p>
            <w:pPr>
              <w:rPr>
                <w:sz w:val="2"/>
                <w:szCs w:val="2"/>
              </w:rPr>
            </w:pPr>
          </w:p>
        </w:tc>
        <w:tc>
          <w:tcPr>
            <w:tcW w:w="1277" w:type="dxa"/>
            <w:vMerge w:val="restart"/>
          </w:tcPr>
          <w:p>
            <w:pPr>
              <w:pStyle w:val="TableParagraph"/>
              <w:rPr>
                <w:sz w:val="20"/>
              </w:rPr>
            </w:pPr>
          </w:p>
        </w:tc>
      </w:tr>
      <w:tr>
        <w:trPr>
          <w:trHeight w:val="220" w:hRule="atLeast"/>
        </w:trPr>
        <w:tc>
          <w:tcPr>
            <w:tcW w:w="1980" w:type="dxa"/>
            <w:tcBorders>
              <w:top w:val="nil"/>
              <w:bottom w:val="nil"/>
            </w:tcBorders>
          </w:tcPr>
          <w:p>
            <w:pPr>
              <w:pStyle w:val="TableParagraph"/>
              <w:rPr>
                <w:sz w:val="14"/>
              </w:rPr>
            </w:pPr>
          </w:p>
        </w:tc>
        <w:tc>
          <w:tcPr>
            <w:tcW w:w="2551" w:type="dxa"/>
            <w:tcBorders>
              <w:top w:val="nil"/>
              <w:bottom w:val="nil"/>
            </w:tcBorders>
          </w:tcPr>
          <w:p>
            <w:pPr>
              <w:pStyle w:val="TableParagraph"/>
              <w:spacing w:line="200" w:lineRule="exact"/>
              <w:ind w:left="57"/>
              <w:rPr>
                <w:sz w:val="20"/>
              </w:rPr>
            </w:pPr>
            <w:r>
              <w:rPr>
                <w:sz w:val="20"/>
              </w:rPr>
              <w:t>ингибитором JAK1 и JAK2</w:t>
            </w:r>
          </w:p>
        </w:tc>
        <w:tc>
          <w:tcPr>
            <w:tcW w:w="1497" w:type="dxa"/>
            <w:tcBorders>
              <w:top w:val="nil"/>
              <w:bottom w:val="nil"/>
            </w:tcBorders>
          </w:tcPr>
          <w:p>
            <w:pPr>
              <w:pStyle w:val="TableParagraph"/>
              <w:rPr>
                <w:sz w:val="14"/>
              </w:rPr>
            </w:pPr>
          </w:p>
        </w:tc>
        <w:tc>
          <w:tcPr>
            <w:tcW w:w="3825" w:type="dxa"/>
            <w:tcBorders>
              <w:top w:val="nil"/>
              <w:bottom w:val="nil"/>
            </w:tcBorders>
          </w:tcPr>
          <w:p>
            <w:pPr>
              <w:pStyle w:val="TableParagraph"/>
              <w:rPr>
                <w:sz w:val="14"/>
              </w:rPr>
            </w:pPr>
          </w:p>
        </w:tc>
        <w:tc>
          <w:tcPr>
            <w:tcW w:w="3823" w:type="dxa"/>
            <w:vMerge/>
            <w:tcBorders>
              <w:top w:val="nil"/>
            </w:tcBorders>
          </w:tcPr>
          <w:p>
            <w:pPr>
              <w:rPr>
                <w:sz w:val="2"/>
                <w:szCs w:val="2"/>
              </w:rPr>
            </w:pPr>
          </w:p>
        </w:tc>
        <w:tc>
          <w:tcPr>
            <w:tcW w:w="1277" w:type="dxa"/>
            <w:vMerge/>
            <w:tcBorders>
              <w:top w:val="nil"/>
            </w:tcBorders>
          </w:tcPr>
          <w:p>
            <w:pPr>
              <w:rPr>
                <w:sz w:val="2"/>
                <w:szCs w:val="2"/>
              </w:rPr>
            </w:pPr>
          </w:p>
        </w:tc>
      </w:tr>
      <w:tr>
        <w:trPr>
          <w:trHeight w:val="220" w:hRule="atLeast"/>
        </w:trPr>
        <w:tc>
          <w:tcPr>
            <w:tcW w:w="1980" w:type="dxa"/>
            <w:tcBorders>
              <w:top w:val="nil"/>
              <w:bottom w:val="nil"/>
            </w:tcBorders>
          </w:tcPr>
          <w:p>
            <w:pPr>
              <w:pStyle w:val="TableParagraph"/>
              <w:rPr>
                <w:sz w:val="14"/>
              </w:rPr>
            </w:pPr>
          </w:p>
        </w:tc>
        <w:tc>
          <w:tcPr>
            <w:tcW w:w="2551" w:type="dxa"/>
            <w:tcBorders>
              <w:top w:val="nil"/>
              <w:bottom w:val="nil"/>
            </w:tcBorders>
          </w:tcPr>
          <w:p>
            <w:pPr>
              <w:pStyle w:val="TableParagraph"/>
              <w:spacing w:line="200" w:lineRule="exact"/>
              <w:ind w:left="57"/>
              <w:rPr>
                <w:sz w:val="20"/>
              </w:rPr>
            </w:pPr>
            <w:r>
              <w:rPr>
                <w:sz w:val="20"/>
              </w:rPr>
              <w:t>киназ, применяется для</w:t>
            </w:r>
          </w:p>
        </w:tc>
        <w:tc>
          <w:tcPr>
            <w:tcW w:w="1497" w:type="dxa"/>
            <w:tcBorders>
              <w:top w:val="nil"/>
              <w:bottom w:val="nil"/>
            </w:tcBorders>
          </w:tcPr>
          <w:p>
            <w:pPr>
              <w:pStyle w:val="TableParagraph"/>
              <w:rPr>
                <w:sz w:val="14"/>
              </w:rPr>
            </w:pPr>
          </w:p>
        </w:tc>
        <w:tc>
          <w:tcPr>
            <w:tcW w:w="3825" w:type="dxa"/>
            <w:tcBorders>
              <w:top w:val="nil"/>
              <w:bottom w:val="nil"/>
            </w:tcBorders>
          </w:tcPr>
          <w:p>
            <w:pPr>
              <w:pStyle w:val="TableParagraph"/>
              <w:rPr>
                <w:sz w:val="14"/>
              </w:rPr>
            </w:pPr>
          </w:p>
        </w:tc>
        <w:tc>
          <w:tcPr>
            <w:tcW w:w="3823" w:type="dxa"/>
            <w:vMerge/>
            <w:tcBorders>
              <w:top w:val="nil"/>
            </w:tcBorders>
          </w:tcPr>
          <w:p>
            <w:pPr>
              <w:rPr>
                <w:sz w:val="2"/>
                <w:szCs w:val="2"/>
              </w:rPr>
            </w:pPr>
          </w:p>
        </w:tc>
        <w:tc>
          <w:tcPr>
            <w:tcW w:w="1277" w:type="dxa"/>
            <w:vMerge/>
            <w:tcBorders>
              <w:top w:val="nil"/>
            </w:tcBorders>
          </w:tcPr>
          <w:p>
            <w:pPr>
              <w:rPr>
                <w:sz w:val="2"/>
                <w:szCs w:val="2"/>
              </w:rPr>
            </w:pPr>
          </w:p>
        </w:tc>
      </w:tr>
      <w:tr>
        <w:trPr>
          <w:trHeight w:val="220" w:hRule="atLeast"/>
        </w:trPr>
        <w:tc>
          <w:tcPr>
            <w:tcW w:w="1980" w:type="dxa"/>
            <w:tcBorders>
              <w:top w:val="nil"/>
              <w:bottom w:val="nil"/>
            </w:tcBorders>
          </w:tcPr>
          <w:p>
            <w:pPr>
              <w:pStyle w:val="TableParagraph"/>
              <w:rPr>
                <w:sz w:val="14"/>
              </w:rPr>
            </w:pPr>
          </w:p>
        </w:tc>
        <w:tc>
          <w:tcPr>
            <w:tcW w:w="2551" w:type="dxa"/>
            <w:tcBorders>
              <w:top w:val="nil"/>
              <w:bottom w:val="nil"/>
            </w:tcBorders>
          </w:tcPr>
          <w:p>
            <w:pPr>
              <w:pStyle w:val="TableParagraph"/>
              <w:spacing w:line="200" w:lineRule="exact"/>
              <w:ind w:left="57"/>
              <w:rPr>
                <w:sz w:val="20"/>
              </w:rPr>
            </w:pPr>
            <w:r>
              <w:rPr>
                <w:sz w:val="20"/>
              </w:rPr>
              <w:t>лечения ревматоидного</w:t>
            </w:r>
          </w:p>
        </w:tc>
        <w:tc>
          <w:tcPr>
            <w:tcW w:w="1497" w:type="dxa"/>
            <w:tcBorders>
              <w:top w:val="nil"/>
              <w:bottom w:val="nil"/>
            </w:tcBorders>
          </w:tcPr>
          <w:p>
            <w:pPr>
              <w:pStyle w:val="TableParagraph"/>
              <w:rPr>
                <w:sz w:val="14"/>
              </w:rPr>
            </w:pPr>
          </w:p>
        </w:tc>
        <w:tc>
          <w:tcPr>
            <w:tcW w:w="3825" w:type="dxa"/>
            <w:tcBorders>
              <w:top w:val="nil"/>
              <w:bottom w:val="nil"/>
            </w:tcBorders>
          </w:tcPr>
          <w:p>
            <w:pPr>
              <w:pStyle w:val="TableParagraph"/>
              <w:rPr>
                <w:sz w:val="14"/>
              </w:rPr>
            </w:pPr>
          </w:p>
        </w:tc>
        <w:tc>
          <w:tcPr>
            <w:tcW w:w="3823" w:type="dxa"/>
            <w:vMerge/>
            <w:tcBorders>
              <w:top w:val="nil"/>
            </w:tcBorders>
          </w:tcPr>
          <w:p>
            <w:pPr>
              <w:rPr>
                <w:sz w:val="2"/>
                <w:szCs w:val="2"/>
              </w:rPr>
            </w:pPr>
          </w:p>
        </w:tc>
        <w:tc>
          <w:tcPr>
            <w:tcW w:w="1277" w:type="dxa"/>
            <w:vMerge/>
            <w:tcBorders>
              <w:top w:val="nil"/>
            </w:tcBorders>
          </w:tcPr>
          <w:p>
            <w:pPr>
              <w:rPr>
                <w:sz w:val="2"/>
                <w:szCs w:val="2"/>
              </w:rPr>
            </w:pPr>
          </w:p>
        </w:tc>
      </w:tr>
      <w:tr>
        <w:trPr>
          <w:trHeight w:val="219" w:hRule="atLeast"/>
        </w:trPr>
        <w:tc>
          <w:tcPr>
            <w:tcW w:w="1980" w:type="dxa"/>
            <w:tcBorders>
              <w:top w:val="nil"/>
              <w:bottom w:val="nil"/>
            </w:tcBorders>
          </w:tcPr>
          <w:p>
            <w:pPr>
              <w:pStyle w:val="TableParagraph"/>
              <w:rPr>
                <w:sz w:val="14"/>
              </w:rPr>
            </w:pPr>
          </w:p>
        </w:tc>
        <w:tc>
          <w:tcPr>
            <w:tcW w:w="2551" w:type="dxa"/>
            <w:tcBorders>
              <w:top w:val="nil"/>
              <w:bottom w:val="nil"/>
            </w:tcBorders>
          </w:tcPr>
          <w:p>
            <w:pPr>
              <w:pStyle w:val="TableParagraph"/>
              <w:spacing w:line="199" w:lineRule="exact"/>
              <w:ind w:left="57"/>
              <w:rPr>
                <w:sz w:val="20"/>
              </w:rPr>
            </w:pPr>
            <w:r>
              <w:rPr>
                <w:sz w:val="20"/>
              </w:rPr>
              <w:t>артрита. При лечении</w:t>
            </w:r>
          </w:p>
        </w:tc>
        <w:tc>
          <w:tcPr>
            <w:tcW w:w="1497" w:type="dxa"/>
            <w:tcBorders>
              <w:top w:val="nil"/>
              <w:bottom w:val="nil"/>
            </w:tcBorders>
          </w:tcPr>
          <w:p>
            <w:pPr>
              <w:pStyle w:val="TableParagraph"/>
              <w:rPr>
                <w:sz w:val="14"/>
              </w:rPr>
            </w:pPr>
          </w:p>
        </w:tc>
        <w:tc>
          <w:tcPr>
            <w:tcW w:w="3825" w:type="dxa"/>
            <w:tcBorders>
              <w:top w:val="nil"/>
              <w:bottom w:val="nil"/>
            </w:tcBorders>
          </w:tcPr>
          <w:p>
            <w:pPr>
              <w:pStyle w:val="TableParagraph"/>
              <w:rPr>
                <w:sz w:val="14"/>
              </w:rPr>
            </w:pPr>
          </w:p>
        </w:tc>
        <w:tc>
          <w:tcPr>
            <w:tcW w:w="3823" w:type="dxa"/>
            <w:vMerge/>
            <w:tcBorders>
              <w:top w:val="nil"/>
            </w:tcBorders>
          </w:tcPr>
          <w:p>
            <w:pPr>
              <w:rPr>
                <w:sz w:val="2"/>
                <w:szCs w:val="2"/>
              </w:rPr>
            </w:pPr>
          </w:p>
        </w:tc>
        <w:tc>
          <w:tcPr>
            <w:tcW w:w="1277" w:type="dxa"/>
            <w:vMerge/>
            <w:tcBorders>
              <w:top w:val="nil"/>
            </w:tcBorders>
          </w:tcPr>
          <w:p>
            <w:pPr>
              <w:rPr>
                <w:sz w:val="2"/>
                <w:szCs w:val="2"/>
              </w:rPr>
            </w:pPr>
          </w:p>
        </w:tc>
      </w:tr>
      <w:tr>
        <w:trPr>
          <w:trHeight w:val="219" w:hRule="atLeast"/>
        </w:trPr>
        <w:tc>
          <w:tcPr>
            <w:tcW w:w="1980" w:type="dxa"/>
            <w:tcBorders>
              <w:top w:val="nil"/>
              <w:bottom w:val="nil"/>
            </w:tcBorders>
          </w:tcPr>
          <w:p>
            <w:pPr>
              <w:pStyle w:val="TableParagraph"/>
              <w:rPr>
                <w:sz w:val="14"/>
              </w:rPr>
            </w:pPr>
          </w:p>
        </w:tc>
        <w:tc>
          <w:tcPr>
            <w:tcW w:w="2551" w:type="dxa"/>
            <w:tcBorders>
              <w:top w:val="nil"/>
              <w:bottom w:val="nil"/>
            </w:tcBorders>
          </w:tcPr>
          <w:p>
            <w:pPr>
              <w:pStyle w:val="TableParagraph"/>
              <w:spacing w:line="199" w:lineRule="exact"/>
              <w:ind w:left="57"/>
              <w:rPr>
                <w:sz w:val="20"/>
              </w:rPr>
            </w:pPr>
            <w:r>
              <w:rPr>
                <w:sz w:val="20"/>
              </w:rPr>
              <w:t>COVID-19 предназначен</w:t>
            </w:r>
          </w:p>
        </w:tc>
        <w:tc>
          <w:tcPr>
            <w:tcW w:w="1497" w:type="dxa"/>
            <w:tcBorders>
              <w:top w:val="nil"/>
              <w:bottom w:val="nil"/>
            </w:tcBorders>
          </w:tcPr>
          <w:p>
            <w:pPr>
              <w:pStyle w:val="TableParagraph"/>
              <w:rPr>
                <w:sz w:val="14"/>
              </w:rPr>
            </w:pPr>
          </w:p>
        </w:tc>
        <w:tc>
          <w:tcPr>
            <w:tcW w:w="3825" w:type="dxa"/>
            <w:tcBorders>
              <w:top w:val="nil"/>
              <w:bottom w:val="nil"/>
            </w:tcBorders>
          </w:tcPr>
          <w:p>
            <w:pPr>
              <w:pStyle w:val="TableParagraph"/>
              <w:rPr>
                <w:sz w:val="14"/>
              </w:rPr>
            </w:pPr>
          </w:p>
        </w:tc>
        <w:tc>
          <w:tcPr>
            <w:tcW w:w="3823" w:type="dxa"/>
            <w:vMerge/>
            <w:tcBorders>
              <w:top w:val="nil"/>
            </w:tcBorders>
          </w:tcPr>
          <w:p>
            <w:pPr>
              <w:rPr>
                <w:sz w:val="2"/>
                <w:szCs w:val="2"/>
              </w:rPr>
            </w:pPr>
          </w:p>
        </w:tc>
        <w:tc>
          <w:tcPr>
            <w:tcW w:w="1277" w:type="dxa"/>
            <w:vMerge/>
            <w:tcBorders>
              <w:top w:val="nil"/>
            </w:tcBorders>
          </w:tcPr>
          <w:p>
            <w:pPr>
              <w:rPr>
                <w:sz w:val="2"/>
                <w:szCs w:val="2"/>
              </w:rPr>
            </w:pPr>
          </w:p>
        </w:tc>
      </w:tr>
      <w:tr>
        <w:trPr>
          <w:trHeight w:val="220" w:hRule="atLeast"/>
        </w:trPr>
        <w:tc>
          <w:tcPr>
            <w:tcW w:w="1980" w:type="dxa"/>
            <w:tcBorders>
              <w:top w:val="nil"/>
              <w:bottom w:val="nil"/>
            </w:tcBorders>
          </w:tcPr>
          <w:p>
            <w:pPr>
              <w:pStyle w:val="TableParagraph"/>
              <w:rPr>
                <w:sz w:val="14"/>
              </w:rPr>
            </w:pPr>
          </w:p>
        </w:tc>
        <w:tc>
          <w:tcPr>
            <w:tcW w:w="2551" w:type="dxa"/>
            <w:tcBorders>
              <w:top w:val="nil"/>
              <w:bottom w:val="nil"/>
            </w:tcBorders>
          </w:tcPr>
          <w:p>
            <w:pPr>
              <w:pStyle w:val="TableParagraph"/>
              <w:spacing w:line="200" w:lineRule="exact"/>
              <w:ind w:left="57"/>
              <w:rPr>
                <w:sz w:val="20"/>
              </w:rPr>
            </w:pPr>
            <w:r>
              <w:rPr>
                <w:sz w:val="20"/>
              </w:rPr>
              <w:t>для пациентов со средним и</w:t>
            </w:r>
          </w:p>
        </w:tc>
        <w:tc>
          <w:tcPr>
            <w:tcW w:w="1497" w:type="dxa"/>
            <w:tcBorders>
              <w:top w:val="nil"/>
              <w:bottom w:val="nil"/>
            </w:tcBorders>
          </w:tcPr>
          <w:p>
            <w:pPr>
              <w:pStyle w:val="TableParagraph"/>
              <w:rPr>
                <w:sz w:val="14"/>
              </w:rPr>
            </w:pPr>
          </w:p>
        </w:tc>
        <w:tc>
          <w:tcPr>
            <w:tcW w:w="3825" w:type="dxa"/>
            <w:tcBorders>
              <w:top w:val="nil"/>
              <w:bottom w:val="nil"/>
            </w:tcBorders>
          </w:tcPr>
          <w:p>
            <w:pPr>
              <w:pStyle w:val="TableParagraph"/>
              <w:rPr>
                <w:sz w:val="14"/>
              </w:rPr>
            </w:pPr>
          </w:p>
        </w:tc>
        <w:tc>
          <w:tcPr>
            <w:tcW w:w="3823" w:type="dxa"/>
            <w:vMerge/>
            <w:tcBorders>
              <w:top w:val="nil"/>
            </w:tcBorders>
          </w:tcPr>
          <w:p>
            <w:pPr>
              <w:rPr>
                <w:sz w:val="2"/>
                <w:szCs w:val="2"/>
              </w:rPr>
            </w:pPr>
          </w:p>
        </w:tc>
        <w:tc>
          <w:tcPr>
            <w:tcW w:w="1277" w:type="dxa"/>
            <w:vMerge/>
            <w:tcBorders>
              <w:top w:val="nil"/>
            </w:tcBorders>
          </w:tcPr>
          <w:p>
            <w:pPr>
              <w:rPr>
                <w:sz w:val="2"/>
                <w:szCs w:val="2"/>
              </w:rPr>
            </w:pPr>
          </w:p>
        </w:tc>
      </w:tr>
      <w:tr>
        <w:trPr>
          <w:trHeight w:val="220" w:hRule="atLeast"/>
        </w:trPr>
        <w:tc>
          <w:tcPr>
            <w:tcW w:w="1980" w:type="dxa"/>
            <w:tcBorders>
              <w:top w:val="nil"/>
              <w:bottom w:val="nil"/>
            </w:tcBorders>
          </w:tcPr>
          <w:p>
            <w:pPr>
              <w:pStyle w:val="TableParagraph"/>
              <w:rPr>
                <w:sz w:val="14"/>
              </w:rPr>
            </w:pPr>
          </w:p>
        </w:tc>
        <w:tc>
          <w:tcPr>
            <w:tcW w:w="2551" w:type="dxa"/>
            <w:tcBorders>
              <w:top w:val="nil"/>
              <w:bottom w:val="nil"/>
            </w:tcBorders>
          </w:tcPr>
          <w:p>
            <w:pPr>
              <w:pStyle w:val="TableParagraph"/>
              <w:spacing w:line="201" w:lineRule="exact"/>
              <w:ind w:left="57"/>
              <w:rPr>
                <w:sz w:val="20"/>
              </w:rPr>
            </w:pPr>
            <w:r>
              <w:rPr>
                <w:sz w:val="20"/>
              </w:rPr>
              <w:t>среднетяжелым течением в</w:t>
            </w:r>
          </w:p>
        </w:tc>
        <w:tc>
          <w:tcPr>
            <w:tcW w:w="1497" w:type="dxa"/>
            <w:tcBorders>
              <w:top w:val="nil"/>
              <w:bottom w:val="nil"/>
            </w:tcBorders>
          </w:tcPr>
          <w:p>
            <w:pPr>
              <w:pStyle w:val="TableParagraph"/>
              <w:spacing w:line="201" w:lineRule="exact"/>
              <w:ind w:left="57"/>
              <w:rPr>
                <w:sz w:val="20"/>
              </w:rPr>
            </w:pPr>
            <w:r>
              <w:rPr>
                <w:sz w:val="20"/>
              </w:rPr>
              <w:t>Таблетки</w:t>
            </w:r>
          </w:p>
        </w:tc>
        <w:tc>
          <w:tcPr>
            <w:tcW w:w="3825" w:type="dxa"/>
            <w:tcBorders>
              <w:top w:val="nil"/>
              <w:bottom w:val="nil"/>
            </w:tcBorders>
          </w:tcPr>
          <w:p>
            <w:pPr>
              <w:pStyle w:val="TableParagraph"/>
              <w:rPr>
                <w:sz w:val="14"/>
              </w:rPr>
            </w:pPr>
          </w:p>
        </w:tc>
        <w:tc>
          <w:tcPr>
            <w:tcW w:w="3823" w:type="dxa"/>
            <w:vMerge/>
            <w:tcBorders>
              <w:top w:val="nil"/>
            </w:tcBorders>
          </w:tcPr>
          <w:p>
            <w:pPr>
              <w:rPr>
                <w:sz w:val="2"/>
                <w:szCs w:val="2"/>
              </w:rPr>
            </w:pPr>
          </w:p>
        </w:tc>
        <w:tc>
          <w:tcPr>
            <w:tcW w:w="1277" w:type="dxa"/>
            <w:vMerge/>
            <w:tcBorders>
              <w:top w:val="nil"/>
            </w:tcBorders>
          </w:tcPr>
          <w:p>
            <w:pPr>
              <w:rPr>
                <w:sz w:val="2"/>
                <w:szCs w:val="2"/>
              </w:rPr>
            </w:pPr>
          </w:p>
        </w:tc>
      </w:tr>
      <w:tr>
        <w:trPr>
          <w:trHeight w:val="220" w:hRule="atLeast"/>
        </w:trPr>
        <w:tc>
          <w:tcPr>
            <w:tcW w:w="1980" w:type="dxa"/>
            <w:tcBorders>
              <w:top w:val="nil"/>
              <w:bottom w:val="nil"/>
            </w:tcBorders>
          </w:tcPr>
          <w:p>
            <w:pPr>
              <w:pStyle w:val="TableParagraph"/>
              <w:rPr>
                <w:sz w:val="14"/>
              </w:rPr>
            </w:pPr>
          </w:p>
        </w:tc>
        <w:tc>
          <w:tcPr>
            <w:tcW w:w="2551" w:type="dxa"/>
            <w:tcBorders>
              <w:top w:val="nil"/>
              <w:bottom w:val="nil"/>
            </w:tcBorders>
          </w:tcPr>
          <w:p>
            <w:pPr>
              <w:pStyle w:val="TableParagraph"/>
              <w:spacing w:line="200" w:lineRule="exact"/>
              <w:ind w:left="57"/>
              <w:rPr>
                <w:sz w:val="20"/>
              </w:rPr>
            </w:pPr>
            <w:r>
              <w:rPr>
                <w:sz w:val="20"/>
              </w:rPr>
              <w:t>качестве дополнительной</w:t>
            </w:r>
          </w:p>
        </w:tc>
        <w:tc>
          <w:tcPr>
            <w:tcW w:w="1497" w:type="dxa"/>
            <w:tcBorders>
              <w:top w:val="nil"/>
              <w:bottom w:val="nil"/>
            </w:tcBorders>
          </w:tcPr>
          <w:p>
            <w:pPr>
              <w:pStyle w:val="TableParagraph"/>
              <w:rPr>
                <w:sz w:val="14"/>
              </w:rPr>
            </w:pPr>
          </w:p>
        </w:tc>
        <w:tc>
          <w:tcPr>
            <w:tcW w:w="3825" w:type="dxa"/>
            <w:tcBorders>
              <w:top w:val="nil"/>
              <w:bottom w:val="nil"/>
            </w:tcBorders>
          </w:tcPr>
          <w:p>
            <w:pPr>
              <w:pStyle w:val="TableParagraph"/>
              <w:rPr>
                <w:sz w:val="14"/>
              </w:rPr>
            </w:pPr>
          </w:p>
        </w:tc>
        <w:tc>
          <w:tcPr>
            <w:tcW w:w="3823" w:type="dxa"/>
            <w:vMerge/>
            <w:tcBorders>
              <w:top w:val="nil"/>
            </w:tcBorders>
          </w:tcPr>
          <w:p>
            <w:pPr>
              <w:rPr>
                <w:sz w:val="2"/>
                <w:szCs w:val="2"/>
              </w:rPr>
            </w:pPr>
          </w:p>
        </w:tc>
        <w:tc>
          <w:tcPr>
            <w:tcW w:w="1277" w:type="dxa"/>
            <w:vMerge/>
            <w:tcBorders>
              <w:top w:val="nil"/>
            </w:tcBorders>
          </w:tcPr>
          <w:p>
            <w:pPr>
              <w:rPr>
                <w:sz w:val="2"/>
                <w:szCs w:val="2"/>
              </w:rPr>
            </w:pPr>
          </w:p>
        </w:tc>
      </w:tr>
      <w:tr>
        <w:trPr>
          <w:trHeight w:val="3241" w:hRule="atLeast"/>
        </w:trPr>
        <w:tc>
          <w:tcPr>
            <w:tcW w:w="1980" w:type="dxa"/>
            <w:tcBorders>
              <w:top w:val="nil"/>
            </w:tcBorders>
          </w:tcPr>
          <w:p>
            <w:pPr>
              <w:pStyle w:val="TableParagraph"/>
              <w:spacing w:before="23"/>
              <w:ind w:left="57"/>
              <w:rPr>
                <w:b/>
                <w:sz w:val="20"/>
              </w:rPr>
            </w:pPr>
            <w:r>
              <w:rPr>
                <w:b/>
                <w:sz w:val="20"/>
              </w:rPr>
              <w:t>Тофацитиниб</w:t>
            </w:r>
          </w:p>
        </w:tc>
        <w:tc>
          <w:tcPr>
            <w:tcW w:w="2551" w:type="dxa"/>
            <w:tcBorders>
              <w:top w:val="nil"/>
            </w:tcBorders>
          </w:tcPr>
          <w:p>
            <w:pPr>
              <w:pStyle w:val="TableParagraph"/>
              <w:spacing w:line="221" w:lineRule="exact"/>
              <w:ind w:left="57"/>
              <w:rPr>
                <w:sz w:val="20"/>
              </w:rPr>
            </w:pPr>
            <w:r>
              <w:rPr>
                <w:sz w:val="20"/>
              </w:rPr>
              <w:t>терапии</w:t>
            </w:r>
          </w:p>
        </w:tc>
        <w:tc>
          <w:tcPr>
            <w:tcW w:w="1497" w:type="dxa"/>
            <w:tcBorders>
              <w:top w:val="nil"/>
            </w:tcBorders>
          </w:tcPr>
          <w:p>
            <w:pPr>
              <w:pStyle w:val="TableParagraph"/>
              <w:rPr>
                <w:sz w:val="20"/>
              </w:rPr>
            </w:pPr>
          </w:p>
        </w:tc>
        <w:tc>
          <w:tcPr>
            <w:tcW w:w="3825" w:type="dxa"/>
            <w:tcBorders>
              <w:top w:val="nil"/>
            </w:tcBorders>
          </w:tcPr>
          <w:p>
            <w:pPr>
              <w:pStyle w:val="TableParagraph"/>
              <w:spacing w:before="23"/>
              <w:ind w:left="55"/>
              <w:rPr>
                <w:sz w:val="20"/>
              </w:rPr>
            </w:pPr>
            <w:r>
              <w:rPr>
                <w:sz w:val="20"/>
              </w:rPr>
              <w:t>10 мг 2 р/сут в течение 7-14 дней</w:t>
            </w:r>
          </w:p>
        </w:tc>
        <w:tc>
          <w:tcPr>
            <w:tcW w:w="3823" w:type="dxa"/>
            <w:vMerge/>
            <w:tcBorders>
              <w:top w:val="nil"/>
            </w:tcBorders>
          </w:tcPr>
          <w:p>
            <w:pPr>
              <w:rPr>
                <w:sz w:val="2"/>
                <w:szCs w:val="2"/>
              </w:rPr>
            </w:pPr>
          </w:p>
        </w:tc>
        <w:tc>
          <w:tcPr>
            <w:tcW w:w="1277" w:type="dxa"/>
            <w:vMerge/>
            <w:tcBorders>
              <w:top w:val="nil"/>
            </w:tcBorders>
          </w:tcPr>
          <w:p>
            <w:pPr>
              <w:rPr>
                <w:sz w:val="2"/>
                <w:szCs w:val="2"/>
              </w:rPr>
            </w:pPr>
          </w:p>
        </w:tc>
      </w:tr>
    </w:tbl>
    <w:p>
      <w:pPr>
        <w:spacing w:after="0"/>
        <w:rPr>
          <w:sz w:val="2"/>
          <w:szCs w:val="2"/>
        </w:rPr>
        <w:sectPr>
          <w:type w:val="continuous"/>
          <w:pgSz w:w="16850" w:h="11920" w:orient="landscape"/>
          <w:pgMar w:top="1600" w:bottom="280" w:left="880" w:right="360"/>
        </w:sectPr>
      </w:pPr>
    </w:p>
    <w:p>
      <w:pPr>
        <w:pStyle w:val="BodyText"/>
        <w:spacing w:before="3"/>
        <w:ind w:left="0"/>
        <w:jc w:val="left"/>
        <w:rPr>
          <w:b/>
          <w:sz w:val="2"/>
        </w:rPr>
      </w:pPr>
    </w:p>
    <w:tbl>
      <w:tblPr>
        <w:tblW w:w="0" w:type="auto"/>
        <w:jc w:val="left"/>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980"/>
        <w:gridCol w:w="2551"/>
        <w:gridCol w:w="1497"/>
        <w:gridCol w:w="3825"/>
        <w:gridCol w:w="3823"/>
        <w:gridCol w:w="1277"/>
      </w:tblGrid>
      <w:tr>
        <w:trPr>
          <w:trHeight w:val="1259" w:hRule="atLeast"/>
        </w:trPr>
        <w:tc>
          <w:tcPr>
            <w:tcW w:w="1980" w:type="dxa"/>
            <w:shd w:val="clear" w:color="auto" w:fill="F1F1F1"/>
          </w:tcPr>
          <w:p>
            <w:pPr>
              <w:pStyle w:val="TableParagraph"/>
              <w:rPr>
                <w:b/>
                <w:sz w:val="22"/>
              </w:rPr>
            </w:pPr>
          </w:p>
          <w:p>
            <w:pPr>
              <w:pStyle w:val="TableParagraph"/>
              <w:spacing w:before="148"/>
              <w:ind w:left="66"/>
              <w:rPr>
                <w:b/>
                <w:sz w:val="20"/>
              </w:rPr>
            </w:pPr>
            <w:r>
              <w:rPr>
                <w:b/>
                <w:sz w:val="20"/>
              </w:rPr>
              <w:t>Олокизумаб</w:t>
            </w:r>
          </w:p>
        </w:tc>
        <w:tc>
          <w:tcPr>
            <w:tcW w:w="2551" w:type="dxa"/>
            <w:shd w:val="clear" w:color="auto" w:fill="F1F1F1"/>
          </w:tcPr>
          <w:p>
            <w:pPr>
              <w:pStyle w:val="TableParagraph"/>
              <w:spacing w:before="62"/>
              <w:ind w:left="57" w:right="149"/>
              <w:rPr>
                <w:sz w:val="20"/>
              </w:rPr>
            </w:pPr>
            <w:r>
              <w:rPr>
                <w:sz w:val="20"/>
              </w:rPr>
              <w:t>Гуманизированные моноклональные антитела изотипа иммуноглобулина G4/каппа, разработанные в качестве антагониста ИЛ-6</w:t>
            </w:r>
          </w:p>
        </w:tc>
        <w:tc>
          <w:tcPr>
            <w:tcW w:w="1497" w:type="dxa"/>
            <w:shd w:val="clear" w:color="auto" w:fill="F1F1F1"/>
          </w:tcPr>
          <w:p>
            <w:pPr>
              <w:pStyle w:val="TableParagraph"/>
              <w:rPr>
                <w:sz w:val="18"/>
              </w:rPr>
            </w:pPr>
          </w:p>
        </w:tc>
        <w:tc>
          <w:tcPr>
            <w:tcW w:w="3825" w:type="dxa"/>
            <w:shd w:val="clear" w:color="auto" w:fill="F1F1F1"/>
          </w:tcPr>
          <w:p>
            <w:pPr>
              <w:pStyle w:val="TableParagraph"/>
              <w:rPr>
                <w:b/>
                <w:sz w:val="22"/>
              </w:rPr>
            </w:pPr>
          </w:p>
          <w:p>
            <w:pPr>
              <w:pStyle w:val="TableParagraph"/>
              <w:spacing w:before="148"/>
              <w:ind w:left="65"/>
              <w:rPr>
                <w:sz w:val="20"/>
              </w:rPr>
            </w:pPr>
            <w:r>
              <w:rPr>
                <w:sz w:val="20"/>
              </w:rPr>
              <w:t>Олокизумаб 160 мг/мл - 0,4 мл подкожно однократно.</w:t>
            </w:r>
          </w:p>
        </w:tc>
        <w:tc>
          <w:tcPr>
            <w:tcW w:w="3823" w:type="dxa"/>
            <w:tcBorders>
              <w:bottom w:val="nil"/>
            </w:tcBorders>
          </w:tcPr>
          <w:p>
            <w:pPr>
              <w:pStyle w:val="TableParagraph"/>
              <w:rPr>
                <w:sz w:val="18"/>
              </w:rPr>
            </w:pPr>
          </w:p>
        </w:tc>
        <w:tc>
          <w:tcPr>
            <w:tcW w:w="1277" w:type="dxa"/>
            <w:shd w:val="clear" w:color="auto" w:fill="F1F1F1"/>
          </w:tcPr>
          <w:p>
            <w:pPr>
              <w:pStyle w:val="TableParagraph"/>
              <w:rPr>
                <w:sz w:val="18"/>
              </w:rPr>
            </w:pPr>
          </w:p>
        </w:tc>
      </w:tr>
      <w:tr>
        <w:trPr>
          <w:trHeight w:val="820" w:hRule="atLeast"/>
        </w:trPr>
        <w:tc>
          <w:tcPr>
            <w:tcW w:w="1980" w:type="dxa"/>
          </w:tcPr>
          <w:p>
            <w:pPr>
              <w:pStyle w:val="TableParagraph"/>
              <w:spacing w:before="4"/>
              <w:rPr>
                <w:b/>
                <w:sz w:val="22"/>
              </w:rPr>
            </w:pPr>
          </w:p>
          <w:p>
            <w:pPr>
              <w:pStyle w:val="TableParagraph"/>
              <w:ind w:left="57"/>
              <w:rPr>
                <w:b/>
                <w:sz w:val="20"/>
              </w:rPr>
            </w:pPr>
            <w:r>
              <w:rPr>
                <w:b/>
                <w:sz w:val="20"/>
              </w:rPr>
              <w:t>Левилимаб</w:t>
            </w:r>
          </w:p>
        </w:tc>
        <w:tc>
          <w:tcPr>
            <w:tcW w:w="2551" w:type="dxa"/>
            <w:tcBorders>
              <w:bottom w:val="nil"/>
            </w:tcBorders>
          </w:tcPr>
          <w:p>
            <w:pPr>
              <w:pStyle w:val="TableParagraph"/>
              <w:rPr>
                <w:sz w:val="18"/>
              </w:rPr>
            </w:pPr>
          </w:p>
        </w:tc>
        <w:tc>
          <w:tcPr>
            <w:tcW w:w="1497" w:type="dxa"/>
          </w:tcPr>
          <w:p>
            <w:pPr>
              <w:pStyle w:val="TableParagraph"/>
              <w:spacing w:before="73"/>
              <w:ind w:left="57" w:right="396"/>
              <w:jc w:val="both"/>
              <w:rPr>
                <w:sz w:val="20"/>
              </w:rPr>
            </w:pPr>
            <w:r>
              <w:rPr>
                <w:sz w:val="20"/>
              </w:rPr>
              <w:t>Раствор для </w:t>
            </w:r>
            <w:r>
              <w:rPr>
                <w:w w:val="95"/>
                <w:sz w:val="20"/>
              </w:rPr>
              <w:t>подкожного </w:t>
            </w:r>
            <w:r>
              <w:rPr>
                <w:sz w:val="20"/>
              </w:rPr>
              <w:t>введения</w:t>
            </w:r>
          </w:p>
        </w:tc>
        <w:tc>
          <w:tcPr>
            <w:tcW w:w="3825" w:type="dxa"/>
          </w:tcPr>
          <w:p>
            <w:pPr>
              <w:pStyle w:val="TableParagraph"/>
              <w:spacing w:before="73"/>
              <w:ind w:left="55" w:right="214"/>
              <w:rPr>
                <w:sz w:val="20"/>
              </w:rPr>
            </w:pPr>
            <w:r>
              <w:rPr>
                <w:sz w:val="20"/>
              </w:rPr>
              <w:t>324 мг (два преднаполненных шприца по 162 мг/0,9 мл) подкожно однократно</w:t>
            </w:r>
          </w:p>
        </w:tc>
        <w:tc>
          <w:tcPr>
            <w:tcW w:w="3823" w:type="dxa"/>
            <w:tcBorders>
              <w:top w:val="nil"/>
              <w:bottom w:val="nil"/>
            </w:tcBorders>
          </w:tcPr>
          <w:p>
            <w:pPr>
              <w:pStyle w:val="TableParagraph"/>
              <w:rPr>
                <w:sz w:val="18"/>
              </w:rPr>
            </w:pPr>
          </w:p>
        </w:tc>
        <w:tc>
          <w:tcPr>
            <w:tcW w:w="1277" w:type="dxa"/>
          </w:tcPr>
          <w:p>
            <w:pPr>
              <w:pStyle w:val="TableParagraph"/>
              <w:rPr>
                <w:sz w:val="18"/>
              </w:rPr>
            </w:pPr>
          </w:p>
        </w:tc>
      </w:tr>
      <w:tr>
        <w:trPr>
          <w:trHeight w:val="1857" w:hRule="atLeast"/>
        </w:trPr>
        <w:tc>
          <w:tcPr>
            <w:tcW w:w="1980" w:type="dxa"/>
          </w:tcPr>
          <w:p>
            <w:pPr>
              <w:pStyle w:val="TableParagraph"/>
              <w:rPr>
                <w:b/>
                <w:sz w:val="22"/>
              </w:rPr>
            </w:pPr>
          </w:p>
          <w:p>
            <w:pPr>
              <w:pStyle w:val="TableParagraph"/>
              <w:rPr>
                <w:b/>
                <w:sz w:val="22"/>
              </w:rPr>
            </w:pPr>
          </w:p>
          <w:p>
            <w:pPr>
              <w:pStyle w:val="TableParagraph"/>
              <w:spacing w:before="4"/>
              <w:rPr>
                <w:b/>
                <w:sz w:val="27"/>
              </w:rPr>
            </w:pPr>
          </w:p>
          <w:p>
            <w:pPr>
              <w:pStyle w:val="TableParagraph"/>
              <w:ind w:left="57"/>
              <w:rPr>
                <w:b/>
                <w:sz w:val="20"/>
              </w:rPr>
            </w:pPr>
            <w:r>
              <w:rPr>
                <w:b/>
                <w:sz w:val="20"/>
              </w:rPr>
              <w:t>Тоцилизумаб</w:t>
            </w:r>
          </w:p>
        </w:tc>
        <w:tc>
          <w:tcPr>
            <w:tcW w:w="2551" w:type="dxa"/>
            <w:vMerge w:val="restart"/>
            <w:tcBorders>
              <w:top w:val="nil"/>
            </w:tcBorders>
          </w:tcPr>
          <w:p>
            <w:pPr>
              <w:pStyle w:val="TableParagraph"/>
              <w:spacing w:before="132"/>
              <w:ind w:left="57" w:right="55"/>
              <w:rPr>
                <w:sz w:val="20"/>
              </w:rPr>
            </w:pPr>
            <w:r>
              <w:rPr>
                <w:sz w:val="20"/>
              </w:rPr>
              <w:t>Моноклональные антитела, ингибируют рецепторы ИЛ-</w:t>
            </w:r>
          </w:p>
          <w:p>
            <w:pPr>
              <w:pStyle w:val="TableParagraph"/>
              <w:spacing w:before="1"/>
              <w:ind w:left="57" w:right="126"/>
              <w:rPr>
                <w:sz w:val="20"/>
              </w:rPr>
            </w:pPr>
            <w:r>
              <w:rPr>
                <w:sz w:val="20"/>
              </w:rPr>
              <w:t>6. Применяются для лечения юношеского артрита с системным началом и ревматоидного артрита. При лечении COVID-19 предназначены для пациентов со среднетяжелым и тяжелым течением: с острым респираторным дистресс- синдромом, тяжелым жизнеугрожающим синдромом высвобождения цитокинов.</w:t>
            </w:r>
          </w:p>
        </w:tc>
        <w:tc>
          <w:tcPr>
            <w:tcW w:w="1497" w:type="dxa"/>
          </w:tcPr>
          <w:p>
            <w:pPr>
              <w:pStyle w:val="TableParagraph"/>
              <w:rPr>
                <w:b/>
                <w:sz w:val="22"/>
              </w:rPr>
            </w:pPr>
          </w:p>
          <w:p>
            <w:pPr>
              <w:pStyle w:val="TableParagraph"/>
              <w:spacing w:before="4"/>
              <w:rPr>
                <w:b/>
                <w:sz w:val="19"/>
              </w:rPr>
            </w:pPr>
          </w:p>
          <w:p>
            <w:pPr>
              <w:pStyle w:val="TableParagraph"/>
              <w:ind w:left="57" w:right="78"/>
              <w:rPr>
                <w:sz w:val="20"/>
              </w:rPr>
            </w:pPr>
            <w:r>
              <w:rPr>
                <w:sz w:val="20"/>
              </w:rPr>
              <w:t>Концентрат для приготов-ления раствора для инфузий</w:t>
            </w:r>
          </w:p>
        </w:tc>
        <w:tc>
          <w:tcPr>
            <w:tcW w:w="3825" w:type="dxa"/>
          </w:tcPr>
          <w:p>
            <w:pPr>
              <w:pStyle w:val="TableParagraph"/>
              <w:spacing w:before="130"/>
              <w:ind w:left="55"/>
              <w:rPr>
                <w:sz w:val="20"/>
              </w:rPr>
            </w:pPr>
            <w:r>
              <w:rPr>
                <w:sz w:val="20"/>
              </w:rPr>
              <w:t>4-8</w:t>
            </w:r>
            <w:r>
              <w:rPr>
                <w:spacing w:val="-16"/>
                <w:sz w:val="20"/>
              </w:rPr>
              <w:t> </w:t>
            </w:r>
            <w:r>
              <w:rPr>
                <w:sz w:val="20"/>
              </w:rPr>
              <w:t>мг/кг/введение</w:t>
            </w:r>
          </w:p>
          <w:p>
            <w:pPr>
              <w:pStyle w:val="TableParagraph"/>
              <w:ind w:left="55" w:right="352"/>
              <w:rPr>
                <w:sz w:val="20"/>
              </w:rPr>
            </w:pPr>
            <w:r>
              <w:rPr>
                <w:sz w:val="20"/>
              </w:rPr>
              <w:t>400 мг разводят в 100 мл 0,9% раствора NaCl, вводят внутривенно капельно в течение 60 минут.</w:t>
            </w:r>
          </w:p>
          <w:p>
            <w:pPr>
              <w:pStyle w:val="TableParagraph"/>
              <w:spacing w:line="229" w:lineRule="exact"/>
              <w:ind w:left="55"/>
              <w:rPr>
                <w:sz w:val="20"/>
              </w:rPr>
            </w:pPr>
            <w:r>
              <w:rPr>
                <w:sz w:val="20"/>
              </w:rPr>
              <w:t>Вводить не более 800 мг.</w:t>
            </w:r>
          </w:p>
          <w:p>
            <w:pPr>
              <w:pStyle w:val="TableParagraph"/>
              <w:spacing w:before="1"/>
              <w:ind w:left="55" w:right="372"/>
              <w:rPr>
                <w:sz w:val="20"/>
              </w:rPr>
            </w:pPr>
            <w:r>
              <w:rPr>
                <w:sz w:val="20"/>
              </w:rPr>
              <w:t>При недостаточном эффекте повторить введение через 12 ч*.</w:t>
            </w:r>
          </w:p>
        </w:tc>
        <w:tc>
          <w:tcPr>
            <w:tcW w:w="3823" w:type="dxa"/>
            <w:vMerge w:val="restart"/>
            <w:tcBorders>
              <w:top w:val="nil"/>
              <w:bottom w:val="nil"/>
            </w:tcBorders>
          </w:tcPr>
          <w:p>
            <w:pPr>
              <w:pStyle w:val="TableParagraph"/>
              <w:rPr>
                <w:b/>
                <w:sz w:val="22"/>
              </w:rPr>
            </w:pPr>
          </w:p>
          <w:p>
            <w:pPr>
              <w:pStyle w:val="TableParagraph"/>
              <w:spacing w:before="10"/>
              <w:rPr>
                <w:b/>
                <w:sz w:val="23"/>
              </w:rPr>
            </w:pPr>
          </w:p>
          <w:p>
            <w:pPr>
              <w:pStyle w:val="TableParagraph"/>
              <w:numPr>
                <w:ilvl w:val="0"/>
                <w:numId w:val="62"/>
              </w:numPr>
              <w:tabs>
                <w:tab w:pos="331" w:val="left" w:leader="none"/>
              </w:tabs>
              <w:spacing w:line="240" w:lineRule="auto" w:before="1" w:after="0"/>
              <w:ind w:left="330" w:right="223" w:hanging="272"/>
              <w:jc w:val="left"/>
              <w:rPr>
                <w:sz w:val="20"/>
              </w:rPr>
            </w:pPr>
            <w:r>
              <w:rPr>
                <w:sz w:val="20"/>
              </w:rPr>
              <w:t>Сепсис, подтвержденный</w:t>
            </w:r>
            <w:r>
              <w:rPr>
                <w:spacing w:val="-18"/>
                <w:sz w:val="20"/>
              </w:rPr>
              <w:t> </w:t>
            </w:r>
            <w:r>
              <w:rPr>
                <w:sz w:val="20"/>
              </w:rPr>
              <w:t>патогенами, отличными от</w:t>
            </w:r>
            <w:r>
              <w:rPr>
                <w:spacing w:val="-3"/>
                <w:sz w:val="20"/>
              </w:rPr>
              <w:t> </w:t>
            </w:r>
            <w:r>
              <w:rPr>
                <w:sz w:val="20"/>
              </w:rPr>
              <w:t>COVID-19;</w:t>
            </w:r>
          </w:p>
          <w:p>
            <w:pPr>
              <w:pStyle w:val="TableParagraph"/>
              <w:numPr>
                <w:ilvl w:val="0"/>
                <w:numId w:val="62"/>
              </w:numPr>
              <w:tabs>
                <w:tab w:pos="331" w:val="left" w:leader="none"/>
              </w:tabs>
              <w:spacing w:line="240" w:lineRule="auto" w:before="0" w:after="0"/>
              <w:ind w:left="330" w:right="570" w:hanging="272"/>
              <w:jc w:val="left"/>
              <w:rPr>
                <w:sz w:val="20"/>
              </w:rPr>
            </w:pPr>
            <w:r>
              <w:rPr>
                <w:sz w:val="20"/>
              </w:rPr>
              <w:t>Гиперчувствительность к любому компоненту</w:t>
            </w:r>
            <w:r>
              <w:rPr>
                <w:spacing w:val="-2"/>
                <w:sz w:val="20"/>
              </w:rPr>
              <w:t> </w:t>
            </w:r>
            <w:r>
              <w:rPr>
                <w:sz w:val="20"/>
              </w:rPr>
              <w:t>препарата;</w:t>
            </w:r>
          </w:p>
          <w:p>
            <w:pPr>
              <w:pStyle w:val="TableParagraph"/>
              <w:numPr>
                <w:ilvl w:val="0"/>
                <w:numId w:val="62"/>
              </w:numPr>
              <w:tabs>
                <w:tab w:pos="331" w:val="left" w:leader="none"/>
              </w:tabs>
              <w:spacing w:line="243" w:lineRule="exact" w:before="0" w:after="0"/>
              <w:ind w:left="330" w:right="0" w:hanging="273"/>
              <w:jc w:val="left"/>
              <w:rPr>
                <w:sz w:val="20"/>
              </w:rPr>
            </w:pPr>
            <w:r>
              <w:rPr>
                <w:sz w:val="20"/>
              </w:rPr>
              <w:t>Вирусный гепатит</w:t>
            </w:r>
            <w:r>
              <w:rPr>
                <w:spacing w:val="-3"/>
                <w:sz w:val="20"/>
              </w:rPr>
              <w:t> </w:t>
            </w:r>
            <w:r>
              <w:rPr>
                <w:sz w:val="20"/>
              </w:rPr>
              <w:t>В;</w:t>
            </w:r>
          </w:p>
          <w:p>
            <w:pPr>
              <w:pStyle w:val="TableParagraph"/>
              <w:numPr>
                <w:ilvl w:val="0"/>
                <w:numId w:val="62"/>
              </w:numPr>
              <w:tabs>
                <w:tab w:pos="331" w:val="left" w:leader="none"/>
              </w:tabs>
              <w:spacing w:line="240" w:lineRule="auto" w:before="0" w:after="0"/>
              <w:ind w:left="330" w:right="882" w:hanging="272"/>
              <w:jc w:val="both"/>
              <w:rPr>
                <w:sz w:val="20"/>
              </w:rPr>
            </w:pPr>
            <w:r>
              <w:rPr>
                <w:sz w:val="20"/>
              </w:rPr>
              <w:t>Сопутствующие заболевания, связанные с неблагоприятным прогнозом;</w:t>
            </w:r>
          </w:p>
          <w:p>
            <w:pPr>
              <w:pStyle w:val="TableParagraph"/>
              <w:numPr>
                <w:ilvl w:val="0"/>
                <w:numId w:val="62"/>
              </w:numPr>
              <w:tabs>
                <w:tab w:pos="331" w:val="left" w:leader="none"/>
              </w:tabs>
              <w:spacing w:line="237" w:lineRule="auto" w:before="2" w:after="0"/>
              <w:ind w:left="330" w:right="540" w:hanging="272"/>
              <w:jc w:val="left"/>
              <w:rPr>
                <w:sz w:val="20"/>
              </w:rPr>
            </w:pPr>
            <w:r>
              <w:rPr>
                <w:sz w:val="20"/>
              </w:rPr>
              <w:t>Иммуносупрессивная терапия</w:t>
            </w:r>
            <w:r>
              <w:rPr>
                <w:spacing w:val="-13"/>
                <w:sz w:val="20"/>
              </w:rPr>
              <w:t> </w:t>
            </w:r>
            <w:r>
              <w:rPr>
                <w:sz w:val="20"/>
              </w:rPr>
              <w:t>при трансплантации</w:t>
            </w:r>
            <w:r>
              <w:rPr>
                <w:spacing w:val="-2"/>
                <w:sz w:val="20"/>
              </w:rPr>
              <w:t> </w:t>
            </w:r>
            <w:r>
              <w:rPr>
                <w:sz w:val="20"/>
              </w:rPr>
              <w:t>органов;</w:t>
            </w:r>
          </w:p>
          <w:p>
            <w:pPr>
              <w:pStyle w:val="TableParagraph"/>
              <w:numPr>
                <w:ilvl w:val="0"/>
                <w:numId w:val="62"/>
              </w:numPr>
              <w:tabs>
                <w:tab w:pos="331" w:val="left" w:leader="none"/>
              </w:tabs>
              <w:spacing w:line="245" w:lineRule="exact" w:before="1" w:after="0"/>
              <w:ind w:left="330" w:right="0" w:hanging="273"/>
              <w:jc w:val="left"/>
              <w:rPr>
                <w:sz w:val="20"/>
              </w:rPr>
            </w:pPr>
            <w:r>
              <w:rPr>
                <w:sz w:val="20"/>
              </w:rPr>
              <w:t>Нейтропения составляет</w:t>
            </w:r>
            <w:r>
              <w:rPr>
                <w:spacing w:val="-4"/>
                <w:sz w:val="20"/>
              </w:rPr>
              <w:t> </w:t>
            </w:r>
            <w:r>
              <w:rPr>
                <w:sz w:val="20"/>
              </w:rPr>
              <w:t>&lt;0,5*10</w:t>
            </w:r>
            <w:r>
              <w:rPr>
                <w:sz w:val="20"/>
                <w:vertAlign w:val="superscript"/>
              </w:rPr>
              <w:t>9</w:t>
            </w:r>
            <w:r>
              <w:rPr>
                <w:sz w:val="20"/>
                <w:vertAlign w:val="baseline"/>
              </w:rPr>
              <w:t>/л;</w:t>
            </w:r>
          </w:p>
          <w:p>
            <w:pPr>
              <w:pStyle w:val="TableParagraph"/>
              <w:numPr>
                <w:ilvl w:val="0"/>
                <w:numId w:val="62"/>
              </w:numPr>
              <w:tabs>
                <w:tab w:pos="331" w:val="left" w:leader="none"/>
              </w:tabs>
              <w:spacing w:line="240" w:lineRule="auto" w:before="0" w:after="0"/>
              <w:ind w:left="330" w:right="184" w:hanging="272"/>
              <w:jc w:val="left"/>
              <w:rPr>
                <w:sz w:val="20"/>
              </w:rPr>
            </w:pPr>
            <w:r>
              <w:rPr>
                <w:sz w:val="20"/>
              </w:rPr>
              <w:t>Повышение активности АСТ или</w:t>
            </w:r>
            <w:r>
              <w:rPr>
                <w:spacing w:val="-18"/>
                <w:sz w:val="20"/>
              </w:rPr>
              <w:t> </w:t>
            </w:r>
            <w:r>
              <w:rPr>
                <w:sz w:val="20"/>
              </w:rPr>
              <w:t>АЛТ более чем в 5 раз ;</w:t>
            </w:r>
          </w:p>
          <w:p>
            <w:pPr>
              <w:pStyle w:val="TableParagraph"/>
              <w:numPr>
                <w:ilvl w:val="0"/>
                <w:numId w:val="62"/>
              </w:numPr>
              <w:tabs>
                <w:tab w:pos="331" w:val="left" w:leader="none"/>
              </w:tabs>
              <w:spacing w:line="240" w:lineRule="auto" w:before="0" w:after="0"/>
              <w:ind w:left="330" w:right="0" w:hanging="273"/>
              <w:jc w:val="left"/>
              <w:rPr>
                <w:sz w:val="20"/>
              </w:rPr>
            </w:pPr>
            <w:r>
              <w:rPr>
                <w:sz w:val="20"/>
              </w:rPr>
              <w:t>Тромбоцитопения</w:t>
            </w:r>
            <w:r>
              <w:rPr>
                <w:spacing w:val="-2"/>
                <w:sz w:val="20"/>
              </w:rPr>
              <w:t> </w:t>
            </w:r>
            <w:r>
              <w:rPr>
                <w:sz w:val="20"/>
              </w:rPr>
              <w:t>&lt;50*10</w:t>
            </w:r>
            <w:r>
              <w:rPr>
                <w:sz w:val="20"/>
                <w:vertAlign w:val="superscript"/>
              </w:rPr>
              <w:t>9</w:t>
            </w:r>
            <w:r>
              <w:rPr>
                <w:sz w:val="20"/>
                <w:vertAlign w:val="baseline"/>
              </w:rPr>
              <w:t>/л.</w:t>
            </w:r>
          </w:p>
          <w:p>
            <w:pPr>
              <w:pStyle w:val="TableParagraph"/>
              <w:spacing w:before="9"/>
              <w:rPr>
                <w:b/>
                <w:sz w:val="20"/>
              </w:rPr>
            </w:pPr>
          </w:p>
          <w:p>
            <w:pPr>
              <w:pStyle w:val="TableParagraph"/>
              <w:spacing w:before="1"/>
              <w:ind w:left="58"/>
              <w:rPr>
                <w:sz w:val="20"/>
              </w:rPr>
            </w:pPr>
            <w:r>
              <w:rPr>
                <w:sz w:val="20"/>
              </w:rPr>
              <w:t>При беременности и лактации нежелательны.</w:t>
            </w:r>
          </w:p>
        </w:tc>
        <w:tc>
          <w:tcPr>
            <w:tcW w:w="1277" w:type="dxa"/>
            <w:vMerge w:val="restart"/>
          </w:tcPr>
          <w:p>
            <w:pPr>
              <w:pStyle w:val="TableParagraph"/>
              <w:spacing w:before="14"/>
              <w:ind w:left="59"/>
              <w:rPr>
                <w:sz w:val="20"/>
              </w:rPr>
            </w:pPr>
            <w:r>
              <w:rPr>
                <w:sz w:val="20"/>
              </w:rPr>
              <w:t>14, 34, 60</w:t>
            </w:r>
          </w:p>
        </w:tc>
      </w:tr>
      <w:tr>
        <w:trPr>
          <w:trHeight w:val="3124" w:hRule="atLeast"/>
        </w:trPr>
        <w:tc>
          <w:tcPr>
            <w:tcW w:w="1980" w:type="dxa"/>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spacing w:before="189"/>
              <w:ind w:left="57"/>
              <w:rPr>
                <w:b/>
                <w:sz w:val="20"/>
              </w:rPr>
            </w:pPr>
            <w:r>
              <w:rPr>
                <w:b/>
                <w:sz w:val="20"/>
              </w:rPr>
              <w:t>Сарилумаб</w:t>
            </w:r>
          </w:p>
        </w:tc>
        <w:tc>
          <w:tcPr>
            <w:tcW w:w="2551" w:type="dxa"/>
            <w:vMerge/>
            <w:tcBorders>
              <w:top w:val="nil"/>
            </w:tcBorders>
          </w:tcPr>
          <w:p>
            <w:pPr>
              <w:rPr>
                <w:sz w:val="2"/>
                <w:szCs w:val="2"/>
              </w:rPr>
            </w:pPr>
          </w:p>
        </w:tc>
        <w:tc>
          <w:tcPr>
            <w:tcW w:w="1497" w:type="dxa"/>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spacing w:before="5"/>
              <w:rPr>
                <w:b/>
                <w:sz w:val="28"/>
              </w:rPr>
            </w:pPr>
          </w:p>
          <w:p>
            <w:pPr>
              <w:pStyle w:val="TableParagraph"/>
              <w:ind w:left="57"/>
              <w:rPr>
                <w:sz w:val="20"/>
              </w:rPr>
            </w:pPr>
            <w:r>
              <w:rPr>
                <w:sz w:val="20"/>
              </w:rPr>
              <w:t>Раствор</w:t>
            </w:r>
          </w:p>
          <w:p>
            <w:pPr>
              <w:pStyle w:val="TableParagraph"/>
              <w:spacing w:before="1"/>
              <w:ind w:left="57"/>
              <w:rPr>
                <w:sz w:val="20"/>
              </w:rPr>
            </w:pPr>
            <w:r>
              <w:rPr>
                <w:sz w:val="20"/>
              </w:rPr>
              <w:t>в шприц-ручке</w:t>
            </w:r>
          </w:p>
        </w:tc>
        <w:tc>
          <w:tcPr>
            <w:tcW w:w="3825" w:type="dxa"/>
            <w:shd w:val="clear" w:color="auto" w:fill="F1F1F1"/>
          </w:tcPr>
          <w:p>
            <w:pPr>
              <w:pStyle w:val="TableParagraph"/>
              <w:rPr>
                <w:b/>
                <w:sz w:val="22"/>
              </w:rPr>
            </w:pPr>
          </w:p>
          <w:p>
            <w:pPr>
              <w:pStyle w:val="TableParagraph"/>
              <w:rPr>
                <w:b/>
                <w:sz w:val="22"/>
              </w:rPr>
            </w:pPr>
          </w:p>
          <w:p>
            <w:pPr>
              <w:pStyle w:val="TableParagraph"/>
              <w:spacing w:before="4"/>
              <w:rPr>
                <w:b/>
                <w:sz w:val="22"/>
              </w:rPr>
            </w:pPr>
          </w:p>
          <w:p>
            <w:pPr>
              <w:pStyle w:val="TableParagraph"/>
              <w:ind w:left="55" w:right="230"/>
              <w:rPr>
                <w:sz w:val="20"/>
              </w:rPr>
            </w:pPr>
            <w:r>
              <w:rPr>
                <w:sz w:val="20"/>
              </w:rPr>
              <w:t>200 мг или 400 мг (предварительно заполненную шприц-ручку в дозировке 200 мг (1 или 2 шприца в зависимости от дозы)) развести в 100 мл 0,9% раствора NaCl, вводить в/в капельно в течение</w:t>
            </w:r>
          </w:p>
          <w:p>
            <w:pPr>
              <w:pStyle w:val="TableParagraph"/>
              <w:ind w:left="55" w:right="456"/>
              <w:rPr>
                <w:sz w:val="20"/>
              </w:rPr>
            </w:pPr>
            <w:r>
              <w:rPr>
                <w:sz w:val="20"/>
              </w:rPr>
              <w:t>60 минут, при недостаточном эффекте повторить введение через 12 ч.</w:t>
            </w:r>
          </w:p>
        </w:tc>
        <w:tc>
          <w:tcPr>
            <w:tcW w:w="3823" w:type="dxa"/>
            <w:vMerge/>
            <w:tcBorders>
              <w:top w:val="nil"/>
              <w:bottom w:val="nil"/>
            </w:tcBorders>
          </w:tcPr>
          <w:p>
            <w:pPr>
              <w:rPr>
                <w:sz w:val="2"/>
                <w:szCs w:val="2"/>
              </w:rPr>
            </w:pPr>
          </w:p>
        </w:tc>
        <w:tc>
          <w:tcPr>
            <w:tcW w:w="1277" w:type="dxa"/>
            <w:vMerge/>
            <w:tcBorders>
              <w:top w:val="nil"/>
            </w:tcBorders>
          </w:tcPr>
          <w:p>
            <w:pPr>
              <w:rPr>
                <w:sz w:val="2"/>
                <w:szCs w:val="2"/>
              </w:rPr>
            </w:pPr>
          </w:p>
        </w:tc>
      </w:tr>
      <w:tr>
        <w:trPr>
          <w:trHeight w:val="2404" w:hRule="atLeast"/>
        </w:trPr>
        <w:tc>
          <w:tcPr>
            <w:tcW w:w="1980" w:type="dxa"/>
          </w:tcPr>
          <w:p>
            <w:pPr>
              <w:pStyle w:val="TableParagraph"/>
              <w:rPr>
                <w:b/>
                <w:sz w:val="22"/>
              </w:rPr>
            </w:pPr>
          </w:p>
          <w:p>
            <w:pPr>
              <w:pStyle w:val="TableParagraph"/>
              <w:rPr>
                <w:b/>
                <w:sz w:val="22"/>
              </w:rPr>
            </w:pPr>
          </w:p>
          <w:p>
            <w:pPr>
              <w:pStyle w:val="TableParagraph"/>
              <w:rPr>
                <w:b/>
                <w:sz w:val="22"/>
              </w:rPr>
            </w:pPr>
          </w:p>
          <w:p>
            <w:pPr>
              <w:pStyle w:val="TableParagraph"/>
              <w:spacing w:before="2"/>
              <w:rPr>
                <w:b/>
                <w:sz w:val="29"/>
              </w:rPr>
            </w:pPr>
          </w:p>
          <w:p>
            <w:pPr>
              <w:pStyle w:val="TableParagraph"/>
              <w:ind w:left="57"/>
              <w:rPr>
                <w:b/>
                <w:sz w:val="20"/>
              </w:rPr>
            </w:pPr>
            <w:r>
              <w:rPr>
                <w:b/>
                <w:sz w:val="20"/>
              </w:rPr>
              <w:t>Канакинумаб</w:t>
            </w:r>
          </w:p>
        </w:tc>
        <w:tc>
          <w:tcPr>
            <w:tcW w:w="2551" w:type="dxa"/>
          </w:tcPr>
          <w:p>
            <w:pPr>
              <w:pStyle w:val="TableParagraph"/>
              <w:spacing w:line="192" w:lineRule="auto" w:before="13"/>
              <w:ind w:left="57" w:right="110"/>
              <w:rPr>
                <w:sz w:val="20"/>
              </w:rPr>
            </w:pPr>
            <w:r>
              <w:rPr>
                <w:sz w:val="20"/>
              </w:rPr>
              <w:t>Моноклональные антитела, ингибируют рецепторы</w:t>
            </w:r>
          </w:p>
          <w:p>
            <w:pPr>
              <w:pStyle w:val="TableParagraph"/>
              <w:spacing w:line="192" w:lineRule="auto" w:before="2"/>
              <w:ind w:left="57" w:right="126"/>
              <w:rPr>
                <w:sz w:val="20"/>
              </w:rPr>
            </w:pPr>
            <w:r>
              <w:rPr>
                <w:sz w:val="20"/>
              </w:rPr>
              <w:t>ИЛ-1β. Применяется для лечения юношеского артрита с системным началом, аутовоспалительных синдромов, подагры. При лечении COVID-19 предназначен для пациентов со среднетяжелым и тяжелым</w:t>
            </w:r>
          </w:p>
          <w:p>
            <w:pPr>
              <w:pStyle w:val="TableParagraph"/>
              <w:spacing w:line="161" w:lineRule="exact"/>
              <w:ind w:left="57"/>
              <w:rPr>
                <w:sz w:val="20"/>
              </w:rPr>
            </w:pPr>
            <w:r>
              <w:rPr>
                <w:sz w:val="20"/>
              </w:rPr>
              <w:t>течением.</w:t>
            </w:r>
          </w:p>
        </w:tc>
        <w:tc>
          <w:tcPr>
            <w:tcW w:w="1497" w:type="dxa"/>
          </w:tcPr>
          <w:p>
            <w:pPr>
              <w:pStyle w:val="TableParagraph"/>
              <w:rPr>
                <w:b/>
                <w:sz w:val="22"/>
              </w:rPr>
            </w:pPr>
          </w:p>
          <w:p>
            <w:pPr>
              <w:pStyle w:val="TableParagraph"/>
              <w:rPr>
                <w:b/>
                <w:sz w:val="22"/>
              </w:rPr>
            </w:pPr>
          </w:p>
          <w:p>
            <w:pPr>
              <w:pStyle w:val="TableParagraph"/>
              <w:rPr>
                <w:b/>
                <w:sz w:val="22"/>
              </w:rPr>
            </w:pPr>
          </w:p>
          <w:p>
            <w:pPr>
              <w:pStyle w:val="TableParagraph"/>
              <w:spacing w:before="2"/>
              <w:rPr>
                <w:b/>
                <w:sz w:val="29"/>
              </w:rPr>
            </w:pPr>
          </w:p>
          <w:p>
            <w:pPr>
              <w:pStyle w:val="TableParagraph"/>
              <w:ind w:left="57"/>
              <w:rPr>
                <w:sz w:val="20"/>
              </w:rPr>
            </w:pPr>
            <w:r>
              <w:rPr>
                <w:sz w:val="20"/>
              </w:rPr>
              <w:t>Лиофилизат</w:t>
            </w:r>
          </w:p>
        </w:tc>
        <w:tc>
          <w:tcPr>
            <w:tcW w:w="3825" w:type="dxa"/>
          </w:tcPr>
          <w:p>
            <w:pPr>
              <w:pStyle w:val="TableParagraph"/>
              <w:spacing w:before="60"/>
              <w:ind w:left="55"/>
              <w:rPr>
                <w:sz w:val="20"/>
              </w:rPr>
            </w:pPr>
            <w:r>
              <w:rPr>
                <w:sz w:val="20"/>
              </w:rPr>
              <w:t>Канакинумаб 4-8 мг/кг</w:t>
            </w:r>
          </w:p>
          <w:p>
            <w:pPr>
              <w:pStyle w:val="TableParagraph"/>
              <w:ind w:left="55" w:right="150"/>
              <w:rPr>
                <w:sz w:val="20"/>
              </w:rPr>
            </w:pPr>
            <w:r>
              <w:rPr>
                <w:sz w:val="20"/>
              </w:rPr>
              <w:t>150 мг лиофилизата растворяют в 1 мл воды для инъекций. Приготовленный концентрат вводят во флакон с 250 мл 5% раствора глюкозы. Не встряхивают.</w:t>
            </w:r>
          </w:p>
          <w:p>
            <w:pPr>
              <w:pStyle w:val="TableParagraph"/>
              <w:ind w:left="55" w:right="318"/>
              <w:jc w:val="both"/>
              <w:rPr>
                <w:sz w:val="20"/>
              </w:rPr>
            </w:pPr>
            <w:r>
              <w:rPr>
                <w:sz w:val="20"/>
              </w:rPr>
              <w:t>Доза канакинумаба (объем концентрата для приготовления раствора (150 мг/мл) 750 мг - 5 мл;</w:t>
            </w:r>
          </w:p>
          <w:p>
            <w:pPr>
              <w:pStyle w:val="TableParagraph"/>
              <w:spacing w:line="229" w:lineRule="exact"/>
              <w:ind w:left="55"/>
              <w:jc w:val="both"/>
              <w:rPr>
                <w:sz w:val="20"/>
              </w:rPr>
            </w:pPr>
            <w:r>
              <w:rPr>
                <w:sz w:val="20"/>
              </w:rPr>
              <w:t>600 мг- 4 мл;</w:t>
            </w:r>
          </w:p>
          <w:p>
            <w:pPr>
              <w:pStyle w:val="TableParagraph"/>
              <w:ind w:left="55"/>
              <w:jc w:val="both"/>
              <w:rPr>
                <w:sz w:val="20"/>
              </w:rPr>
            </w:pPr>
            <w:r>
              <w:rPr>
                <w:sz w:val="20"/>
              </w:rPr>
              <w:t>450 мг - 3 мл;</w:t>
            </w:r>
          </w:p>
        </w:tc>
        <w:tc>
          <w:tcPr>
            <w:tcW w:w="3823" w:type="dxa"/>
            <w:tcBorders>
              <w:top w:val="nil"/>
            </w:tcBorders>
          </w:tcPr>
          <w:p>
            <w:pPr>
              <w:pStyle w:val="TableParagraph"/>
              <w:rPr>
                <w:sz w:val="18"/>
              </w:rPr>
            </w:pPr>
          </w:p>
        </w:tc>
        <w:tc>
          <w:tcPr>
            <w:tcW w:w="1277" w:type="dxa"/>
          </w:tcPr>
          <w:p>
            <w:pPr>
              <w:pStyle w:val="TableParagraph"/>
              <w:rPr>
                <w:sz w:val="18"/>
              </w:rPr>
            </w:pPr>
          </w:p>
        </w:tc>
      </w:tr>
    </w:tbl>
    <w:p>
      <w:pPr>
        <w:spacing w:after="0"/>
        <w:rPr>
          <w:sz w:val="18"/>
        </w:rPr>
        <w:sectPr>
          <w:pgSz w:w="16850" w:h="11920" w:orient="landscape"/>
          <w:pgMar w:header="0" w:footer="699" w:top="1100" w:bottom="880" w:left="880" w:right="360"/>
        </w:sectPr>
      </w:pPr>
    </w:p>
    <w:p>
      <w:pPr>
        <w:pStyle w:val="BodyText"/>
        <w:spacing w:before="3"/>
        <w:ind w:left="0"/>
        <w:jc w:val="left"/>
        <w:rPr>
          <w:b/>
          <w:sz w:val="2"/>
        </w:rPr>
      </w:pPr>
    </w:p>
    <w:tbl>
      <w:tblPr>
        <w:tblW w:w="0" w:type="auto"/>
        <w:jc w:val="left"/>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980"/>
        <w:gridCol w:w="2551"/>
        <w:gridCol w:w="1497"/>
        <w:gridCol w:w="3825"/>
        <w:gridCol w:w="3823"/>
        <w:gridCol w:w="1277"/>
      </w:tblGrid>
      <w:tr>
        <w:trPr>
          <w:trHeight w:val="4259" w:hRule="atLeast"/>
        </w:trPr>
        <w:tc>
          <w:tcPr>
            <w:tcW w:w="1980" w:type="dxa"/>
            <w:vMerge w:val="restart"/>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spacing w:before="10"/>
              <w:rPr>
                <w:b/>
                <w:sz w:val="28"/>
              </w:rPr>
            </w:pPr>
          </w:p>
          <w:p>
            <w:pPr>
              <w:pStyle w:val="TableParagraph"/>
              <w:ind w:left="57"/>
              <w:rPr>
                <w:b/>
                <w:sz w:val="20"/>
              </w:rPr>
            </w:pPr>
            <w:r>
              <w:rPr>
                <w:b/>
                <w:sz w:val="20"/>
              </w:rPr>
              <w:t>Метилпреднизолон</w:t>
            </w:r>
          </w:p>
        </w:tc>
        <w:tc>
          <w:tcPr>
            <w:tcW w:w="2551" w:type="dxa"/>
            <w:vMerge w:val="restart"/>
          </w:tcPr>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spacing w:before="196"/>
              <w:ind w:left="57" w:right="236"/>
              <w:rPr>
                <w:sz w:val="20"/>
              </w:rPr>
            </w:pPr>
            <w:r>
              <w:rPr>
                <w:sz w:val="20"/>
              </w:rPr>
              <w:t>Относятся к глюкокортикостероидам, обладают иммуновоспалительным, иммунодеспрессивным, противошоковым фармакологическим действием. Влияют на все фазы воспаления.</w:t>
            </w:r>
          </w:p>
        </w:tc>
        <w:tc>
          <w:tcPr>
            <w:tcW w:w="1497" w:type="dxa"/>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spacing w:before="11"/>
              <w:rPr>
                <w:b/>
                <w:sz w:val="21"/>
              </w:rPr>
            </w:pPr>
          </w:p>
          <w:p>
            <w:pPr>
              <w:pStyle w:val="TableParagraph"/>
              <w:ind w:left="57"/>
              <w:rPr>
                <w:sz w:val="20"/>
              </w:rPr>
            </w:pPr>
            <w:r>
              <w:rPr>
                <w:sz w:val="20"/>
              </w:rPr>
              <w:t>Раствор</w:t>
            </w:r>
          </w:p>
        </w:tc>
        <w:tc>
          <w:tcPr>
            <w:tcW w:w="3825" w:type="dxa"/>
            <w:shd w:val="clear" w:color="auto" w:fill="F1F1F1"/>
          </w:tcPr>
          <w:p>
            <w:pPr>
              <w:pStyle w:val="TableParagraph"/>
              <w:spacing w:line="216" w:lineRule="auto" w:before="14"/>
              <w:ind w:left="55" w:right="104"/>
              <w:rPr>
                <w:sz w:val="20"/>
              </w:rPr>
            </w:pPr>
            <w:r>
              <w:rPr>
                <w:sz w:val="20"/>
              </w:rPr>
              <w:t>1 мг/кг на введение внутривенно каждые 12 часов в течение 3-х суток, с постепенным снижением дозы на 20-25% на введение каждые 1-2 суток в течение 3- 4 суток, далее на 50% каждыяые</w:t>
            </w:r>
          </w:p>
          <w:p>
            <w:pPr>
              <w:pStyle w:val="TableParagraph"/>
              <w:spacing w:line="209" w:lineRule="exact"/>
              <w:ind w:left="55"/>
              <w:rPr>
                <w:sz w:val="20"/>
              </w:rPr>
            </w:pPr>
            <w:r>
              <w:rPr>
                <w:sz w:val="20"/>
              </w:rPr>
              <w:t>1-2 суток до полной отмены.</w:t>
            </w:r>
          </w:p>
          <w:p>
            <w:pPr>
              <w:pStyle w:val="TableParagraph"/>
              <w:ind w:left="65" w:right="93"/>
              <w:rPr>
                <w:sz w:val="20"/>
              </w:rPr>
            </w:pPr>
            <w:r>
              <w:rPr>
                <w:sz w:val="20"/>
              </w:rPr>
              <w:t>При прогрессировании синдрома активации макрофагов (нарастание уровня ферритина, СРБ сыворотки крови, развитие двух-трехростковой цитопении) метилпреднизолон применяется по схеме 120-125 мг/введение/внутривенно каждые</w:t>
            </w:r>
          </w:p>
          <w:p>
            <w:pPr>
              <w:pStyle w:val="TableParagraph"/>
              <w:ind w:left="65" w:right="70"/>
              <w:jc w:val="both"/>
              <w:rPr>
                <w:sz w:val="20"/>
              </w:rPr>
            </w:pPr>
            <w:r>
              <w:rPr>
                <w:sz w:val="20"/>
              </w:rPr>
              <w:t>6-8 ч или дексаметазон 20 мг/внутривенно в два введения в течение не менее 3 дней</w:t>
            </w:r>
          </w:p>
          <w:p>
            <w:pPr>
              <w:pStyle w:val="TableParagraph"/>
              <w:spacing w:line="230" w:lineRule="atLeast"/>
              <w:ind w:left="65" w:right="155"/>
              <w:jc w:val="both"/>
              <w:rPr>
                <w:sz w:val="20"/>
              </w:rPr>
            </w:pPr>
            <w:r>
              <w:rPr>
                <w:sz w:val="20"/>
              </w:rPr>
              <w:t>с последующим постепенным снижением дозы. Снижение дозы МП/дексаметазона начинается при условии снижения</w:t>
            </w:r>
            <w:r>
              <w:rPr>
                <w:spacing w:val="-21"/>
                <w:sz w:val="20"/>
              </w:rPr>
              <w:t> </w:t>
            </w:r>
            <w:r>
              <w:rPr>
                <w:sz w:val="20"/>
              </w:rPr>
              <w:t>уровня ферритина сыворотки крови не менее чем на</w:t>
            </w:r>
            <w:r>
              <w:rPr>
                <w:spacing w:val="-1"/>
                <w:sz w:val="20"/>
              </w:rPr>
              <w:t> </w:t>
            </w:r>
            <w:r>
              <w:rPr>
                <w:sz w:val="20"/>
              </w:rPr>
              <w:t>15%.</w:t>
            </w:r>
          </w:p>
        </w:tc>
        <w:tc>
          <w:tcPr>
            <w:tcW w:w="3823" w:type="dxa"/>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spacing w:before="1"/>
              <w:rPr>
                <w:b/>
                <w:sz w:val="29"/>
              </w:rPr>
            </w:pPr>
          </w:p>
          <w:p>
            <w:pPr>
              <w:pStyle w:val="TableParagraph"/>
              <w:ind w:left="58"/>
              <w:rPr>
                <w:b/>
                <w:sz w:val="20"/>
              </w:rPr>
            </w:pPr>
            <w:r>
              <w:rPr>
                <w:b/>
                <w:sz w:val="20"/>
              </w:rPr>
              <w:t>Применять с осторожностью при:</w:t>
            </w:r>
          </w:p>
          <w:p>
            <w:pPr>
              <w:pStyle w:val="TableParagraph"/>
              <w:numPr>
                <w:ilvl w:val="0"/>
                <w:numId w:val="63"/>
              </w:numPr>
              <w:tabs>
                <w:tab w:pos="318" w:val="left" w:leader="none"/>
              </w:tabs>
              <w:spacing w:line="240" w:lineRule="auto" w:before="46" w:after="0"/>
              <w:ind w:left="317" w:right="0" w:hanging="260"/>
              <w:jc w:val="left"/>
              <w:rPr>
                <w:sz w:val="20"/>
              </w:rPr>
            </w:pPr>
            <w:r>
              <w:rPr>
                <w:sz w:val="20"/>
              </w:rPr>
              <w:t>Cахарном диабете</w:t>
            </w:r>
          </w:p>
          <w:p>
            <w:pPr>
              <w:pStyle w:val="TableParagraph"/>
              <w:numPr>
                <w:ilvl w:val="0"/>
                <w:numId w:val="63"/>
              </w:numPr>
              <w:tabs>
                <w:tab w:pos="318" w:val="left" w:leader="none"/>
              </w:tabs>
              <w:spacing w:line="240" w:lineRule="auto" w:before="33" w:after="0"/>
              <w:ind w:left="317" w:right="0" w:hanging="260"/>
              <w:jc w:val="left"/>
              <w:rPr>
                <w:sz w:val="20"/>
              </w:rPr>
            </w:pPr>
            <w:r>
              <w:rPr>
                <w:sz w:val="20"/>
              </w:rPr>
              <w:t>Ожирении</w:t>
            </w:r>
          </w:p>
          <w:p>
            <w:pPr>
              <w:pStyle w:val="TableParagraph"/>
              <w:numPr>
                <w:ilvl w:val="0"/>
                <w:numId w:val="63"/>
              </w:numPr>
              <w:tabs>
                <w:tab w:pos="318" w:val="left" w:leader="none"/>
              </w:tabs>
              <w:spacing w:line="273" w:lineRule="auto" w:before="34" w:after="0"/>
              <w:ind w:left="327" w:right="429" w:hanging="269"/>
              <w:jc w:val="left"/>
              <w:rPr>
                <w:sz w:val="20"/>
              </w:rPr>
            </w:pPr>
            <w:r>
              <w:rPr>
                <w:sz w:val="20"/>
              </w:rPr>
              <w:t>Признаках активной</w:t>
            </w:r>
            <w:r>
              <w:rPr>
                <w:spacing w:val="-15"/>
                <w:sz w:val="20"/>
              </w:rPr>
              <w:t> </w:t>
            </w:r>
            <w:r>
              <w:rPr>
                <w:sz w:val="20"/>
              </w:rPr>
              <w:t>бактериальной инфекции,</w:t>
            </w:r>
          </w:p>
          <w:p>
            <w:pPr>
              <w:pStyle w:val="TableParagraph"/>
              <w:numPr>
                <w:ilvl w:val="0"/>
                <w:numId w:val="63"/>
              </w:numPr>
              <w:tabs>
                <w:tab w:pos="318" w:val="left" w:leader="none"/>
              </w:tabs>
              <w:spacing w:line="240" w:lineRule="auto" w:before="1" w:after="0"/>
              <w:ind w:left="317" w:right="0" w:hanging="260"/>
              <w:jc w:val="left"/>
              <w:rPr>
                <w:sz w:val="20"/>
              </w:rPr>
            </w:pPr>
            <w:r>
              <w:rPr>
                <w:sz w:val="20"/>
              </w:rPr>
              <w:t>Тромботических</w:t>
            </w:r>
            <w:r>
              <w:rPr>
                <w:spacing w:val="-2"/>
                <w:sz w:val="20"/>
              </w:rPr>
              <w:t> </w:t>
            </w:r>
            <w:r>
              <w:rPr>
                <w:sz w:val="20"/>
              </w:rPr>
              <w:t>нарушениях</w:t>
            </w:r>
          </w:p>
        </w:tc>
        <w:tc>
          <w:tcPr>
            <w:tcW w:w="1277" w:type="dxa"/>
            <w:shd w:val="clear" w:color="auto" w:fill="F1F1F1"/>
          </w:tcPr>
          <w:p>
            <w:pPr>
              <w:pStyle w:val="TableParagraph"/>
              <w:spacing w:before="103"/>
              <w:ind w:left="59"/>
              <w:rPr>
                <w:sz w:val="20"/>
              </w:rPr>
            </w:pPr>
            <w:r>
              <w:rPr>
                <w:sz w:val="20"/>
              </w:rPr>
              <w:t>34, 51, 54, 60,</w:t>
            </w:r>
          </w:p>
          <w:p>
            <w:pPr>
              <w:pStyle w:val="TableParagraph"/>
              <w:spacing w:before="1"/>
              <w:ind w:left="59"/>
              <w:rPr>
                <w:sz w:val="20"/>
              </w:rPr>
            </w:pPr>
            <w:r>
              <w:rPr>
                <w:sz w:val="20"/>
              </w:rPr>
              <w:t>66, 75, 101</w:t>
            </w:r>
          </w:p>
        </w:tc>
      </w:tr>
      <w:tr>
        <w:trPr>
          <w:trHeight w:val="1163" w:hRule="atLeast"/>
        </w:trPr>
        <w:tc>
          <w:tcPr>
            <w:tcW w:w="1980" w:type="dxa"/>
            <w:vMerge/>
            <w:tcBorders>
              <w:top w:val="nil"/>
            </w:tcBorders>
            <w:shd w:val="clear" w:color="auto" w:fill="F1F1F1"/>
          </w:tcPr>
          <w:p>
            <w:pPr>
              <w:rPr>
                <w:sz w:val="2"/>
                <w:szCs w:val="2"/>
              </w:rPr>
            </w:pPr>
          </w:p>
        </w:tc>
        <w:tc>
          <w:tcPr>
            <w:tcW w:w="2551" w:type="dxa"/>
            <w:vMerge/>
            <w:tcBorders>
              <w:top w:val="nil"/>
            </w:tcBorders>
          </w:tcPr>
          <w:p>
            <w:pPr>
              <w:rPr>
                <w:sz w:val="2"/>
                <w:szCs w:val="2"/>
              </w:rPr>
            </w:pPr>
          </w:p>
        </w:tc>
        <w:tc>
          <w:tcPr>
            <w:tcW w:w="1497" w:type="dxa"/>
          </w:tcPr>
          <w:p>
            <w:pPr>
              <w:pStyle w:val="TableParagraph"/>
              <w:rPr>
                <w:b/>
                <w:sz w:val="22"/>
              </w:rPr>
            </w:pPr>
          </w:p>
          <w:p>
            <w:pPr>
              <w:pStyle w:val="TableParagraph"/>
              <w:spacing w:before="4"/>
              <w:rPr>
                <w:b/>
                <w:sz w:val="19"/>
              </w:rPr>
            </w:pPr>
          </w:p>
          <w:p>
            <w:pPr>
              <w:pStyle w:val="TableParagraph"/>
              <w:ind w:left="57"/>
              <w:rPr>
                <w:sz w:val="20"/>
              </w:rPr>
            </w:pPr>
            <w:r>
              <w:rPr>
                <w:sz w:val="20"/>
              </w:rPr>
              <w:t>Таблетки</w:t>
            </w:r>
          </w:p>
        </w:tc>
        <w:tc>
          <w:tcPr>
            <w:tcW w:w="3825" w:type="dxa"/>
          </w:tcPr>
          <w:p>
            <w:pPr>
              <w:pStyle w:val="TableParagraph"/>
              <w:spacing w:before="14"/>
              <w:ind w:left="55" w:right="109"/>
              <w:rPr>
                <w:sz w:val="20"/>
              </w:rPr>
            </w:pPr>
            <w:r>
              <w:rPr>
                <w:sz w:val="20"/>
              </w:rPr>
              <w:t>6-12 мг – однократно утром, после приема пищи, за 12 ч до начала снижения дозы метилпреднизолона для в/в введения, в</w:t>
            </w:r>
          </w:p>
          <w:p>
            <w:pPr>
              <w:pStyle w:val="TableParagraph"/>
              <w:spacing w:line="230" w:lineRule="exact" w:before="2"/>
              <w:ind w:left="55" w:right="656"/>
              <w:rPr>
                <w:sz w:val="20"/>
              </w:rPr>
            </w:pPr>
            <w:r>
              <w:rPr>
                <w:sz w:val="20"/>
              </w:rPr>
              <w:t>течение 7 дней, с 8 дня постепенное снижение дозы на 2 мг в сутки.</w:t>
            </w:r>
          </w:p>
        </w:tc>
        <w:tc>
          <w:tcPr>
            <w:tcW w:w="3823" w:type="dxa"/>
          </w:tcPr>
          <w:p>
            <w:pPr>
              <w:pStyle w:val="TableParagraph"/>
              <w:rPr>
                <w:sz w:val="18"/>
              </w:rPr>
            </w:pPr>
          </w:p>
        </w:tc>
        <w:tc>
          <w:tcPr>
            <w:tcW w:w="1277" w:type="dxa"/>
          </w:tcPr>
          <w:p>
            <w:pPr>
              <w:pStyle w:val="TableParagraph"/>
              <w:rPr>
                <w:sz w:val="18"/>
              </w:rPr>
            </w:pPr>
          </w:p>
        </w:tc>
      </w:tr>
      <w:tr>
        <w:trPr>
          <w:trHeight w:val="1392" w:hRule="atLeast"/>
        </w:trPr>
        <w:tc>
          <w:tcPr>
            <w:tcW w:w="1980" w:type="dxa"/>
          </w:tcPr>
          <w:p>
            <w:pPr>
              <w:pStyle w:val="TableParagraph"/>
              <w:rPr>
                <w:b/>
                <w:sz w:val="22"/>
              </w:rPr>
            </w:pPr>
          </w:p>
          <w:p>
            <w:pPr>
              <w:pStyle w:val="TableParagraph"/>
              <w:spacing w:before="1"/>
              <w:rPr>
                <w:b/>
                <w:sz w:val="29"/>
              </w:rPr>
            </w:pPr>
          </w:p>
          <w:p>
            <w:pPr>
              <w:pStyle w:val="TableParagraph"/>
              <w:spacing w:before="1"/>
              <w:ind w:left="57"/>
              <w:rPr>
                <w:b/>
                <w:sz w:val="20"/>
              </w:rPr>
            </w:pPr>
            <w:r>
              <w:rPr>
                <w:b/>
                <w:sz w:val="20"/>
              </w:rPr>
              <w:t>Дексаметазон</w:t>
            </w:r>
          </w:p>
        </w:tc>
        <w:tc>
          <w:tcPr>
            <w:tcW w:w="2551" w:type="dxa"/>
            <w:vMerge/>
            <w:tcBorders>
              <w:top w:val="nil"/>
            </w:tcBorders>
          </w:tcPr>
          <w:p>
            <w:pPr>
              <w:rPr>
                <w:sz w:val="2"/>
                <w:szCs w:val="2"/>
              </w:rPr>
            </w:pPr>
          </w:p>
        </w:tc>
        <w:tc>
          <w:tcPr>
            <w:tcW w:w="1497" w:type="dxa"/>
          </w:tcPr>
          <w:p>
            <w:pPr>
              <w:pStyle w:val="TableParagraph"/>
              <w:rPr>
                <w:b/>
                <w:sz w:val="22"/>
              </w:rPr>
            </w:pPr>
          </w:p>
          <w:p>
            <w:pPr>
              <w:pStyle w:val="TableParagraph"/>
              <w:spacing w:before="1"/>
              <w:rPr>
                <w:b/>
                <w:sz w:val="29"/>
              </w:rPr>
            </w:pPr>
          </w:p>
          <w:p>
            <w:pPr>
              <w:pStyle w:val="TableParagraph"/>
              <w:spacing w:before="1"/>
              <w:ind w:left="57"/>
              <w:rPr>
                <w:sz w:val="20"/>
              </w:rPr>
            </w:pPr>
            <w:r>
              <w:rPr>
                <w:sz w:val="20"/>
              </w:rPr>
              <w:t>Раствор</w:t>
            </w:r>
          </w:p>
        </w:tc>
        <w:tc>
          <w:tcPr>
            <w:tcW w:w="3825" w:type="dxa"/>
          </w:tcPr>
          <w:p>
            <w:pPr>
              <w:pStyle w:val="TableParagraph"/>
              <w:spacing w:before="12"/>
              <w:ind w:left="55" w:right="69"/>
              <w:rPr>
                <w:sz w:val="20"/>
              </w:rPr>
            </w:pPr>
            <w:r>
              <w:rPr>
                <w:sz w:val="20"/>
              </w:rPr>
              <w:t>20 мг/сутки в/в в течение 3-х суток или 6 мг в сутки в течение 10 дней внутривенно с постепенным снижением дозы на 20-25% на введение</w:t>
            </w:r>
            <w:r>
              <w:rPr>
                <w:spacing w:val="-1"/>
                <w:sz w:val="20"/>
              </w:rPr>
              <w:t> </w:t>
            </w:r>
            <w:r>
              <w:rPr>
                <w:sz w:val="20"/>
              </w:rPr>
              <w:t>каждые</w:t>
            </w:r>
          </w:p>
          <w:p>
            <w:pPr>
              <w:pStyle w:val="TableParagraph"/>
              <w:spacing w:line="230" w:lineRule="exact" w:before="2"/>
              <w:ind w:left="55" w:right="217"/>
              <w:rPr>
                <w:sz w:val="20"/>
              </w:rPr>
            </w:pPr>
            <w:r>
              <w:rPr>
                <w:sz w:val="20"/>
              </w:rPr>
              <w:t>1-2 суток, в течение 3-4 суток, далее на 50% каждые 1-2 суток до полной отмены</w:t>
            </w:r>
          </w:p>
        </w:tc>
        <w:tc>
          <w:tcPr>
            <w:tcW w:w="3823" w:type="dxa"/>
          </w:tcPr>
          <w:p>
            <w:pPr>
              <w:pStyle w:val="TableParagraph"/>
              <w:rPr>
                <w:sz w:val="18"/>
              </w:rPr>
            </w:pPr>
          </w:p>
        </w:tc>
        <w:tc>
          <w:tcPr>
            <w:tcW w:w="1277" w:type="dxa"/>
          </w:tcPr>
          <w:p>
            <w:pPr>
              <w:pStyle w:val="TableParagraph"/>
              <w:spacing w:before="101"/>
              <w:ind w:left="59"/>
              <w:rPr>
                <w:sz w:val="20"/>
              </w:rPr>
            </w:pPr>
            <w:r>
              <w:rPr>
                <w:sz w:val="20"/>
              </w:rPr>
              <w:t>34, 51, 54, 60,</w:t>
            </w:r>
          </w:p>
          <w:p>
            <w:pPr>
              <w:pStyle w:val="TableParagraph"/>
              <w:ind w:left="59"/>
              <w:rPr>
                <w:sz w:val="20"/>
              </w:rPr>
            </w:pPr>
            <w:r>
              <w:rPr>
                <w:sz w:val="20"/>
              </w:rPr>
              <w:t>66, 75, 101</w:t>
            </w:r>
          </w:p>
        </w:tc>
      </w:tr>
      <w:tr>
        <w:trPr>
          <w:trHeight w:val="1164" w:hRule="atLeast"/>
        </w:trPr>
        <w:tc>
          <w:tcPr>
            <w:tcW w:w="1980" w:type="dxa"/>
            <w:shd w:val="clear" w:color="auto" w:fill="F1F1F1"/>
          </w:tcPr>
          <w:p>
            <w:pPr>
              <w:pStyle w:val="TableParagraph"/>
              <w:rPr>
                <w:b/>
                <w:sz w:val="22"/>
              </w:rPr>
            </w:pPr>
          </w:p>
          <w:p>
            <w:pPr>
              <w:pStyle w:val="TableParagraph"/>
              <w:spacing w:before="1"/>
              <w:rPr>
                <w:b/>
                <w:sz w:val="19"/>
              </w:rPr>
            </w:pPr>
          </w:p>
          <w:p>
            <w:pPr>
              <w:pStyle w:val="TableParagraph"/>
              <w:ind w:left="57"/>
              <w:rPr>
                <w:b/>
                <w:sz w:val="20"/>
              </w:rPr>
            </w:pPr>
            <w:r>
              <w:rPr>
                <w:b/>
                <w:sz w:val="20"/>
              </w:rPr>
              <w:t>Гидрокортизон</w:t>
            </w:r>
          </w:p>
        </w:tc>
        <w:tc>
          <w:tcPr>
            <w:tcW w:w="2551" w:type="dxa"/>
            <w:vMerge/>
            <w:tcBorders>
              <w:top w:val="nil"/>
            </w:tcBorders>
          </w:tcPr>
          <w:p>
            <w:pPr>
              <w:rPr>
                <w:sz w:val="2"/>
                <w:szCs w:val="2"/>
              </w:rPr>
            </w:pPr>
          </w:p>
        </w:tc>
        <w:tc>
          <w:tcPr>
            <w:tcW w:w="1497" w:type="dxa"/>
            <w:shd w:val="clear" w:color="auto" w:fill="F1F1F1"/>
          </w:tcPr>
          <w:p>
            <w:pPr>
              <w:pStyle w:val="TableParagraph"/>
              <w:rPr>
                <w:b/>
                <w:sz w:val="22"/>
              </w:rPr>
            </w:pPr>
          </w:p>
          <w:p>
            <w:pPr>
              <w:pStyle w:val="TableParagraph"/>
              <w:spacing w:before="1"/>
              <w:rPr>
                <w:b/>
                <w:sz w:val="19"/>
              </w:rPr>
            </w:pPr>
          </w:p>
          <w:p>
            <w:pPr>
              <w:pStyle w:val="TableParagraph"/>
              <w:ind w:left="57"/>
              <w:rPr>
                <w:sz w:val="20"/>
              </w:rPr>
            </w:pPr>
            <w:r>
              <w:rPr>
                <w:sz w:val="20"/>
              </w:rPr>
              <w:t>Раствор</w:t>
            </w:r>
          </w:p>
        </w:tc>
        <w:tc>
          <w:tcPr>
            <w:tcW w:w="3825" w:type="dxa"/>
            <w:shd w:val="clear" w:color="auto" w:fill="F1F1F1"/>
          </w:tcPr>
          <w:p>
            <w:pPr>
              <w:pStyle w:val="TableParagraph"/>
              <w:spacing w:before="12"/>
              <w:ind w:left="55" w:right="132"/>
              <w:rPr>
                <w:sz w:val="20"/>
              </w:rPr>
            </w:pPr>
            <w:r>
              <w:rPr>
                <w:sz w:val="20"/>
              </w:rPr>
              <w:t>Внутривенное (болюсное) введение в дозе 50-100 мг, с последующим медленным, внутривенным введением в течение часа в</w:t>
            </w:r>
          </w:p>
          <w:p>
            <w:pPr>
              <w:pStyle w:val="TableParagraph"/>
              <w:spacing w:line="228" w:lineRule="exact" w:before="6"/>
              <w:ind w:left="55" w:right="276"/>
              <w:rPr>
                <w:sz w:val="20"/>
              </w:rPr>
            </w:pPr>
            <w:r>
              <w:rPr>
                <w:sz w:val="20"/>
              </w:rPr>
              <w:t>дозе 200 мг в сутки только при развитии надпочечниковой недостаточности</w:t>
            </w:r>
          </w:p>
        </w:tc>
        <w:tc>
          <w:tcPr>
            <w:tcW w:w="3823" w:type="dxa"/>
            <w:shd w:val="clear" w:color="auto" w:fill="F1F1F1"/>
          </w:tcPr>
          <w:p>
            <w:pPr>
              <w:pStyle w:val="TableParagraph"/>
              <w:rPr>
                <w:sz w:val="18"/>
              </w:rPr>
            </w:pPr>
          </w:p>
        </w:tc>
        <w:tc>
          <w:tcPr>
            <w:tcW w:w="1277" w:type="dxa"/>
            <w:shd w:val="clear" w:color="auto" w:fill="F1F1F1"/>
          </w:tcPr>
          <w:p>
            <w:pPr>
              <w:pStyle w:val="TableParagraph"/>
              <w:spacing w:before="101"/>
              <w:ind w:left="59"/>
              <w:rPr>
                <w:sz w:val="20"/>
              </w:rPr>
            </w:pPr>
            <w:r>
              <w:rPr>
                <w:sz w:val="20"/>
              </w:rPr>
              <w:t>34, 51, 54, 60,</w:t>
            </w:r>
          </w:p>
          <w:p>
            <w:pPr>
              <w:pStyle w:val="TableParagraph"/>
              <w:ind w:left="59"/>
              <w:rPr>
                <w:sz w:val="20"/>
              </w:rPr>
            </w:pPr>
            <w:r>
              <w:rPr>
                <w:sz w:val="20"/>
              </w:rPr>
              <w:t>66, 75, 101</w:t>
            </w:r>
          </w:p>
        </w:tc>
      </w:tr>
    </w:tbl>
    <w:p>
      <w:pPr>
        <w:pStyle w:val="ListParagraph"/>
        <w:numPr>
          <w:ilvl w:val="0"/>
          <w:numId w:val="64"/>
        </w:numPr>
        <w:tabs>
          <w:tab w:pos="1165" w:val="left" w:leader="none"/>
        </w:tabs>
        <w:spacing w:line="240" w:lineRule="auto" w:before="1" w:after="0"/>
        <w:ind w:left="1164" w:right="0" w:hanging="97"/>
        <w:jc w:val="left"/>
        <w:rPr>
          <w:sz w:val="20"/>
        </w:rPr>
      </w:pPr>
      <w:r>
        <w:rPr>
          <w:sz w:val="20"/>
          <w:vertAlign w:val="baseline"/>
        </w:rPr>
        <w:t>Дополнительное назначение ингибиторов ИЛ-6 в той же дозе через 12</w:t>
      </w:r>
      <w:r>
        <w:rPr>
          <w:spacing w:val="5"/>
          <w:sz w:val="20"/>
          <w:vertAlign w:val="baseline"/>
        </w:rPr>
        <w:t> </w:t>
      </w:r>
      <w:r>
        <w:rPr>
          <w:sz w:val="20"/>
          <w:vertAlign w:val="baseline"/>
        </w:rPr>
        <w:t>ч:</w:t>
      </w:r>
    </w:p>
    <w:p>
      <w:pPr>
        <w:pStyle w:val="ListParagraph"/>
        <w:numPr>
          <w:ilvl w:val="1"/>
          <w:numId w:val="64"/>
        </w:numPr>
        <w:tabs>
          <w:tab w:pos="1538" w:val="left" w:leader="none"/>
          <w:tab w:pos="1539" w:val="left" w:leader="none"/>
        </w:tabs>
        <w:spacing w:line="240" w:lineRule="auto" w:before="12" w:after="0"/>
        <w:ind w:left="1538" w:right="0" w:hanging="361"/>
        <w:jc w:val="left"/>
        <w:rPr>
          <w:sz w:val="20"/>
        </w:rPr>
      </w:pPr>
      <w:r>
        <w:rPr>
          <w:sz w:val="20"/>
        </w:rPr>
        <w:t>отсутствие или недостаточный клинический эффект (не купировалась лихорадка),</w:t>
      </w:r>
      <w:r>
        <w:rPr>
          <w:spacing w:val="-2"/>
          <w:sz w:val="20"/>
        </w:rPr>
        <w:t> </w:t>
      </w:r>
      <w:r>
        <w:rPr>
          <w:sz w:val="20"/>
        </w:rPr>
        <w:t>или</w:t>
      </w:r>
    </w:p>
    <w:p>
      <w:pPr>
        <w:pStyle w:val="ListParagraph"/>
        <w:numPr>
          <w:ilvl w:val="1"/>
          <w:numId w:val="64"/>
        </w:numPr>
        <w:tabs>
          <w:tab w:pos="1539" w:val="left" w:leader="none"/>
          <w:tab w:pos="1540" w:val="left" w:leader="none"/>
        </w:tabs>
        <w:spacing w:line="245" w:lineRule="exact" w:before="0" w:after="0"/>
        <w:ind w:left="1539" w:right="0" w:hanging="361"/>
        <w:jc w:val="left"/>
        <w:rPr>
          <w:sz w:val="20"/>
        </w:rPr>
      </w:pPr>
      <w:r>
        <w:rPr>
          <w:sz w:val="20"/>
        </w:rPr>
        <w:t>отсутствие снижения концентрации высокочувствительного СРБ &lt; 30-50% от исходного,</w:t>
      </w:r>
      <w:r>
        <w:rPr>
          <w:spacing w:val="-1"/>
          <w:sz w:val="20"/>
        </w:rPr>
        <w:t> </w:t>
      </w:r>
      <w:r>
        <w:rPr>
          <w:sz w:val="20"/>
          <w:u w:val="single"/>
        </w:rPr>
        <w:t>и/или</w:t>
      </w:r>
    </w:p>
    <w:p>
      <w:pPr>
        <w:pStyle w:val="ListParagraph"/>
        <w:numPr>
          <w:ilvl w:val="2"/>
          <w:numId w:val="64"/>
        </w:numPr>
        <w:tabs>
          <w:tab w:pos="1672" w:val="left" w:leader="none"/>
        </w:tabs>
        <w:spacing w:line="240" w:lineRule="auto" w:before="0" w:after="0"/>
        <w:ind w:left="1671" w:right="0" w:hanging="143"/>
        <w:jc w:val="left"/>
        <w:rPr>
          <w:sz w:val="20"/>
        </w:rPr>
      </w:pPr>
      <w:r>
        <w:rPr>
          <w:sz w:val="20"/>
        </w:rPr>
        <w:t>отсутствие снижения концентрации D-димера, фибриногена или</w:t>
      </w:r>
      <w:r>
        <w:rPr>
          <w:spacing w:val="-1"/>
          <w:sz w:val="20"/>
        </w:rPr>
        <w:t> </w:t>
      </w:r>
      <w:r>
        <w:rPr>
          <w:sz w:val="20"/>
        </w:rPr>
        <w:t>ферритина.</w:t>
      </w:r>
    </w:p>
    <w:p>
      <w:pPr>
        <w:spacing w:after="0" w:line="240" w:lineRule="auto"/>
        <w:jc w:val="left"/>
        <w:rPr>
          <w:sz w:val="20"/>
        </w:rPr>
        <w:sectPr>
          <w:pgSz w:w="16850" w:h="11920" w:orient="landscape"/>
          <w:pgMar w:header="0" w:footer="699" w:top="1100" w:bottom="880" w:left="880" w:right="360"/>
        </w:sectPr>
      </w:pPr>
    </w:p>
    <w:p>
      <w:pPr>
        <w:pStyle w:val="BodyText"/>
        <w:spacing w:before="1"/>
        <w:ind w:left="0"/>
        <w:jc w:val="left"/>
        <w:rPr>
          <w:sz w:val="42"/>
        </w:rPr>
      </w:pPr>
    </w:p>
    <w:p>
      <w:pPr>
        <w:pStyle w:val="Heading2"/>
        <w:ind w:left="4983"/>
      </w:pPr>
      <w:bookmarkStart w:name="Приложение 9-1" w:id="229"/>
      <w:bookmarkEnd w:id="229"/>
      <w:r>
        <w:rPr>
          <w:b w:val="0"/>
        </w:rPr>
      </w:r>
      <w:bookmarkStart w:name="_bookmark59" w:id="230"/>
      <w:bookmarkEnd w:id="230"/>
      <w:r>
        <w:rPr>
          <w:b w:val="0"/>
        </w:rPr>
      </w:r>
      <w:r>
        <w:rPr/>
        <w:t>Пероральные антикоагулянты прямого действия</w:t>
      </w:r>
    </w:p>
    <w:p>
      <w:pPr>
        <w:pStyle w:val="Heading3"/>
        <w:spacing w:before="65"/>
        <w:ind w:left="2079"/>
        <w:jc w:val="left"/>
      </w:pPr>
      <w:r>
        <w:rPr>
          <w:b w:val="0"/>
        </w:rPr>
        <w:br w:type="column"/>
      </w:r>
      <w:r>
        <w:rPr>
          <w:color w:val="1F487C"/>
        </w:rPr>
        <w:t>Приложение 9-1</w:t>
      </w:r>
    </w:p>
    <w:p>
      <w:pPr>
        <w:spacing w:after="0"/>
        <w:jc w:val="left"/>
        <w:sectPr>
          <w:pgSz w:w="16850" w:h="11920" w:orient="landscape"/>
          <w:pgMar w:header="0" w:footer="699" w:top="1060" w:bottom="960" w:left="880" w:right="360"/>
          <w:cols w:num="2" w:equalWidth="0">
            <w:col w:w="11296" w:space="40"/>
            <w:col w:w="4274"/>
          </w:cols>
        </w:sectPr>
      </w:pPr>
    </w:p>
    <w:p>
      <w:pPr>
        <w:pStyle w:val="BodyText"/>
        <w:ind w:left="0"/>
        <w:jc w:val="left"/>
        <w:rPr>
          <w:b/>
          <w:sz w:val="20"/>
        </w:rPr>
      </w:pPr>
    </w:p>
    <w:p>
      <w:pPr>
        <w:pStyle w:val="BodyText"/>
        <w:spacing w:before="5"/>
        <w:ind w:left="0"/>
        <w:jc w:val="left"/>
        <w:rPr>
          <w:b/>
          <w:sz w:val="10"/>
        </w:rPr>
      </w:pPr>
    </w:p>
    <w:tbl>
      <w:tblPr>
        <w:tblW w:w="0" w:type="auto"/>
        <w:jc w:val="left"/>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361"/>
        <w:gridCol w:w="10066"/>
      </w:tblGrid>
      <w:tr>
        <w:trPr>
          <w:trHeight w:val="321" w:hRule="atLeast"/>
        </w:trPr>
        <w:tc>
          <w:tcPr>
            <w:tcW w:w="4361" w:type="dxa"/>
            <w:shd w:val="clear" w:color="auto" w:fill="F1F1F1"/>
          </w:tcPr>
          <w:p>
            <w:pPr>
              <w:pStyle w:val="TableParagraph"/>
              <w:ind w:left="1718" w:right="1712"/>
              <w:jc w:val="center"/>
              <w:rPr>
                <w:b/>
                <w:sz w:val="20"/>
              </w:rPr>
            </w:pPr>
            <w:r>
              <w:rPr>
                <w:b/>
                <w:sz w:val="20"/>
              </w:rPr>
              <w:t>Препарат</w:t>
            </w:r>
          </w:p>
        </w:tc>
        <w:tc>
          <w:tcPr>
            <w:tcW w:w="10066" w:type="dxa"/>
            <w:shd w:val="clear" w:color="auto" w:fill="F1F1F1"/>
          </w:tcPr>
          <w:p>
            <w:pPr>
              <w:pStyle w:val="TableParagraph"/>
              <w:ind w:left="4364" w:right="4357"/>
              <w:jc w:val="center"/>
              <w:rPr>
                <w:b/>
                <w:sz w:val="20"/>
              </w:rPr>
            </w:pPr>
            <w:r>
              <w:rPr>
                <w:b/>
                <w:sz w:val="20"/>
              </w:rPr>
              <w:t>Лечебная доза</w:t>
            </w:r>
          </w:p>
        </w:tc>
      </w:tr>
      <w:tr>
        <w:trPr>
          <w:trHeight w:val="398" w:hRule="atLeast"/>
        </w:trPr>
        <w:tc>
          <w:tcPr>
            <w:tcW w:w="4361" w:type="dxa"/>
          </w:tcPr>
          <w:p>
            <w:pPr>
              <w:pStyle w:val="TableParagraph"/>
              <w:ind w:left="107"/>
              <w:rPr>
                <w:sz w:val="20"/>
              </w:rPr>
            </w:pPr>
            <w:r>
              <w:rPr>
                <w:sz w:val="20"/>
              </w:rPr>
              <w:t>Ривароксабан *</w:t>
            </w:r>
          </w:p>
        </w:tc>
        <w:tc>
          <w:tcPr>
            <w:tcW w:w="10066" w:type="dxa"/>
          </w:tcPr>
          <w:p>
            <w:pPr>
              <w:pStyle w:val="TableParagraph"/>
              <w:ind w:left="107"/>
              <w:rPr>
                <w:sz w:val="20"/>
              </w:rPr>
            </w:pPr>
            <w:r>
              <w:rPr>
                <w:sz w:val="20"/>
              </w:rPr>
              <w:t>10 мг per os 1 раз в сутки в течение 30 дней</w:t>
            </w:r>
          </w:p>
        </w:tc>
      </w:tr>
      <w:tr>
        <w:trPr>
          <w:trHeight w:val="395" w:hRule="atLeast"/>
        </w:trPr>
        <w:tc>
          <w:tcPr>
            <w:tcW w:w="4361" w:type="dxa"/>
            <w:shd w:val="clear" w:color="auto" w:fill="F1F1F1"/>
          </w:tcPr>
          <w:p>
            <w:pPr>
              <w:pStyle w:val="TableParagraph"/>
              <w:ind w:left="107"/>
              <w:rPr>
                <w:sz w:val="20"/>
              </w:rPr>
            </w:pPr>
            <w:r>
              <w:rPr>
                <w:sz w:val="20"/>
              </w:rPr>
              <w:t>Апиксабан *</w:t>
            </w:r>
          </w:p>
        </w:tc>
        <w:tc>
          <w:tcPr>
            <w:tcW w:w="10066" w:type="dxa"/>
            <w:shd w:val="clear" w:color="auto" w:fill="F1F1F1"/>
          </w:tcPr>
          <w:p>
            <w:pPr>
              <w:pStyle w:val="TableParagraph"/>
              <w:ind w:left="107"/>
              <w:rPr>
                <w:sz w:val="20"/>
              </w:rPr>
            </w:pPr>
            <w:r>
              <w:rPr>
                <w:sz w:val="20"/>
              </w:rPr>
              <w:t>2.5 мг per os 2 раза в сутки в течение 30 дней</w:t>
            </w:r>
          </w:p>
        </w:tc>
      </w:tr>
    </w:tbl>
    <w:p>
      <w:pPr>
        <w:pStyle w:val="BodyText"/>
        <w:spacing w:before="7"/>
        <w:ind w:left="0"/>
        <w:jc w:val="left"/>
        <w:rPr>
          <w:b/>
          <w:sz w:val="22"/>
        </w:rPr>
      </w:pPr>
    </w:p>
    <w:p>
      <w:pPr>
        <w:spacing w:before="91"/>
        <w:ind w:left="252" w:right="0" w:firstLine="0"/>
        <w:jc w:val="left"/>
        <w:rPr>
          <w:sz w:val="20"/>
        </w:rPr>
      </w:pPr>
      <w:r>
        <w:rPr>
          <w:sz w:val="20"/>
        </w:rPr>
        <w:t>*при наличии факторов риска тромбообразования (см. стр. 53-54)</w:t>
      </w:r>
    </w:p>
    <w:p>
      <w:pPr>
        <w:spacing w:after="0"/>
        <w:jc w:val="left"/>
        <w:rPr>
          <w:sz w:val="20"/>
        </w:rPr>
        <w:sectPr>
          <w:type w:val="continuous"/>
          <w:pgSz w:w="16850" w:h="11920" w:orient="landscape"/>
          <w:pgMar w:top="1600" w:bottom="280" w:left="880" w:right="360"/>
        </w:sectPr>
      </w:pPr>
    </w:p>
    <w:p>
      <w:pPr>
        <w:pStyle w:val="BodyText"/>
        <w:spacing w:before="1"/>
        <w:ind w:left="0"/>
        <w:jc w:val="left"/>
        <w:rPr>
          <w:sz w:val="42"/>
        </w:rPr>
      </w:pPr>
    </w:p>
    <w:p>
      <w:pPr>
        <w:pStyle w:val="Heading2"/>
        <w:ind w:left="0"/>
        <w:jc w:val="right"/>
      </w:pPr>
      <w:bookmarkStart w:name="Приложение 9-2" w:id="231"/>
      <w:bookmarkEnd w:id="231"/>
      <w:r>
        <w:rPr>
          <w:b w:val="0"/>
        </w:rPr>
      </w:r>
      <w:bookmarkStart w:name="_bookmark60" w:id="232"/>
      <w:bookmarkEnd w:id="232"/>
      <w:r>
        <w:rPr>
          <w:b w:val="0"/>
        </w:rPr>
      </w:r>
      <w:r>
        <w:rPr/>
        <w:t>Препараты гепарина</w:t>
      </w:r>
    </w:p>
    <w:p>
      <w:pPr>
        <w:pStyle w:val="Heading3"/>
        <w:spacing w:before="65"/>
        <w:ind w:left="3892"/>
        <w:jc w:val="left"/>
      </w:pPr>
      <w:r>
        <w:rPr>
          <w:b w:val="0"/>
        </w:rPr>
        <w:br w:type="column"/>
      </w:r>
      <w:r>
        <w:rPr>
          <w:color w:val="1F487C"/>
        </w:rPr>
        <w:t>Приложение 9-2</w:t>
      </w:r>
    </w:p>
    <w:p>
      <w:pPr>
        <w:spacing w:after="0"/>
        <w:jc w:val="left"/>
        <w:sectPr>
          <w:pgSz w:w="16850" w:h="11920" w:orient="landscape"/>
          <w:pgMar w:header="0" w:footer="699" w:top="1060" w:bottom="960" w:left="880" w:right="360"/>
          <w:cols w:num="2" w:equalWidth="0">
            <w:col w:w="9482" w:space="40"/>
            <w:col w:w="6088"/>
          </w:cols>
        </w:sectPr>
      </w:pPr>
    </w:p>
    <w:p>
      <w:pPr>
        <w:pStyle w:val="BodyText"/>
        <w:ind w:left="0"/>
        <w:jc w:val="left"/>
        <w:rPr>
          <w:b/>
          <w:sz w:val="20"/>
        </w:rPr>
      </w:pPr>
    </w:p>
    <w:p>
      <w:pPr>
        <w:pStyle w:val="BodyText"/>
        <w:spacing w:before="5"/>
        <w:ind w:left="0"/>
        <w:jc w:val="left"/>
        <w:rPr>
          <w:b/>
          <w:sz w:val="10"/>
        </w:rPr>
      </w:pPr>
    </w:p>
    <w:tbl>
      <w:tblPr>
        <w:tblW w:w="0" w:type="auto"/>
        <w:jc w:val="left"/>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659"/>
        <w:gridCol w:w="3261"/>
        <w:gridCol w:w="2692"/>
        <w:gridCol w:w="5812"/>
      </w:tblGrid>
      <w:tr>
        <w:trPr>
          <w:trHeight w:val="321" w:hRule="atLeast"/>
        </w:trPr>
        <w:tc>
          <w:tcPr>
            <w:tcW w:w="2659" w:type="dxa"/>
            <w:shd w:val="clear" w:color="auto" w:fill="F1F1F1"/>
          </w:tcPr>
          <w:p>
            <w:pPr>
              <w:pStyle w:val="TableParagraph"/>
              <w:ind w:left="866" w:right="862"/>
              <w:jc w:val="center"/>
              <w:rPr>
                <w:b/>
                <w:sz w:val="20"/>
              </w:rPr>
            </w:pPr>
            <w:r>
              <w:rPr>
                <w:b/>
                <w:sz w:val="20"/>
              </w:rPr>
              <w:t>Препарат</w:t>
            </w:r>
          </w:p>
        </w:tc>
        <w:tc>
          <w:tcPr>
            <w:tcW w:w="3261" w:type="dxa"/>
            <w:shd w:val="clear" w:color="auto" w:fill="F1F1F1"/>
          </w:tcPr>
          <w:p>
            <w:pPr>
              <w:pStyle w:val="TableParagraph"/>
              <w:ind w:left="126" w:right="120"/>
              <w:jc w:val="center"/>
              <w:rPr>
                <w:b/>
                <w:sz w:val="20"/>
              </w:rPr>
            </w:pPr>
            <w:r>
              <w:rPr>
                <w:b/>
                <w:sz w:val="20"/>
              </w:rPr>
              <w:t>Профилактическая доза</w:t>
            </w:r>
          </w:p>
        </w:tc>
        <w:tc>
          <w:tcPr>
            <w:tcW w:w="2692" w:type="dxa"/>
            <w:shd w:val="clear" w:color="auto" w:fill="F1F1F1"/>
          </w:tcPr>
          <w:p>
            <w:pPr>
              <w:pStyle w:val="TableParagraph"/>
              <w:ind w:left="394"/>
              <w:rPr>
                <w:b/>
                <w:sz w:val="20"/>
              </w:rPr>
            </w:pPr>
            <w:r>
              <w:rPr>
                <w:b/>
                <w:sz w:val="20"/>
              </w:rPr>
              <w:t>Промежуточная доза</w:t>
            </w:r>
          </w:p>
        </w:tc>
        <w:tc>
          <w:tcPr>
            <w:tcW w:w="5812" w:type="dxa"/>
            <w:shd w:val="clear" w:color="auto" w:fill="F1F1F1"/>
          </w:tcPr>
          <w:p>
            <w:pPr>
              <w:pStyle w:val="TableParagraph"/>
              <w:ind w:left="128" w:right="116"/>
              <w:jc w:val="center"/>
              <w:rPr>
                <w:b/>
                <w:sz w:val="20"/>
              </w:rPr>
            </w:pPr>
            <w:r>
              <w:rPr>
                <w:b/>
                <w:sz w:val="20"/>
              </w:rPr>
              <w:t>Лечебная доза</w:t>
            </w:r>
          </w:p>
        </w:tc>
      </w:tr>
      <w:tr>
        <w:trPr>
          <w:trHeight w:val="1379" w:hRule="atLeast"/>
        </w:trPr>
        <w:tc>
          <w:tcPr>
            <w:tcW w:w="2659" w:type="dxa"/>
          </w:tcPr>
          <w:p>
            <w:pPr>
              <w:pStyle w:val="TableParagraph"/>
              <w:rPr>
                <w:b/>
                <w:sz w:val="22"/>
              </w:rPr>
            </w:pPr>
          </w:p>
          <w:p>
            <w:pPr>
              <w:pStyle w:val="TableParagraph"/>
              <w:spacing w:before="1"/>
              <w:rPr>
                <w:b/>
                <w:sz w:val="18"/>
              </w:rPr>
            </w:pPr>
          </w:p>
          <w:p>
            <w:pPr>
              <w:pStyle w:val="TableParagraph"/>
              <w:ind w:left="107"/>
              <w:rPr>
                <w:sz w:val="20"/>
              </w:rPr>
            </w:pPr>
            <w:r>
              <w:rPr>
                <w:w w:val="95"/>
                <w:sz w:val="20"/>
              </w:rPr>
              <w:t>Нефракционированный </w:t>
            </w:r>
            <w:r>
              <w:rPr>
                <w:sz w:val="20"/>
              </w:rPr>
              <w:t>гепарин</w:t>
            </w:r>
          </w:p>
        </w:tc>
        <w:tc>
          <w:tcPr>
            <w:tcW w:w="3261" w:type="dxa"/>
          </w:tcPr>
          <w:p>
            <w:pPr>
              <w:pStyle w:val="TableParagraph"/>
              <w:rPr>
                <w:b/>
                <w:sz w:val="22"/>
              </w:rPr>
            </w:pPr>
          </w:p>
          <w:p>
            <w:pPr>
              <w:pStyle w:val="TableParagraph"/>
              <w:spacing w:before="1"/>
              <w:rPr>
                <w:b/>
                <w:sz w:val="18"/>
              </w:rPr>
            </w:pPr>
          </w:p>
          <w:p>
            <w:pPr>
              <w:pStyle w:val="TableParagraph"/>
              <w:ind w:left="123" w:right="120"/>
              <w:jc w:val="center"/>
              <w:rPr>
                <w:sz w:val="20"/>
              </w:rPr>
            </w:pPr>
            <w:r>
              <w:rPr>
                <w:sz w:val="20"/>
              </w:rPr>
              <w:t>Подкожно 5000 ЕД 2-3 раза/сут.</w:t>
            </w:r>
          </w:p>
        </w:tc>
        <w:tc>
          <w:tcPr>
            <w:tcW w:w="2692" w:type="dxa"/>
          </w:tcPr>
          <w:p>
            <w:pPr>
              <w:pStyle w:val="TableParagraph"/>
              <w:rPr>
                <w:b/>
                <w:sz w:val="30"/>
              </w:rPr>
            </w:pPr>
          </w:p>
          <w:p>
            <w:pPr>
              <w:pStyle w:val="TableParagraph"/>
              <w:spacing w:before="1"/>
              <w:ind w:left="977" w:right="336" w:hanging="615"/>
              <w:rPr>
                <w:sz w:val="20"/>
              </w:rPr>
            </w:pPr>
            <w:r>
              <w:rPr>
                <w:sz w:val="20"/>
              </w:rPr>
              <w:t>Подкожно 7500 ЕД 2-3 раза/сут.</w:t>
            </w:r>
          </w:p>
        </w:tc>
        <w:tc>
          <w:tcPr>
            <w:tcW w:w="5812" w:type="dxa"/>
          </w:tcPr>
          <w:p>
            <w:pPr>
              <w:pStyle w:val="TableParagraph"/>
              <w:ind w:left="181" w:right="168" w:firstLine="3"/>
              <w:jc w:val="center"/>
              <w:rPr>
                <w:sz w:val="20"/>
              </w:rPr>
            </w:pPr>
            <w:r>
              <w:rPr>
                <w:sz w:val="20"/>
              </w:rPr>
              <w:t>В/в инфузия оптимально под контролем анти-Ха активности (АЧТВ может повышаться при COVID-19, поэтому может быть ненадежным). Начальная доза при венозных тромбоэмболических осложнениях – внутривенно болюсом</w:t>
            </w:r>
          </w:p>
          <w:p>
            <w:pPr>
              <w:pStyle w:val="TableParagraph"/>
              <w:spacing w:line="230" w:lineRule="exact" w:before="2"/>
              <w:ind w:left="128" w:right="114"/>
              <w:jc w:val="center"/>
              <w:rPr>
                <w:sz w:val="20"/>
              </w:rPr>
            </w:pPr>
            <w:r>
              <w:rPr>
                <w:sz w:val="20"/>
              </w:rPr>
              <w:t>80 ЕД/кг (максимально 5000 ЕД) и инфузия с начальной скоростью 18 ЕД/кг/ч.</w:t>
            </w:r>
          </w:p>
        </w:tc>
      </w:tr>
      <w:tr>
        <w:trPr>
          <w:trHeight w:val="688" w:hRule="atLeast"/>
        </w:trPr>
        <w:tc>
          <w:tcPr>
            <w:tcW w:w="2659" w:type="dxa"/>
            <w:shd w:val="clear" w:color="auto" w:fill="F1F1F1"/>
          </w:tcPr>
          <w:p>
            <w:pPr>
              <w:pStyle w:val="TableParagraph"/>
              <w:spacing w:before="9"/>
              <w:rPr>
                <w:b/>
                <w:sz w:val="19"/>
              </w:rPr>
            </w:pPr>
          </w:p>
          <w:p>
            <w:pPr>
              <w:pStyle w:val="TableParagraph"/>
              <w:spacing w:before="1"/>
              <w:ind w:left="107"/>
              <w:rPr>
                <w:sz w:val="20"/>
              </w:rPr>
            </w:pPr>
            <w:r>
              <w:rPr>
                <w:sz w:val="20"/>
              </w:rPr>
              <w:t>Далтепарин натрия*</w:t>
            </w:r>
          </w:p>
        </w:tc>
        <w:tc>
          <w:tcPr>
            <w:tcW w:w="3261" w:type="dxa"/>
            <w:shd w:val="clear" w:color="auto" w:fill="F1F1F1"/>
          </w:tcPr>
          <w:p>
            <w:pPr>
              <w:pStyle w:val="TableParagraph"/>
              <w:ind w:left="1303" w:right="314" w:hanging="965"/>
              <w:rPr>
                <w:sz w:val="20"/>
              </w:rPr>
            </w:pPr>
            <w:r>
              <w:rPr>
                <w:sz w:val="20"/>
              </w:rPr>
              <w:t>Подкожно 5000 анти-Ха МЕ 1 раз/сут.</w:t>
            </w:r>
          </w:p>
        </w:tc>
        <w:tc>
          <w:tcPr>
            <w:tcW w:w="2692" w:type="dxa"/>
            <w:shd w:val="clear" w:color="auto" w:fill="F1F1F1"/>
          </w:tcPr>
          <w:p>
            <w:pPr>
              <w:pStyle w:val="TableParagraph"/>
              <w:spacing w:before="113"/>
              <w:ind w:left="802" w:right="101" w:hanging="670"/>
              <w:rPr>
                <w:sz w:val="20"/>
              </w:rPr>
            </w:pPr>
            <w:r>
              <w:rPr>
                <w:sz w:val="20"/>
              </w:rPr>
              <w:t>Подкожно 5000 анти-Ха МЕ 2 раза/сут.**</w:t>
            </w:r>
          </w:p>
        </w:tc>
        <w:tc>
          <w:tcPr>
            <w:tcW w:w="5812" w:type="dxa"/>
            <w:shd w:val="clear" w:color="auto" w:fill="F1F1F1"/>
          </w:tcPr>
          <w:p>
            <w:pPr>
              <w:pStyle w:val="TableParagraph"/>
              <w:spacing w:before="9"/>
              <w:rPr>
                <w:b/>
                <w:sz w:val="19"/>
              </w:rPr>
            </w:pPr>
          </w:p>
          <w:p>
            <w:pPr>
              <w:pStyle w:val="TableParagraph"/>
              <w:spacing w:before="1"/>
              <w:ind w:left="125" w:right="117"/>
              <w:jc w:val="center"/>
              <w:rPr>
                <w:sz w:val="20"/>
              </w:rPr>
            </w:pPr>
            <w:r>
              <w:rPr>
                <w:sz w:val="20"/>
              </w:rPr>
              <w:t>Подкожно 100 анти-Ха МЕ/кг 2 раза/сут.</w:t>
            </w:r>
          </w:p>
        </w:tc>
      </w:tr>
      <w:tr>
        <w:trPr>
          <w:trHeight w:val="1213" w:hRule="atLeast"/>
        </w:trPr>
        <w:tc>
          <w:tcPr>
            <w:tcW w:w="2659" w:type="dxa"/>
          </w:tcPr>
          <w:p>
            <w:pPr>
              <w:pStyle w:val="TableParagraph"/>
              <w:rPr>
                <w:b/>
                <w:sz w:val="22"/>
              </w:rPr>
            </w:pPr>
          </w:p>
          <w:p>
            <w:pPr>
              <w:pStyle w:val="TableParagraph"/>
              <w:spacing w:before="9"/>
              <w:rPr>
                <w:b/>
                <w:sz w:val="20"/>
              </w:rPr>
            </w:pPr>
          </w:p>
          <w:p>
            <w:pPr>
              <w:pStyle w:val="TableParagraph"/>
              <w:ind w:left="107"/>
              <w:rPr>
                <w:sz w:val="20"/>
              </w:rPr>
            </w:pPr>
            <w:r>
              <w:rPr>
                <w:sz w:val="20"/>
              </w:rPr>
              <w:t>Надропарин кальция*</w:t>
            </w:r>
          </w:p>
        </w:tc>
        <w:tc>
          <w:tcPr>
            <w:tcW w:w="3261" w:type="dxa"/>
          </w:tcPr>
          <w:p>
            <w:pPr>
              <w:pStyle w:val="TableParagraph"/>
              <w:spacing w:before="62"/>
              <w:ind w:left="244" w:right="236" w:hanging="1"/>
              <w:jc w:val="center"/>
              <w:rPr>
                <w:sz w:val="20"/>
              </w:rPr>
            </w:pPr>
            <w:r>
              <w:rPr>
                <w:sz w:val="20"/>
              </w:rPr>
              <w:t>Подкожно 3800 анти-Ха МЕ (0,4 мл) 1 раз/сут при массе</w:t>
            </w:r>
            <w:r>
              <w:rPr>
                <w:spacing w:val="-14"/>
                <w:sz w:val="20"/>
              </w:rPr>
              <w:t> </w:t>
            </w:r>
            <w:r>
              <w:rPr>
                <w:sz w:val="20"/>
              </w:rPr>
              <w:t>тела</w:t>
            </w:r>
          </w:p>
          <w:p>
            <w:pPr>
              <w:pStyle w:val="TableParagraph"/>
              <w:spacing w:before="1"/>
              <w:ind w:left="244" w:right="236" w:hanging="1"/>
              <w:jc w:val="center"/>
              <w:rPr>
                <w:sz w:val="20"/>
              </w:rPr>
            </w:pPr>
            <w:r>
              <w:rPr>
                <w:sz w:val="20"/>
              </w:rPr>
              <w:t>≤70 кг или 5700 анти-Ха МЕ (0,6 мл) 1 раз/сут при массе</w:t>
            </w:r>
            <w:r>
              <w:rPr>
                <w:spacing w:val="-14"/>
                <w:sz w:val="20"/>
              </w:rPr>
              <w:t> </w:t>
            </w:r>
            <w:r>
              <w:rPr>
                <w:sz w:val="20"/>
              </w:rPr>
              <w:t>тела</w:t>
            </w:r>
          </w:p>
          <w:p>
            <w:pPr>
              <w:pStyle w:val="TableParagraph"/>
              <w:spacing w:line="210" w:lineRule="exact" w:before="1"/>
              <w:ind w:left="125" w:right="120"/>
              <w:jc w:val="center"/>
              <w:rPr>
                <w:sz w:val="20"/>
              </w:rPr>
            </w:pPr>
            <w:r>
              <w:rPr>
                <w:sz w:val="20"/>
              </w:rPr>
              <w:t>&gt;70 кг.</w:t>
            </w:r>
          </w:p>
        </w:tc>
        <w:tc>
          <w:tcPr>
            <w:tcW w:w="2692" w:type="dxa"/>
          </w:tcPr>
          <w:p>
            <w:pPr>
              <w:pStyle w:val="TableParagraph"/>
              <w:spacing w:before="9"/>
              <w:rPr>
                <w:b/>
                <w:sz w:val="32"/>
              </w:rPr>
            </w:pPr>
          </w:p>
          <w:p>
            <w:pPr>
              <w:pStyle w:val="TableParagraph"/>
              <w:ind w:left="447" w:right="101" w:hanging="315"/>
              <w:rPr>
                <w:sz w:val="20"/>
              </w:rPr>
            </w:pPr>
            <w:r>
              <w:rPr>
                <w:sz w:val="20"/>
              </w:rPr>
              <w:t>Подкожно 5700 анти-Ха МЕ (0,6 мл) 2 раза/сут.**</w:t>
            </w:r>
          </w:p>
        </w:tc>
        <w:tc>
          <w:tcPr>
            <w:tcW w:w="5812" w:type="dxa"/>
          </w:tcPr>
          <w:p>
            <w:pPr>
              <w:pStyle w:val="TableParagraph"/>
              <w:rPr>
                <w:b/>
                <w:sz w:val="22"/>
              </w:rPr>
            </w:pPr>
          </w:p>
          <w:p>
            <w:pPr>
              <w:pStyle w:val="TableParagraph"/>
              <w:spacing w:before="6"/>
              <w:rPr>
                <w:b/>
                <w:sz w:val="23"/>
              </w:rPr>
            </w:pPr>
          </w:p>
          <w:p>
            <w:pPr>
              <w:pStyle w:val="TableParagraph"/>
              <w:ind w:left="125" w:right="117"/>
              <w:jc w:val="center"/>
              <w:rPr>
                <w:sz w:val="20"/>
              </w:rPr>
            </w:pPr>
            <w:r>
              <w:rPr>
                <w:sz w:val="20"/>
              </w:rPr>
              <w:t>Подкожно 86 анти-Ха МЕ/кг 2 раза/сут.</w:t>
            </w:r>
          </w:p>
        </w:tc>
      </w:tr>
      <w:tr>
        <w:trPr>
          <w:trHeight w:val="918" w:hRule="atLeast"/>
        </w:trPr>
        <w:tc>
          <w:tcPr>
            <w:tcW w:w="2659" w:type="dxa"/>
            <w:shd w:val="clear" w:color="auto" w:fill="F1F1F1"/>
          </w:tcPr>
          <w:p>
            <w:pPr>
              <w:pStyle w:val="TableParagraph"/>
              <w:spacing w:before="10"/>
              <w:rPr>
                <w:b/>
                <w:sz w:val="29"/>
              </w:rPr>
            </w:pPr>
          </w:p>
          <w:p>
            <w:pPr>
              <w:pStyle w:val="TableParagraph"/>
              <w:ind w:left="107"/>
              <w:rPr>
                <w:sz w:val="20"/>
              </w:rPr>
            </w:pPr>
            <w:r>
              <w:rPr>
                <w:sz w:val="20"/>
              </w:rPr>
              <w:t>Эноксапарин натрия*</w:t>
            </w:r>
          </w:p>
        </w:tc>
        <w:tc>
          <w:tcPr>
            <w:tcW w:w="3261" w:type="dxa"/>
            <w:shd w:val="clear" w:color="auto" w:fill="F1F1F1"/>
          </w:tcPr>
          <w:p>
            <w:pPr>
              <w:pStyle w:val="TableParagraph"/>
              <w:spacing w:before="9"/>
              <w:rPr>
                <w:b/>
                <w:sz w:val="19"/>
              </w:rPr>
            </w:pPr>
          </w:p>
          <w:p>
            <w:pPr>
              <w:pStyle w:val="TableParagraph"/>
              <w:spacing w:before="1"/>
              <w:ind w:left="124" w:right="120"/>
              <w:jc w:val="center"/>
              <w:rPr>
                <w:sz w:val="20"/>
              </w:rPr>
            </w:pPr>
            <w:r>
              <w:rPr>
                <w:sz w:val="20"/>
              </w:rPr>
              <w:t>Подкожно 4000 анти-Ха МЕ (40</w:t>
            </w:r>
          </w:p>
          <w:p>
            <w:pPr>
              <w:pStyle w:val="TableParagraph"/>
              <w:ind w:left="122" w:right="120"/>
              <w:jc w:val="center"/>
              <w:rPr>
                <w:sz w:val="20"/>
              </w:rPr>
            </w:pPr>
            <w:r>
              <w:rPr>
                <w:sz w:val="20"/>
              </w:rPr>
              <w:t>мг) 1 раз/сут.</w:t>
            </w:r>
          </w:p>
        </w:tc>
        <w:tc>
          <w:tcPr>
            <w:tcW w:w="2692" w:type="dxa"/>
            <w:shd w:val="clear" w:color="auto" w:fill="F1F1F1"/>
          </w:tcPr>
          <w:p>
            <w:pPr>
              <w:pStyle w:val="TableParagraph"/>
              <w:ind w:left="130" w:right="121" w:firstLine="2"/>
              <w:jc w:val="center"/>
              <w:rPr>
                <w:sz w:val="20"/>
              </w:rPr>
            </w:pPr>
            <w:r>
              <w:rPr>
                <w:sz w:val="20"/>
              </w:rPr>
              <w:t>Подкожно 4000 анти-Ха МЕ (40 мг) 2 раза/сут; возможно</w:t>
            </w:r>
          </w:p>
          <w:p>
            <w:pPr>
              <w:pStyle w:val="TableParagraph"/>
              <w:spacing w:line="228" w:lineRule="exact"/>
              <w:ind w:left="226" w:right="215"/>
              <w:jc w:val="center"/>
              <w:rPr>
                <w:sz w:val="20"/>
              </w:rPr>
            </w:pPr>
            <w:r>
              <w:rPr>
                <w:sz w:val="20"/>
              </w:rPr>
              <w:t>увеличение до 50 МЕ (0,5</w:t>
            </w:r>
          </w:p>
          <w:p>
            <w:pPr>
              <w:pStyle w:val="TableParagraph"/>
              <w:spacing w:line="210" w:lineRule="exact"/>
              <w:ind w:left="223" w:right="215"/>
              <w:jc w:val="center"/>
              <w:rPr>
                <w:sz w:val="20"/>
              </w:rPr>
            </w:pPr>
            <w:r>
              <w:rPr>
                <w:sz w:val="20"/>
              </w:rPr>
              <w:t>мг)/кг 2 раза/сут.**</w:t>
            </w:r>
          </w:p>
        </w:tc>
        <w:tc>
          <w:tcPr>
            <w:tcW w:w="5812" w:type="dxa"/>
            <w:shd w:val="clear" w:color="auto" w:fill="F1F1F1"/>
          </w:tcPr>
          <w:p>
            <w:pPr>
              <w:pStyle w:val="TableParagraph"/>
              <w:spacing w:before="9"/>
              <w:rPr>
                <w:b/>
                <w:sz w:val="19"/>
              </w:rPr>
            </w:pPr>
          </w:p>
          <w:p>
            <w:pPr>
              <w:pStyle w:val="TableParagraph"/>
              <w:spacing w:before="1"/>
              <w:ind w:left="289" w:right="258"/>
              <w:rPr>
                <w:sz w:val="20"/>
              </w:rPr>
            </w:pPr>
            <w:r>
              <w:rPr>
                <w:sz w:val="20"/>
              </w:rPr>
              <w:t>Подкожно 100 анти-Ха МЕ (1 мг)/кг 2 раза/сут, при клиренсе креатинина 15-30 мл/мин 100 анти-Ха МЕ (1 мг)/кг 1 раз/сут.</w:t>
            </w:r>
          </w:p>
        </w:tc>
      </w:tr>
      <w:tr>
        <w:trPr>
          <w:trHeight w:val="690" w:hRule="atLeast"/>
        </w:trPr>
        <w:tc>
          <w:tcPr>
            <w:tcW w:w="2659" w:type="dxa"/>
          </w:tcPr>
          <w:p>
            <w:pPr>
              <w:pStyle w:val="TableParagraph"/>
              <w:rPr>
                <w:b/>
                <w:sz w:val="20"/>
              </w:rPr>
            </w:pPr>
          </w:p>
          <w:p>
            <w:pPr>
              <w:pStyle w:val="TableParagraph"/>
              <w:ind w:left="107"/>
              <w:rPr>
                <w:sz w:val="20"/>
              </w:rPr>
            </w:pPr>
            <w:r>
              <w:rPr>
                <w:sz w:val="20"/>
              </w:rPr>
              <w:t>Парнапарин натрия*</w:t>
            </w:r>
          </w:p>
        </w:tc>
        <w:tc>
          <w:tcPr>
            <w:tcW w:w="3261" w:type="dxa"/>
          </w:tcPr>
          <w:p>
            <w:pPr>
              <w:pStyle w:val="TableParagraph"/>
              <w:spacing w:line="230" w:lineRule="atLeast"/>
              <w:ind w:left="127" w:right="120"/>
              <w:jc w:val="center"/>
              <w:rPr>
                <w:sz w:val="20"/>
              </w:rPr>
            </w:pPr>
            <w:r>
              <w:rPr>
                <w:sz w:val="20"/>
              </w:rPr>
              <w:t>Подкожно 0,3 мл (3200 анти-Ха МЕ) или 0,4 мг (4250 анти-Ха МЕ) 1 раз/сут</w:t>
            </w:r>
          </w:p>
        </w:tc>
        <w:tc>
          <w:tcPr>
            <w:tcW w:w="2692" w:type="dxa"/>
          </w:tcPr>
          <w:p>
            <w:pPr>
              <w:pStyle w:val="TableParagraph"/>
              <w:spacing w:before="115"/>
              <w:ind w:left="348" w:right="338" w:firstLine="4"/>
              <w:rPr>
                <w:sz w:val="20"/>
              </w:rPr>
            </w:pPr>
            <w:r>
              <w:rPr>
                <w:sz w:val="20"/>
              </w:rPr>
              <w:t>Подкожно 0,3 мл (3200 анти-Ха МЕ) 2 раза/сут</w:t>
            </w:r>
          </w:p>
        </w:tc>
        <w:tc>
          <w:tcPr>
            <w:tcW w:w="5812" w:type="dxa"/>
          </w:tcPr>
          <w:p>
            <w:pPr>
              <w:pStyle w:val="TableParagraph"/>
              <w:rPr>
                <w:b/>
                <w:sz w:val="20"/>
              </w:rPr>
            </w:pPr>
          </w:p>
          <w:p>
            <w:pPr>
              <w:pStyle w:val="TableParagraph"/>
              <w:spacing w:before="1"/>
              <w:ind w:left="128" w:right="117"/>
              <w:jc w:val="center"/>
              <w:rPr>
                <w:sz w:val="20"/>
              </w:rPr>
            </w:pPr>
            <w:r>
              <w:rPr>
                <w:sz w:val="20"/>
              </w:rPr>
              <w:t>Подкожно 0,6 мл (6400 анти-Ха МЕ) 2 раза/сут</w:t>
            </w:r>
          </w:p>
        </w:tc>
      </w:tr>
      <w:tr>
        <w:trPr>
          <w:trHeight w:val="460" w:hRule="atLeast"/>
        </w:trPr>
        <w:tc>
          <w:tcPr>
            <w:tcW w:w="2659" w:type="dxa"/>
            <w:shd w:val="clear" w:color="auto" w:fill="F1F1F1"/>
          </w:tcPr>
          <w:p>
            <w:pPr>
              <w:pStyle w:val="TableParagraph"/>
              <w:ind w:left="107"/>
              <w:rPr>
                <w:sz w:val="20"/>
              </w:rPr>
            </w:pPr>
            <w:r>
              <w:rPr>
                <w:sz w:val="20"/>
              </w:rPr>
              <w:t>Бемипарин натрия*</w:t>
            </w:r>
          </w:p>
        </w:tc>
        <w:tc>
          <w:tcPr>
            <w:tcW w:w="3261" w:type="dxa"/>
            <w:shd w:val="clear" w:color="auto" w:fill="F1F1F1"/>
          </w:tcPr>
          <w:p>
            <w:pPr>
              <w:pStyle w:val="TableParagraph"/>
              <w:spacing w:line="230" w:lineRule="atLeast"/>
              <w:ind w:left="1329" w:right="315" w:hanging="992"/>
              <w:rPr>
                <w:sz w:val="20"/>
              </w:rPr>
            </w:pPr>
            <w:r>
              <w:rPr>
                <w:sz w:val="20"/>
              </w:rPr>
              <w:t>Подкожно 2500 анти-Ха МЕ 1 раз/сут</w:t>
            </w:r>
          </w:p>
        </w:tc>
        <w:tc>
          <w:tcPr>
            <w:tcW w:w="2692" w:type="dxa"/>
            <w:shd w:val="clear" w:color="auto" w:fill="F1F1F1"/>
          </w:tcPr>
          <w:p>
            <w:pPr>
              <w:pStyle w:val="TableParagraph"/>
              <w:spacing w:line="230" w:lineRule="atLeast"/>
              <w:ind w:left="972" w:right="101" w:hanging="840"/>
              <w:rPr>
                <w:sz w:val="20"/>
              </w:rPr>
            </w:pPr>
            <w:r>
              <w:rPr>
                <w:sz w:val="20"/>
              </w:rPr>
              <w:t>Подкожно 3500 анти-Ха МЕ 1 раз/сут</w:t>
            </w:r>
          </w:p>
        </w:tc>
        <w:tc>
          <w:tcPr>
            <w:tcW w:w="5812" w:type="dxa"/>
            <w:shd w:val="clear" w:color="auto" w:fill="F1F1F1"/>
          </w:tcPr>
          <w:p>
            <w:pPr>
              <w:pStyle w:val="TableParagraph"/>
              <w:rPr>
                <w:sz w:val="20"/>
              </w:rPr>
            </w:pPr>
          </w:p>
        </w:tc>
      </w:tr>
      <w:tr>
        <w:trPr>
          <w:trHeight w:val="688" w:hRule="atLeast"/>
        </w:trPr>
        <w:tc>
          <w:tcPr>
            <w:tcW w:w="2659" w:type="dxa"/>
          </w:tcPr>
          <w:p>
            <w:pPr>
              <w:pStyle w:val="TableParagraph"/>
              <w:spacing w:before="9"/>
              <w:rPr>
                <w:b/>
                <w:sz w:val="19"/>
              </w:rPr>
            </w:pPr>
          </w:p>
          <w:p>
            <w:pPr>
              <w:pStyle w:val="TableParagraph"/>
              <w:ind w:left="107"/>
              <w:rPr>
                <w:sz w:val="20"/>
              </w:rPr>
            </w:pPr>
            <w:r>
              <w:rPr>
                <w:sz w:val="20"/>
              </w:rPr>
              <w:t>Фондапаринукс натрия*</w:t>
            </w:r>
          </w:p>
        </w:tc>
        <w:tc>
          <w:tcPr>
            <w:tcW w:w="3261" w:type="dxa"/>
          </w:tcPr>
          <w:p>
            <w:pPr>
              <w:pStyle w:val="TableParagraph"/>
              <w:spacing w:before="113"/>
              <w:ind w:left="122" w:right="120"/>
              <w:jc w:val="center"/>
              <w:rPr>
                <w:sz w:val="20"/>
              </w:rPr>
            </w:pPr>
            <w:r>
              <w:rPr>
                <w:sz w:val="20"/>
              </w:rPr>
              <w:t>Подкожно 2,5 мг 1 раз/сут.</w:t>
            </w:r>
          </w:p>
        </w:tc>
        <w:tc>
          <w:tcPr>
            <w:tcW w:w="2692" w:type="dxa"/>
          </w:tcPr>
          <w:p>
            <w:pPr>
              <w:pStyle w:val="TableParagraph"/>
              <w:rPr>
                <w:sz w:val="20"/>
              </w:rPr>
            </w:pPr>
          </w:p>
        </w:tc>
        <w:tc>
          <w:tcPr>
            <w:tcW w:w="5812" w:type="dxa"/>
          </w:tcPr>
          <w:p>
            <w:pPr>
              <w:pStyle w:val="TableParagraph"/>
              <w:spacing w:line="229" w:lineRule="exact"/>
              <w:ind w:left="128" w:right="117"/>
              <w:jc w:val="center"/>
              <w:rPr>
                <w:sz w:val="20"/>
              </w:rPr>
            </w:pPr>
            <w:r>
              <w:rPr>
                <w:sz w:val="20"/>
              </w:rPr>
              <w:t>Лечение венозных тромбоэмболических осложнений: 5 мг</w:t>
            </w:r>
          </w:p>
          <w:p>
            <w:pPr>
              <w:pStyle w:val="TableParagraph"/>
              <w:spacing w:line="229" w:lineRule="exact"/>
              <w:ind w:left="128" w:right="117"/>
              <w:jc w:val="center"/>
              <w:rPr>
                <w:sz w:val="20"/>
              </w:rPr>
            </w:pPr>
            <w:r>
              <w:rPr>
                <w:sz w:val="20"/>
              </w:rPr>
              <w:t>1 раз/сут при массе тела до 50 кг; 7,5 мг 1 раз/сут при массе тела</w:t>
            </w:r>
          </w:p>
          <w:p>
            <w:pPr>
              <w:pStyle w:val="TableParagraph"/>
              <w:spacing w:line="210" w:lineRule="exact"/>
              <w:ind w:left="127" w:right="117"/>
              <w:jc w:val="center"/>
              <w:rPr>
                <w:sz w:val="20"/>
              </w:rPr>
            </w:pPr>
            <w:r>
              <w:rPr>
                <w:sz w:val="20"/>
              </w:rPr>
              <w:t>50-100 кг; 10 мг 1 раз/сут при массе тела выше 100 кг.</w:t>
            </w:r>
          </w:p>
        </w:tc>
      </w:tr>
    </w:tbl>
    <w:p>
      <w:pPr>
        <w:spacing w:before="0"/>
        <w:ind w:left="960" w:right="0" w:firstLine="0"/>
        <w:jc w:val="left"/>
        <w:rPr>
          <w:sz w:val="20"/>
        </w:rPr>
      </w:pPr>
      <w:r>
        <w:rPr>
          <w:sz w:val="20"/>
        </w:rPr>
        <w:t>Примечания:</w:t>
      </w:r>
    </w:p>
    <w:p>
      <w:pPr>
        <w:spacing w:before="15"/>
        <w:ind w:left="960" w:right="0" w:firstLine="0"/>
        <w:jc w:val="left"/>
        <w:rPr>
          <w:sz w:val="20"/>
        </w:rPr>
      </w:pPr>
      <w:r>
        <w:rPr>
          <w:sz w:val="20"/>
        </w:rPr>
        <w:t>* при выраженной почечной недостаточности противопоказаны (см. инструкцию к препаратам);</w:t>
      </w:r>
    </w:p>
    <w:p>
      <w:pPr>
        <w:spacing w:before="15"/>
        <w:ind w:left="960" w:right="0" w:firstLine="0"/>
        <w:jc w:val="left"/>
        <w:rPr>
          <w:sz w:val="20"/>
        </w:rPr>
      </w:pPr>
      <w:r>
        <w:rPr>
          <w:sz w:val="20"/>
        </w:rPr>
        <w:t>** единого определения промежуточных доз антикоагулянтов нет.</w:t>
      </w:r>
    </w:p>
    <w:p>
      <w:pPr>
        <w:spacing w:before="12"/>
        <w:ind w:left="111" w:right="426" w:firstLine="849"/>
        <w:jc w:val="both"/>
        <w:rPr>
          <w:sz w:val="20"/>
        </w:rPr>
      </w:pPr>
      <w:r>
        <w:rPr>
          <w:sz w:val="20"/>
        </w:rPr>
        <w:t>Рутинное мониторирование анти-Ха активности в крови при подкожном введении антикоагулянтов не требуется. Оно может быть рассмотрено для подбора дозы у больных с повышенным риском кровотечений и/или тромбоза. Целевые значения для профилактического применения 0,2-0,6 анти-Ха ЕД/мл, для лечебных доз 0,6-1,0 анти-Ха ЕД/мл. При применении НМГ кровь для определения анти-Ха активности берется через 4-6 ч после введения препарата (оптимально после 3-4-х инъекций), при подкожном введении промежуточных доз НФГ – посередине между инъекциями, при внутривенной инфузии НФГ – через 6 часов после каждого изменения дозы.</w:t>
      </w:r>
    </w:p>
    <w:p>
      <w:pPr>
        <w:spacing w:after="0"/>
        <w:jc w:val="both"/>
        <w:rPr>
          <w:sz w:val="20"/>
        </w:rPr>
        <w:sectPr>
          <w:type w:val="continuous"/>
          <w:pgSz w:w="16850" w:h="11920" w:orient="landscape"/>
          <w:pgMar w:top="1600" w:bottom="280" w:left="880" w:right="360"/>
        </w:sectPr>
      </w:pPr>
    </w:p>
    <w:p>
      <w:pPr>
        <w:pStyle w:val="BodyText"/>
        <w:spacing w:before="1"/>
        <w:ind w:left="0"/>
        <w:jc w:val="left"/>
        <w:rPr>
          <w:sz w:val="42"/>
        </w:rPr>
      </w:pPr>
    </w:p>
    <w:p>
      <w:pPr>
        <w:pStyle w:val="Heading2"/>
        <w:ind w:left="4654"/>
      </w:pPr>
      <w:bookmarkStart w:name="Приложение 10-1" w:id="233"/>
      <w:bookmarkEnd w:id="233"/>
      <w:r>
        <w:rPr>
          <w:b w:val="0"/>
        </w:rPr>
      </w:r>
      <w:bookmarkStart w:name="_bookmark61" w:id="234"/>
      <w:bookmarkEnd w:id="234"/>
      <w:r>
        <w:rPr>
          <w:b w:val="0"/>
        </w:rPr>
      </w:r>
      <w:r>
        <w:rPr/>
        <w:t>Рекомендованные схемы лечения в амбулаторных</w:t>
      </w:r>
      <w:r>
        <w:rPr>
          <w:spacing w:val="-20"/>
        </w:rPr>
        <w:t> </w:t>
      </w:r>
      <w:r>
        <w:rPr/>
        <w:t>условиях</w:t>
      </w:r>
    </w:p>
    <w:p>
      <w:pPr>
        <w:pStyle w:val="Heading3"/>
        <w:spacing w:before="65"/>
        <w:ind w:left="929"/>
        <w:jc w:val="left"/>
      </w:pPr>
      <w:r>
        <w:rPr>
          <w:b w:val="0"/>
        </w:rPr>
        <w:br w:type="column"/>
      </w:r>
      <w:r>
        <w:rPr>
          <w:color w:val="1F487C"/>
        </w:rPr>
        <w:t>Приложение 10-1</w:t>
      </w:r>
    </w:p>
    <w:p>
      <w:pPr>
        <w:spacing w:after="0"/>
        <w:jc w:val="left"/>
        <w:sectPr>
          <w:pgSz w:w="16850" w:h="11920" w:orient="landscape"/>
          <w:pgMar w:header="0" w:footer="699" w:top="1060" w:bottom="960" w:left="880" w:right="360"/>
          <w:cols w:num="2" w:equalWidth="0">
            <w:col w:w="12328" w:space="40"/>
            <w:col w:w="3242"/>
          </w:cols>
        </w:sectPr>
      </w:pPr>
    </w:p>
    <w:p>
      <w:pPr>
        <w:pStyle w:val="BodyText"/>
        <w:ind w:left="0"/>
        <w:jc w:val="left"/>
        <w:rPr>
          <w:b/>
          <w:sz w:val="20"/>
        </w:rPr>
      </w:pPr>
    </w:p>
    <w:p>
      <w:pPr>
        <w:pStyle w:val="BodyText"/>
        <w:ind w:left="0"/>
        <w:jc w:val="left"/>
        <w:rPr>
          <w:b/>
          <w:sz w:val="20"/>
        </w:rPr>
      </w:pPr>
    </w:p>
    <w:p>
      <w:pPr>
        <w:pStyle w:val="BodyText"/>
        <w:spacing w:before="7"/>
        <w:ind w:left="0"/>
        <w:jc w:val="left"/>
        <w:rPr>
          <w:b/>
          <w:sz w:val="13"/>
        </w:rPr>
      </w:pPr>
    </w:p>
    <w:tbl>
      <w:tblPr>
        <w:tblW w:w="0" w:type="auto"/>
        <w:jc w:val="left"/>
        <w:tblInd w:w="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217"/>
        <w:gridCol w:w="451"/>
        <w:gridCol w:w="3686"/>
        <w:gridCol w:w="9432"/>
      </w:tblGrid>
      <w:tr>
        <w:trPr>
          <w:trHeight w:val="268" w:hRule="atLeast"/>
        </w:trPr>
        <w:tc>
          <w:tcPr>
            <w:tcW w:w="1217" w:type="dxa"/>
          </w:tcPr>
          <w:p>
            <w:pPr>
              <w:pStyle w:val="TableParagraph"/>
              <w:rPr>
                <w:sz w:val="18"/>
              </w:rPr>
            </w:pPr>
          </w:p>
        </w:tc>
        <w:tc>
          <w:tcPr>
            <w:tcW w:w="451" w:type="dxa"/>
          </w:tcPr>
          <w:p>
            <w:pPr>
              <w:pStyle w:val="TableParagraph"/>
              <w:spacing w:line="229" w:lineRule="exact" w:before="19"/>
              <w:ind w:left="7"/>
              <w:jc w:val="center"/>
              <w:rPr>
                <w:sz w:val="20"/>
              </w:rPr>
            </w:pPr>
            <w:bookmarkStart w:name="№" w:id="235"/>
            <w:bookmarkEnd w:id="235"/>
            <w:r>
              <w:rPr/>
            </w:r>
            <w:r>
              <w:rPr>
                <w:w w:val="99"/>
                <w:sz w:val="20"/>
              </w:rPr>
              <w:t>№</w:t>
            </w:r>
          </w:p>
        </w:tc>
        <w:tc>
          <w:tcPr>
            <w:tcW w:w="3686" w:type="dxa"/>
          </w:tcPr>
          <w:p>
            <w:pPr>
              <w:pStyle w:val="TableParagraph"/>
              <w:spacing w:line="229" w:lineRule="exact" w:before="19"/>
              <w:ind w:left="110"/>
              <w:rPr>
                <w:sz w:val="20"/>
              </w:rPr>
            </w:pPr>
            <w:bookmarkStart w:name="Препарат" w:id="236"/>
            <w:bookmarkEnd w:id="236"/>
            <w:r>
              <w:rPr/>
            </w:r>
            <w:r>
              <w:rPr>
                <w:sz w:val="20"/>
              </w:rPr>
              <w:t>Препарат</w:t>
            </w:r>
          </w:p>
        </w:tc>
        <w:tc>
          <w:tcPr>
            <w:tcW w:w="9432" w:type="dxa"/>
          </w:tcPr>
          <w:p>
            <w:pPr>
              <w:pStyle w:val="TableParagraph"/>
              <w:ind w:left="108"/>
              <w:rPr>
                <w:sz w:val="20"/>
              </w:rPr>
            </w:pPr>
            <w:bookmarkStart w:name="Режим дозирования" w:id="237"/>
            <w:bookmarkEnd w:id="237"/>
            <w:r>
              <w:rPr/>
            </w:r>
            <w:r>
              <w:rPr>
                <w:sz w:val="20"/>
              </w:rPr>
              <w:t>Режим дозирования</w:t>
            </w:r>
          </w:p>
        </w:tc>
      </w:tr>
      <w:tr>
        <w:trPr>
          <w:trHeight w:val="453" w:hRule="atLeast"/>
        </w:trPr>
        <w:tc>
          <w:tcPr>
            <w:tcW w:w="1217" w:type="dxa"/>
          </w:tcPr>
          <w:p>
            <w:pPr>
              <w:pStyle w:val="TableParagraph"/>
              <w:rPr>
                <w:sz w:val="20"/>
              </w:rPr>
            </w:pPr>
          </w:p>
        </w:tc>
        <w:tc>
          <w:tcPr>
            <w:tcW w:w="13569" w:type="dxa"/>
            <w:gridSpan w:val="3"/>
            <w:shd w:val="clear" w:color="auto" w:fill="F1F1F1"/>
          </w:tcPr>
          <w:p>
            <w:pPr>
              <w:pStyle w:val="TableParagraph"/>
              <w:spacing w:before="110"/>
              <w:ind w:left="4933" w:right="4924"/>
              <w:jc w:val="center"/>
              <w:rPr>
                <w:b/>
                <w:sz w:val="20"/>
              </w:rPr>
            </w:pPr>
            <w:bookmarkStart w:name="Легкое течение" w:id="238"/>
            <w:bookmarkEnd w:id="238"/>
            <w:r>
              <w:rPr/>
            </w:r>
            <w:r>
              <w:rPr>
                <w:b/>
                <w:sz w:val="20"/>
              </w:rPr>
              <w:t>Легкое течение</w:t>
            </w:r>
          </w:p>
        </w:tc>
      </w:tr>
      <w:tr>
        <w:trPr>
          <w:trHeight w:val="921" w:hRule="atLeast"/>
        </w:trPr>
        <w:tc>
          <w:tcPr>
            <w:tcW w:w="1217" w:type="dxa"/>
            <w:vMerge w:val="restart"/>
            <w:shd w:val="clear" w:color="auto" w:fill="F1F1F1"/>
          </w:tcPr>
          <w:p>
            <w:pPr>
              <w:pStyle w:val="TableParagraph"/>
              <w:rPr>
                <w:b/>
                <w:sz w:val="22"/>
              </w:rPr>
            </w:pPr>
          </w:p>
          <w:p>
            <w:pPr>
              <w:pStyle w:val="TableParagraph"/>
              <w:rPr>
                <w:b/>
                <w:sz w:val="22"/>
              </w:rPr>
            </w:pPr>
          </w:p>
          <w:p>
            <w:pPr>
              <w:pStyle w:val="TableParagraph"/>
              <w:rPr>
                <w:b/>
                <w:sz w:val="19"/>
              </w:rPr>
            </w:pPr>
          </w:p>
          <w:p>
            <w:pPr>
              <w:pStyle w:val="TableParagraph"/>
              <w:ind w:left="110"/>
              <w:rPr>
                <w:b/>
                <w:sz w:val="20"/>
              </w:rPr>
            </w:pPr>
            <w:bookmarkStart w:name="Схема 1" w:id="239"/>
            <w:bookmarkEnd w:id="239"/>
            <w:r>
              <w:rPr/>
            </w:r>
            <w:r>
              <w:rPr>
                <w:b/>
                <w:sz w:val="20"/>
              </w:rPr>
              <w:t>Схема 1</w:t>
            </w:r>
          </w:p>
        </w:tc>
        <w:tc>
          <w:tcPr>
            <w:tcW w:w="451" w:type="dxa"/>
          </w:tcPr>
          <w:p>
            <w:pPr>
              <w:pStyle w:val="TableParagraph"/>
              <w:rPr>
                <w:b/>
                <w:sz w:val="30"/>
              </w:rPr>
            </w:pPr>
          </w:p>
          <w:p>
            <w:pPr>
              <w:pStyle w:val="TableParagraph"/>
              <w:spacing w:before="1"/>
              <w:ind w:left="8"/>
              <w:jc w:val="center"/>
              <w:rPr>
                <w:sz w:val="20"/>
              </w:rPr>
            </w:pPr>
            <w:bookmarkStart w:name="1" w:id="240"/>
            <w:bookmarkEnd w:id="240"/>
            <w:r>
              <w:rPr/>
            </w:r>
            <w:r>
              <w:rPr>
                <w:w w:val="99"/>
                <w:sz w:val="20"/>
              </w:rPr>
              <w:t>1</w:t>
            </w:r>
          </w:p>
        </w:tc>
        <w:tc>
          <w:tcPr>
            <w:tcW w:w="3686" w:type="dxa"/>
          </w:tcPr>
          <w:p>
            <w:pPr>
              <w:pStyle w:val="TableParagraph"/>
              <w:rPr>
                <w:b/>
                <w:sz w:val="30"/>
              </w:rPr>
            </w:pPr>
          </w:p>
          <w:p>
            <w:pPr>
              <w:pStyle w:val="TableParagraph"/>
              <w:spacing w:before="1"/>
              <w:ind w:left="110"/>
              <w:rPr>
                <w:sz w:val="20"/>
              </w:rPr>
            </w:pPr>
            <w:bookmarkStart w:name="Фавипиравир" w:id="241"/>
            <w:bookmarkEnd w:id="241"/>
            <w:r>
              <w:rPr/>
            </w:r>
            <w:r>
              <w:rPr>
                <w:sz w:val="20"/>
              </w:rPr>
              <w:t>Фавипиравир</w:t>
            </w:r>
          </w:p>
        </w:tc>
        <w:tc>
          <w:tcPr>
            <w:tcW w:w="9432" w:type="dxa"/>
          </w:tcPr>
          <w:p>
            <w:pPr>
              <w:pStyle w:val="TableParagraph"/>
              <w:ind w:left="108"/>
              <w:rPr>
                <w:sz w:val="20"/>
              </w:rPr>
            </w:pPr>
            <w:bookmarkStart w:name="Для пациентов с массой тела ˂75 кг: " w:id="242"/>
            <w:bookmarkEnd w:id="242"/>
            <w:r>
              <w:rPr/>
            </w:r>
            <w:bookmarkStart w:name="по 1600 мг 2 р/сут в 1-й день и далее по" w:id="243"/>
            <w:bookmarkEnd w:id="243"/>
            <w:r>
              <w:rPr/>
            </w:r>
            <w:r>
              <w:rPr>
                <w:sz w:val="20"/>
              </w:rPr>
              <w:t>Для пациентов с массой тела ˂75 кг:</w:t>
            </w:r>
          </w:p>
          <w:p>
            <w:pPr>
              <w:pStyle w:val="TableParagraph"/>
              <w:ind w:left="108" w:right="2994"/>
              <w:rPr>
                <w:sz w:val="20"/>
              </w:rPr>
            </w:pPr>
            <w:bookmarkStart w:name="Для пациентов с массой тела 75 кг и боле" w:id="244"/>
            <w:bookmarkEnd w:id="244"/>
            <w:r>
              <w:rPr/>
            </w:r>
            <w:r>
              <w:rPr>
                <w:sz w:val="20"/>
              </w:rPr>
              <w:t>по 1600 мг 2 р/сут в 1-й день и далее по 600 мг 2 р/сут со 2 по 10 день.</w:t>
            </w:r>
            <w:bookmarkStart w:name="по 1800 мг 2 раза/сут в 1-й день, далее " w:id="245"/>
            <w:bookmarkEnd w:id="245"/>
            <w:r>
              <w:rPr>
                <w:sz w:val="20"/>
              </w:rPr>
            </w:r>
            <w:r>
              <w:rPr>
                <w:sz w:val="20"/>
              </w:rPr>
              <w:t> Для пациентов с массой тела 75 кг и более:</w:t>
            </w:r>
          </w:p>
          <w:p>
            <w:pPr>
              <w:pStyle w:val="TableParagraph"/>
              <w:spacing w:line="210" w:lineRule="exact" w:before="1"/>
              <w:ind w:left="108"/>
              <w:rPr>
                <w:sz w:val="20"/>
              </w:rPr>
            </w:pPr>
            <w:bookmarkStart w:name="По 3 капли в каждый носовой ход (3000 МЕ" w:id="246"/>
            <w:bookmarkEnd w:id="246"/>
            <w:r>
              <w:rPr/>
            </w:r>
            <w:r>
              <w:rPr>
                <w:sz w:val="20"/>
              </w:rPr>
              <w:t>по 1800 мг 2 раза/сут в 1-й день, далее по 800 мг 2 раза/сут со 2 по 10 день.</w:t>
            </w:r>
          </w:p>
        </w:tc>
      </w:tr>
      <w:tr>
        <w:trPr>
          <w:trHeight w:val="506" w:hRule="atLeast"/>
        </w:trPr>
        <w:tc>
          <w:tcPr>
            <w:tcW w:w="1217" w:type="dxa"/>
            <w:vMerge/>
            <w:tcBorders>
              <w:top w:val="nil"/>
            </w:tcBorders>
            <w:shd w:val="clear" w:color="auto" w:fill="F1F1F1"/>
          </w:tcPr>
          <w:p>
            <w:pPr>
              <w:rPr>
                <w:sz w:val="2"/>
                <w:szCs w:val="2"/>
              </w:rPr>
            </w:pPr>
          </w:p>
        </w:tc>
        <w:tc>
          <w:tcPr>
            <w:tcW w:w="451" w:type="dxa"/>
            <w:shd w:val="clear" w:color="auto" w:fill="F1F1F1"/>
          </w:tcPr>
          <w:p>
            <w:pPr>
              <w:pStyle w:val="TableParagraph"/>
              <w:spacing w:before="137"/>
              <w:ind w:left="8"/>
              <w:jc w:val="center"/>
              <w:rPr>
                <w:sz w:val="20"/>
              </w:rPr>
            </w:pPr>
            <w:bookmarkStart w:name="2" w:id="247"/>
            <w:bookmarkEnd w:id="247"/>
            <w:r>
              <w:rPr/>
            </w:r>
            <w:r>
              <w:rPr>
                <w:w w:val="99"/>
                <w:sz w:val="20"/>
              </w:rPr>
              <w:t>2</w:t>
            </w:r>
          </w:p>
        </w:tc>
        <w:tc>
          <w:tcPr>
            <w:tcW w:w="3686" w:type="dxa"/>
            <w:shd w:val="clear" w:color="auto" w:fill="F1F1F1"/>
          </w:tcPr>
          <w:p>
            <w:pPr>
              <w:pStyle w:val="TableParagraph"/>
              <w:spacing w:before="137"/>
              <w:ind w:left="110"/>
              <w:rPr>
                <w:sz w:val="20"/>
              </w:rPr>
            </w:pPr>
            <w:bookmarkStart w:name="ИФН-α, интраназальные формы" w:id="248"/>
            <w:bookmarkEnd w:id="248"/>
            <w:r>
              <w:rPr/>
            </w:r>
            <w:r>
              <w:rPr>
                <w:sz w:val="20"/>
              </w:rPr>
              <w:t>ИФН-α, интраназальные формы</w:t>
            </w:r>
          </w:p>
        </w:tc>
        <w:tc>
          <w:tcPr>
            <w:tcW w:w="9432" w:type="dxa"/>
            <w:shd w:val="clear" w:color="auto" w:fill="F1F1F1"/>
          </w:tcPr>
          <w:p>
            <w:pPr>
              <w:pStyle w:val="TableParagraph"/>
              <w:ind w:left="108" w:right="3301"/>
              <w:rPr>
                <w:sz w:val="20"/>
              </w:rPr>
            </w:pPr>
            <w:bookmarkStart w:name="впрыскивание 5-6 раз" w:id="249"/>
            <w:bookmarkEnd w:id="249"/>
            <w:r>
              <w:rPr/>
            </w:r>
            <w:r>
              <w:rPr>
                <w:sz w:val="20"/>
              </w:rPr>
              <w:t>По 3 капли в каждый носовой ход (3000 МЕ) 5 р/сут в течение 5 дней; впрыскивание 5-6 раз</w:t>
            </w:r>
          </w:p>
        </w:tc>
      </w:tr>
      <w:tr>
        <w:trPr>
          <w:trHeight w:val="232" w:hRule="atLeast"/>
        </w:trPr>
        <w:tc>
          <w:tcPr>
            <w:tcW w:w="1217" w:type="dxa"/>
            <w:vMerge/>
            <w:tcBorders>
              <w:top w:val="nil"/>
            </w:tcBorders>
            <w:shd w:val="clear" w:color="auto" w:fill="F1F1F1"/>
          </w:tcPr>
          <w:p>
            <w:pPr>
              <w:rPr>
                <w:sz w:val="2"/>
                <w:szCs w:val="2"/>
              </w:rPr>
            </w:pPr>
          </w:p>
        </w:tc>
        <w:tc>
          <w:tcPr>
            <w:tcW w:w="451" w:type="dxa"/>
          </w:tcPr>
          <w:p>
            <w:pPr>
              <w:pStyle w:val="TableParagraph"/>
              <w:spacing w:line="212" w:lineRule="exact"/>
              <w:ind w:left="8"/>
              <w:jc w:val="center"/>
              <w:rPr>
                <w:sz w:val="20"/>
              </w:rPr>
            </w:pPr>
            <w:bookmarkStart w:name="3" w:id="250"/>
            <w:bookmarkEnd w:id="250"/>
            <w:r>
              <w:rPr/>
            </w:r>
            <w:r>
              <w:rPr>
                <w:w w:val="99"/>
                <w:sz w:val="20"/>
              </w:rPr>
              <w:t>3</w:t>
            </w:r>
          </w:p>
        </w:tc>
        <w:tc>
          <w:tcPr>
            <w:tcW w:w="3686" w:type="dxa"/>
          </w:tcPr>
          <w:p>
            <w:pPr>
              <w:pStyle w:val="TableParagraph"/>
              <w:spacing w:line="212" w:lineRule="exact"/>
              <w:ind w:left="110"/>
              <w:rPr>
                <w:sz w:val="20"/>
              </w:rPr>
            </w:pPr>
            <w:bookmarkStart w:name="Парацетамол" w:id="251"/>
            <w:bookmarkEnd w:id="251"/>
            <w:r>
              <w:rPr/>
            </w:r>
            <w:r>
              <w:rPr>
                <w:sz w:val="20"/>
              </w:rPr>
              <w:t>Парацетамол</w:t>
            </w:r>
          </w:p>
        </w:tc>
        <w:tc>
          <w:tcPr>
            <w:tcW w:w="9432" w:type="dxa"/>
          </w:tcPr>
          <w:p>
            <w:pPr>
              <w:pStyle w:val="TableParagraph"/>
              <w:spacing w:line="212" w:lineRule="exact"/>
              <w:ind w:left="108"/>
              <w:rPr>
                <w:sz w:val="20"/>
              </w:rPr>
            </w:pPr>
            <w:bookmarkStart w:name="1-2 табл. (500-1000 мг) 2-3 р/сут, не бо" w:id="252"/>
            <w:bookmarkEnd w:id="252"/>
            <w:r>
              <w:rPr/>
            </w:r>
            <w:bookmarkStart w:name="400 мг в 1-й день (200 мг 2 р/сут), дале" w:id="253"/>
            <w:bookmarkEnd w:id="253"/>
            <w:r>
              <w:rPr/>
            </w:r>
            <w:r>
              <w:rPr>
                <w:sz w:val="20"/>
              </w:rPr>
              <w:t>1-2 табл. (500-1000 мг) 2-3 р/сут, не более 4 г в сутки</w:t>
            </w:r>
          </w:p>
        </w:tc>
      </w:tr>
      <w:tr>
        <w:trPr>
          <w:trHeight w:val="453" w:hRule="atLeast"/>
        </w:trPr>
        <w:tc>
          <w:tcPr>
            <w:tcW w:w="1217" w:type="dxa"/>
            <w:vMerge w:val="restart"/>
            <w:shd w:val="clear" w:color="auto" w:fill="F1F1F1"/>
          </w:tcPr>
          <w:p>
            <w:pPr>
              <w:pStyle w:val="TableParagraph"/>
              <w:rPr>
                <w:b/>
                <w:sz w:val="22"/>
              </w:rPr>
            </w:pPr>
          </w:p>
          <w:p>
            <w:pPr>
              <w:pStyle w:val="TableParagraph"/>
              <w:spacing w:before="5"/>
              <w:rPr>
                <w:b/>
                <w:sz w:val="18"/>
              </w:rPr>
            </w:pPr>
          </w:p>
          <w:p>
            <w:pPr>
              <w:pStyle w:val="TableParagraph"/>
              <w:spacing w:before="1"/>
              <w:ind w:left="110"/>
              <w:rPr>
                <w:b/>
                <w:sz w:val="20"/>
              </w:rPr>
            </w:pPr>
            <w:bookmarkStart w:name="Схема 2" w:id="254"/>
            <w:bookmarkEnd w:id="254"/>
            <w:r>
              <w:rPr/>
            </w:r>
            <w:r>
              <w:rPr>
                <w:b/>
                <w:sz w:val="20"/>
              </w:rPr>
              <w:t>Схема 2</w:t>
            </w:r>
          </w:p>
        </w:tc>
        <w:tc>
          <w:tcPr>
            <w:tcW w:w="451" w:type="dxa"/>
            <w:shd w:val="clear" w:color="auto" w:fill="F1F1F1"/>
          </w:tcPr>
          <w:p>
            <w:pPr>
              <w:pStyle w:val="TableParagraph"/>
              <w:spacing w:before="110"/>
              <w:ind w:left="8"/>
              <w:jc w:val="center"/>
              <w:rPr>
                <w:sz w:val="20"/>
              </w:rPr>
            </w:pPr>
            <w:bookmarkStart w:name="1" w:id="255"/>
            <w:bookmarkEnd w:id="255"/>
            <w:r>
              <w:rPr/>
            </w:r>
            <w:r>
              <w:rPr>
                <w:w w:val="99"/>
                <w:sz w:val="20"/>
              </w:rPr>
              <w:t>1</w:t>
            </w:r>
          </w:p>
        </w:tc>
        <w:tc>
          <w:tcPr>
            <w:tcW w:w="3686" w:type="dxa"/>
            <w:shd w:val="clear" w:color="auto" w:fill="F1F1F1"/>
          </w:tcPr>
          <w:p>
            <w:pPr>
              <w:pStyle w:val="TableParagraph"/>
              <w:spacing w:before="110"/>
              <w:ind w:left="110"/>
              <w:rPr>
                <w:sz w:val="20"/>
              </w:rPr>
            </w:pPr>
            <w:bookmarkStart w:name="Гидроксихлорохин" w:id="256"/>
            <w:bookmarkEnd w:id="256"/>
            <w:r>
              <w:rPr/>
            </w:r>
            <w:r>
              <w:rPr>
                <w:sz w:val="20"/>
              </w:rPr>
              <w:t>Гидроксихлорохин</w:t>
            </w:r>
          </w:p>
        </w:tc>
        <w:tc>
          <w:tcPr>
            <w:tcW w:w="9432" w:type="dxa"/>
            <w:shd w:val="clear" w:color="auto" w:fill="F1F1F1"/>
          </w:tcPr>
          <w:p>
            <w:pPr>
              <w:pStyle w:val="TableParagraph"/>
              <w:ind w:left="108"/>
              <w:rPr>
                <w:sz w:val="20"/>
              </w:rPr>
            </w:pPr>
            <w:r>
              <w:rPr>
                <w:sz w:val="20"/>
              </w:rPr>
              <w:t>400 мг в 1-й день (200 мг 2 р/сут), далее 200 мг в сутки (100 мг 2 р/сут), в течение 6-8 дней</w:t>
            </w:r>
          </w:p>
        </w:tc>
      </w:tr>
      <w:tr>
        <w:trPr>
          <w:trHeight w:val="460" w:hRule="atLeast"/>
        </w:trPr>
        <w:tc>
          <w:tcPr>
            <w:tcW w:w="1217" w:type="dxa"/>
            <w:vMerge/>
            <w:tcBorders>
              <w:top w:val="nil"/>
            </w:tcBorders>
            <w:shd w:val="clear" w:color="auto" w:fill="F1F1F1"/>
          </w:tcPr>
          <w:p>
            <w:pPr>
              <w:rPr>
                <w:sz w:val="2"/>
                <w:szCs w:val="2"/>
              </w:rPr>
            </w:pPr>
          </w:p>
        </w:tc>
        <w:tc>
          <w:tcPr>
            <w:tcW w:w="451" w:type="dxa"/>
          </w:tcPr>
          <w:p>
            <w:pPr>
              <w:pStyle w:val="TableParagraph"/>
              <w:spacing w:before="115"/>
              <w:ind w:left="8"/>
              <w:jc w:val="center"/>
              <w:rPr>
                <w:sz w:val="20"/>
              </w:rPr>
            </w:pPr>
            <w:bookmarkStart w:name="2" w:id="257"/>
            <w:bookmarkEnd w:id="257"/>
            <w:r>
              <w:rPr/>
            </w:r>
            <w:r>
              <w:rPr>
                <w:w w:val="99"/>
                <w:sz w:val="20"/>
              </w:rPr>
              <w:t>2</w:t>
            </w:r>
          </w:p>
        </w:tc>
        <w:tc>
          <w:tcPr>
            <w:tcW w:w="3686" w:type="dxa"/>
          </w:tcPr>
          <w:p>
            <w:pPr>
              <w:pStyle w:val="TableParagraph"/>
              <w:spacing w:before="115"/>
              <w:ind w:left="110"/>
              <w:rPr>
                <w:sz w:val="20"/>
              </w:rPr>
            </w:pPr>
            <w:bookmarkStart w:name="ИФН-α, интраназальные формы" w:id="258"/>
            <w:bookmarkEnd w:id="258"/>
            <w:r>
              <w:rPr/>
            </w:r>
            <w:r>
              <w:rPr>
                <w:sz w:val="20"/>
              </w:rPr>
              <w:t>ИФН-α, интраназальные формы</w:t>
            </w:r>
          </w:p>
        </w:tc>
        <w:tc>
          <w:tcPr>
            <w:tcW w:w="9432" w:type="dxa"/>
          </w:tcPr>
          <w:p>
            <w:pPr>
              <w:pStyle w:val="TableParagraph"/>
              <w:spacing w:line="230" w:lineRule="atLeast"/>
              <w:ind w:left="108" w:right="3301"/>
              <w:rPr>
                <w:sz w:val="20"/>
              </w:rPr>
            </w:pPr>
            <w:bookmarkStart w:name="По 3 капли в каждый носовой ход (3000 МЕ" w:id="259"/>
            <w:bookmarkEnd w:id="259"/>
            <w:r>
              <w:rPr/>
            </w:r>
            <w:bookmarkStart w:name="впрыскивание 5-6 раз" w:id="260"/>
            <w:bookmarkEnd w:id="260"/>
            <w:r>
              <w:rPr/>
            </w:r>
            <w:r>
              <w:rPr>
                <w:sz w:val="20"/>
              </w:rPr>
              <w:t>По 3 капли в каждый носовой ход (3000 МЕ) 5 р/сут в течение 5 дней;</w:t>
            </w:r>
            <w:bookmarkStart w:name="1-2 табл. (500-1000 мг) 2-3 р/сут, не бо" w:id="261"/>
            <w:bookmarkEnd w:id="261"/>
            <w:r>
              <w:rPr>
                <w:sz w:val="20"/>
              </w:rPr>
            </w:r>
            <w:bookmarkStart w:name="Парацетамол" w:id="262"/>
            <w:bookmarkEnd w:id="262"/>
            <w:r>
              <w:rPr>
                <w:sz w:val="20"/>
              </w:rPr>
            </w:r>
            <w:bookmarkStart w:name="3" w:id="263"/>
            <w:bookmarkEnd w:id="263"/>
            <w:r>
              <w:rPr>
                <w:sz w:val="20"/>
              </w:rPr>
            </w:r>
            <w:r>
              <w:rPr>
                <w:sz w:val="20"/>
              </w:rPr>
              <w:t> впрыскивание 5-6 раз</w:t>
            </w:r>
          </w:p>
        </w:tc>
      </w:tr>
      <w:tr>
        <w:trPr>
          <w:trHeight w:val="230" w:hRule="atLeast"/>
        </w:trPr>
        <w:tc>
          <w:tcPr>
            <w:tcW w:w="1217" w:type="dxa"/>
            <w:vMerge/>
            <w:tcBorders>
              <w:top w:val="nil"/>
            </w:tcBorders>
            <w:shd w:val="clear" w:color="auto" w:fill="F1F1F1"/>
          </w:tcPr>
          <w:p>
            <w:pPr>
              <w:rPr>
                <w:sz w:val="2"/>
                <w:szCs w:val="2"/>
              </w:rPr>
            </w:pPr>
          </w:p>
        </w:tc>
        <w:tc>
          <w:tcPr>
            <w:tcW w:w="451" w:type="dxa"/>
            <w:shd w:val="clear" w:color="auto" w:fill="F1F1F1"/>
          </w:tcPr>
          <w:p>
            <w:pPr>
              <w:pStyle w:val="TableParagraph"/>
              <w:spacing w:line="210" w:lineRule="exact"/>
              <w:ind w:left="8"/>
              <w:jc w:val="center"/>
              <w:rPr>
                <w:sz w:val="20"/>
              </w:rPr>
            </w:pPr>
            <w:r>
              <w:rPr>
                <w:w w:val="99"/>
                <w:sz w:val="20"/>
              </w:rPr>
              <w:t>3</w:t>
            </w:r>
          </w:p>
        </w:tc>
        <w:tc>
          <w:tcPr>
            <w:tcW w:w="3686" w:type="dxa"/>
            <w:shd w:val="clear" w:color="auto" w:fill="F1F1F1"/>
          </w:tcPr>
          <w:p>
            <w:pPr>
              <w:pStyle w:val="TableParagraph"/>
              <w:spacing w:line="210" w:lineRule="exact"/>
              <w:ind w:left="110"/>
              <w:rPr>
                <w:sz w:val="20"/>
              </w:rPr>
            </w:pPr>
            <w:r>
              <w:rPr>
                <w:sz w:val="20"/>
              </w:rPr>
              <w:t>Парацетамол</w:t>
            </w:r>
          </w:p>
        </w:tc>
        <w:tc>
          <w:tcPr>
            <w:tcW w:w="9432" w:type="dxa"/>
            <w:shd w:val="clear" w:color="auto" w:fill="F1F1F1"/>
          </w:tcPr>
          <w:p>
            <w:pPr>
              <w:pStyle w:val="TableParagraph"/>
              <w:spacing w:line="210" w:lineRule="exact"/>
              <w:ind w:left="108"/>
              <w:rPr>
                <w:sz w:val="20"/>
              </w:rPr>
            </w:pPr>
            <w:bookmarkStart w:name="200 мг 4 р/сут в течение 5-7 дней" w:id="264"/>
            <w:bookmarkEnd w:id="264"/>
            <w:r>
              <w:rPr/>
            </w:r>
            <w:r>
              <w:rPr>
                <w:sz w:val="20"/>
              </w:rPr>
              <w:t>1-2 табл. (500-1000 мг) 2-3 р/сут, не более 4 г в сутки</w:t>
            </w:r>
          </w:p>
        </w:tc>
      </w:tr>
      <w:tr>
        <w:trPr>
          <w:trHeight w:val="342" w:hRule="atLeast"/>
        </w:trPr>
        <w:tc>
          <w:tcPr>
            <w:tcW w:w="1217" w:type="dxa"/>
            <w:vMerge w:val="restart"/>
            <w:shd w:val="clear" w:color="auto" w:fill="F1F1F1"/>
          </w:tcPr>
          <w:p>
            <w:pPr>
              <w:pStyle w:val="TableParagraph"/>
              <w:rPr>
                <w:b/>
                <w:sz w:val="22"/>
              </w:rPr>
            </w:pPr>
          </w:p>
          <w:p>
            <w:pPr>
              <w:pStyle w:val="TableParagraph"/>
              <w:spacing w:before="181"/>
              <w:ind w:left="110"/>
              <w:rPr>
                <w:b/>
                <w:sz w:val="20"/>
              </w:rPr>
            </w:pPr>
            <w:bookmarkStart w:name="Схема 3" w:id="265"/>
            <w:bookmarkEnd w:id="265"/>
            <w:r>
              <w:rPr/>
            </w:r>
            <w:r>
              <w:rPr>
                <w:b/>
                <w:sz w:val="20"/>
              </w:rPr>
              <w:t>Схема 3</w:t>
            </w:r>
          </w:p>
        </w:tc>
        <w:tc>
          <w:tcPr>
            <w:tcW w:w="451" w:type="dxa"/>
          </w:tcPr>
          <w:p>
            <w:pPr>
              <w:pStyle w:val="TableParagraph"/>
              <w:spacing w:before="58"/>
              <w:ind w:left="8"/>
              <w:jc w:val="center"/>
              <w:rPr>
                <w:sz w:val="20"/>
              </w:rPr>
            </w:pPr>
            <w:bookmarkStart w:name="1" w:id="266"/>
            <w:bookmarkEnd w:id="266"/>
            <w:r>
              <w:rPr/>
            </w:r>
            <w:r>
              <w:rPr>
                <w:w w:val="99"/>
                <w:sz w:val="20"/>
              </w:rPr>
              <w:t>1</w:t>
            </w:r>
          </w:p>
        </w:tc>
        <w:tc>
          <w:tcPr>
            <w:tcW w:w="3686" w:type="dxa"/>
          </w:tcPr>
          <w:p>
            <w:pPr>
              <w:pStyle w:val="TableParagraph"/>
              <w:spacing w:before="58"/>
              <w:ind w:left="110"/>
              <w:rPr>
                <w:sz w:val="20"/>
              </w:rPr>
            </w:pPr>
            <w:bookmarkStart w:name="Умифеновир" w:id="267"/>
            <w:bookmarkEnd w:id="267"/>
            <w:r>
              <w:rPr/>
            </w:r>
            <w:r>
              <w:rPr>
                <w:sz w:val="20"/>
              </w:rPr>
              <w:t>Умифеновир</w:t>
            </w:r>
          </w:p>
        </w:tc>
        <w:tc>
          <w:tcPr>
            <w:tcW w:w="9432" w:type="dxa"/>
          </w:tcPr>
          <w:p>
            <w:pPr>
              <w:pStyle w:val="TableParagraph"/>
              <w:ind w:left="108"/>
              <w:rPr>
                <w:sz w:val="20"/>
              </w:rPr>
            </w:pPr>
            <w:r>
              <w:rPr>
                <w:sz w:val="20"/>
              </w:rPr>
              <w:t>200 мг 4 р/сут в течение 5-7 дней</w:t>
            </w:r>
          </w:p>
        </w:tc>
      </w:tr>
      <w:tr>
        <w:trPr>
          <w:trHeight w:val="460" w:hRule="atLeast"/>
        </w:trPr>
        <w:tc>
          <w:tcPr>
            <w:tcW w:w="1217" w:type="dxa"/>
            <w:vMerge/>
            <w:tcBorders>
              <w:top w:val="nil"/>
            </w:tcBorders>
            <w:shd w:val="clear" w:color="auto" w:fill="F1F1F1"/>
          </w:tcPr>
          <w:p>
            <w:pPr>
              <w:rPr>
                <w:sz w:val="2"/>
                <w:szCs w:val="2"/>
              </w:rPr>
            </w:pPr>
          </w:p>
        </w:tc>
        <w:tc>
          <w:tcPr>
            <w:tcW w:w="451" w:type="dxa"/>
            <w:shd w:val="clear" w:color="auto" w:fill="F1F1F1"/>
          </w:tcPr>
          <w:p>
            <w:pPr>
              <w:pStyle w:val="TableParagraph"/>
              <w:spacing w:before="115"/>
              <w:ind w:left="8"/>
              <w:jc w:val="center"/>
              <w:rPr>
                <w:sz w:val="20"/>
              </w:rPr>
            </w:pPr>
            <w:bookmarkStart w:name="2" w:id="268"/>
            <w:bookmarkEnd w:id="268"/>
            <w:r>
              <w:rPr/>
            </w:r>
            <w:r>
              <w:rPr>
                <w:w w:val="99"/>
                <w:sz w:val="20"/>
              </w:rPr>
              <w:t>2</w:t>
            </w:r>
          </w:p>
        </w:tc>
        <w:tc>
          <w:tcPr>
            <w:tcW w:w="3686" w:type="dxa"/>
            <w:shd w:val="clear" w:color="auto" w:fill="F1F1F1"/>
          </w:tcPr>
          <w:p>
            <w:pPr>
              <w:pStyle w:val="TableParagraph"/>
              <w:spacing w:before="115"/>
              <w:ind w:left="110"/>
              <w:rPr>
                <w:sz w:val="20"/>
              </w:rPr>
            </w:pPr>
            <w:bookmarkStart w:name="ИФН-α, интраназальные формы" w:id="269"/>
            <w:bookmarkEnd w:id="269"/>
            <w:r>
              <w:rPr/>
            </w:r>
            <w:r>
              <w:rPr>
                <w:sz w:val="20"/>
              </w:rPr>
              <w:t>ИФН-α, интраназальные формы</w:t>
            </w:r>
          </w:p>
        </w:tc>
        <w:tc>
          <w:tcPr>
            <w:tcW w:w="9432" w:type="dxa"/>
            <w:shd w:val="clear" w:color="auto" w:fill="F1F1F1"/>
          </w:tcPr>
          <w:p>
            <w:pPr>
              <w:pStyle w:val="TableParagraph"/>
              <w:spacing w:line="230" w:lineRule="atLeast"/>
              <w:ind w:left="108" w:right="3301"/>
              <w:rPr>
                <w:sz w:val="20"/>
              </w:rPr>
            </w:pPr>
            <w:bookmarkStart w:name="По 3 капли в каждый носовой ход (3000 МЕ" w:id="270"/>
            <w:bookmarkEnd w:id="270"/>
            <w:r>
              <w:rPr/>
            </w:r>
            <w:bookmarkStart w:name="впрыскивание 5-6 раз" w:id="271"/>
            <w:bookmarkEnd w:id="271"/>
            <w:r>
              <w:rPr/>
            </w:r>
            <w:r>
              <w:rPr>
                <w:sz w:val="20"/>
              </w:rPr>
              <w:t>По 3 капли в каждый носовой ход (3000 МЕ) 5 р/сут в течение 5 дней;</w:t>
            </w:r>
            <w:bookmarkStart w:name="1-2 табл. (500-1000 мг) 2-3 р/сут, не бо" w:id="272"/>
            <w:bookmarkEnd w:id="272"/>
            <w:r>
              <w:rPr>
                <w:sz w:val="20"/>
              </w:rPr>
            </w:r>
            <w:r>
              <w:rPr>
                <w:sz w:val="20"/>
              </w:rPr>
              <w:t> впрыскивание 5-6 раз</w:t>
            </w:r>
          </w:p>
        </w:tc>
      </w:tr>
      <w:tr>
        <w:trPr>
          <w:trHeight w:val="273" w:hRule="atLeast"/>
        </w:trPr>
        <w:tc>
          <w:tcPr>
            <w:tcW w:w="1217" w:type="dxa"/>
            <w:vMerge/>
            <w:tcBorders>
              <w:top w:val="nil"/>
            </w:tcBorders>
            <w:shd w:val="clear" w:color="auto" w:fill="F1F1F1"/>
          </w:tcPr>
          <w:p>
            <w:pPr>
              <w:rPr>
                <w:sz w:val="2"/>
                <w:szCs w:val="2"/>
              </w:rPr>
            </w:pPr>
          </w:p>
        </w:tc>
        <w:tc>
          <w:tcPr>
            <w:tcW w:w="451" w:type="dxa"/>
          </w:tcPr>
          <w:p>
            <w:pPr>
              <w:pStyle w:val="TableParagraph"/>
              <w:spacing w:before="22"/>
              <w:ind w:left="8"/>
              <w:jc w:val="center"/>
              <w:rPr>
                <w:sz w:val="20"/>
              </w:rPr>
            </w:pPr>
            <w:bookmarkStart w:name="3" w:id="273"/>
            <w:bookmarkEnd w:id="273"/>
            <w:r>
              <w:rPr/>
            </w:r>
            <w:r>
              <w:rPr>
                <w:w w:val="99"/>
                <w:sz w:val="20"/>
              </w:rPr>
              <w:t>3</w:t>
            </w:r>
          </w:p>
        </w:tc>
        <w:tc>
          <w:tcPr>
            <w:tcW w:w="3686" w:type="dxa"/>
          </w:tcPr>
          <w:p>
            <w:pPr>
              <w:pStyle w:val="TableParagraph"/>
              <w:spacing w:before="22"/>
              <w:ind w:left="110"/>
              <w:rPr>
                <w:sz w:val="20"/>
              </w:rPr>
            </w:pPr>
            <w:bookmarkStart w:name="Парацетамол" w:id="274"/>
            <w:bookmarkEnd w:id="274"/>
            <w:r>
              <w:rPr/>
            </w:r>
            <w:r>
              <w:rPr>
                <w:sz w:val="20"/>
              </w:rPr>
              <w:t>Парацетамол</w:t>
            </w:r>
          </w:p>
        </w:tc>
        <w:tc>
          <w:tcPr>
            <w:tcW w:w="9432" w:type="dxa"/>
          </w:tcPr>
          <w:p>
            <w:pPr>
              <w:pStyle w:val="TableParagraph"/>
              <w:ind w:left="108"/>
              <w:rPr>
                <w:sz w:val="20"/>
              </w:rPr>
            </w:pPr>
            <w:r>
              <w:rPr>
                <w:sz w:val="20"/>
              </w:rPr>
              <w:t>1-2 табл. (500-1000 мг) 2-3 р/сут, не более 4 г в сутки</w:t>
            </w:r>
          </w:p>
        </w:tc>
      </w:tr>
      <w:tr>
        <w:trPr>
          <w:trHeight w:val="455" w:hRule="atLeast"/>
        </w:trPr>
        <w:tc>
          <w:tcPr>
            <w:tcW w:w="1217" w:type="dxa"/>
          </w:tcPr>
          <w:p>
            <w:pPr>
              <w:pStyle w:val="TableParagraph"/>
              <w:rPr>
                <w:sz w:val="20"/>
              </w:rPr>
            </w:pPr>
          </w:p>
        </w:tc>
        <w:tc>
          <w:tcPr>
            <w:tcW w:w="13569" w:type="dxa"/>
            <w:gridSpan w:val="3"/>
            <w:shd w:val="clear" w:color="auto" w:fill="F1F1F1"/>
          </w:tcPr>
          <w:p>
            <w:pPr>
              <w:pStyle w:val="TableParagraph"/>
              <w:spacing w:before="113"/>
              <w:ind w:left="4933" w:right="4924"/>
              <w:jc w:val="center"/>
              <w:rPr>
                <w:b/>
                <w:sz w:val="20"/>
              </w:rPr>
            </w:pPr>
            <w:bookmarkStart w:name="Среднетяжелое течение (без пневмонии)" w:id="275"/>
            <w:bookmarkEnd w:id="275"/>
            <w:r>
              <w:rPr/>
            </w:r>
            <w:r>
              <w:rPr>
                <w:b/>
                <w:sz w:val="20"/>
              </w:rPr>
              <w:t>Среднетяжелое течение (без пневмонии)</w:t>
            </w:r>
          </w:p>
        </w:tc>
      </w:tr>
      <w:tr>
        <w:trPr>
          <w:trHeight w:val="918" w:hRule="atLeast"/>
        </w:trPr>
        <w:tc>
          <w:tcPr>
            <w:tcW w:w="1217" w:type="dxa"/>
            <w:vMerge w:val="restart"/>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spacing w:before="9"/>
              <w:rPr>
                <w:b/>
                <w:sz w:val="21"/>
              </w:rPr>
            </w:pPr>
          </w:p>
          <w:p>
            <w:pPr>
              <w:pStyle w:val="TableParagraph"/>
              <w:ind w:left="110"/>
              <w:rPr>
                <w:b/>
                <w:sz w:val="20"/>
              </w:rPr>
            </w:pPr>
            <w:bookmarkStart w:name="Схема 1" w:id="276"/>
            <w:bookmarkEnd w:id="276"/>
            <w:r>
              <w:rPr/>
            </w:r>
            <w:r>
              <w:rPr>
                <w:b/>
                <w:sz w:val="20"/>
              </w:rPr>
              <w:t>Схема 1</w:t>
            </w:r>
          </w:p>
        </w:tc>
        <w:tc>
          <w:tcPr>
            <w:tcW w:w="451" w:type="dxa"/>
          </w:tcPr>
          <w:p>
            <w:pPr>
              <w:pStyle w:val="TableParagraph"/>
              <w:spacing w:before="10"/>
              <w:rPr>
                <w:b/>
                <w:sz w:val="29"/>
              </w:rPr>
            </w:pPr>
          </w:p>
          <w:p>
            <w:pPr>
              <w:pStyle w:val="TableParagraph"/>
              <w:ind w:left="8"/>
              <w:jc w:val="center"/>
              <w:rPr>
                <w:sz w:val="20"/>
              </w:rPr>
            </w:pPr>
            <w:bookmarkStart w:name="1" w:id="277"/>
            <w:bookmarkEnd w:id="277"/>
            <w:r>
              <w:rPr/>
            </w:r>
            <w:r>
              <w:rPr>
                <w:w w:val="99"/>
                <w:sz w:val="20"/>
              </w:rPr>
              <w:t>1</w:t>
            </w:r>
          </w:p>
        </w:tc>
        <w:tc>
          <w:tcPr>
            <w:tcW w:w="3686" w:type="dxa"/>
          </w:tcPr>
          <w:p>
            <w:pPr>
              <w:pStyle w:val="TableParagraph"/>
              <w:spacing w:before="10"/>
              <w:rPr>
                <w:b/>
                <w:sz w:val="29"/>
              </w:rPr>
            </w:pPr>
          </w:p>
          <w:p>
            <w:pPr>
              <w:pStyle w:val="TableParagraph"/>
              <w:ind w:left="110"/>
              <w:rPr>
                <w:sz w:val="20"/>
              </w:rPr>
            </w:pPr>
            <w:bookmarkStart w:name="Фавипиравир" w:id="278"/>
            <w:bookmarkEnd w:id="278"/>
            <w:r>
              <w:rPr/>
            </w:r>
            <w:r>
              <w:rPr>
                <w:sz w:val="20"/>
              </w:rPr>
              <w:t>Фавипиравир</w:t>
            </w:r>
          </w:p>
        </w:tc>
        <w:tc>
          <w:tcPr>
            <w:tcW w:w="9432" w:type="dxa"/>
          </w:tcPr>
          <w:p>
            <w:pPr>
              <w:pStyle w:val="TableParagraph"/>
              <w:spacing w:line="229" w:lineRule="exact"/>
              <w:ind w:left="108"/>
              <w:rPr>
                <w:sz w:val="20"/>
              </w:rPr>
            </w:pPr>
            <w:bookmarkStart w:name="Для пациентов с массой тела ˂75 кг: " w:id="279"/>
            <w:bookmarkEnd w:id="279"/>
            <w:r>
              <w:rPr/>
            </w:r>
            <w:bookmarkStart w:name="по 1600 мг 2 р/сут в 1-й день и далее по" w:id="280"/>
            <w:bookmarkEnd w:id="280"/>
            <w:r>
              <w:rPr/>
            </w:r>
            <w:r>
              <w:rPr>
                <w:sz w:val="20"/>
              </w:rPr>
              <w:t>Для пациентов с массой тела ˂75 кг:</w:t>
            </w:r>
          </w:p>
          <w:p>
            <w:pPr>
              <w:pStyle w:val="TableParagraph"/>
              <w:ind w:left="108" w:right="2994"/>
              <w:rPr>
                <w:sz w:val="20"/>
              </w:rPr>
            </w:pPr>
            <w:bookmarkStart w:name="Для пациентов с массой тела 75 кг и боле" w:id="281"/>
            <w:bookmarkEnd w:id="281"/>
            <w:r>
              <w:rPr/>
            </w:r>
            <w:r>
              <w:rPr>
                <w:sz w:val="20"/>
              </w:rPr>
              <w:t>по 1600 мг 2 р/сут в 1-й день и далее по 600 мг 2 р/сут со 2 по 10 день.</w:t>
            </w:r>
            <w:bookmarkStart w:name="по 1800 мг 2 раза/сут в 1-й день, далее " w:id="282"/>
            <w:bookmarkEnd w:id="282"/>
            <w:r>
              <w:rPr>
                <w:sz w:val="20"/>
              </w:rPr>
            </w:r>
            <w:r>
              <w:rPr>
                <w:sz w:val="20"/>
              </w:rPr>
              <w:t> Для пациентов с массой тела 75 кг и более:</w:t>
            </w:r>
          </w:p>
          <w:p>
            <w:pPr>
              <w:pStyle w:val="TableParagraph"/>
              <w:spacing w:line="210" w:lineRule="exact"/>
              <w:ind w:left="108"/>
              <w:rPr>
                <w:sz w:val="20"/>
              </w:rPr>
            </w:pPr>
            <w:bookmarkStart w:name="По 3 капли в каждый носовой ход (3000 МЕ" w:id="283"/>
            <w:bookmarkEnd w:id="283"/>
            <w:r>
              <w:rPr/>
            </w:r>
            <w:r>
              <w:rPr>
                <w:sz w:val="20"/>
              </w:rPr>
              <w:t>по 1800 мг 2 раза/сут в 1-й день, далее по 800 мг 2 раза/сут со 2 по 10 день.</w:t>
            </w:r>
          </w:p>
        </w:tc>
      </w:tr>
      <w:tr>
        <w:trPr>
          <w:trHeight w:val="460" w:hRule="atLeast"/>
        </w:trPr>
        <w:tc>
          <w:tcPr>
            <w:tcW w:w="1217" w:type="dxa"/>
            <w:vMerge/>
            <w:tcBorders>
              <w:top w:val="nil"/>
            </w:tcBorders>
            <w:shd w:val="clear" w:color="auto" w:fill="F1F1F1"/>
          </w:tcPr>
          <w:p>
            <w:pPr>
              <w:rPr>
                <w:sz w:val="2"/>
                <w:szCs w:val="2"/>
              </w:rPr>
            </w:pPr>
          </w:p>
        </w:tc>
        <w:tc>
          <w:tcPr>
            <w:tcW w:w="451" w:type="dxa"/>
            <w:shd w:val="clear" w:color="auto" w:fill="F1F1F1"/>
          </w:tcPr>
          <w:p>
            <w:pPr>
              <w:pStyle w:val="TableParagraph"/>
              <w:spacing w:before="115"/>
              <w:ind w:left="8"/>
              <w:jc w:val="center"/>
              <w:rPr>
                <w:sz w:val="20"/>
              </w:rPr>
            </w:pPr>
            <w:bookmarkStart w:name="2" w:id="284"/>
            <w:bookmarkEnd w:id="284"/>
            <w:r>
              <w:rPr/>
            </w:r>
            <w:r>
              <w:rPr>
                <w:w w:val="99"/>
                <w:sz w:val="20"/>
              </w:rPr>
              <w:t>2</w:t>
            </w:r>
          </w:p>
        </w:tc>
        <w:tc>
          <w:tcPr>
            <w:tcW w:w="3686" w:type="dxa"/>
            <w:shd w:val="clear" w:color="auto" w:fill="F1F1F1"/>
          </w:tcPr>
          <w:p>
            <w:pPr>
              <w:pStyle w:val="TableParagraph"/>
              <w:spacing w:before="115"/>
              <w:ind w:left="110"/>
              <w:rPr>
                <w:sz w:val="20"/>
              </w:rPr>
            </w:pPr>
            <w:bookmarkStart w:name="ИФН-α, интраназальные формы" w:id="285"/>
            <w:bookmarkEnd w:id="285"/>
            <w:r>
              <w:rPr/>
            </w:r>
            <w:r>
              <w:rPr>
                <w:sz w:val="20"/>
              </w:rPr>
              <w:t>ИФН-α, интраназальные формы</w:t>
            </w:r>
          </w:p>
        </w:tc>
        <w:tc>
          <w:tcPr>
            <w:tcW w:w="9432" w:type="dxa"/>
            <w:shd w:val="clear" w:color="auto" w:fill="F1F1F1"/>
          </w:tcPr>
          <w:p>
            <w:pPr>
              <w:pStyle w:val="TableParagraph"/>
              <w:spacing w:line="230" w:lineRule="atLeast"/>
              <w:ind w:left="108" w:right="3301"/>
              <w:rPr>
                <w:sz w:val="20"/>
              </w:rPr>
            </w:pPr>
            <w:bookmarkStart w:name="впрыскивание 5-6 раз" w:id="286"/>
            <w:bookmarkEnd w:id="286"/>
            <w:r>
              <w:rPr/>
            </w:r>
            <w:r>
              <w:rPr>
                <w:sz w:val="20"/>
              </w:rPr>
              <w:t>По 3 капли в каждый носовой ход (3000 МЕ) 5 р/сут в течение 5 дней; впрыскивание 5-6 раз</w:t>
            </w:r>
          </w:p>
        </w:tc>
      </w:tr>
      <w:tr>
        <w:trPr>
          <w:trHeight w:val="292" w:hRule="atLeast"/>
        </w:trPr>
        <w:tc>
          <w:tcPr>
            <w:tcW w:w="1217" w:type="dxa"/>
            <w:vMerge/>
            <w:tcBorders>
              <w:top w:val="nil"/>
            </w:tcBorders>
            <w:shd w:val="clear" w:color="auto" w:fill="F1F1F1"/>
          </w:tcPr>
          <w:p>
            <w:pPr>
              <w:rPr>
                <w:sz w:val="2"/>
                <w:szCs w:val="2"/>
              </w:rPr>
            </w:pPr>
          </w:p>
        </w:tc>
        <w:tc>
          <w:tcPr>
            <w:tcW w:w="451" w:type="dxa"/>
          </w:tcPr>
          <w:p>
            <w:pPr>
              <w:pStyle w:val="TableParagraph"/>
              <w:spacing w:before="31"/>
              <w:ind w:left="8"/>
              <w:jc w:val="center"/>
              <w:rPr>
                <w:sz w:val="20"/>
              </w:rPr>
            </w:pPr>
            <w:bookmarkStart w:name="3" w:id="287"/>
            <w:bookmarkEnd w:id="287"/>
            <w:r>
              <w:rPr/>
            </w:r>
            <w:r>
              <w:rPr>
                <w:w w:val="99"/>
                <w:sz w:val="20"/>
              </w:rPr>
              <w:t>3</w:t>
            </w:r>
          </w:p>
        </w:tc>
        <w:tc>
          <w:tcPr>
            <w:tcW w:w="3686" w:type="dxa"/>
          </w:tcPr>
          <w:p>
            <w:pPr>
              <w:pStyle w:val="TableParagraph"/>
              <w:spacing w:before="31"/>
              <w:ind w:left="110"/>
              <w:rPr>
                <w:sz w:val="20"/>
              </w:rPr>
            </w:pPr>
            <w:bookmarkStart w:name="Парацетамол" w:id="288"/>
            <w:bookmarkEnd w:id="288"/>
            <w:r>
              <w:rPr/>
            </w:r>
            <w:r>
              <w:rPr>
                <w:sz w:val="20"/>
              </w:rPr>
              <w:t>Парацетамол</w:t>
            </w:r>
          </w:p>
        </w:tc>
        <w:tc>
          <w:tcPr>
            <w:tcW w:w="9432" w:type="dxa"/>
          </w:tcPr>
          <w:p>
            <w:pPr>
              <w:pStyle w:val="TableParagraph"/>
              <w:ind w:left="108"/>
              <w:rPr>
                <w:sz w:val="20"/>
              </w:rPr>
            </w:pPr>
            <w:bookmarkStart w:name="1-2 табл. (500-1000 мг) 2-3 р/сут, не бо" w:id="289"/>
            <w:bookmarkEnd w:id="289"/>
            <w:r>
              <w:rPr/>
            </w:r>
            <w:r>
              <w:rPr>
                <w:sz w:val="20"/>
              </w:rPr>
              <w:t>1-2 табл. (500-1000 мг) 2-3 р/сут, не более 4 г в сутки</w:t>
            </w:r>
          </w:p>
        </w:tc>
      </w:tr>
      <w:tr>
        <w:trPr>
          <w:trHeight w:val="254" w:hRule="atLeast"/>
        </w:trPr>
        <w:tc>
          <w:tcPr>
            <w:tcW w:w="1217" w:type="dxa"/>
            <w:vMerge/>
            <w:tcBorders>
              <w:top w:val="nil"/>
            </w:tcBorders>
            <w:shd w:val="clear" w:color="auto" w:fill="F1F1F1"/>
          </w:tcPr>
          <w:p>
            <w:pPr>
              <w:rPr>
                <w:sz w:val="2"/>
                <w:szCs w:val="2"/>
              </w:rPr>
            </w:pPr>
          </w:p>
        </w:tc>
        <w:tc>
          <w:tcPr>
            <w:tcW w:w="451" w:type="dxa"/>
            <w:vMerge w:val="restart"/>
            <w:shd w:val="clear" w:color="auto" w:fill="F1F1F1"/>
          </w:tcPr>
          <w:p>
            <w:pPr>
              <w:pStyle w:val="TableParagraph"/>
              <w:rPr>
                <w:b/>
                <w:sz w:val="22"/>
              </w:rPr>
            </w:pPr>
          </w:p>
          <w:p>
            <w:pPr>
              <w:pStyle w:val="TableParagraph"/>
              <w:spacing w:before="160"/>
              <w:ind w:left="8"/>
              <w:jc w:val="center"/>
              <w:rPr>
                <w:sz w:val="20"/>
              </w:rPr>
            </w:pPr>
            <w:bookmarkStart w:name="4" w:id="290"/>
            <w:bookmarkEnd w:id="290"/>
            <w:r>
              <w:rPr/>
            </w:r>
            <w:r>
              <w:rPr>
                <w:w w:val="99"/>
                <w:sz w:val="20"/>
              </w:rPr>
              <w:t>4</w:t>
            </w:r>
          </w:p>
        </w:tc>
        <w:tc>
          <w:tcPr>
            <w:tcW w:w="3686" w:type="dxa"/>
            <w:shd w:val="clear" w:color="auto" w:fill="F1F1F1"/>
          </w:tcPr>
          <w:p>
            <w:pPr>
              <w:pStyle w:val="TableParagraph"/>
              <w:spacing w:line="222" w:lineRule="exact" w:before="12"/>
              <w:ind w:left="110"/>
              <w:rPr>
                <w:sz w:val="20"/>
              </w:rPr>
            </w:pPr>
            <w:bookmarkStart w:name="Ривароксабан *" w:id="291"/>
            <w:bookmarkEnd w:id="291"/>
            <w:r>
              <w:rPr/>
            </w:r>
            <w:r>
              <w:rPr>
                <w:sz w:val="20"/>
              </w:rPr>
              <w:t>Ривароксабан *</w:t>
            </w:r>
          </w:p>
        </w:tc>
        <w:tc>
          <w:tcPr>
            <w:tcW w:w="9432" w:type="dxa"/>
            <w:shd w:val="clear" w:color="auto" w:fill="F1F1F1"/>
          </w:tcPr>
          <w:p>
            <w:pPr>
              <w:pStyle w:val="TableParagraph"/>
              <w:ind w:left="108"/>
              <w:rPr>
                <w:sz w:val="20"/>
              </w:rPr>
            </w:pPr>
            <w:bookmarkStart w:name="10 мг 1 р/сут в течение 30 дней " w:id="292"/>
            <w:bookmarkEnd w:id="292"/>
            <w:r>
              <w:rPr/>
            </w:r>
            <w:r>
              <w:rPr>
                <w:sz w:val="20"/>
              </w:rPr>
              <w:t>10 мг 1 р/сут в течение 30 дней</w:t>
            </w:r>
          </w:p>
        </w:tc>
      </w:tr>
      <w:tr>
        <w:trPr>
          <w:trHeight w:val="278" w:hRule="atLeast"/>
        </w:trPr>
        <w:tc>
          <w:tcPr>
            <w:tcW w:w="1217"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13118" w:type="dxa"/>
            <w:gridSpan w:val="2"/>
          </w:tcPr>
          <w:p>
            <w:pPr>
              <w:pStyle w:val="TableParagraph"/>
              <w:spacing w:before="24"/>
              <w:ind w:left="110"/>
              <w:rPr>
                <w:sz w:val="20"/>
              </w:rPr>
            </w:pPr>
            <w:bookmarkStart w:name="или" w:id="293"/>
            <w:bookmarkEnd w:id="293"/>
            <w:r>
              <w:rPr/>
            </w:r>
            <w:r>
              <w:rPr>
                <w:sz w:val="20"/>
              </w:rPr>
              <w:t>или</w:t>
            </w:r>
          </w:p>
        </w:tc>
      </w:tr>
      <w:tr>
        <w:trPr>
          <w:trHeight w:val="503" w:hRule="atLeast"/>
        </w:trPr>
        <w:tc>
          <w:tcPr>
            <w:tcW w:w="1217"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3686" w:type="dxa"/>
            <w:shd w:val="clear" w:color="auto" w:fill="F1F1F1"/>
          </w:tcPr>
          <w:p>
            <w:pPr>
              <w:pStyle w:val="TableParagraph"/>
              <w:spacing w:before="137"/>
              <w:ind w:left="110"/>
              <w:rPr>
                <w:sz w:val="20"/>
              </w:rPr>
            </w:pPr>
            <w:bookmarkStart w:name="Апиксабан*" w:id="294"/>
            <w:bookmarkEnd w:id="294"/>
            <w:r>
              <w:rPr/>
            </w:r>
            <w:r>
              <w:rPr>
                <w:sz w:val="20"/>
              </w:rPr>
              <w:t>Апиксабан*</w:t>
            </w:r>
          </w:p>
        </w:tc>
        <w:tc>
          <w:tcPr>
            <w:tcW w:w="9432" w:type="dxa"/>
            <w:shd w:val="clear" w:color="auto" w:fill="F1F1F1"/>
          </w:tcPr>
          <w:p>
            <w:pPr>
              <w:pStyle w:val="TableParagraph"/>
              <w:ind w:left="108"/>
              <w:rPr>
                <w:sz w:val="20"/>
              </w:rPr>
            </w:pPr>
            <w:bookmarkStart w:name="2,5 мг 2 р/сут в течение 30 дней" w:id="295"/>
            <w:bookmarkEnd w:id="295"/>
            <w:r>
              <w:rPr/>
            </w:r>
            <w:r>
              <w:rPr>
                <w:sz w:val="20"/>
              </w:rPr>
              <w:t>2,5 мг 2 р/сут в течение 30 дней</w:t>
            </w:r>
          </w:p>
        </w:tc>
      </w:tr>
    </w:tbl>
    <w:p>
      <w:pPr>
        <w:spacing w:after="0"/>
        <w:rPr>
          <w:sz w:val="20"/>
        </w:rPr>
        <w:sectPr>
          <w:type w:val="continuous"/>
          <w:pgSz w:w="16850" w:h="11920" w:orient="landscape"/>
          <w:pgMar w:top="1600" w:bottom="280" w:left="880" w:right="360"/>
        </w:sectPr>
      </w:pPr>
    </w:p>
    <w:p>
      <w:pPr>
        <w:pStyle w:val="BodyText"/>
        <w:spacing w:before="3"/>
        <w:ind w:left="0"/>
        <w:jc w:val="left"/>
        <w:rPr>
          <w:b/>
          <w:sz w:val="2"/>
        </w:rPr>
      </w:pPr>
    </w:p>
    <w:tbl>
      <w:tblPr>
        <w:tblW w:w="0" w:type="auto"/>
        <w:jc w:val="left"/>
        <w:tblInd w:w="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217"/>
        <w:gridCol w:w="451"/>
        <w:gridCol w:w="3686"/>
        <w:gridCol w:w="9432"/>
      </w:tblGrid>
      <w:tr>
        <w:trPr>
          <w:trHeight w:val="325" w:hRule="atLeast"/>
        </w:trPr>
        <w:tc>
          <w:tcPr>
            <w:tcW w:w="1217" w:type="dxa"/>
            <w:vMerge w:val="restart"/>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spacing w:before="139"/>
              <w:ind w:left="110"/>
              <w:rPr>
                <w:b/>
                <w:sz w:val="20"/>
              </w:rPr>
            </w:pPr>
            <w:bookmarkStart w:name="Схема 2" w:id="296"/>
            <w:bookmarkEnd w:id="296"/>
            <w:r>
              <w:rPr/>
            </w:r>
            <w:r>
              <w:rPr>
                <w:b/>
                <w:sz w:val="20"/>
              </w:rPr>
              <w:t>Схема 2</w:t>
            </w:r>
          </w:p>
        </w:tc>
        <w:tc>
          <w:tcPr>
            <w:tcW w:w="451" w:type="dxa"/>
          </w:tcPr>
          <w:p>
            <w:pPr>
              <w:pStyle w:val="TableParagraph"/>
              <w:spacing w:before="48"/>
              <w:ind w:left="8"/>
              <w:jc w:val="center"/>
              <w:rPr>
                <w:sz w:val="20"/>
              </w:rPr>
            </w:pPr>
            <w:bookmarkStart w:name="1" w:id="297"/>
            <w:bookmarkEnd w:id="297"/>
            <w:r>
              <w:rPr/>
            </w:r>
            <w:r>
              <w:rPr>
                <w:w w:val="99"/>
                <w:sz w:val="20"/>
              </w:rPr>
              <w:t>1</w:t>
            </w:r>
          </w:p>
        </w:tc>
        <w:tc>
          <w:tcPr>
            <w:tcW w:w="3686" w:type="dxa"/>
          </w:tcPr>
          <w:p>
            <w:pPr>
              <w:pStyle w:val="TableParagraph"/>
              <w:spacing w:before="48"/>
              <w:ind w:left="110"/>
              <w:rPr>
                <w:sz w:val="20"/>
              </w:rPr>
            </w:pPr>
            <w:bookmarkStart w:name="Гидроксихлорохин" w:id="298"/>
            <w:bookmarkEnd w:id="298"/>
            <w:r>
              <w:rPr/>
            </w:r>
            <w:r>
              <w:rPr>
                <w:sz w:val="20"/>
              </w:rPr>
              <w:t>Гидроксихлорохин</w:t>
            </w:r>
          </w:p>
        </w:tc>
        <w:tc>
          <w:tcPr>
            <w:tcW w:w="9432" w:type="dxa"/>
          </w:tcPr>
          <w:p>
            <w:pPr>
              <w:pStyle w:val="TableParagraph"/>
              <w:ind w:left="108"/>
              <w:rPr>
                <w:sz w:val="20"/>
              </w:rPr>
            </w:pPr>
            <w:bookmarkStart w:name="400 мг в 1-й день (200 мг 2 р/сут), дале" w:id="299"/>
            <w:bookmarkEnd w:id="299"/>
            <w:r>
              <w:rPr/>
            </w:r>
            <w:r>
              <w:rPr>
                <w:sz w:val="20"/>
              </w:rPr>
              <w:t>400 мг в 1-й день (200 мг 2 р/сут), далее 200 мг в сутки (100 мг 2 р/сут), в течение 6-8 дней</w:t>
            </w:r>
          </w:p>
        </w:tc>
      </w:tr>
      <w:tr>
        <w:trPr>
          <w:trHeight w:val="460" w:hRule="atLeast"/>
        </w:trPr>
        <w:tc>
          <w:tcPr>
            <w:tcW w:w="1217" w:type="dxa"/>
            <w:vMerge/>
            <w:tcBorders>
              <w:top w:val="nil"/>
            </w:tcBorders>
            <w:shd w:val="clear" w:color="auto" w:fill="F1F1F1"/>
          </w:tcPr>
          <w:p>
            <w:pPr>
              <w:rPr>
                <w:sz w:val="2"/>
                <w:szCs w:val="2"/>
              </w:rPr>
            </w:pPr>
          </w:p>
        </w:tc>
        <w:tc>
          <w:tcPr>
            <w:tcW w:w="451" w:type="dxa"/>
            <w:shd w:val="clear" w:color="auto" w:fill="F1F1F1"/>
          </w:tcPr>
          <w:p>
            <w:pPr>
              <w:pStyle w:val="TableParagraph"/>
              <w:spacing w:before="115"/>
              <w:ind w:left="8"/>
              <w:jc w:val="center"/>
              <w:rPr>
                <w:sz w:val="20"/>
              </w:rPr>
            </w:pPr>
            <w:bookmarkStart w:name="2" w:id="300"/>
            <w:bookmarkEnd w:id="300"/>
            <w:r>
              <w:rPr/>
            </w:r>
            <w:r>
              <w:rPr>
                <w:w w:val="99"/>
                <w:sz w:val="20"/>
              </w:rPr>
              <w:t>2</w:t>
            </w:r>
          </w:p>
        </w:tc>
        <w:tc>
          <w:tcPr>
            <w:tcW w:w="3686" w:type="dxa"/>
            <w:shd w:val="clear" w:color="auto" w:fill="F1F1F1"/>
          </w:tcPr>
          <w:p>
            <w:pPr>
              <w:pStyle w:val="TableParagraph"/>
              <w:spacing w:before="115"/>
              <w:ind w:left="110"/>
              <w:rPr>
                <w:sz w:val="20"/>
              </w:rPr>
            </w:pPr>
            <w:bookmarkStart w:name="ИФН-α, интраназальные формы" w:id="301"/>
            <w:bookmarkEnd w:id="301"/>
            <w:r>
              <w:rPr/>
            </w:r>
            <w:r>
              <w:rPr>
                <w:sz w:val="20"/>
              </w:rPr>
              <w:t>ИФН-α, интраназальные формы</w:t>
            </w:r>
          </w:p>
        </w:tc>
        <w:tc>
          <w:tcPr>
            <w:tcW w:w="9432" w:type="dxa"/>
            <w:shd w:val="clear" w:color="auto" w:fill="F1F1F1"/>
          </w:tcPr>
          <w:p>
            <w:pPr>
              <w:pStyle w:val="TableParagraph"/>
              <w:spacing w:line="230" w:lineRule="atLeast"/>
              <w:ind w:left="108" w:right="3301"/>
              <w:rPr>
                <w:sz w:val="20"/>
              </w:rPr>
            </w:pPr>
            <w:bookmarkStart w:name="По 3 капли в каждый носовой ход (3000 МЕ" w:id="302"/>
            <w:bookmarkEnd w:id="302"/>
            <w:r>
              <w:rPr/>
            </w:r>
            <w:bookmarkStart w:name="впрыскивание 5-6 раз" w:id="303"/>
            <w:bookmarkEnd w:id="303"/>
            <w:r>
              <w:rPr/>
            </w:r>
            <w:r>
              <w:rPr>
                <w:sz w:val="20"/>
              </w:rPr>
              <w:t>По 3 капли в каждый носовой ход (3000 МЕ) 5 р/сут в течение 5 дней;</w:t>
            </w:r>
            <w:bookmarkStart w:name="1-2 табл. (500-1000 мг) 2-3 р/сут, не бо" w:id="304"/>
            <w:bookmarkEnd w:id="304"/>
            <w:r>
              <w:rPr>
                <w:sz w:val="20"/>
              </w:rPr>
            </w:r>
            <w:r>
              <w:rPr>
                <w:sz w:val="20"/>
              </w:rPr>
              <w:t> впрыскивание 5-6 раз</w:t>
            </w:r>
          </w:p>
        </w:tc>
      </w:tr>
      <w:tr>
        <w:trPr>
          <w:trHeight w:val="277" w:hRule="atLeast"/>
        </w:trPr>
        <w:tc>
          <w:tcPr>
            <w:tcW w:w="1217" w:type="dxa"/>
            <w:vMerge/>
            <w:tcBorders>
              <w:top w:val="nil"/>
            </w:tcBorders>
            <w:shd w:val="clear" w:color="auto" w:fill="F1F1F1"/>
          </w:tcPr>
          <w:p>
            <w:pPr>
              <w:rPr>
                <w:sz w:val="2"/>
                <w:szCs w:val="2"/>
              </w:rPr>
            </w:pPr>
          </w:p>
        </w:tc>
        <w:tc>
          <w:tcPr>
            <w:tcW w:w="451" w:type="dxa"/>
          </w:tcPr>
          <w:p>
            <w:pPr>
              <w:pStyle w:val="TableParagraph"/>
              <w:spacing w:before="24"/>
              <w:ind w:left="8"/>
              <w:jc w:val="center"/>
              <w:rPr>
                <w:sz w:val="20"/>
              </w:rPr>
            </w:pPr>
            <w:bookmarkStart w:name="3" w:id="305"/>
            <w:bookmarkEnd w:id="305"/>
            <w:r>
              <w:rPr/>
            </w:r>
            <w:r>
              <w:rPr>
                <w:w w:val="99"/>
                <w:sz w:val="20"/>
              </w:rPr>
              <w:t>3</w:t>
            </w:r>
          </w:p>
        </w:tc>
        <w:tc>
          <w:tcPr>
            <w:tcW w:w="3686" w:type="dxa"/>
          </w:tcPr>
          <w:p>
            <w:pPr>
              <w:pStyle w:val="TableParagraph"/>
              <w:spacing w:before="24"/>
              <w:ind w:left="110"/>
              <w:rPr>
                <w:sz w:val="20"/>
              </w:rPr>
            </w:pPr>
            <w:bookmarkStart w:name="Парацетамол" w:id="306"/>
            <w:bookmarkEnd w:id="306"/>
            <w:r>
              <w:rPr/>
            </w:r>
            <w:r>
              <w:rPr>
                <w:sz w:val="20"/>
              </w:rPr>
              <w:t>Парацетамол</w:t>
            </w:r>
          </w:p>
        </w:tc>
        <w:tc>
          <w:tcPr>
            <w:tcW w:w="9432" w:type="dxa"/>
          </w:tcPr>
          <w:p>
            <w:pPr>
              <w:pStyle w:val="TableParagraph"/>
              <w:ind w:left="108"/>
              <w:rPr>
                <w:sz w:val="20"/>
              </w:rPr>
            </w:pPr>
            <w:r>
              <w:rPr>
                <w:sz w:val="20"/>
              </w:rPr>
              <w:t>1-2 табл. (500-1000 мг) 2-3 р/сут, не более 4 г в сутки</w:t>
            </w:r>
          </w:p>
        </w:tc>
      </w:tr>
      <w:tr>
        <w:trPr>
          <w:trHeight w:val="270" w:hRule="atLeast"/>
        </w:trPr>
        <w:tc>
          <w:tcPr>
            <w:tcW w:w="1217" w:type="dxa"/>
            <w:vMerge/>
            <w:tcBorders>
              <w:top w:val="nil"/>
            </w:tcBorders>
            <w:shd w:val="clear" w:color="auto" w:fill="F1F1F1"/>
          </w:tcPr>
          <w:p>
            <w:pPr>
              <w:rPr>
                <w:sz w:val="2"/>
                <w:szCs w:val="2"/>
              </w:rPr>
            </w:pPr>
          </w:p>
        </w:tc>
        <w:tc>
          <w:tcPr>
            <w:tcW w:w="451" w:type="dxa"/>
            <w:vMerge w:val="restart"/>
            <w:shd w:val="clear" w:color="auto" w:fill="F1F1F1"/>
          </w:tcPr>
          <w:p>
            <w:pPr>
              <w:pStyle w:val="TableParagraph"/>
              <w:spacing w:before="5"/>
              <w:rPr>
                <w:b/>
                <w:sz w:val="30"/>
              </w:rPr>
            </w:pPr>
          </w:p>
          <w:p>
            <w:pPr>
              <w:pStyle w:val="TableParagraph"/>
              <w:ind w:left="8"/>
              <w:jc w:val="center"/>
              <w:rPr>
                <w:sz w:val="20"/>
              </w:rPr>
            </w:pPr>
            <w:bookmarkStart w:name="4" w:id="307"/>
            <w:bookmarkEnd w:id="307"/>
            <w:r>
              <w:rPr/>
            </w:r>
            <w:r>
              <w:rPr>
                <w:w w:val="99"/>
                <w:sz w:val="20"/>
              </w:rPr>
              <w:t>4</w:t>
            </w:r>
          </w:p>
        </w:tc>
        <w:tc>
          <w:tcPr>
            <w:tcW w:w="3686" w:type="dxa"/>
            <w:shd w:val="clear" w:color="auto" w:fill="F1F1F1"/>
          </w:tcPr>
          <w:p>
            <w:pPr>
              <w:pStyle w:val="TableParagraph"/>
              <w:spacing w:line="229" w:lineRule="exact" w:before="22"/>
              <w:ind w:left="110"/>
              <w:rPr>
                <w:sz w:val="20"/>
              </w:rPr>
            </w:pPr>
            <w:bookmarkStart w:name="Ривароксабан *" w:id="308"/>
            <w:bookmarkEnd w:id="308"/>
            <w:r>
              <w:rPr/>
            </w:r>
            <w:r>
              <w:rPr>
                <w:sz w:val="20"/>
              </w:rPr>
              <w:t>Ривароксабан *</w:t>
            </w:r>
          </w:p>
        </w:tc>
        <w:tc>
          <w:tcPr>
            <w:tcW w:w="9432" w:type="dxa"/>
            <w:shd w:val="clear" w:color="auto" w:fill="F1F1F1"/>
          </w:tcPr>
          <w:p>
            <w:pPr>
              <w:pStyle w:val="TableParagraph"/>
              <w:ind w:left="108"/>
              <w:rPr>
                <w:sz w:val="20"/>
              </w:rPr>
            </w:pPr>
            <w:bookmarkStart w:name="10 мг 1 р/сут в течение 30 дней " w:id="309"/>
            <w:bookmarkEnd w:id="309"/>
            <w:r>
              <w:rPr/>
            </w:r>
            <w:r>
              <w:rPr>
                <w:sz w:val="20"/>
              </w:rPr>
              <w:t>10 мг 1 р/сут в течение 30 дней</w:t>
            </w:r>
          </w:p>
        </w:tc>
      </w:tr>
      <w:tr>
        <w:trPr>
          <w:trHeight w:val="289" w:hRule="atLeast"/>
        </w:trPr>
        <w:tc>
          <w:tcPr>
            <w:tcW w:w="1217"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13118" w:type="dxa"/>
            <w:gridSpan w:val="2"/>
          </w:tcPr>
          <w:p>
            <w:pPr>
              <w:pStyle w:val="TableParagraph"/>
              <w:spacing w:before="31"/>
              <w:ind w:left="110"/>
              <w:rPr>
                <w:sz w:val="20"/>
              </w:rPr>
            </w:pPr>
            <w:bookmarkStart w:name="или" w:id="310"/>
            <w:bookmarkEnd w:id="310"/>
            <w:r>
              <w:rPr/>
            </w:r>
            <w:r>
              <w:rPr>
                <w:sz w:val="20"/>
              </w:rPr>
              <w:t>или</w:t>
            </w:r>
          </w:p>
        </w:tc>
      </w:tr>
      <w:tr>
        <w:trPr>
          <w:trHeight w:val="350" w:hRule="atLeast"/>
        </w:trPr>
        <w:tc>
          <w:tcPr>
            <w:tcW w:w="1217"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3686" w:type="dxa"/>
          </w:tcPr>
          <w:p>
            <w:pPr>
              <w:pStyle w:val="TableParagraph"/>
              <w:spacing w:before="60"/>
              <w:ind w:left="110"/>
              <w:rPr>
                <w:sz w:val="20"/>
              </w:rPr>
            </w:pPr>
            <w:bookmarkStart w:name="Апиксабан*" w:id="311"/>
            <w:bookmarkEnd w:id="311"/>
            <w:r>
              <w:rPr/>
            </w:r>
            <w:r>
              <w:rPr>
                <w:sz w:val="20"/>
              </w:rPr>
              <w:t>Апиксабан*</w:t>
            </w:r>
          </w:p>
        </w:tc>
        <w:tc>
          <w:tcPr>
            <w:tcW w:w="9432" w:type="dxa"/>
          </w:tcPr>
          <w:p>
            <w:pPr>
              <w:pStyle w:val="TableParagraph"/>
              <w:ind w:left="108"/>
              <w:rPr>
                <w:sz w:val="20"/>
              </w:rPr>
            </w:pPr>
            <w:bookmarkStart w:name="2,5 мг 2 р/сут в течение 30 дней" w:id="312"/>
            <w:bookmarkEnd w:id="312"/>
            <w:r>
              <w:rPr/>
            </w:r>
            <w:r>
              <w:rPr>
                <w:sz w:val="20"/>
              </w:rPr>
              <w:t>2,5 мг 2 р/сут в течение 30 дней</w:t>
            </w:r>
          </w:p>
        </w:tc>
      </w:tr>
      <w:tr>
        <w:trPr>
          <w:trHeight w:val="460" w:hRule="atLeast"/>
        </w:trPr>
        <w:tc>
          <w:tcPr>
            <w:tcW w:w="1217" w:type="dxa"/>
          </w:tcPr>
          <w:p>
            <w:pPr>
              <w:pStyle w:val="TableParagraph"/>
              <w:rPr>
                <w:sz w:val="18"/>
              </w:rPr>
            </w:pPr>
          </w:p>
        </w:tc>
        <w:tc>
          <w:tcPr>
            <w:tcW w:w="13569" w:type="dxa"/>
            <w:gridSpan w:val="3"/>
          </w:tcPr>
          <w:p>
            <w:pPr>
              <w:pStyle w:val="TableParagraph"/>
              <w:spacing w:line="230" w:lineRule="atLeast"/>
              <w:ind w:left="107"/>
              <w:rPr>
                <w:sz w:val="20"/>
              </w:rPr>
            </w:pPr>
            <w:r>
              <w:rPr>
                <w:sz w:val="20"/>
              </w:rPr>
              <w:t>При появлении признаков бактериальной суперинфекции (лейкоцитоз ≥ 10 тыс,/мкл, палочкоядерный сдвиг ≥6%, гнойная мокрота, повышение прокальцитонина ≥ 0.5 нг/мл) в схему 1 и 2 наз</w:t>
            </w:r>
            <w:bookmarkStart w:name="0,5 г внутрь каждые 8 ч или 0,875 г внут" w:id="313"/>
            <w:bookmarkEnd w:id="313"/>
            <w:r>
              <w:rPr>
                <w:sz w:val="20"/>
              </w:rPr>
              <w:t>н</w:t>
            </w:r>
            <w:r>
              <w:rPr>
                <w:sz w:val="20"/>
              </w:rPr>
              <w:t>ачается антибактериальная терапия длительностью 5-10 дней</w:t>
            </w:r>
          </w:p>
        </w:tc>
      </w:tr>
      <w:tr>
        <w:trPr>
          <w:trHeight w:val="460" w:hRule="atLeast"/>
        </w:trPr>
        <w:tc>
          <w:tcPr>
            <w:tcW w:w="1217" w:type="dxa"/>
            <w:vMerge w:val="restart"/>
          </w:tcPr>
          <w:p>
            <w:pPr>
              <w:pStyle w:val="TableParagraph"/>
              <w:rPr>
                <w:sz w:val="18"/>
              </w:rPr>
            </w:pPr>
          </w:p>
        </w:tc>
        <w:tc>
          <w:tcPr>
            <w:tcW w:w="451" w:type="dxa"/>
            <w:vMerge w:val="restart"/>
          </w:tcPr>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spacing w:before="141"/>
              <w:ind w:left="8"/>
              <w:jc w:val="center"/>
              <w:rPr>
                <w:sz w:val="20"/>
              </w:rPr>
            </w:pPr>
            <w:bookmarkStart w:name="5" w:id="314"/>
            <w:bookmarkEnd w:id="314"/>
            <w:r>
              <w:rPr/>
            </w:r>
            <w:r>
              <w:rPr>
                <w:w w:val="99"/>
                <w:sz w:val="20"/>
              </w:rPr>
              <w:t>5</w:t>
            </w:r>
          </w:p>
        </w:tc>
        <w:tc>
          <w:tcPr>
            <w:tcW w:w="3686" w:type="dxa"/>
          </w:tcPr>
          <w:p>
            <w:pPr>
              <w:pStyle w:val="TableParagraph"/>
              <w:spacing w:before="115"/>
              <w:ind w:left="110"/>
              <w:rPr>
                <w:sz w:val="20"/>
              </w:rPr>
            </w:pPr>
            <w:bookmarkStart w:name="Амоксициллин +клавулановая кислота" w:id="315"/>
            <w:bookmarkEnd w:id="315"/>
            <w:r>
              <w:rPr/>
            </w:r>
            <w:r>
              <w:rPr>
                <w:sz w:val="20"/>
              </w:rPr>
              <w:t>Амоксициллин +клавулановая кислота</w:t>
            </w:r>
          </w:p>
        </w:tc>
        <w:tc>
          <w:tcPr>
            <w:tcW w:w="9432" w:type="dxa"/>
          </w:tcPr>
          <w:p>
            <w:pPr>
              <w:pStyle w:val="TableParagraph"/>
              <w:ind w:left="108"/>
              <w:rPr>
                <w:sz w:val="20"/>
              </w:rPr>
            </w:pPr>
            <w:r>
              <w:rPr>
                <w:sz w:val="20"/>
              </w:rPr>
              <w:t>0,5 г внутрь каждые 8 ч или 0,875 г внутрь каждые 12 ч</w:t>
            </w:r>
          </w:p>
          <w:p>
            <w:pPr>
              <w:pStyle w:val="TableParagraph"/>
              <w:spacing w:line="210" w:lineRule="exact"/>
              <w:ind w:left="108"/>
              <w:rPr>
                <w:sz w:val="20"/>
              </w:rPr>
            </w:pPr>
            <w:bookmarkStart w:name="или" w:id="316"/>
            <w:bookmarkEnd w:id="316"/>
            <w:r>
              <w:rPr/>
            </w:r>
            <w:r>
              <w:rPr>
                <w:sz w:val="20"/>
              </w:rPr>
              <w:t>или 2 г внутрь каждые 12 ч (таблетки с модифицированным высвобождением)</w:t>
            </w:r>
          </w:p>
        </w:tc>
      </w:tr>
      <w:tr>
        <w:trPr>
          <w:trHeight w:val="229"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13118" w:type="dxa"/>
            <w:gridSpan w:val="2"/>
          </w:tcPr>
          <w:p>
            <w:pPr>
              <w:pStyle w:val="TableParagraph"/>
              <w:spacing w:line="210" w:lineRule="exact"/>
              <w:ind w:left="110"/>
              <w:rPr>
                <w:sz w:val="20"/>
              </w:rPr>
            </w:pPr>
            <w:r>
              <w:rPr>
                <w:sz w:val="20"/>
              </w:rPr>
              <w:t>или</w:t>
            </w:r>
          </w:p>
        </w:tc>
      </w:tr>
      <w:tr>
        <w:trPr>
          <w:trHeight w:val="330"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3686" w:type="dxa"/>
            <w:shd w:val="clear" w:color="auto" w:fill="F1F1F1"/>
          </w:tcPr>
          <w:p>
            <w:pPr>
              <w:pStyle w:val="TableParagraph"/>
              <w:spacing w:before="50"/>
              <w:ind w:left="110"/>
              <w:rPr>
                <w:sz w:val="20"/>
              </w:rPr>
            </w:pPr>
            <w:bookmarkStart w:name="Амоксициллин" w:id="317"/>
            <w:bookmarkEnd w:id="317"/>
            <w:r>
              <w:rPr/>
            </w:r>
            <w:hyperlink r:id="rId99">
              <w:r>
                <w:rPr>
                  <w:sz w:val="20"/>
                </w:rPr>
                <w:t>Амоксициллин</w:t>
              </w:r>
            </w:hyperlink>
          </w:p>
        </w:tc>
        <w:tc>
          <w:tcPr>
            <w:tcW w:w="9432" w:type="dxa"/>
            <w:shd w:val="clear" w:color="auto" w:fill="F1F1F1"/>
          </w:tcPr>
          <w:p>
            <w:pPr>
              <w:pStyle w:val="TableParagraph"/>
              <w:ind w:left="108"/>
              <w:rPr>
                <w:sz w:val="20"/>
              </w:rPr>
            </w:pPr>
            <w:bookmarkStart w:name="0,5 или 1 г (предпочтительно) внутрь каж" w:id="318"/>
            <w:bookmarkEnd w:id="318"/>
            <w:r>
              <w:rPr/>
            </w:r>
            <w:r>
              <w:rPr>
                <w:sz w:val="20"/>
              </w:rPr>
              <w:t>0,5 или 1 г (предпочтительно) внутрь каждые 8 ч</w:t>
            </w:r>
          </w:p>
        </w:tc>
      </w:tr>
      <w:tr>
        <w:trPr>
          <w:trHeight w:val="234"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13118" w:type="dxa"/>
            <w:gridSpan w:val="2"/>
          </w:tcPr>
          <w:p>
            <w:pPr>
              <w:pStyle w:val="TableParagraph"/>
              <w:spacing w:line="212" w:lineRule="exact" w:before="2"/>
              <w:ind w:left="110"/>
              <w:rPr>
                <w:sz w:val="20"/>
              </w:rPr>
            </w:pPr>
            <w:bookmarkStart w:name="или" w:id="319"/>
            <w:bookmarkEnd w:id="319"/>
            <w:r>
              <w:rPr/>
            </w:r>
            <w:bookmarkStart w:name="Азитромицин" w:id="320"/>
            <w:bookmarkEnd w:id="320"/>
            <w:r>
              <w:rPr/>
            </w:r>
            <w:r>
              <w:rPr>
                <w:sz w:val="20"/>
              </w:rPr>
              <w:t>или</w:t>
            </w:r>
          </w:p>
        </w:tc>
      </w:tr>
      <w:tr>
        <w:trPr>
          <w:trHeight w:val="242"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3686" w:type="dxa"/>
          </w:tcPr>
          <w:p>
            <w:pPr>
              <w:pStyle w:val="TableParagraph"/>
              <w:spacing w:line="215" w:lineRule="exact" w:before="7"/>
              <w:ind w:left="110"/>
              <w:rPr>
                <w:sz w:val="20"/>
              </w:rPr>
            </w:pPr>
            <w:r>
              <w:rPr>
                <w:sz w:val="20"/>
              </w:rPr>
              <w:t>Азитромицин</w:t>
            </w:r>
          </w:p>
        </w:tc>
        <w:tc>
          <w:tcPr>
            <w:tcW w:w="9432" w:type="dxa"/>
          </w:tcPr>
          <w:p>
            <w:pPr>
              <w:pStyle w:val="TableParagraph"/>
              <w:spacing w:line="222" w:lineRule="exact"/>
              <w:ind w:left="108"/>
              <w:rPr>
                <w:sz w:val="20"/>
              </w:rPr>
            </w:pPr>
            <w:bookmarkStart w:name="0,5 г внутрь в 1-й день, затем по 0,25 г" w:id="321"/>
            <w:bookmarkEnd w:id="321"/>
            <w:r>
              <w:rPr/>
            </w:r>
            <w:r>
              <w:rPr>
                <w:sz w:val="20"/>
              </w:rPr>
              <w:t>0,5 г внутрь в 1-й день, затем по 0,25 г каждые 24 ч (5-дневный курс)</w:t>
            </w:r>
          </w:p>
        </w:tc>
      </w:tr>
      <w:tr>
        <w:trPr>
          <w:trHeight w:val="239"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13118" w:type="dxa"/>
            <w:gridSpan w:val="2"/>
          </w:tcPr>
          <w:p>
            <w:pPr>
              <w:pStyle w:val="TableParagraph"/>
              <w:spacing w:line="215" w:lineRule="exact" w:before="5"/>
              <w:ind w:left="110"/>
              <w:rPr>
                <w:sz w:val="20"/>
              </w:rPr>
            </w:pPr>
            <w:bookmarkStart w:name="или" w:id="322"/>
            <w:bookmarkEnd w:id="322"/>
            <w:r>
              <w:rPr/>
            </w:r>
            <w:r>
              <w:rPr>
                <w:sz w:val="20"/>
              </w:rPr>
              <w:t>или</w:t>
            </w:r>
          </w:p>
        </w:tc>
      </w:tr>
      <w:tr>
        <w:trPr>
          <w:trHeight w:val="242"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3686" w:type="dxa"/>
            <w:shd w:val="clear" w:color="auto" w:fill="F1F1F1"/>
          </w:tcPr>
          <w:p>
            <w:pPr>
              <w:pStyle w:val="TableParagraph"/>
              <w:spacing w:line="215" w:lineRule="exact" w:before="7"/>
              <w:ind w:left="110"/>
              <w:rPr>
                <w:sz w:val="20"/>
              </w:rPr>
            </w:pPr>
            <w:bookmarkStart w:name="Левофлоксацин" w:id="323"/>
            <w:bookmarkEnd w:id="323"/>
            <w:r>
              <w:rPr/>
            </w:r>
            <w:r>
              <w:rPr>
                <w:sz w:val="20"/>
              </w:rPr>
              <w:t>Левофлоксацин</w:t>
            </w:r>
          </w:p>
        </w:tc>
        <w:tc>
          <w:tcPr>
            <w:tcW w:w="9432" w:type="dxa"/>
            <w:shd w:val="clear" w:color="auto" w:fill="F1F1F1"/>
          </w:tcPr>
          <w:p>
            <w:pPr>
              <w:pStyle w:val="TableParagraph"/>
              <w:spacing w:line="222" w:lineRule="exact"/>
              <w:ind w:left="108"/>
              <w:rPr>
                <w:sz w:val="20"/>
              </w:rPr>
            </w:pPr>
            <w:bookmarkStart w:name="0,5 г внутрь каждые 12 ч или 0,75 г кажд" w:id="324"/>
            <w:bookmarkEnd w:id="324"/>
            <w:r>
              <w:rPr/>
            </w:r>
            <w:r>
              <w:rPr>
                <w:sz w:val="20"/>
              </w:rPr>
              <w:t>0,5 г внутрь каждые 12 ч или 0,75 г каждые 24 ч</w:t>
            </w:r>
          </w:p>
        </w:tc>
      </w:tr>
      <w:tr>
        <w:trPr>
          <w:trHeight w:val="242"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13118" w:type="dxa"/>
            <w:gridSpan w:val="2"/>
          </w:tcPr>
          <w:p>
            <w:pPr>
              <w:pStyle w:val="TableParagraph"/>
              <w:spacing w:line="217" w:lineRule="exact" w:before="5"/>
              <w:ind w:left="110"/>
              <w:rPr>
                <w:sz w:val="20"/>
              </w:rPr>
            </w:pPr>
            <w:bookmarkStart w:name="или" w:id="325"/>
            <w:bookmarkEnd w:id="325"/>
            <w:r>
              <w:rPr/>
            </w:r>
            <w:r>
              <w:rPr>
                <w:sz w:val="20"/>
              </w:rPr>
              <w:t>или</w:t>
            </w:r>
          </w:p>
        </w:tc>
      </w:tr>
      <w:tr>
        <w:trPr>
          <w:trHeight w:val="239"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3686" w:type="dxa"/>
          </w:tcPr>
          <w:p>
            <w:pPr>
              <w:pStyle w:val="TableParagraph"/>
              <w:spacing w:line="215" w:lineRule="exact" w:before="5"/>
              <w:ind w:left="110"/>
              <w:rPr>
                <w:sz w:val="20"/>
              </w:rPr>
            </w:pPr>
            <w:bookmarkStart w:name="Моксифлоксацин" w:id="326"/>
            <w:bookmarkEnd w:id="326"/>
            <w:r>
              <w:rPr/>
            </w:r>
            <w:hyperlink r:id="rId100">
              <w:r>
                <w:rPr>
                  <w:sz w:val="20"/>
                </w:rPr>
                <w:t>Моксифлоксацин</w:t>
              </w:r>
            </w:hyperlink>
          </w:p>
        </w:tc>
        <w:tc>
          <w:tcPr>
            <w:tcW w:w="9432" w:type="dxa"/>
          </w:tcPr>
          <w:p>
            <w:pPr>
              <w:pStyle w:val="TableParagraph"/>
              <w:spacing w:line="219" w:lineRule="exact"/>
              <w:ind w:left="108"/>
              <w:rPr>
                <w:sz w:val="20"/>
              </w:rPr>
            </w:pPr>
            <w:bookmarkStart w:name="0,4 г внутрь каждые 24 ч" w:id="327"/>
            <w:bookmarkEnd w:id="327"/>
            <w:r>
              <w:rPr/>
            </w:r>
            <w:r>
              <w:rPr>
                <w:sz w:val="20"/>
              </w:rPr>
              <w:t>0,4 г внутрь каждые 24 ч</w:t>
            </w:r>
          </w:p>
        </w:tc>
      </w:tr>
      <w:tr>
        <w:trPr>
          <w:trHeight w:val="242"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13118" w:type="dxa"/>
            <w:gridSpan w:val="2"/>
          </w:tcPr>
          <w:p>
            <w:pPr>
              <w:pStyle w:val="TableParagraph"/>
              <w:spacing w:line="217" w:lineRule="exact" w:before="5"/>
              <w:ind w:left="110"/>
              <w:rPr>
                <w:sz w:val="20"/>
              </w:rPr>
            </w:pPr>
            <w:bookmarkStart w:name="или" w:id="328"/>
            <w:bookmarkEnd w:id="328"/>
            <w:r>
              <w:rPr/>
            </w:r>
            <w:r>
              <w:rPr>
                <w:sz w:val="20"/>
              </w:rPr>
              <w:t>или</w:t>
            </w:r>
          </w:p>
        </w:tc>
      </w:tr>
      <w:tr>
        <w:trPr>
          <w:trHeight w:val="239"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3686" w:type="dxa"/>
            <w:shd w:val="clear" w:color="auto" w:fill="F1F1F1"/>
          </w:tcPr>
          <w:p>
            <w:pPr>
              <w:pStyle w:val="TableParagraph"/>
              <w:spacing w:line="215" w:lineRule="exact" w:before="5"/>
              <w:ind w:left="110"/>
              <w:rPr>
                <w:sz w:val="20"/>
              </w:rPr>
            </w:pPr>
            <w:bookmarkStart w:name="Кларитромицин" w:id="329"/>
            <w:bookmarkEnd w:id="329"/>
            <w:r>
              <w:rPr/>
            </w:r>
            <w:hyperlink r:id="rId101">
              <w:r>
                <w:rPr>
                  <w:sz w:val="20"/>
                </w:rPr>
                <w:t>Кларитромицин</w:t>
              </w:r>
            </w:hyperlink>
          </w:p>
        </w:tc>
        <w:tc>
          <w:tcPr>
            <w:tcW w:w="9432" w:type="dxa"/>
            <w:shd w:val="clear" w:color="auto" w:fill="F1F1F1"/>
          </w:tcPr>
          <w:p>
            <w:pPr>
              <w:pStyle w:val="TableParagraph"/>
              <w:spacing w:line="219" w:lineRule="exact"/>
              <w:ind w:left="108"/>
              <w:rPr>
                <w:sz w:val="20"/>
              </w:rPr>
            </w:pPr>
            <w:bookmarkStart w:name="0,5 г внутрь каждые 12 ч" w:id="330"/>
            <w:bookmarkEnd w:id="330"/>
            <w:r>
              <w:rPr/>
            </w:r>
            <w:r>
              <w:rPr>
                <w:sz w:val="20"/>
              </w:rPr>
              <w:t>0,5 г внутрь каждые 12 ч</w:t>
            </w:r>
          </w:p>
        </w:tc>
      </w:tr>
      <w:tr>
        <w:trPr>
          <w:trHeight w:val="455" w:hRule="atLeast"/>
        </w:trPr>
        <w:tc>
          <w:tcPr>
            <w:tcW w:w="1217" w:type="dxa"/>
          </w:tcPr>
          <w:p>
            <w:pPr>
              <w:pStyle w:val="TableParagraph"/>
              <w:rPr>
                <w:sz w:val="18"/>
              </w:rPr>
            </w:pPr>
          </w:p>
        </w:tc>
        <w:tc>
          <w:tcPr>
            <w:tcW w:w="13569" w:type="dxa"/>
            <w:gridSpan w:val="3"/>
            <w:shd w:val="clear" w:color="auto" w:fill="F1F1F1"/>
          </w:tcPr>
          <w:p>
            <w:pPr>
              <w:pStyle w:val="TableParagraph"/>
              <w:spacing w:before="113"/>
              <w:ind w:left="4933" w:right="4924"/>
              <w:jc w:val="center"/>
              <w:rPr>
                <w:b/>
                <w:sz w:val="20"/>
              </w:rPr>
            </w:pPr>
            <w:bookmarkStart w:name="Среднетяжелое течение (с пневмонией)" w:id="331"/>
            <w:bookmarkEnd w:id="331"/>
            <w:r>
              <w:rPr/>
            </w:r>
            <w:r>
              <w:rPr>
                <w:b/>
                <w:sz w:val="20"/>
              </w:rPr>
              <w:t>Среднетяжелое течение (с пневмонией)</w:t>
            </w:r>
          </w:p>
        </w:tc>
      </w:tr>
      <w:tr>
        <w:trPr>
          <w:trHeight w:val="918" w:hRule="atLeast"/>
        </w:trPr>
        <w:tc>
          <w:tcPr>
            <w:tcW w:w="1217" w:type="dxa"/>
            <w:vMerge w:val="restart"/>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spacing w:before="5"/>
              <w:rPr>
                <w:b/>
                <w:sz w:val="25"/>
              </w:rPr>
            </w:pPr>
          </w:p>
          <w:p>
            <w:pPr>
              <w:pStyle w:val="TableParagraph"/>
              <w:ind w:left="110"/>
              <w:rPr>
                <w:b/>
                <w:sz w:val="20"/>
              </w:rPr>
            </w:pPr>
            <w:bookmarkStart w:name="Схема 1" w:id="332"/>
            <w:bookmarkEnd w:id="332"/>
            <w:r>
              <w:rPr/>
            </w:r>
            <w:r>
              <w:rPr>
                <w:b/>
                <w:sz w:val="20"/>
              </w:rPr>
              <w:t>Схема 1</w:t>
            </w:r>
          </w:p>
        </w:tc>
        <w:tc>
          <w:tcPr>
            <w:tcW w:w="451" w:type="dxa"/>
          </w:tcPr>
          <w:p>
            <w:pPr>
              <w:pStyle w:val="TableParagraph"/>
              <w:spacing w:before="10"/>
              <w:rPr>
                <w:b/>
                <w:sz w:val="29"/>
              </w:rPr>
            </w:pPr>
          </w:p>
          <w:p>
            <w:pPr>
              <w:pStyle w:val="TableParagraph"/>
              <w:ind w:left="8"/>
              <w:jc w:val="center"/>
              <w:rPr>
                <w:sz w:val="20"/>
              </w:rPr>
            </w:pPr>
            <w:bookmarkStart w:name="1" w:id="333"/>
            <w:bookmarkEnd w:id="333"/>
            <w:r>
              <w:rPr/>
            </w:r>
            <w:r>
              <w:rPr>
                <w:w w:val="99"/>
                <w:sz w:val="20"/>
              </w:rPr>
              <w:t>1</w:t>
            </w:r>
          </w:p>
        </w:tc>
        <w:tc>
          <w:tcPr>
            <w:tcW w:w="3686" w:type="dxa"/>
          </w:tcPr>
          <w:p>
            <w:pPr>
              <w:pStyle w:val="TableParagraph"/>
              <w:spacing w:before="10"/>
              <w:rPr>
                <w:b/>
                <w:sz w:val="29"/>
              </w:rPr>
            </w:pPr>
          </w:p>
          <w:p>
            <w:pPr>
              <w:pStyle w:val="TableParagraph"/>
              <w:ind w:left="110"/>
              <w:rPr>
                <w:sz w:val="20"/>
              </w:rPr>
            </w:pPr>
            <w:bookmarkStart w:name="Фавипиравир" w:id="334"/>
            <w:bookmarkEnd w:id="334"/>
            <w:r>
              <w:rPr/>
            </w:r>
            <w:r>
              <w:rPr>
                <w:sz w:val="20"/>
              </w:rPr>
              <w:t>Фавипиравир</w:t>
            </w:r>
          </w:p>
        </w:tc>
        <w:tc>
          <w:tcPr>
            <w:tcW w:w="9432" w:type="dxa"/>
          </w:tcPr>
          <w:p>
            <w:pPr>
              <w:pStyle w:val="TableParagraph"/>
              <w:ind w:left="108"/>
              <w:rPr>
                <w:sz w:val="20"/>
              </w:rPr>
            </w:pPr>
            <w:bookmarkStart w:name="Для пациентов с массой тела ˂75 кг: " w:id="335"/>
            <w:bookmarkEnd w:id="335"/>
            <w:r>
              <w:rPr/>
            </w:r>
            <w:bookmarkStart w:name="по 1600 мг 2 р/сут в 1-й день и далее по" w:id="336"/>
            <w:bookmarkEnd w:id="336"/>
            <w:r>
              <w:rPr/>
            </w:r>
            <w:r>
              <w:rPr>
                <w:sz w:val="20"/>
              </w:rPr>
              <w:t>Для пациентов с массой тела ˂75 кг:</w:t>
            </w:r>
          </w:p>
          <w:p>
            <w:pPr>
              <w:pStyle w:val="TableParagraph"/>
              <w:ind w:left="108" w:right="2994"/>
              <w:rPr>
                <w:sz w:val="20"/>
              </w:rPr>
            </w:pPr>
            <w:bookmarkStart w:name="Для пациентов с массой тела 75 кг и боле" w:id="337"/>
            <w:bookmarkEnd w:id="337"/>
            <w:r>
              <w:rPr/>
            </w:r>
            <w:r>
              <w:rPr>
                <w:sz w:val="20"/>
              </w:rPr>
              <w:t>по 1600 мг 2 р/сут в 1-й день и далее по 600 мг 2 р/сут со 2 по 10 день.</w:t>
            </w:r>
            <w:bookmarkStart w:name="по 1800 мг 2 раза/сут в 1-й день, далее " w:id="338"/>
            <w:bookmarkEnd w:id="338"/>
            <w:r>
              <w:rPr>
                <w:sz w:val="20"/>
              </w:rPr>
            </w:r>
            <w:r>
              <w:rPr>
                <w:sz w:val="20"/>
              </w:rPr>
              <w:t> Для пациентов с массой тела 75 кг и более:</w:t>
            </w:r>
          </w:p>
          <w:p>
            <w:pPr>
              <w:pStyle w:val="TableParagraph"/>
              <w:spacing w:line="208" w:lineRule="exact"/>
              <w:ind w:left="108"/>
              <w:rPr>
                <w:sz w:val="20"/>
              </w:rPr>
            </w:pPr>
            <w:r>
              <w:rPr>
                <w:sz w:val="20"/>
              </w:rPr>
              <w:t>по 1800 мг 2 раза/сут в 1-й день, далее по 800 мг 2 раза/сут со 2 по 10 день.</w:t>
            </w:r>
          </w:p>
        </w:tc>
      </w:tr>
      <w:tr>
        <w:trPr>
          <w:trHeight w:val="352" w:hRule="atLeast"/>
        </w:trPr>
        <w:tc>
          <w:tcPr>
            <w:tcW w:w="1217" w:type="dxa"/>
            <w:vMerge/>
            <w:tcBorders>
              <w:top w:val="nil"/>
            </w:tcBorders>
            <w:shd w:val="clear" w:color="auto" w:fill="F1F1F1"/>
          </w:tcPr>
          <w:p>
            <w:pPr>
              <w:rPr>
                <w:sz w:val="2"/>
                <w:szCs w:val="2"/>
              </w:rPr>
            </w:pPr>
          </w:p>
        </w:tc>
        <w:tc>
          <w:tcPr>
            <w:tcW w:w="451" w:type="dxa"/>
            <w:vMerge w:val="restart"/>
          </w:tcPr>
          <w:p>
            <w:pPr>
              <w:pStyle w:val="TableParagraph"/>
              <w:spacing w:before="9"/>
              <w:rPr>
                <w:b/>
                <w:sz w:val="32"/>
              </w:rPr>
            </w:pPr>
          </w:p>
          <w:p>
            <w:pPr>
              <w:pStyle w:val="TableParagraph"/>
              <w:ind w:left="8"/>
              <w:jc w:val="center"/>
              <w:rPr>
                <w:sz w:val="20"/>
              </w:rPr>
            </w:pPr>
            <w:bookmarkStart w:name="2" w:id="339"/>
            <w:bookmarkEnd w:id="339"/>
            <w:r>
              <w:rPr/>
            </w:r>
            <w:r>
              <w:rPr>
                <w:w w:val="99"/>
                <w:sz w:val="20"/>
              </w:rPr>
              <w:t>2</w:t>
            </w:r>
          </w:p>
        </w:tc>
        <w:tc>
          <w:tcPr>
            <w:tcW w:w="3686" w:type="dxa"/>
            <w:shd w:val="clear" w:color="auto" w:fill="F1F1F1"/>
          </w:tcPr>
          <w:p>
            <w:pPr>
              <w:pStyle w:val="TableParagraph"/>
              <w:spacing w:before="62"/>
              <w:ind w:left="110"/>
              <w:rPr>
                <w:sz w:val="20"/>
              </w:rPr>
            </w:pPr>
            <w:bookmarkStart w:name="Ривароксабан *" w:id="340"/>
            <w:bookmarkEnd w:id="340"/>
            <w:r>
              <w:rPr/>
            </w:r>
            <w:r>
              <w:rPr>
                <w:sz w:val="20"/>
              </w:rPr>
              <w:t>Ривароксабан *</w:t>
            </w:r>
          </w:p>
        </w:tc>
        <w:tc>
          <w:tcPr>
            <w:tcW w:w="9432" w:type="dxa"/>
            <w:shd w:val="clear" w:color="auto" w:fill="F1F1F1"/>
          </w:tcPr>
          <w:p>
            <w:pPr>
              <w:pStyle w:val="TableParagraph"/>
              <w:ind w:left="108"/>
              <w:rPr>
                <w:sz w:val="20"/>
              </w:rPr>
            </w:pPr>
            <w:bookmarkStart w:name="10 мг 1 р/сут в течение 30 дней " w:id="341"/>
            <w:bookmarkEnd w:id="341"/>
            <w:r>
              <w:rPr/>
            </w:r>
            <w:r>
              <w:rPr>
                <w:sz w:val="20"/>
              </w:rPr>
              <w:t>10 мг 1 р/сут в течение 30 дней</w:t>
            </w:r>
          </w:p>
        </w:tc>
      </w:tr>
      <w:tr>
        <w:trPr>
          <w:trHeight w:val="333" w:hRule="atLeast"/>
        </w:trPr>
        <w:tc>
          <w:tcPr>
            <w:tcW w:w="1217"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13118" w:type="dxa"/>
            <w:gridSpan w:val="2"/>
          </w:tcPr>
          <w:p>
            <w:pPr>
              <w:pStyle w:val="TableParagraph"/>
              <w:spacing w:before="50"/>
              <w:ind w:left="110"/>
              <w:rPr>
                <w:sz w:val="20"/>
              </w:rPr>
            </w:pPr>
            <w:bookmarkStart w:name="или" w:id="342"/>
            <w:bookmarkEnd w:id="342"/>
            <w:r>
              <w:rPr/>
            </w:r>
            <w:r>
              <w:rPr>
                <w:sz w:val="20"/>
              </w:rPr>
              <w:t>или</w:t>
            </w:r>
          </w:p>
        </w:tc>
      </w:tr>
      <w:tr>
        <w:trPr>
          <w:trHeight w:val="275" w:hRule="atLeast"/>
        </w:trPr>
        <w:tc>
          <w:tcPr>
            <w:tcW w:w="1217"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3686" w:type="dxa"/>
          </w:tcPr>
          <w:p>
            <w:pPr>
              <w:pStyle w:val="TableParagraph"/>
              <w:spacing w:before="24"/>
              <w:ind w:left="110"/>
              <w:rPr>
                <w:sz w:val="20"/>
              </w:rPr>
            </w:pPr>
            <w:bookmarkStart w:name="Апиксабан*" w:id="343"/>
            <w:bookmarkEnd w:id="343"/>
            <w:r>
              <w:rPr/>
            </w:r>
            <w:r>
              <w:rPr>
                <w:sz w:val="20"/>
              </w:rPr>
              <w:t>Апиксабан*</w:t>
            </w:r>
          </w:p>
        </w:tc>
        <w:tc>
          <w:tcPr>
            <w:tcW w:w="9432" w:type="dxa"/>
          </w:tcPr>
          <w:p>
            <w:pPr>
              <w:pStyle w:val="TableParagraph"/>
              <w:ind w:left="108"/>
              <w:rPr>
                <w:sz w:val="20"/>
              </w:rPr>
            </w:pPr>
            <w:bookmarkStart w:name="2,5 мг 2 р/сут в течение 30 дней" w:id="344"/>
            <w:bookmarkEnd w:id="344"/>
            <w:r>
              <w:rPr/>
            </w:r>
            <w:r>
              <w:rPr>
                <w:sz w:val="20"/>
              </w:rPr>
              <w:t>2,5 мг 2 р/сут в течение 30 дней</w:t>
            </w:r>
          </w:p>
        </w:tc>
      </w:tr>
      <w:tr>
        <w:trPr>
          <w:trHeight w:val="278" w:hRule="atLeast"/>
        </w:trPr>
        <w:tc>
          <w:tcPr>
            <w:tcW w:w="1217" w:type="dxa"/>
            <w:vMerge/>
            <w:tcBorders>
              <w:top w:val="nil"/>
            </w:tcBorders>
            <w:shd w:val="clear" w:color="auto" w:fill="F1F1F1"/>
          </w:tcPr>
          <w:p>
            <w:pPr>
              <w:rPr>
                <w:sz w:val="2"/>
                <w:szCs w:val="2"/>
              </w:rPr>
            </w:pPr>
          </w:p>
        </w:tc>
        <w:tc>
          <w:tcPr>
            <w:tcW w:w="451" w:type="dxa"/>
            <w:vMerge w:val="restart"/>
          </w:tcPr>
          <w:p>
            <w:pPr>
              <w:pStyle w:val="TableParagraph"/>
              <w:rPr>
                <w:b/>
                <w:sz w:val="22"/>
              </w:rPr>
            </w:pPr>
          </w:p>
          <w:p>
            <w:pPr>
              <w:pStyle w:val="TableParagraph"/>
              <w:spacing w:before="11"/>
              <w:rPr>
                <w:b/>
                <w:sz w:val="29"/>
              </w:rPr>
            </w:pPr>
          </w:p>
          <w:p>
            <w:pPr>
              <w:pStyle w:val="TableParagraph"/>
              <w:ind w:left="8"/>
              <w:jc w:val="center"/>
              <w:rPr>
                <w:sz w:val="20"/>
              </w:rPr>
            </w:pPr>
            <w:bookmarkStart w:name="3" w:id="345"/>
            <w:bookmarkEnd w:id="345"/>
            <w:r>
              <w:rPr/>
            </w:r>
            <w:r>
              <w:rPr>
                <w:w w:val="99"/>
                <w:sz w:val="20"/>
              </w:rPr>
              <w:t>3</w:t>
            </w:r>
          </w:p>
        </w:tc>
        <w:tc>
          <w:tcPr>
            <w:tcW w:w="3686" w:type="dxa"/>
            <w:shd w:val="clear" w:color="auto" w:fill="F1F1F1"/>
          </w:tcPr>
          <w:p>
            <w:pPr>
              <w:pStyle w:val="TableParagraph"/>
              <w:spacing w:before="24"/>
              <w:ind w:left="110"/>
              <w:rPr>
                <w:sz w:val="20"/>
              </w:rPr>
            </w:pPr>
            <w:bookmarkStart w:name="Дексаметазон**" w:id="346"/>
            <w:bookmarkEnd w:id="346"/>
            <w:r>
              <w:rPr/>
            </w:r>
            <w:r>
              <w:rPr>
                <w:sz w:val="20"/>
              </w:rPr>
              <w:t>Дексаметазон**</w:t>
            </w:r>
          </w:p>
        </w:tc>
        <w:tc>
          <w:tcPr>
            <w:tcW w:w="9432" w:type="dxa"/>
            <w:shd w:val="clear" w:color="auto" w:fill="F1F1F1"/>
          </w:tcPr>
          <w:p>
            <w:pPr>
              <w:pStyle w:val="TableParagraph"/>
              <w:ind w:left="108"/>
              <w:rPr>
                <w:sz w:val="20"/>
              </w:rPr>
            </w:pPr>
            <w:bookmarkStart w:name="6 мг/сут  в течение 5-10 дней" w:id="347"/>
            <w:bookmarkEnd w:id="347"/>
            <w:r>
              <w:rPr/>
            </w:r>
            <w:r>
              <w:rPr>
                <w:sz w:val="20"/>
              </w:rPr>
              <w:t>6 мг/сут в течение 5-10 дней</w:t>
            </w:r>
          </w:p>
        </w:tc>
      </w:tr>
      <w:tr>
        <w:trPr>
          <w:trHeight w:val="278" w:hRule="atLeast"/>
        </w:trPr>
        <w:tc>
          <w:tcPr>
            <w:tcW w:w="1217"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13118" w:type="dxa"/>
            <w:gridSpan w:val="2"/>
          </w:tcPr>
          <w:p>
            <w:pPr>
              <w:pStyle w:val="TableParagraph"/>
              <w:spacing w:before="24"/>
              <w:ind w:left="110"/>
              <w:rPr>
                <w:sz w:val="20"/>
              </w:rPr>
            </w:pPr>
            <w:bookmarkStart w:name="или" w:id="348"/>
            <w:bookmarkEnd w:id="348"/>
            <w:r>
              <w:rPr/>
            </w:r>
            <w:r>
              <w:rPr>
                <w:sz w:val="20"/>
              </w:rPr>
              <w:t>или</w:t>
            </w:r>
          </w:p>
        </w:tc>
      </w:tr>
      <w:tr>
        <w:trPr>
          <w:trHeight w:val="275" w:hRule="atLeast"/>
        </w:trPr>
        <w:tc>
          <w:tcPr>
            <w:tcW w:w="1217"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3686" w:type="dxa"/>
          </w:tcPr>
          <w:p>
            <w:pPr>
              <w:pStyle w:val="TableParagraph"/>
              <w:spacing w:before="22"/>
              <w:ind w:left="110"/>
              <w:rPr>
                <w:sz w:val="20"/>
              </w:rPr>
            </w:pPr>
            <w:bookmarkStart w:name="Преднизолон**" w:id="349"/>
            <w:bookmarkEnd w:id="349"/>
            <w:r>
              <w:rPr/>
            </w:r>
            <w:r>
              <w:rPr>
                <w:sz w:val="20"/>
              </w:rPr>
              <w:t>Преднизолон**</w:t>
            </w:r>
          </w:p>
        </w:tc>
        <w:tc>
          <w:tcPr>
            <w:tcW w:w="9432" w:type="dxa"/>
          </w:tcPr>
          <w:p>
            <w:pPr>
              <w:pStyle w:val="TableParagraph"/>
              <w:ind w:left="108"/>
              <w:rPr>
                <w:sz w:val="20"/>
              </w:rPr>
            </w:pPr>
            <w:bookmarkStart w:name="45 мг/сут в течение 5-10 дней" w:id="350"/>
            <w:bookmarkEnd w:id="350"/>
            <w:r>
              <w:rPr/>
            </w:r>
            <w:r>
              <w:rPr>
                <w:sz w:val="20"/>
              </w:rPr>
              <w:t>45 мг/сут в течение 5-10 дней</w:t>
            </w:r>
          </w:p>
        </w:tc>
      </w:tr>
      <w:tr>
        <w:trPr>
          <w:trHeight w:val="278" w:hRule="atLeast"/>
        </w:trPr>
        <w:tc>
          <w:tcPr>
            <w:tcW w:w="1217"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13118" w:type="dxa"/>
            <w:gridSpan w:val="2"/>
          </w:tcPr>
          <w:p>
            <w:pPr>
              <w:pStyle w:val="TableParagraph"/>
              <w:spacing w:before="24"/>
              <w:ind w:left="110"/>
              <w:rPr>
                <w:sz w:val="20"/>
              </w:rPr>
            </w:pPr>
            <w:bookmarkStart w:name="или" w:id="351"/>
            <w:bookmarkEnd w:id="351"/>
            <w:r>
              <w:rPr/>
            </w:r>
            <w:r>
              <w:rPr>
                <w:sz w:val="20"/>
              </w:rPr>
              <w:t>или</w:t>
            </w:r>
          </w:p>
        </w:tc>
      </w:tr>
      <w:tr>
        <w:trPr>
          <w:trHeight w:val="277" w:hRule="atLeast"/>
        </w:trPr>
        <w:tc>
          <w:tcPr>
            <w:tcW w:w="1217"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3686" w:type="dxa"/>
            <w:shd w:val="clear" w:color="auto" w:fill="F1F1F1"/>
          </w:tcPr>
          <w:p>
            <w:pPr>
              <w:pStyle w:val="TableParagraph"/>
              <w:spacing w:before="24"/>
              <w:ind w:left="110"/>
              <w:rPr>
                <w:sz w:val="20"/>
              </w:rPr>
            </w:pPr>
            <w:bookmarkStart w:name="Метилпреднизолон**" w:id="352"/>
            <w:bookmarkEnd w:id="352"/>
            <w:r>
              <w:rPr/>
            </w:r>
            <w:r>
              <w:rPr>
                <w:sz w:val="20"/>
              </w:rPr>
              <w:t>Метилпреднизолон**</w:t>
            </w:r>
          </w:p>
        </w:tc>
        <w:tc>
          <w:tcPr>
            <w:tcW w:w="9432" w:type="dxa"/>
            <w:shd w:val="clear" w:color="auto" w:fill="F1F1F1"/>
          </w:tcPr>
          <w:p>
            <w:pPr>
              <w:pStyle w:val="TableParagraph"/>
              <w:ind w:left="108"/>
              <w:rPr>
                <w:sz w:val="20"/>
              </w:rPr>
            </w:pPr>
            <w:bookmarkStart w:name="36 мг/сут в течение 5-10 дней" w:id="353"/>
            <w:bookmarkEnd w:id="353"/>
            <w:r>
              <w:rPr/>
            </w:r>
            <w:r>
              <w:rPr>
                <w:sz w:val="20"/>
              </w:rPr>
              <w:t>36 мг/сут в течение 5-10 дней</w:t>
            </w:r>
          </w:p>
        </w:tc>
      </w:tr>
    </w:tbl>
    <w:p>
      <w:pPr>
        <w:spacing w:after="0"/>
        <w:rPr>
          <w:sz w:val="20"/>
        </w:rPr>
        <w:sectPr>
          <w:pgSz w:w="16850" w:h="11920" w:orient="landscape"/>
          <w:pgMar w:header="0" w:footer="699" w:top="1100" w:bottom="880" w:left="880" w:right="360"/>
        </w:sectPr>
      </w:pPr>
    </w:p>
    <w:p>
      <w:pPr>
        <w:pStyle w:val="BodyText"/>
        <w:spacing w:before="3"/>
        <w:ind w:left="0"/>
        <w:jc w:val="left"/>
        <w:rPr>
          <w:b/>
          <w:sz w:val="2"/>
        </w:rPr>
      </w:pPr>
    </w:p>
    <w:tbl>
      <w:tblPr>
        <w:tblW w:w="0" w:type="auto"/>
        <w:jc w:val="left"/>
        <w:tblInd w:w="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217"/>
        <w:gridCol w:w="451"/>
        <w:gridCol w:w="3686"/>
        <w:gridCol w:w="9432"/>
      </w:tblGrid>
      <w:tr>
        <w:trPr>
          <w:trHeight w:val="460" w:hRule="atLeast"/>
        </w:trPr>
        <w:tc>
          <w:tcPr>
            <w:tcW w:w="1217" w:type="dxa"/>
            <w:vMerge w:val="restart"/>
            <w:shd w:val="clear" w:color="auto" w:fill="F1F1F1"/>
          </w:tcPr>
          <w:p>
            <w:pPr>
              <w:pStyle w:val="TableParagraph"/>
              <w:rPr>
                <w:sz w:val="18"/>
              </w:rPr>
            </w:pPr>
          </w:p>
        </w:tc>
        <w:tc>
          <w:tcPr>
            <w:tcW w:w="451" w:type="dxa"/>
          </w:tcPr>
          <w:p>
            <w:pPr>
              <w:pStyle w:val="TableParagraph"/>
              <w:spacing w:before="115"/>
              <w:ind w:left="8"/>
              <w:jc w:val="center"/>
              <w:rPr>
                <w:sz w:val="20"/>
              </w:rPr>
            </w:pPr>
            <w:bookmarkStart w:name="4" w:id="354"/>
            <w:bookmarkEnd w:id="354"/>
            <w:r>
              <w:rPr/>
            </w:r>
            <w:r>
              <w:rPr>
                <w:w w:val="99"/>
                <w:sz w:val="20"/>
              </w:rPr>
              <w:t>4</w:t>
            </w:r>
          </w:p>
        </w:tc>
        <w:tc>
          <w:tcPr>
            <w:tcW w:w="3686" w:type="dxa"/>
          </w:tcPr>
          <w:p>
            <w:pPr>
              <w:pStyle w:val="TableParagraph"/>
              <w:spacing w:before="115"/>
              <w:ind w:left="110"/>
              <w:rPr>
                <w:sz w:val="20"/>
              </w:rPr>
            </w:pPr>
            <w:bookmarkStart w:name="ИФН-α, интраназальные формы" w:id="355"/>
            <w:bookmarkEnd w:id="355"/>
            <w:r>
              <w:rPr/>
            </w:r>
            <w:r>
              <w:rPr>
                <w:sz w:val="20"/>
              </w:rPr>
              <w:t>ИФН-α, интраназальные формы</w:t>
            </w:r>
          </w:p>
        </w:tc>
        <w:tc>
          <w:tcPr>
            <w:tcW w:w="9432" w:type="dxa"/>
          </w:tcPr>
          <w:p>
            <w:pPr>
              <w:pStyle w:val="TableParagraph"/>
              <w:spacing w:line="230" w:lineRule="atLeast"/>
              <w:ind w:left="108" w:right="3301"/>
              <w:rPr>
                <w:sz w:val="20"/>
              </w:rPr>
            </w:pPr>
            <w:bookmarkStart w:name="По 3 капли в каждый носовой ход (3000 МЕ" w:id="356"/>
            <w:bookmarkEnd w:id="356"/>
            <w:r>
              <w:rPr/>
            </w:r>
            <w:bookmarkStart w:name="впрыскивание 5-6 раз" w:id="357"/>
            <w:bookmarkEnd w:id="357"/>
            <w:r>
              <w:rPr/>
            </w:r>
            <w:r>
              <w:rPr>
                <w:sz w:val="20"/>
              </w:rPr>
              <w:t>По 3 капли в каждый носовой ход (3000 МЕ) 5 р/сут в течение 5 дней; впрыскивание 5-6 раз</w:t>
            </w:r>
          </w:p>
        </w:tc>
      </w:tr>
      <w:tr>
        <w:trPr>
          <w:trHeight w:val="261" w:hRule="atLeast"/>
        </w:trPr>
        <w:tc>
          <w:tcPr>
            <w:tcW w:w="1217" w:type="dxa"/>
            <w:vMerge/>
            <w:tcBorders>
              <w:top w:val="nil"/>
            </w:tcBorders>
            <w:shd w:val="clear" w:color="auto" w:fill="F1F1F1"/>
          </w:tcPr>
          <w:p>
            <w:pPr>
              <w:rPr>
                <w:sz w:val="2"/>
                <w:szCs w:val="2"/>
              </w:rPr>
            </w:pPr>
          </w:p>
        </w:tc>
        <w:tc>
          <w:tcPr>
            <w:tcW w:w="451" w:type="dxa"/>
            <w:shd w:val="clear" w:color="auto" w:fill="F1F1F1"/>
          </w:tcPr>
          <w:p>
            <w:pPr>
              <w:pStyle w:val="TableParagraph"/>
              <w:spacing w:line="227" w:lineRule="exact" w:before="14"/>
              <w:ind w:left="8"/>
              <w:jc w:val="center"/>
              <w:rPr>
                <w:sz w:val="20"/>
              </w:rPr>
            </w:pPr>
            <w:bookmarkStart w:name="5" w:id="358"/>
            <w:bookmarkEnd w:id="358"/>
            <w:r>
              <w:rPr/>
            </w:r>
            <w:r>
              <w:rPr>
                <w:w w:val="99"/>
                <w:sz w:val="20"/>
              </w:rPr>
              <w:t>5</w:t>
            </w:r>
          </w:p>
        </w:tc>
        <w:tc>
          <w:tcPr>
            <w:tcW w:w="3686" w:type="dxa"/>
            <w:shd w:val="clear" w:color="auto" w:fill="F1F1F1"/>
          </w:tcPr>
          <w:p>
            <w:pPr>
              <w:pStyle w:val="TableParagraph"/>
              <w:spacing w:line="227" w:lineRule="exact" w:before="14"/>
              <w:ind w:left="110"/>
              <w:rPr>
                <w:sz w:val="20"/>
              </w:rPr>
            </w:pPr>
            <w:bookmarkStart w:name="Парацетамол" w:id="359"/>
            <w:bookmarkEnd w:id="359"/>
            <w:r>
              <w:rPr/>
            </w:r>
            <w:r>
              <w:rPr>
                <w:sz w:val="20"/>
              </w:rPr>
              <w:t>Парацетамол</w:t>
            </w:r>
          </w:p>
        </w:tc>
        <w:tc>
          <w:tcPr>
            <w:tcW w:w="9432" w:type="dxa"/>
            <w:shd w:val="clear" w:color="auto" w:fill="F1F1F1"/>
          </w:tcPr>
          <w:p>
            <w:pPr>
              <w:pStyle w:val="TableParagraph"/>
              <w:ind w:left="108"/>
              <w:rPr>
                <w:sz w:val="20"/>
              </w:rPr>
            </w:pPr>
            <w:bookmarkStart w:name="1-2 табл. (500-1000 мг) 2-3 р/сут, не бо" w:id="360"/>
            <w:bookmarkEnd w:id="360"/>
            <w:r>
              <w:rPr/>
            </w:r>
            <w:r>
              <w:rPr>
                <w:sz w:val="20"/>
              </w:rPr>
              <w:t>1-2 табл. (500-1000 мг) 2-3 р/сут, не более 4 г в сутки</w:t>
            </w:r>
          </w:p>
        </w:tc>
      </w:tr>
      <w:tr>
        <w:trPr>
          <w:trHeight w:val="366" w:hRule="atLeast"/>
        </w:trPr>
        <w:tc>
          <w:tcPr>
            <w:tcW w:w="1217" w:type="dxa"/>
            <w:vMerge w:val="restart"/>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spacing w:before="156"/>
              <w:ind w:left="110"/>
              <w:rPr>
                <w:b/>
                <w:sz w:val="20"/>
              </w:rPr>
            </w:pPr>
            <w:bookmarkStart w:name="Схема 2" w:id="361"/>
            <w:bookmarkEnd w:id="361"/>
            <w:r>
              <w:rPr/>
            </w:r>
            <w:r>
              <w:rPr>
                <w:b/>
                <w:sz w:val="20"/>
              </w:rPr>
              <w:t>Схема 2</w:t>
            </w:r>
          </w:p>
        </w:tc>
        <w:tc>
          <w:tcPr>
            <w:tcW w:w="451" w:type="dxa"/>
          </w:tcPr>
          <w:p>
            <w:pPr>
              <w:pStyle w:val="TableParagraph"/>
              <w:spacing w:before="67"/>
              <w:ind w:left="8"/>
              <w:jc w:val="center"/>
              <w:rPr>
                <w:sz w:val="20"/>
              </w:rPr>
            </w:pPr>
            <w:bookmarkStart w:name="1" w:id="362"/>
            <w:bookmarkEnd w:id="362"/>
            <w:r>
              <w:rPr/>
            </w:r>
            <w:r>
              <w:rPr>
                <w:w w:val="99"/>
                <w:sz w:val="20"/>
              </w:rPr>
              <w:t>1</w:t>
            </w:r>
          </w:p>
        </w:tc>
        <w:tc>
          <w:tcPr>
            <w:tcW w:w="3686" w:type="dxa"/>
          </w:tcPr>
          <w:p>
            <w:pPr>
              <w:pStyle w:val="TableParagraph"/>
              <w:spacing w:before="67"/>
              <w:ind w:left="110"/>
              <w:rPr>
                <w:sz w:val="20"/>
              </w:rPr>
            </w:pPr>
            <w:bookmarkStart w:name="Гидроксихлорохин" w:id="363"/>
            <w:bookmarkEnd w:id="363"/>
            <w:r>
              <w:rPr/>
            </w:r>
            <w:r>
              <w:rPr>
                <w:sz w:val="20"/>
              </w:rPr>
              <w:t>Гидроксихлорохин</w:t>
            </w:r>
          </w:p>
        </w:tc>
        <w:tc>
          <w:tcPr>
            <w:tcW w:w="9432" w:type="dxa"/>
          </w:tcPr>
          <w:p>
            <w:pPr>
              <w:pStyle w:val="TableParagraph"/>
              <w:ind w:left="108"/>
              <w:rPr>
                <w:sz w:val="20"/>
              </w:rPr>
            </w:pPr>
            <w:bookmarkStart w:name="400 мг в 1-й день (200 мг 2 р/сут), дале" w:id="364"/>
            <w:bookmarkEnd w:id="364"/>
            <w:r>
              <w:rPr/>
            </w:r>
            <w:r>
              <w:rPr>
                <w:sz w:val="20"/>
              </w:rPr>
              <w:t>400 мг в 1-й день (200 мг 2 р/сут), далее 200 мг в сутки (100 мг 2 р/сут), в течение 6-8 дней</w:t>
            </w:r>
          </w:p>
        </w:tc>
      </w:tr>
      <w:tr>
        <w:trPr>
          <w:trHeight w:val="282" w:hRule="atLeast"/>
        </w:trPr>
        <w:tc>
          <w:tcPr>
            <w:tcW w:w="1217" w:type="dxa"/>
            <w:vMerge/>
            <w:tcBorders>
              <w:top w:val="nil"/>
            </w:tcBorders>
            <w:shd w:val="clear" w:color="auto" w:fill="F1F1F1"/>
          </w:tcPr>
          <w:p>
            <w:pPr>
              <w:rPr>
                <w:sz w:val="2"/>
                <w:szCs w:val="2"/>
              </w:rPr>
            </w:pPr>
          </w:p>
        </w:tc>
        <w:tc>
          <w:tcPr>
            <w:tcW w:w="451" w:type="dxa"/>
            <w:vMerge w:val="restart"/>
            <w:shd w:val="clear" w:color="auto" w:fill="F1F1F1"/>
          </w:tcPr>
          <w:p>
            <w:pPr>
              <w:pStyle w:val="TableParagraph"/>
              <w:spacing w:before="2"/>
              <w:rPr>
                <w:b/>
                <w:sz w:val="24"/>
              </w:rPr>
            </w:pPr>
          </w:p>
          <w:p>
            <w:pPr>
              <w:pStyle w:val="TableParagraph"/>
              <w:ind w:left="8"/>
              <w:jc w:val="center"/>
              <w:rPr>
                <w:sz w:val="20"/>
              </w:rPr>
            </w:pPr>
            <w:bookmarkStart w:name="2" w:id="365"/>
            <w:bookmarkEnd w:id="365"/>
            <w:r>
              <w:rPr/>
            </w:r>
            <w:r>
              <w:rPr>
                <w:w w:val="99"/>
                <w:sz w:val="20"/>
              </w:rPr>
              <w:t>2</w:t>
            </w:r>
          </w:p>
        </w:tc>
        <w:tc>
          <w:tcPr>
            <w:tcW w:w="3686" w:type="dxa"/>
            <w:shd w:val="clear" w:color="auto" w:fill="F1F1F1"/>
          </w:tcPr>
          <w:p>
            <w:pPr>
              <w:pStyle w:val="TableParagraph"/>
              <w:spacing w:before="26"/>
              <w:ind w:left="110"/>
              <w:rPr>
                <w:sz w:val="20"/>
              </w:rPr>
            </w:pPr>
            <w:bookmarkStart w:name="Ривароксабан *" w:id="366"/>
            <w:bookmarkEnd w:id="366"/>
            <w:r>
              <w:rPr/>
            </w:r>
            <w:r>
              <w:rPr>
                <w:sz w:val="20"/>
              </w:rPr>
              <w:t>Ривароксабан *</w:t>
            </w:r>
          </w:p>
        </w:tc>
        <w:tc>
          <w:tcPr>
            <w:tcW w:w="9432" w:type="dxa"/>
            <w:shd w:val="clear" w:color="auto" w:fill="F1F1F1"/>
          </w:tcPr>
          <w:p>
            <w:pPr>
              <w:pStyle w:val="TableParagraph"/>
              <w:ind w:left="108"/>
              <w:rPr>
                <w:sz w:val="20"/>
              </w:rPr>
            </w:pPr>
            <w:bookmarkStart w:name="10 мг 1 р/сут в течение 30 дней " w:id="367"/>
            <w:bookmarkEnd w:id="367"/>
            <w:r>
              <w:rPr/>
            </w:r>
            <w:r>
              <w:rPr>
                <w:sz w:val="20"/>
              </w:rPr>
              <w:t>10 мг 1 р/сут в течение 30 дней</w:t>
            </w:r>
          </w:p>
        </w:tc>
      </w:tr>
      <w:tr>
        <w:trPr>
          <w:trHeight w:val="246" w:hRule="atLeast"/>
        </w:trPr>
        <w:tc>
          <w:tcPr>
            <w:tcW w:w="1217"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13118" w:type="dxa"/>
            <w:gridSpan w:val="2"/>
          </w:tcPr>
          <w:p>
            <w:pPr>
              <w:pStyle w:val="TableParagraph"/>
              <w:spacing w:line="217" w:lineRule="exact" w:before="10"/>
              <w:ind w:left="110"/>
              <w:rPr>
                <w:sz w:val="20"/>
              </w:rPr>
            </w:pPr>
            <w:bookmarkStart w:name="или" w:id="368"/>
            <w:bookmarkEnd w:id="368"/>
            <w:r>
              <w:rPr/>
            </w:r>
            <w:r>
              <w:rPr>
                <w:sz w:val="20"/>
              </w:rPr>
              <w:t>или</w:t>
            </w:r>
          </w:p>
        </w:tc>
      </w:tr>
      <w:tr>
        <w:trPr>
          <w:trHeight w:val="237" w:hRule="atLeast"/>
        </w:trPr>
        <w:tc>
          <w:tcPr>
            <w:tcW w:w="1217"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3686" w:type="dxa"/>
            <w:shd w:val="clear" w:color="auto" w:fill="F1F1F1"/>
          </w:tcPr>
          <w:p>
            <w:pPr>
              <w:pStyle w:val="TableParagraph"/>
              <w:spacing w:line="215" w:lineRule="exact" w:before="2"/>
              <w:ind w:left="110"/>
              <w:rPr>
                <w:sz w:val="20"/>
              </w:rPr>
            </w:pPr>
            <w:bookmarkStart w:name="Апиксабан*" w:id="369"/>
            <w:bookmarkEnd w:id="369"/>
            <w:r>
              <w:rPr/>
            </w:r>
            <w:r>
              <w:rPr>
                <w:sz w:val="20"/>
              </w:rPr>
              <w:t>Апиксабан*</w:t>
            </w:r>
          </w:p>
        </w:tc>
        <w:tc>
          <w:tcPr>
            <w:tcW w:w="9432" w:type="dxa"/>
            <w:shd w:val="clear" w:color="auto" w:fill="F1F1F1"/>
          </w:tcPr>
          <w:p>
            <w:pPr>
              <w:pStyle w:val="TableParagraph"/>
              <w:spacing w:line="217" w:lineRule="exact"/>
              <w:ind w:left="108"/>
              <w:rPr>
                <w:sz w:val="20"/>
              </w:rPr>
            </w:pPr>
            <w:bookmarkStart w:name="2,5 мг 2 р/сут в течение 30 дней" w:id="370"/>
            <w:bookmarkEnd w:id="370"/>
            <w:r>
              <w:rPr/>
            </w:r>
            <w:r>
              <w:rPr>
                <w:sz w:val="20"/>
              </w:rPr>
              <w:t>2,5 мг 2 р/сут в течение 30 дней</w:t>
            </w:r>
          </w:p>
        </w:tc>
      </w:tr>
      <w:tr>
        <w:trPr>
          <w:trHeight w:val="230" w:hRule="atLeast"/>
        </w:trPr>
        <w:tc>
          <w:tcPr>
            <w:tcW w:w="1217" w:type="dxa"/>
            <w:vMerge/>
            <w:tcBorders>
              <w:top w:val="nil"/>
            </w:tcBorders>
            <w:shd w:val="clear" w:color="auto" w:fill="F1F1F1"/>
          </w:tcPr>
          <w:p>
            <w:pPr>
              <w:rPr>
                <w:sz w:val="2"/>
                <w:szCs w:val="2"/>
              </w:rPr>
            </w:pPr>
          </w:p>
        </w:tc>
        <w:tc>
          <w:tcPr>
            <w:tcW w:w="451" w:type="dxa"/>
            <w:vMerge w:val="restart"/>
          </w:tcPr>
          <w:p>
            <w:pPr>
              <w:pStyle w:val="TableParagraph"/>
              <w:rPr>
                <w:b/>
                <w:sz w:val="22"/>
              </w:rPr>
            </w:pPr>
          </w:p>
          <w:p>
            <w:pPr>
              <w:pStyle w:val="TableParagraph"/>
              <w:spacing w:before="8"/>
              <w:rPr>
                <w:b/>
                <w:sz w:val="19"/>
              </w:rPr>
            </w:pPr>
          </w:p>
          <w:p>
            <w:pPr>
              <w:pStyle w:val="TableParagraph"/>
              <w:spacing w:before="1"/>
              <w:ind w:left="8"/>
              <w:jc w:val="center"/>
              <w:rPr>
                <w:sz w:val="20"/>
              </w:rPr>
            </w:pPr>
            <w:bookmarkStart w:name="3" w:id="371"/>
            <w:bookmarkEnd w:id="371"/>
            <w:r>
              <w:rPr/>
            </w:r>
            <w:r>
              <w:rPr>
                <w:w w:val="99"/>
                <w:sz w:val="20"/>
              </w:rPr>
              <w:t>3</w:t>
            </w:r>
          </w:p>
        </w:tc>
        <w:tc>
          <w:tcPr>
            <w:tcW w:w="3686" w:type="dxa"/>
          </w:tcPr>
          <w:p>
            <w:pPr>
              <w:pStyle w:val="TableParagraph"/>
              <w:spacing w:line="210" w:lineRule="exact"/>
              <w:ind w:left="110"/>
              <w:rPr>
                <w:sz w:val="20"/>
              </w:rPr>
            </w:pPr>
            <w:bookmarkStart w:name="Дексаметазон**" w:id="372"/>
            <w:bookmarkEnd w:id="372"/>
            <w:r>
              <w:rPr/>
            </w:r>
            <w:bookmarkStart w:name="или" w:id="373"/>
            <w:bookmarkEnd w:id="373"/>
            <w:r>
              <w:rPr/>
            </w:r>
            <w:r>
              <w:rPr>
                <w:sz w:val="20"/>
              </w:rPr>
              <w:t>Дексаметазон**</w:t>
            </w:r>
          </w:p>
        </w:tc>
        <w:tc>
          <w:tcPr>
            <w:tcW w:w="9432" w:type="dxa"/>
          </w:tcPr>
          <w:p>
            <w:pPr>
              <w:pStyle w:val="TableParagraph"/>
              <w:spacing w:line="210" w:lineRule="exact"/>
              <w:ind w:left="108"/>
              <w:rPr>
                <w:sz w:val="20"/>
              </w:rPr>
            </w:pPr>
            <w:bookmarkStart w:name="6 мг/сут  в течение 5-10 дней" w:id="374"/>
            <w:bookmarkEnd w:id="374"/>
            <w:r>
              <w:rPr/>
            </w:r>
            <w:r>
              <w:rPr>
                <w:sz w:val="20"/>
              </w:rPr>
              <w:t>6 мг/сут в течение 5-10 дней</w:t>
            </w:r>
          </w:p>
        </w:tc>
      </w:tr>
      <w:tr>
        <w:trPr>
          <w:trHeight w:val="229" w:hRule="atLeast"/>
        </w:trPr>
        <w:tc>
          <w:tcPr>
            <w:tcW w:w="1217"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13118" w:type="dxa"/>
            <w:gridSpan w:val="2"/>
          </w:tcPr>
          <w:p>
            <w:pPr>
              <w:pStyle w:val="TableParagraph"/>
              <w:spacing w:line="210" w:lineRule="exact"/>
              <w:ind w:left="110"/>
              <w:rPr>
                <w:sz w:val="20"/>
              </w:rPr>
            </w:pPr>
            <w:bookmarkStart w:name="Преднизолон**" w:id="375"/>
            <w:bookmarkEnd w:id="375"/>
            <w:r>
              <w:rPr/>
            </w:r>
            <w:r>
              <w:rPr>
                <w:sz w:val="20"/>
              </w:rPr>
              <w:t>или</w:t>
            </w:r>
          </w:p>
        </w:tc>
      </w:tr>
      <w:tr>
        <w:trPr>
          <w:trHeight w:val="230" w:hRule="atLeast"/>
        </w:trPr>
        <w:tc>
          <w:tcPr>
            <w:tcW w:w="1217"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3686" w:type="dxa"/>
            <w:shd w:val="clear" w:color="auto" w:fill="F1F1F1"/>
          </w:tcPr>
          <w:p>
            <w:pPr>
              <w:pStyle w:val="TableParagraph"/>
              <w:spacing w:line="210" w:lineRule="exact"/>
              <w:ind w:left="110"/>
              <w:rPr>
                <w:sz w:val="20"/>
              </w:rPr>
            </w:pPr>
            <w:bookmarkStart w:name="или" w:id="376"/>
            <w:bookmarkEnd w:id="376"/>
            <w:r>
              <w:rPr/>
            </w:r>
            <w:r>
              <w:rPr>
                <w:sz w:val="20"/>
              </w:rPr>
              <w:t>Преднизолон**</w:t>
            </w:r>
          </w:p>
        </w:tc>
        <w:tc>
          <w:tcPr>
            <w:tcW w:w="9432" w:type="dxa"/>
            <w:shd w:val="clear" w:color="auto" w:fill="F1F1F1"/>
          </w:tcPr>
          <w:p>
            <w:pPr>
              <w:pStyle w:val="TableParagraph"/>
              <w:spacing w:line="210" w:lineRule="exact"/>
              <w:ind w:left="108"/>
              <w:rPr>
                <w:sz w:val="20"/>
              </w:rPr>
            </w:pPr>
            <w:bookmarkStart w:name="45 мг/сут в течение 5-10 дней" w:id="377"/>
            <w:bookmarkEnd w:id="377"/>
            <w:r>
              <w:rPr/>
            </w:r>
            <w:r>
              <w:rPr>
                <w:sz w:val="20"/>
              </w:rPr>
              <w:t>45 мг/сут в течение 5-10 дней</w:t>
            </w:r>
          </w:p>
        </w:tc>
      </w:tr>
      <w:tr>
        <w:trPr>
          <w:trHeight w:val="230" w:hRule="atLeast"/>
        </w:trPr>
        <w:tc>
          <w:tcPr>
            <w:tcW w:w="1217"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13118" w:type="dxa"/>
            <w:gridSpan w:val="2"/>
          </w:tcPr>
          <w:p>
            <w:pPr>
              <w:pStyle w:val="TableParagraph"/>
              <w:spacing w:line="210" w:lineRule="exact"/>
              <w:ind w:left="110"/>
              <w:rPr>
                <w:sz w:val="20"/>
              </w:rPr>
            </w:pPr>
            <w:bookmarkStart w:name="Метилпреднизолон**" w:id="378"/>
            <w:bookmarkEnd w:id="378"/>
            <w:r>
              <w:rPr/>
            </w:r>
            <w:r>
              <w:rPr>
                <w:sz w:val="20"/>
              </w:rPr>
              <w:t>или</w:t>
            </w:r>
          </w:p>
        </w:tc>
      </w:tr>
      <w:tr>
        <w:trPr>
          <w:trHeight w:val="229" w:hRule="atLeast"/>
        </w:trPr>
        <w:tc>
          <w:tcPr>
            <w:tcW w:w="1217"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3686" w:type="dxa"/>
          </w:tcPr>
          <w:p>
            <w:pPr>
              <w:pStyle w:val="TableParagraph"/>
              <w:spacing w:line="210" w:lineRule="exact"/>
              <w:ind w:left="110"/>
              <w:rPr>
                <w:sz w:val="20"/>
              </w:rPr>
            </w:pPr>
            <w:r>
              <w:rPr>
                <w:sz w:val="20"/>
              </w:rPr>
              <w:t>Метилпреднизолон**</w:t>
            </w:r>
          </w:p>
        </w:tc>
        <w:tc>
          <w:tcPr>
            <w:tcW w:w="9432" w:type="dxa"/>
          </w:tcPr>
          <w:p>
            <w:pPr>
              <w:pStyle w:val="TableParagraph"/>
              <w:spacing w:line="210" w:lineRule="exact"/>
              <w:ind w:left="108"/>
              <w:rPr>
                <w:sz w:val="20"/>
              </w:rPr>
            </w:pPr>
            <w:bookmarkStart w:name="36 мг/сут в течение 5-10 дней" w:id="379"/>
            <w:bookmarkEnd w:id="379"/>
            <w:r>
              <w:rPr/>
            </w:r>
            <w:bookmarkStart w:name="По 3 капли в каждый носовой ход (3000 МЕ" w:id="380"/>
            <w:bookmarkEnd w:id="380"/>
            <w:r>
              <w:rPr/>
            </w:r>
            <w:r>
              <w:rPr>
                <w:sz w:val="20"/>
              </w:rPr>
              <w:t>36 мг/сут в течение 5-10 дней</w:t>
            </w:r>
          </w:p>
        </w:tc>
      </w:tr>
      <w:tr>
        <w:trPr>
          <w:trHeight w:val="457" w:hRule="atLeast"/>
        </w:trPr>
        <w:tc>
          <w:tcPr>
            <w:tcW w:w="1217" w:type="dxa"/>
            <w:vMerge/>
            <w:tcBorders>
              <w:top w:val="nil"/>
            </w:tcBorders>
            <w:shd w:val="clear" w:color="auto" w:fill="F1F1F1"/>
          </w:tcPr>
          <w:p>
            <w:pPr>
              <w:rPr>
                <w:sz w:val="2"/>
                <w:szCs w:val="2"/>
              </w:rPr>
            </w:pPr>
          </w:p>
        </w:tc>
        <w:tc>
          <w:tcPr>
            <w:tcW w:w="451" w:type="dxa"/>
            <w:shd w:val="clear" w:color="auto" w:fill="F1F1F1"/>
          </w:tcPr>
          <w:p>
            <w:pPr>
              <w:pStyle w:val="TableParagraph"/>
              <w:spacing w:before="115"/>
              <w:ind w:left="8"/>
              <w:jc w:val="center"/>
              <w:rPr>
                <w:sz w:val="20"/>
              </w:rPr>
            </w:pPr>
            <w:bookmarkStart w:name="4" w:id="381"/>
            <w:bookmarkEnd w:id="381"/>
            <w:r>
              <w:rPr/>
            </w:r>
            <w:r>
              <w:rPr>
                <w:w w:val="99"/>
                <w:sz w:val="20"/>
              </w:rPr>
              <w:t>4</w:t>
            </w:r>
          </w:p>
        </w:tc>
        <w:tc>
          <w:tcPr>
            <w:tcW w:w="3686" w:type="dxa"/>
            <w:shd w:val="clear" w:color="auto" w:fill="F1F1F1"/>
          </w:tcPr>
          <w:p>
            <w:pPr>
              <w:pStyle w:val="TableParagraph"/>
              <w:spacing w:before="115"/>
              <w:ind w:left="110"/>
              <w:rPr>
                <w:sz w:val="20"/>
              </w:rPr>
            </w:pPr>
            <w:bookmarkStart w:name="ИФН-α, интраназальные формы" w:id="382"/>
            <w:bookmarkEnd w:id="382"/>
            <w:r>
              <w:rPr/>
            </w:r>
            <w:r>
              <w:rPr>
                <w:sz w:val="20"/>
              </w:rPr>
              <w:t>ИФН-α, интраназальные формы</w:t>
            </w:r>
          </w:p>
        </w:tc>
        <w:tc>
          <w:tcPr>
            <w:tcW w:w="9432" w:type="dxa"/>
            <w:shd w:val="clear" w:color="auto" w:fill="F1F1F1"/>
          </w:tcPr>
          <w:p>
            <w:pPr>
              <w:pStyle w:val="TableParagraph"/>
              <w:spacing w:line="228" w:lineRule="exact" w:before="4"/>
              <w:ind w:left="108" w:right="3301"/>
              <w:rPr>
                <w:sz w:val="20"/>
              </w:rPr>
            </w:pPr>
            <w:bookmarkStart w:name="впрыскивание 5-6 раз" w:id="383"/>
            <w:bookmarkEnd w:id="383"/>
            <w:r>
              <w:rPr/>
            </w:r>
            <w:r>
              <w:rPr>
                <w:sz w:val="20"/>
              </w:rPr>
              <w:t>По 3 капли в каждый носовой ход (3000 МЕ) 5 р/сут в течение 5 дней;</w:t>
            </w:r>
            <w:bookmarkStart w:name="1-2 табл. (500-1000 мг) 2-3 р/сут, не бо" w:id="384"/>
            <w:bookmarkEnd w:id="384"/>
            <w:r>
              <w:rPr>
                <w:sz w:val="20"/>
              </w:rPr>
            </w:r>
            <w:bookmarkStart w:name="Парацетамол" w:id="385"/>
            <w:bookmarkEnd w:id="385"/>
            <w:r>
              <w:rPr>
                <w:sz w:val="20"/>
              </w:rPr>
            </w:r>
            <w:bookmarkStart w:name="5" w:id="386"/>
            <w:bookmarkEnd w:id="386"/>
            <w:r>
              <w:rPr>
                <w:sz w:val="20"/>
              </w:rPr>
            </w:r>
            <w:r>
              <w:rPr>
                <w:sz w:val="20"/>
              </w:rPr>
              <w:t> впрыскивание 5-6 раз</w:t>
            </w:r>
          </w:p>
        </w:tc>
      </w:tr>
      <w:tr>
        <w:trPr>
          <w:trHeight w:val="228" w:hRule="atLeast"/>
        </w:trPr>
        <w:tc>
          <w:tcPr>
            <w:tcW w:w="1217" w:type="dxa"/>
            <w:vMerge/>
            <w:tcBorders>
              <w:top w:val="nil"/>
            </w:tcBorders>
            <w:shd w:val="clear" w:color="auto" w:fill="F1F1F1"/>
          </w:tcPr>
          <w:p>
            <w:pPr>
              <w:rPr>
                <w:sz w:val="2"/>
                <w:szCs w:val="2"/>
              </w:rPr>
            </w:pPr>
          </w:p>
        </w:tc>
        <w:tc>
          <w:tcPr>
            <w:tcW w:w="451" w:type="dxa"/>
          </w:tcPr>
          <w:p>
            <w:pPr>
              <w:pStyle w:val="TableParagraph"/>
              <w:spacing w:line="208" w:lineRule="exact"/>
              <w:ind w:left="8"/>
              <w:jc w:val="center"/>
              <w:rPr>
                <w:sz w:val="20"/>
              </w:rPr>
            </w:pPr>
            <w:r>
              <w:rPr>
                <w:w w:val="99"/>
                <w:sz w:val="20"/>
              </w:rPr>
              <w:t>5</w:t>
            </w:r>
          </w:p>
        </w:tc>
        <w:tc>
          <w:tcPr>
            <w:tcW w:w="3686" w:type="dxa"/>
          </w:tcPr>
          <w:p>
            <w:pPr>
              <w:pStyle w:val="TableParagraph"/>
              <w:spacing w:line="208" w:lineRule="exact"/>
              <w:ind w:left="110"/>
              <w:rPr>
                <w:sz w:val="20"/>
              </w:rPr>
            </w:pPr>
            <w:r>
              <w:rPr>
                <w:sz w:val="20"/>
              </w:rPr>
              <w:t>Парацетамол</w:t>
            </w:r>
          </w:p>
        </w:tc>
        <w:tc>
          <w:tcPr>
            <w:tcW w:w="9432" w:type="dxa"/>
          </w:tcPr>
          <w:p>
            <w:pPr>
              <w:pStyle w:val="TableParagraph"/>
              <w:spacing w:line="208" w:lineRule="exact"/>
              <w:ind w:left="108"/>
              <w:rPr>
                <w:sz w:val="20"/>
              </w:rPr>
            </w:pPr>
            <w:r>
              <w:rPr>
                <w:sz w:val="20"/>
              </w:rPr>
              <w:t>1-2 табл. (500-1000 мг) 2-3 р/сут, не более 4 г в сутки</w:t>
            </w:r>
          </w:p>
        </w:tc>
      </w:tr>
      <w:tr>
        <w:trPr>
          <w:trHeight w:val="460" w:hRule="atLeast"/>
        </w:trPr>
        <w:tc>
          <w:tcPr>
            <w:tcW w:w="1217" w:type="dxa"/>
          </w:tcPr>
          <w:p>
            <w:pPr>
              <w:pStyle w:val="TableParagraph"/>
              <w:rPr>
                <w:sz w:val="18"/>
              </w:rPr>
            </w:pPr>
          </w:p>
        </w:tc>
        <w:tc>
          <w:tcPr>
            <w:tcW w:w="13569" w:type="dxa"/>
            <w:gridSpan w:val="3"/>
          </w:tcPr>
          <w:p>
            <w:pPr>
              <w:pStyle w:val="TableParagraph"/>
              <w:spacing w:line="230" w:lineRule="atLeast"/>
              <w:ind w:left="107"/>
              <w:rPr>
                <w:sz w:val="20"/>
              </w:rPr>
            </w:pPr>
            <w:r>
              <w:rPr>
                <w:sz w:val="20"/>
              </w:rPr>
              <w:t>При появлении признаков бактериальной суперинфекции (лейкоцитоз ≥ 10 тыс,/мкл, палочкоядерный сдвиг ≥6%, гнойная мокрота, повышение прокальцитонина ≥ 0.5 нг/мл) в схему 1 и 2 назначается антибактериальная терапия длительностью 5-10 дней</w:t>
            </w:r>
          </w:p>
        </w:tc>
      </w:tr>
      <w:tr>
        <w:trPr>
          <w:trHeight w:val="460" w:hRule="atLeast"/>
        </w:trPr>
        <w:tc>
          <w:tcPr>
            <w:tcW w:w="1217" w:type="dxa"/>
            <w:vMerge w:val="restart"/>
          </w:tcPr>
          <w:p>
            <w:pPr>
              <w:pStyle w:val="TableParagraph"/>
              <w:rPr>
                <w:sz w:val="18"/>
              </w:rPr>
            </w:pPr>
          </w:p>
        </w:tc>
        <w:tc>
          <w:tcPr>
            <w:tcW w:w="451" w:type="dxa"/>
            <w:vMerge w:val="restart"/>
          </w:tcPr>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spacing w:before="141"/>
              <w:ind w:left="8"/>
              <w:jc w:val="center"/>
              <w:rPr>
                <w:sz w:val="20"/>
              </w:rPr>
            </w:pPr>
            <w:bookmarkStart w:name="6" w:id="387"/>
            <w:bookmarkEnd w:id="387"/>
            <w:r>
              <w:rPr/>
            </w:r>
            <w:r>
              <w:rPr>
                <w:w w:val="99"/>
                <w:sz w:val="20"/>
              </w:rPr>
              <w:t>6</w:t>
            </w:r>
          </w:p>
        </w:tc>
        <w:tc>
          <w:tcPr>
            <w:tcW w:w="3686" w:type="dxa"/>
          </w:tcPr>
          <w:p>
            <w:pPr>
              <w:pStyle w:val="TableParagraph"/>
              <w:spacing w:before="115"/>
              <w:ind w:left="110"/>
              <w:rPr>
                <w:sz w:val="20"/>
              </w:rPr>
            </w:pPr>
            <w:bookmarkStart w:name="Амоксициллин +клавулановая кислота" w:id="388"/>
            <w:bookmarkEnd w:id="388"/>
            <w:r>
              <w:rPr/>
            </w:r>
            <w:r>
              <w:rPr>
                <w:sz w:val="20"/>
              </w:rPr>
              <w:t>Амоксициллин +клавулановая кислота</w:t>
            </w:r>
          </w:p>
        </w:tc>
        <w:tc>
          <w:tcPr>
            <w:tcW w:w="9432" w:type="dxa"/>
          </w:tcPr>
          <w:p>
            <w:pPr>
              <w:pStyle w:val="TableParagraph"/>
              <w:ind w:left="108"/>
              <w:rPr>
                <w:sz w:val="20"/>
              </w:rPr>
            </w:pPr>
            <w:bookmarkStart w:name="0,5 г внутрь каждые 8 ч или 0,875 г внут" w:id="389"/>
            <w:bookmarkEnd w:id="389"/>
            <w:r>
              <w:rPr/>
            </w:r>
            <w:r>
              <w:rPr>
                <w:sz w:val="20"/>
              </w:rPr>
              <w:t>0,5 г внутрь каждые 8 ч или 0,875 г внутрь каждые 12 ч</w:t>
            </w:r>
          </w:p>
          <w:p>
            <w:pPr>
              <w:pStyle w:val="TableParagraph"/>
              <w:spacing w:line="210" w:lineRule="exact"/>
              <w:ind w:left="108"/>
              <w:rPr>
                <w:sz w:val="20"/>
              </w:rPr>
            </w:pPr>
            <w:bookmarkStart w:name="или" w:id="390"/>
            <w:bookmarkEnd w:id="390"/>
            <w:r>
              <w:rPr/>
            </w:r>
            <w:r>
              <w:rPr>
                <w:sz w:val="20"/>
              </w:rPr>
              <w:t>или 2 г внутрь каждые 12 ч (таблетки с модифицированным высвобождением)</w:t>
            </w:r>
          </w:p>
        </w:tc>
      </w:tr>
      <w:tr>
        <w:trPr>
          <w:trHeight w:val="230"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13118" w:type="dxa"/>
            <w:gridSpan w:val="2"/>
          </w:tcPr>
          <w:p>
            <w:pPr>
              <w:pStyle w:val="TableParagraph"/>
              <w:spacing w:line="210" w:lineRule="exact"/>
              <w:ind w:left="110"/>
              <w:rPr>
                <w:sz w:val="20"/>
              </w:rPr>
            </w:pPr>
            <w:r>
              <w:rPr>
                <w:sz w:val="20"/>
              </w:rPr>
              <w:t>или</w:t>
            </w:r>
          </w:p>
        </w:tc>
      </w:tr>
      <w:tr>
        <w:trPr>
          <w:trHeight w:val="330"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3686" w:type="dxa"/>
            <w:shd w:val="clear" w:color="auto" w:fill="F1F1F1"/>
          </w:tcPr>
          <w:p>
            <w:pPr>
              <w:pStyle w:val="TableParagraph"/>
              <w:spacing w:before="50"/>
              <w:ind w:left="110"/>
              <w:rPr>
                <w:sz w:val="20"/>
              </w:rPr>
            </w:pPr>
            <w:bookmarkStart w:name="Амоксициллин" w:id="391"/>
            <w:bookmarkEnd w:id="391"/>
            <w:r>
              <w:rPr/>
            </w:r>
            <w:hyperlink r:id="rId99">
              <w:r>
                <w:rPr>
                  <w:sz w:val="20"/>
                </w:rPr>
                <w:t>Амоксициллин</w:t>
              </w:r>
            </w:hyperlink>
          </w:p>
        </w:tc>
        <w:tc>
          <w:tcPr>
            <w:tcW w:w="9432" w:type="dxa"/>
            <w:shd w:val="clear" w:color="auto" w:fill="F1F1F1"/>
          </w:tcPr>
          <w:p>
            <w:pPr>
              <w:pStyle w:val="TableParagraph"/>
              <w:ind w:left="108"/>
              <w:rPr>
                <w:sz w:val="20"/>
              </w:rPr>
            </w:pPr>
            <w:bookmarkStart w:name="0,5 или 1 г (предпочтительно) внутрь каж" w:id="392"/>
            <w:bookmarkEnd w:id="392"/>
            <w:r>
              <w:rPr/>
            </w:r>
            <w:r>
              <w:rPr>
                <w:sz w:val="20"/>
              </w:rPr>
              <w:t>0,5 или 1 г (предпочтительно) внутрь каждые 8 ч</w:t>
            </w:r>
          </w:p>
        </w:tc>
      </w:tr>
      <w:tr>
        <w:trPr>
          <w:trHeight w:val="237"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13118" w:type="dxa"/>
            <w:gridSpan w:val="2"/>
          </w:tcPr>
          <w:p>
            <w:pPr>
              <w:pStyle w:val="TableParagraph"/>
              <w:spacing w:line="215" w:lineRule="exact" w:before="2"/>
              <w:ind w:left="110"/>
              <w:rPr>
                <w:sz w:val="20"/>
              </w:rPr>
            </w:pPr>
            <w:bookmarkStart w:name="или" w:id="393"/>
            <w:bookmarkEnd w:id="393"/>
            <w:r>
              <w:rPr/>
            </w:r>
            <w:r>
              <w:rPr>
                <w:sz w:val="20"/>
              </w:rPr>
              <w:t>или</w:t>
            </w:r>
          </w:p>
        </w:tc>
      </w:tr>
      <w:tr>
        <w:trPr>
          <w:trHeight w:val="239"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3686" w:type="dxa"/>
          </w:tcPr>
          <w:p>
            <w:pPr>
              <w:pStyle w:val="TableParagraph"/>
              <w:spacing w:line="215" w:lineRule="exact" w:before="5"/>
              <w:ind w:left="110"/>
              <w:rPr>
                <w:sz w:val="20"/>
              </w:rPr>
            </w:pPr>
            <w:bookmarkStart w:name="Азитромицин" w:id="394"/>
            <w:bookmarkEnd w:id="394"/>
            <w:r>
              <w:rPr/>
            </w:r>
            <w:bookmarkStart w:name="или" w:id="395"/>
            <w:bookmarkEnd w:id="395"/>
            <w:r>
              <w:rPr/>
            </w:r>
            <w:r>
              <w:rPr>
                <w:sz w:val="20"/>
              </w:rPr>
              <w:t>Азитромицин</w:t>
            </w:r>
          </w:p>
        </w:tc>
        <w:tc>
          <w:tcPr>
            <w:tcW w:w="9432" w:type="dxa"/>
          </w:tcPr>
          <w:p>
            <w:pPr>
              <w:pStyle w:val="TableParagraph"/>
              <w:spacing w:line="219" w:lineRule="exact"/>
              <w:ind w:left="108"/>
              <w:rPr>
                <w:sz w:val="20"/>
              </w:rPr>
            </w:pPr>
            <w:bookmarkStart w:name="0,5 г внутрь в 1-й день, затем по 0,25 г" w:id="396"/>
            <w:bookmarkEnd w:id="396"/>
            <w:r>
              <w:rPr/>
            </w:r>
            <w:r>
              <w:rPr>
                <w:sz w:val="20"/>
              </w:rPr>
              <w:t>0,5 г внутрь в 1-й день, затем по 0,25 г каждые 24 ч (5-дневный курс)</w:t>
            </w:r>
          </w:p>
        </w:tc>
      </w:tr>
      <w:tr>
        <w:trPr>
          <w:trHeight w:val="242"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13118" w:type="dxa"/>
            <w:gridSpan w:val="2"/>
          </w:tcPr>
          <w:p>
            <w:pPr>
              <w:pStyle w:val="TableParagraph"/>
              <w:spacing w:line="215" w:lineRule="exact" w:before="7"/>
              <w:ind w:left="110"/>
              <w:rPr>
                <w:sz w:val="20"/>
              </w:rPr>
            </w:pPr>
            <w:r>
              <w:rPr>
                <w:sz w:val="20"/>
              </w:rPr>
              <w:t>или</w:t>
            </w:r>
          </w:p>
        </w:tc>
      </w:tr>
      <w:tr>
        <w:trPr>
          <w:trHeight w:val="239"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3686" w:type="dxa"/>
            <w:shd w:val="clear" w:color="auto" w:fill="F1F1F1"/>
          </w:tcPr>
          <w:p>
            <w:pPr>
              <w:pStyle w:val="TableParagraph"/>
              <w:spacing w:line="215" w:lineRule="exact" w:before="5"/>
              <w:ind w:left="110"/>
              <w:rPr>
                <w:sz w:val="20"/>
              </w:rPr>
            </w:pPr>
            <w:bookmarkStart w:name="Левофлоксацин" w:id="397"/>
            <w:bookmarkEnd w:id="397"/>
            <w:r>
              <w:rPr/>
            </w:r>
            <w:r>
              <w:rPr>
                <w:sz w:val="20"/>
              </w:rPr>
              <w:t>Левофлоксацин</w:t>
            </w:r>
          </w:p>
        </w:tc>
        <w:tc>
          <w:tcPr>
            <w:tcW w:w="9432" w:type="dxa"/>
            <w:shd w:val="clear" w:color="auto" w:fill="F1F1F1"/>
          </w:tcPr>
          <w:p>
            <w:pPr>
              <w:pStyle w:val="TableParagraph"/>
              <w:spacing w:line="219" w:lineRule="exact"/>
              <w:ind w:left="108"/>
              <w:rPr>
                <w:sz w:val="20"/>
              </w:rPr>
            </w:pPr>
            <w:bookmarkStart w:name="0,5 г внутрь каждые 12 ч или 0,75 г кажд" w:id="398"/>
            <w:bookmarkEnd w:id="398"/>
            <w:r>
              <w:rPr/>
            </w:r>
            <w:r>
              <w:rPr>
                <w:sz w:val="20"/>
              </w:rPr>
              <w:t>0,5 г внутрь каждые 12 ч или 0,75 г каждые 24 ч</w:t>
            </w:r>
          </w:p>
        </w:tc>
      </w:tr>
      <w:tr>
        <w:trPr>
          <w:trHeight w:val="241"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13118" w:type="dxa"/>
            <w:gridSpan w:val="2"/>
          </w:tcPr>
          <w:p>
            <w:pPr>
              <w:pStyle w:val="TableParagraph"/>
              <w:spacing w:line="215" w:lineRule="exact" w:before="7"/>
              <w:ind w:left="110"/>
              <w:rPr>
                <w:sz w:val="20"/>
              </w:rPr>
            </w:pPr>
            <w:bookmarkStart w:name="или" w:id="399"/>
            <w:bookmarkEnd w:id="399"/>
            <w:r>
              <w:rPr/>
            </w:r>
            <w:r>
              <w:rPr>
                <w:sz w:val="20"/>
              </w:rPr>
              <w:t>или</w:t>
            </w:r>
          </w:p>
        </w:tc>
      </w:tr>
      <w:tr>
        <w:trPr>
          <w:trHeight w:val="242"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3686" w:type="dxa"/>
          </w:tcPr>
          <w:p>
            <w:pPr>
              <w:pStyle w:val="TableParagraph"/>
              <w:spacing w:line="217" w:lineRule="exact" w:before="5"/>
              <w:ind w:left="110"/>
              <w:rPr>
                <w:sz w:val="20"/>
              </w:rPr>
            </w:pPr>
            <w:bookmarkStart w:name="Моксифлоксацин" w:id="400"/>
            <w:bookmarkEnd w:id="400"/>
            <w:r>
              <w:rPr/>
            </w:r>
            <w:hyperlink r:id="rId100">
              <w:r>
                <w:rPr>
                  <w:sz w:val="20"/>
                </w:rPr>
                <w:t>Моксифлоксацин</w:t>
              </w:r>
            </w:hyperlink>
          </w:p>
        </w:tc>
        <w:tc>
          <w:tcPr>
            <w:tcW w:w="9432" w:type="dxa"/>
          </w:tcPr>
          <w:p>
            <w:pPr>
              <w:pStyle w:val="TableParagraph"/>
              <w:spacing w:line="222" w:lineRule="exact"/>
              <w:ind w:left="108"/>
              <w:rPr>
                <w:sz w:val="20"/>
              </w:rPr>
            </w:pPr>
            <w:bookmarkStart w:name="0,4 г внутрь каждые 24 ч" w:id="401"/>
            <w:bookmarkEnd w:id="401"/>
            <w:r>
              <w:rPr/>
            </w:r>
            <w:r>
              <w:rPr>
                <w:sz w:val="20"/>
              </w:rPr>
              <w:t>0,4 г внутрь каждые 24 ч</w:t>
            </w:r>
          </w:p>
        </w:tc>
      </w:tr>
      <w:tr>
        <w:trPr>
          <w:trHeight w:val="239"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13118" w:type="dxa"/>
            <w:gridSpan w:val="2"/>
          </w:tcPr>
          <w:p>
            <w:pPr>
              <w:pStyle w:val="TableParagraph"/>
              <w:spacing w:line="215" w:lineRule="exact" w:before="5"/>
              <w:ind w:left="110"/>
              <w:rPr>
                <w:sz w:val="20"/>
              </w:rPr>
            </w:pPr>
            <w:bookmarkStart w:name="или" w:id="402"/>
            <w:bookmarkEnd w:id="402"/>
            <w:r>
              <w:rPr/>
            </w:r>
            <w:r>
              <w:rPr>
                <w:sz w:val="20"/>
              </w:rPr>
              <w:t>или</w:t>
            </w:r>
          </w:p>
        </w:tc>
      </w:tr>
      <w:tr>
        <w:trPr>
          <w:trHeight w:val="242" w:hRule="atLeast"/>
        </w:trPr>
        <w:tc>
          <w:tcPr>
            <w:tcW w:w="1217" w:type="dxa"/>
            <w:vMerge/>
            <w:tcBorders>
              <w:top w:val="nil"/>
            </w:tcBorders>
          </w:tcPr>
          <w:p>
            <w:pPr>
              <w:rPr>
                <w:sz w:val="2"/>
                <w:szCs w:val="2"/>
              </w:rPr>
            </w:pPr>
          </w:p>
        </w:tc>
        <w:tc>
          <w:tcPr>
            <w:tcW w:w="451" w:type="dxa"/>
            <w:vMerge/>
            <w:tcBorders>
              <w:top w:val="nil"/>
            </w:tcBorders>
          </w:tcPr>
          <w:p>
            <w:pPr>
              <w:rPr>
                <w:sz w:val="2"/>
                <w:szCs w:val="2"/>
              </w:rPr>
            </w:pPr>
          </w:p>
        </w:tc>
        <w:tc>
          <w:tcPr>
            <w:tcW w:w="3686" w:type="dxa"/>
            <w:shd w:val="clear" w:color="auto" w:fill="F1F1F1"/>
          </w:tcPr>
          <w:p>
            <w:pPr>
              <w:pStyle w:val="TableParagraph"/>
              <w:spacing w:line="217" w:lineRule="exact" w:before="5"/>
              <w:ind w:left="110"/>
              <w:rPr>
                <w:sz w:val="20"/>
              </w:rPr>
            </w:pPr>
            <w:bookmarkStart w:name="Кларитромицин" w:id="403"/>
            <w:bookmarkEnd w:id="403"/>
            <w:r>
              <w:rPr/>
            </w:r>
            <w:hyperlink r:id="rId101">
              <w:r>
                <w:rPr>
                  <w:sz w:val="20"/>
                </w:rPr>
                <w:t>Кларитромицин</w:t>
              </w:r>
            </w:hyperlink>
          </w:p>
        </w:tc>
        <w:tc>
          <w:tcPr>
            <w:tcW w:w="9432" w:type="dxa"/>
            <w:shd w:val="clear" w:color="auto" w:fill="F1F1F1"/>
          </w:tcPr>
          <w:p>
            <w:pPr>
              <w:pStyle w:val="TableParagraph"/>
              <w:spacing w:line="222" w:lineRule="exact"/>
              <w:ind w:left="108"/>
              <w:rPr>
                <w:sz w:val="20"/>
              </w:rPr>
            </w:pPr>
            <w:bookmarkStart w:name="0,5 г внутрь каждые 12 ч" w:id="404"/>
            <w:bookmarkEnd w:id="404"/>
            <w:r>
              <w:rPr/>
            </w:r>
            <w:r>
              <w:rPr>
                <w:sz w:val="20"/>
              </w:rPr>
              <w:t>0,5 г внутрь каждые 12 ч</w:t>
            </w:r>
          </w:p>
        </w:tc>
      </w:tr>
    </w:tbl>
    <w:p>
      <w:pPr>
        <w:pStyle w:val="BodyText"/>
        <w:ind w:left="0"/>
        <w:jc w:val="left"/>
        <w:rPr>
          <w:b/>
          <w:sz w:val="20"/>
        </w:rPr>
      </w:pPr>
    </w:p>
    <w:p>
      <w:pPr>
        <w:pStyle w:val="BodyText"/>
        <w:spacing w:before="11"/>
        <w:ind w:left="0"/>
        <w:jc w:val="left"/>
        <w:rPr>
          <w:b/>
          <w:sz w:val="20"/>
        </w:rPr>
      </w:pPr>
    </w:p>
    <w:p>
      <w:pPr>
        <w:spacing w:before="0"/>
        <w:ind w:left="252" w:right="0" w:firstLine="0"/>
        <w:jc w:val="left"/>
        <w:rPr>
          <w:sz w:val="20"/>
        </w:rPr>
      </w:pPr>
      <w:bookmarkStart w:name="*при наличии факторов риска тромбообразо" w:id="405"/>
      <w:bookmarkEnd w:id="405"/>
      <w:r>
        <w:rPr/>
      </w:r>
      <w:r>
        <w:rPr>
          <w:sz w:val="20"/>
        </w:rPr>
        <w:t>*при наличии факторов риска тромбообразования (см. стр. 53-54)</w:t>
      </w:r>
    </w:p>
    <w:p>
      <w:pPr>
        <w:spacing w:line="276" w:lineRule="auto" w:before="137"/>
        <w:ind w:left="252" w:right="501" w:firstLine="0"/>
        <w:jc w:val="left"/>
        <w:rPr>
          <w:sz w:val="20"/>
        </w:rPr>
      </w:pPr>
      <w:r>
        <w:rPr>
          <w:sz w:val="20"/>
        </w:rPr>
        <w:t>**по показаниям (сочетание данных КТ (объем поражения более 50% (КТ3-4) с двумя и более признаками: снижение SpO2 &lt; 93%; СРБ &gt; 40 мг/л; лихорадка &gt; 38°C в течение 5 дней).</w:t>
      </w:r>
    </w:p>
    <w:p>
      <w:pPr>
        <w:spacing w:after="0" w:line="276" w:lineRule="auto"/>
        <w:jc w:val="left"/>
        <w:rPr>
          <w:sz w:val="20"/>
        </w:rPr>
        <w:sectPr>
          <w:pgSz w:w="16850" w:h="11920" w:orient="landscape"/>
          <w:pgMar w:header="0" w:footer="699" w:top="1100" w:bottom="880" w:left="880" w:right="360"/>
        </w:sectPr>
      </w:pPr>
    </w:p>
    <w:p>
      <w:pPr>
        <w:pStyle w:val="Heading3"/>
        <w:spacing w:before="65"/>
        <w:ind w:left="0" w:right="431"/>
        <w:jc w:val="right"/>
      </w:pPr>
      <w:bookmarkStart w:name="Приложение 10-2" w:id="406"/>
      <w:bookmarkEnd w:id="406"/>
      <w:r>
        <w:rPr>
          <w:b w:val="0"/>
        </w:rPr>
      </w:r>
      <w:bookmarkStart w:name="_bookmark62" w:id="407"/>
      <w:bookmarkEnd w:id="407"/>
      <w:r>
        <w:rPr>
          <w:b w:val="0"/>
        </w:rPr>
      </w:r>
      <w:r>
        <w:rPr>
          <w:color w:val="1F487C"/>
        </w:rPr>
        <w:t>Приложение 10-2</w:t>
      </w:r>
    </w:p>
    <w:p>
      <w:pPr>
        <w:pStyle w:val="BodyText"/>
        <w:spacing w:before="6"/>
        <w:ind w:left="0"/>
        <w:jc w:val="left"/>
        <w:rPr>
          <w:b/>
          <w:sz w:val="28"/>
        </w:rPr>
      </w:pPr>
    </w:p>
    <w:p>
      <w:pPr>
        <w:spacing w:before="90"/>
        <w:ind w:left="1597" w:right="1066" w:firstLine="0"/>
        <w:jc w:val="center"/>
        <w:rPr>
          <w:b/>
          <w:sz w:val="24"/>
        </w:rPr>
      </w:pPr>
      <w:r>
        <w:rPr>
          <w:b/>
          <w:sz w:val="24"/>
        </w:rPr>
        <w:t>Рекомендованные схемы лечения в условиях стационара</w:t>
      </w:r>
    </w:p>
    <w:p>
      <w:pPr>
        <w:pStyle w:val="BodyText"/>
        <w:spacing w:before="7"/>
        <w:ind w:left="0"/>
        <w:jc w:val="left"/>
        <w:rPr>
          <w:b/>
          <w:sz w:val="17"/>
        </w:rPr>
      </w:pPr>
    </w:p>
    <w:tbl>
      <w:tblPr>
        <w:tblW w:w="0" w:type="auto"/>
        <w:jc w:val="left"/>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88"/>
        <w:gridCol w:w="451"/>
        <w:gridCol w:w="2909"/>
        <w:gridCol w:w="10332"/>
      </w:tblGrid>
      <w:tr>
        <w:trPr>
          <w:trHeight w:val="268" w:hRule="atLeast"/>
        </w:trPr>
        <w:tc>
          <w:tcPr>
            <w:tcW w:w="1188" w:type="dxa"/>
          </w:tcPr>
          <w:p>
            <w:pPr>
              <w:pStyle w:val="TableParagraph"/>
              <w:rPr>
                <w:sz w:val="18"/>
              </w:rPr>
            </w:pPr>
          </w:p>
        </w:tc>
        <w:tc>
          <w:tcPr>
            <w:tcW w:w="451" w:type="dxa"/>
          </w:tcPr>
          <w:p>
            <w:pPr>
              <w:pStyle w:val="TableParagraph"/>
              <w:spacing w:before="12"/>
              <w:ind w:left="17"/>
              <w:jc w:val="center"/>
              <w:rPr>
                <w:sz w:val="20"/>
              </w:rPr>
            </w:pPr>
            <w:r>
              <w:rPr>
                <w:w w:val="99"/>
                <w:sz w:val="20"/>
              </w:rPr>
              <w:t>№</w:t>
            </w:r>
          </w:p>
        </w:tc>
        <w:tc>
          <w:tcPr>
            <w:tcW w:w="2909" w:type="dxa"/>
          </w:tcPr>
          <w:p>
            <w:pPr>
              <w:pStyle w:val="TableParagraph"/>
              <w:spacing w:before="12"/>
              <w:ind w:left="117"/>
              <w:rPr>
                <w:sz w:val="20"/>
              </w:rPr>
            </w:pPr>
            <w:r>
              <w:rPr>
                <w:sz w:val="20"/>
              </w:rPr>
              <w:t>Препарат</w:t>
            </w:r>
          </w:p>
        </w:tc>
        <w:tc>
          <w:tcPr>
            <w:tcW w:w="10332" w:type="dxa"/>
          </w:tcPr>
          <w:p>
            <w:pPr>
              <w:pStyle w:val="TableParagraph"/>
              <w:ind w:left="107"/>
              <w:rPr>
                <w:sz w:val="20"/>
              </w:rPr>
            </w:pPr>
            <w:bookmarkStart w:name="Режим дозирования" w:id="408"/>
            <w:bookmarkEnd w:id="408"/>
            <w:r>
              <w:rPr/>
            </w:r>
            <w:r>
              <w:rPr>
                <w:sz w:val="20"/>
              </w:rPr>
              <w:t>Режим дозирования</w:t>
            </w:r>
          </w:p>
        </w:tc>
      </w:tr>
      <w:tr>
        <w:trPr>
          <w:trHeight w:val="453" w:hRule="atLeast"/>
        </w:trPr>
        <w:tc>
          <w:tcPr>
            <w:tcW w:w="1188" w:type="dxa"/>
          </w:tcPr>
          <w:p>
            <w:pPr>
              <w:pStyle w:val="TableParagraph"/>
              <w:rPr>
                <w:sz w:val="20"/>
              </w:rPr>
            </w:pPr>
          </w:p>
        </w:tc>
        <w:tc>
          <w:tcPr>
            <w:tcW w:w="13692" w:type="dxa"/>
            <w:gridSpan w:val="3"/>
            <w:shd w:val="clear" w:color="auto" w:fill="F1F1F1"/>
          </w:tcPr>
          <w:p>
            <w:pPr>
              <w:pStyle w:val="TableParagraph"/>
              <w:spacing w:before="106"/>
              <w:ind w:left="4963" w:right="4942"/>
              <w:jc w:val="center"/>
              <w:rPr>
                <w:b/>
                <w:sz w:val="20"/>
              </w:rPr>
            </w:pPr>
            <w:r>
              <w:rPr>
                <w:b/>
                <w:sz w:val="20"/>
              </w:rPr>
              <w:t>Легкое течение</w:t>
            </w:r>
          </w:p>
        </w:tc>
      </w:tr>
      <w:tr>
        <w:trPr>
          <w:trHeight w:val="921" w:hRule="atLeast"/>
        </w:trPr>
        <w:tc>
          <w:tcPr>
            <w:tcW w:w="1188" w:type="dxa"/>
            <w:vMerge w:val="restart"/>
            <w:shd w:val="clear" w:color="auto" w:fill="F1F1F1"/>
          </w:tcPr>
          <w:p>
            <w:pPr>
              <w:pStyle w:val="TableParagraph"/>
              <w:rPr>
                <w:b/>
                <w:sz w:val="22"/>
              </w:rPr>
            </w:pPr>
          </w:p>
          <w:p>
            <w:pPr>
              <w:pStyle w:val="TableParagraph"/>
              <w:rPr>
                <w:b/>
                <w:sz w:val="22"/>
              </w:rPr>
            </w:pPr>
          </w:p>
          <w:p>
            <w:pPr>
              <w:pStyle w:val="TableParagraph"/>
              <w:spacing w:before="1"/>
              <w:rPr>
                <w:b/>
                <w:sz w:val="30"/>
              </w:rPr>
            </w:pPr>
          </w:p>
          <w:p>
            <w:pPr>
              <w:pStyle w:val="TableParagraph"/>
              <w:ind w:left="117"/>
              <w:rPr>
                <w:sz w:val="20"/>
              </w:rPr>
            </w:pPr>
            <w:r>
              <w:rPr>
                <w:sz w:val="20"/>
              </w:rPr>
              <w:t>Схема 1</w:t>
            </w:r>
          </w:p>
        </w:tc>
        <w:tc>
          <w:tcPr>
            <w:tcW w:w="451" w:type="dxa"/>
          </w:tcPr>
          <w:p>
            <w:pPr>
              <w:pStyle w:val="TableParagraph"/>
              <w:ind w:left="18"/>
              <w:jc w:val="center"/>
              <w:rPr>
                <w:sz w:val="20"/>
              </w:rPr>
            </w:pPr>
            <w:r>
              <w:rPr>
                <w:w w:val="99"/>
                <w:sz w:val="20"/>
              </w:rPr>
              <w:t>1</w:t>
            </w:r>
          </w:p>
        </w:tc>
        <w:tc>
          <w:tcPr>
            <w:tcW w:w="2909" w:type="dxa"/>
          </w:tcPr>
          <w:p>
            <w:pPr>
              <w:pStyle w:val="TableParagraph"/>
              <w:ind w:left="117"/>
              <w:rPr>
                <w:sz w:val="20"/>
              </w:rPr>
            </w:pPr>
            <w:r>
              <w:rPr>
                <w:sz w:val="20"/>
              </w:rPr>
              <w:t>Фавипиравир</w:t>
            </w:r>
          </w:p>
        </w:tc>
        <w:tc>
          <w:tcPr>
            <w:tcW w:w="10332" w:type="dxa"/>
          </w:tcPr>
          <w:p>
            <w:pPr>
              <w:pStyle w:val="TableParagraph"/>
              <w:ind w:left="107"/>
              <w:rPr>
                <w:sz w:val="20"/>
              </w:rPr>
            </w:pPr>
            <w:bookmarkStart w:name="Для пациентов с массой тела ˂ 75 кг: " w:id="409"/>
            <w:bookmarkEnd w:id="409"/>
            <w:r>
              <w:rPr/>
            </w:r>
            <w:bookmarkStart w:name="по 1600 мг 2 р/сут в 1-й день и далее по" w:id="410"/>
            <w:bookmarkEnd w:id="410"/>
            <w:r>
              <w:rPr/>
            </w:r>
            <w:r>
              <w:rPr>
                <w:sz w:val="20"/>
              </w:rPr>
              <w:t>Для пациентов с массой тела ˂ 75 кг:</w:t>
            </w:r>
          </w:p>
          <w:p>
            <w:pPr>
              <w:pStyle w:val="TableParagraph"/>
              <w:ind w:left="107" w:right="3895"/>
              <w:rPr>
                <w:sz w:val="20"/>
              </w:rPr>
            </w:pPr>
            <w:bookmarkStart w:name="Для пациентов с массой тела 75 кг и боле" w:id="411"/>
            <w:bookmarkEnd w:id="411"/>
            <w:r>
              <w:rPr/>
            </w:r>
            <w:r>
              <w:rPr>
                <w:sz w:val="20"/>
              </w:rPr>
              <w:t>по 1600 мг 2 р/сут в 1-й день и далее по 600 мг 2 р/сут со 2 по 10 день.</w:t>
            </w:r>
            <w:bookmarkStart w:name="по 1800 мг 2 раза/сут в 1-й день, далее " w:id="412"/>
            <w:bookmarkEnd w:id="412"/>
            <w:r>
              <w:rPr>
                <w:sz w:val="20"/>
              </w:rPr>
            </w:r>
            <w:r>
              <w:rPr>
                <w:sz w:val="20"/>
              </w:rPr>
              <w:t> Для пациентов с массой тела 75 кг и более:</w:t>
            </w:r>
          </w:p>
          <w:p>
            <w:pPr>
              <w:pStyle w:val="TableParagraph"/>
              <w:spacing w:line="210" w:lineRule="exact" w:before="1"/>
              <w:ind w:left="107"/>
              <w:rPr>
                <w:sz w:val="20"/>
              </w:rPr>
            </w:pPr>
            <w:bookmarkStart w:name="По 3 капли в каждый носовой ход (3000 МЕ" w:id="413"/>
            <w:bookmarkEnd w:id="413"/>
            <w:r>
              <w:rPr/>
            </w:r>
            <w:r>
              <w:rPr>
                <w:sz w:val="20"/>
              </w:rPr>
              <w:t>по 1800 мг 2 раза/сут в 1-й день, далее по 800 мг 2 раза/сут со 2 по 10 день.</w:t>
            </w:r>
          </w:p>
        </w:tc>
      </w:tr>
      <w:tr>
        <w:trPr>
          <w:trHeight w:val="505" w:hRule="atLeast"/>
        </w:trPr>
        <w:tc>
          <w:tcPr>
            <w:tcW w:w="1188" w:type="dxa"/>
            <w:vMerge/>
            <w:tcBorders>
              <w:top w:val="nil"/>
            </w:tcBorders>
            <w:shd w:val="clear" w:color="auto" w:fill="F1F1F1"/>
          </w:tcPr>
          <w:p>
            <w:pPr>
              <w:rPr>
                <w:sz w:val="2"/>
                <w:szCs w:val="2"/>
              </w:rPr>
            </w:pPr>
          </w:p>
        </w:tc>
        <w:tc>
          <w:tcPr>
            <w:tcW w:w="451" w:type="dxa"/>
            <w:shd w:val="clear" w:color="auto" w:fill="F1F1F1"/>
          </w:tcPr>
          <w:p>
            <w:pPr>
              <w:pStyle w:val="TableParagraph"/>
              <w:ind w:left="18"/>
              <w:jc w:val="center"/>
              <w:rPr>
                <w:sz w:val="20"/>
              </w:rPr>
            </w:pPr>
            <w:r>
              <w:rPr>
                <w:w w:val="99"/>
                <w:sz w:val="20"/>
              </w:rPr>
              <w:t>2</w:t>
            </w:r>
          </w:p>
        </w:tc>
        <w:tc>
          <w:tcPr>
            <w:tcW w:w="2909" w:type="dxa"/>
            <w:shd w:val="clear" w:color="auto" w:fill="F1F1F1"/>
          </w:tcPr>
          <w:p>
            <w:pPr>
              <w:pStyle w:val="TableParagraph"/>
              <w:ind w:left="117" w:right="118"/>
              <w:rPr>
                <w:sz w:val="20"/>
              </w:rPr>
            </w:pPr>
            <w:r>
              <w:rPr>
                <w:sz w:val="20"/>
              </w:rPr>
              <w:t>ИФН-α, интраназальные формы</w:t>
            </w:r>
          </w:p>
        </w:tc>
        <w:tc>
          <w:tcPr>
            <w:tcW w:w="10332" w:type="dxa"/>
            <w:shd w:val="clear" w:color="auto" w:fill="F1F1F1"/>
          </w:tcPr>
          <w:p>
            <w:pPr>
              <w:pStyle w:val="TableParagraph"/>
              <w:ind w:left="107" w:right="4202"/>
              <w:rPr>
                <w:sz w:val="20"/>
              </w:rPr>
            </w:pPr>
            <w:bookmarkStart w:name="впрыскивание 5-6 раз" w:id="414"/>
            <w:bookmarkEnd w:id="414"/>
            <w:r>
              <w:rPr/>
            </w:r>
            <w:r>
              <w:rPr>
                <w:sz w:val="20"/>
              </w:rPr>
              <w:t>По 3 капли в каждый носовой ход (3000 МЕ) 5 р/сут в течение 5 дней; впрыскивание 5-6 раз</w:t>
            </w:r>
          </w:p>
        </w:tc>
      </w:tr>
      <w:tr>
        <w:trPr>
          <w:trHeight w:val="244" w:hRule="atLeast"/>
        </w:trPr>
        <w:tc>
          <w:tcPr>
            <w:tcW w:w="1188" w:type="dxa"/>
            <w:vMerge/>
            <w:tcBorders>
              <w:top w:val="nil"/>
            </w:tcBorders>
            <w:shd w:val="clear" w:color="auto" w:fill="F1F1F1"/>
          </w:tcPr>
          <w:p>
            <w:pPr>
              <w:rPr>
                <w:sz w:val="2"/>
                <w:szCs w:val="2"/>
              </w:rPr>
            </w:pPr>
          </w:p>
        </w:tc>
        <w:tc>
          <w:tcPr>
            <w:tcW w:w="451" w:type="dxa"/>
          </w:tcPr>
          <w:p>
            <w:pPr>
              <w:pStyle w:val="TableParagraph"/>
              <w:spacing w:line="224" w:lineRule="exact"/>
              <w:ind w:left="18"/>
              <w:jc w:val="center"/>
              <w:rPr>
                <w:sz w:val="20"/>
              </w:rPr>
            </w:pPr>
            <w:r>
              <w:rPr>
                <w:w w:val="99"/>
                <w:sz w:val="20"/>
              </w:rPr>
              <w:t>3</w:t>
            </w:r>
          </w:p>
        </w:tc>
        <w:tc>
          <w:tcPr>
            <w:tcW w:w="13241" w:type="dxa"/>
            <w:gridSpan w:val="2"/>
          </w:tcPr>
          <w:p>
            <w:pPr>
              <w:pStyle w:val="TableParagraph"/>
              <w:spacing w:line="224" w:lineRule="exact"/>
              <w:ind w:left="117"/>
              <w:rPr>
                <w:sz w:val="20"/>
              </w:rPr>
            </w:pPr>
            <w:r>
              <w:rPr>
                <w:sz w:val="20"/>
              </w:rPr>
              <w:t>Антикоагулянтный препарат, см. Приложение 9-2</w:t>
            </w:r>
          </w:p>
        </w:tc>
      </w:tr>
      <w:tr>
        <w:trPr>
          <w:trHeight w:val="244" w:hRule="atLeast"/>
        </w:trPr>
        <w:tc>
          <w:tcPr>
            <w:tcW w:w="1188" w:type="dxa"/>
            <w:vMerge/>
            <w:tcBorders>
              <w:top w:val="nil"/>
            </w:tcBorders>
            <w:shd w:val="clear" w:color="auto" w:fill="F1F1F1"/>
          </w:tcPr>
          <w:p>
            <w:pPr>
              <w:rPr>
                <w:sz w:val="2"/>
                <w:szCs w:val="2"/>
              </w:rPr>
            </w:pPr>
          </w:p>
        </w:tc>
        <w:tc>
          <w:tcPr>
            <w:tcW w:w="451" w:type="dxa"/>
            <w:shd w:val="clear" w:color="auto" w:fill="F1F1F1"/>
          </w:tcPr>
          <w:p>
            <w:pPr>
              <w:pStyle w:val="TableParagraph"/>
              <w:spacing w:line="224" w:lineRule="exact"/>
              <w:ind w:left="18"/>
              <w:jc w:val="center"/>
              <w:rPr>
                <w:sz w:val="20"/>
              </w:rPr>
            </w:pPr>
            <w:r>
              <w:rPr>
                <w:w w:val="99"/>
                <w:sz w:val="20"/>
              </w:rPr>
              <w:t>4</w:t>
            </w:r>
          </w:p>
        </w:tc>
        <w:tc>
          <w:tcPr>
            <w:tcW w:w="13241" w:type="dxa"/>
            <w:gridSpan w:val="2"/>
            <w:shd w:val="clear" w:color="auto" w:fill="F1F1F1"/>
          </w:tcPr>
          <w:p>
            <w:pPr>
              <w:pStyle w:val="TableParagraph"/>
              <w:spacing w:line="224" w:lineRule="exact"/>
              <w:ind w:left="117"/>
              <w:rPr>
                <w:sz w:val="20"/>
              </w:rPr>
            </w:pPr>
            <w:r>
              <w:rPr>
                <w:sz w:val="20"/>
              </w:rPr>
              <w:t>НПВП по показаниям</w:t>
            </w:r>
          </w:p>
        </w:tc>
      </w:tr>
      <w:tr>
        <w:trPr>
          <w:trHeight w:val="337" w:hRule="atLeast"/>
        </w:trPr>
        <w:tc>
          <w:tcPr>
            <w:tcW w:w="1188" w:type="dxa"/>
            <w:vMerge w:val="restart"/>
            <w:shd w:val="clear" w:color="auto" w:fill="F1F1F1"/>
          </w:tcPr>
          <w:p>
            <w:pPr>
              <w:pStyle w:val="TableParagraph"/>
              <w:rPr>
                <w:b/>
                <w:sz w:val="22"/>
              </w:rPr>
            </w:pPr>
          </w:p>
          <w:p>
            <w:pPr>
              <w:pStyle w:val="TableParagraph"/>
              <w:spacing w:before="3"/>
              <w:rPr>
                <w:b/>
                <w:sz w:val="28"/>
              </w:rPr>
            </w:pPr>
          </w:p>
          <w:p>
            <w:pPr>
              <w:pStyle w:val="TableParagraph"/>
              <w:ind w:left="117"/>
              <w:rPr>
                <w:sz w:val="20"/>
              </w:rPr>
            </w:pPr>
            <w:r>
              <w:rPr>
                <w:sz w:val="20"/>
              </w:rPr>
              <w:t>Схема 2</w:t>
            </w:r>
          </w:p>
        </w:tc>
        <w:tc>
          <w:tcPr>
            <w:tcW w:w="451" w:type="dxa"/>
          </w:tcPr>
          <w:p>
            <w:pPr>
              <w:pStyle w:val="TableParagraph"/>
              <w:ind w:left="18"/>
              <w:jc w:val="center"/>
              <w:rPr>
                <w:sz w:val="20"/>
              </w:rPr>
            </w:pPr>
            <w:r>
              <w:rPr>
                <w:w w:val="99"/>
                <w:sz w:val="20"/>
              </w:rPr>
              <w:t>1</w:t>
            </w:r>
          </w:p>
        </w:tc>
        <w:tc>
          <w:tcPr>
            <w:tcW w:w="2909" w:type="dxa"/>
          </w:tcPr>
          <w:p>
            <w:pPr>
              <w:pStyle w:val="TableParagraph"/>
              <w:ind w:left="117"/>
              <w:rPr>
                <w:sz w:val="20"/>
              </w:rPr>
            </w:pPr>
            <w:r>
              <w:rPr>
                <w:sz w:val="20"/>
              </w:rPr>
              <w:t>Гидроксихлорохин</w:t>
            </w:r>
          </w:p>
        </w:tc>
        <w:tc>
          <w:tcPr>
            <w:tcW w:w="10332" w:type="dxa"/>
          </w:tcPr>
          <w:p>
            <w:pPr>
              <w:pStyle w:val="TableParagraph"/>
              <w:ind w:left="107"/>
              <w:rPr>
                <w:sz w:val="20"/>
              </w:rPr>
            </w:pPr>
            <w:bookmarkStart w:name="400 мг в 1-й день (200 мг 2 р/сут), дале" w:id="415"/>
            <w:bookmarkEnd w:id="415"/>
            <w:r>
              <w:rPr/>
            </w:r>
            <w:r>
              <w:rPr>
                <w:sz w:val="20"/>
              </w:rPr>
              <w:t>400 мг в 1-й день (200 мг 2 р/сут), далее 200 мг в сутки (100 мг 2 р/сут), в течение 6-8 дней</w:t>
            </w:r>
          </w:p>
        </w:tc>
      </w:tr>
      <w:tr>
        <w:trPr>
          <w:trHeight w:val="472" w:hRule="atLeast"/>
        </w:trPr>
        <w:tc>
          <w:tcPr>
            <w:tcW w:w="1188" w:type="dxa"/>
            <w:vMerge/>
            <w:tcBorders>
              <w:top w:val="nil"/>
            </w:tcBorders>
            <w:shd w:val="clear" w:color="auto" w:fill="F1F1F1"/>
          </w:tcPr>
          <w:p>
            <w:pPr>
              <w:rPr>
                <w:sz w:val="2"/>
                <w:szCs w:val="2"/>
              </w:rPr>
            </w:pPr>
          </w:p>
        </w:tc>
        <w:tc>
          <w:tcPr>
            <w:tcW w:w="451" w:type="dxa"/>
            <w:shd w:val="clear" w:color="auto" w:fill="F1F1F1"/>
          </w:tcPr>
          <w:p>
            <w:pPr>
              <w:pStyle w:val="TableParagraph"/>
              <w:ind w:left="18"/>
              <w:jc w:val="center"/>
              <w:rPr>
                <w:sz w:val="20"/>
              </w:rPr>
            </w:pPr>
            <w:r>
              <w:rPr>
                <w:w w:val="99"/>
                <w:sz w:val="20"/>
              </w:rPr>
              <w:t>2</w:t>
            </w:r>
          </w:p>
        </w:tc>
        <w:tc>
          <w:tcPr>
            <w:tcW w:w="2909" w:type="dxa"/>
            <w:shd w:val="clear" w:color="auto" w:fill="F1F1F1"/>
          </w:tcPr>
          <w:p>
            <w:pPr>
              <w:pStyle w:val="TableParagraph"/>
              <w:spacing w:line="230" w:lineRule="atLeast"/>
              <w:ind w:left="117" w:right="118"/>
              <w:rPr>
                <w:sz w:val="20"/>
              </w:rPr>
            </w:pPr>
            <w:r>
              <w:rPr>
                <w:sz w:val="20"/>
              </w:rPr>
              <w:t>ИФН-α, интраназальные формы</w:t>
            </w:r>
          </w:p>
        </w:tc>
        <w:tc>
          <w:tcPr>
            <w:tcW w:w="10332" w:type="dxa"/>
            <w:shd w:val="clear" w:color="auto" w:fill="F1F1F1"/>
          </w:tcPr>
          <w:p>
            <w:pPr>
              <w:pStyle w:val="TableParagraph"/>
              <w:spacing w:line="230" w:lineRule="atLeast"/>
              <w:ind w:left="107" w:right="4202"/>
              <w:rPr>
                <w:sz w:val="20"/>
              </w:rPr>
            </w:pPr>
            <w:bookmarkStart w:name="По 3 капли в каждый носовой ход (3000 МЕ" w:id="416"/>
            <w:bookmarkEnd w:id="416"/>
            <w:r>
              <w:rPr/>
            </w:r>
            <w:bookmarkStart w:name="впрыскивание 5-6 раз" w:id="417"/>
            <w:bookmarkEnd w:id="417"/>
            <w:r>
              <w:rPr/>
            </w:r>
            <w:r>
              <w:rPr>
                <w:sz w:val="20"/>
              </w:rPr>
              <w:t>По 3 капли в каждый носовой ход (3000 МЕ) 5 р/сут в течение 5 дней; впрыскивание 5-6 раз</w:t>
            </w:r>
          </w:p>
        </w:tc>
      </w:tr>
      <w:tr>
        <w:trPr>
          <w:trHeight w:val="280" w:hRule="atLeast"/>
        </w:trPr>
        <w:tc>
          <w:tcPr>
            <w:tcW w:w="1188" w:type="dxa"/>
            <w:vMerge/>
            <w:tcBorders>
              <w:top w:val="nil"/>
            </w:tcBorders>
            <w:shd w:val="clear" w:color="auto" w:fill="F1F1F1"/>
          </w:tcPr>
          <w:p>
            <w:pPr>
              <w:rPr>
                <w:sz w:val="2"/>
                <w:szCs w:val="2"/>
              </w:rPr>
            </w:pPr>
          </w:p>
        </w:tc>
        <w:tc>
          <w:tcPr>
            <w:tcW w:w="451" w:type="dxa"/>
          </w:tcPr>
          <w:p>
            <w:pPr>
              <w:pStyle w:val="TableParagraph"/>
              <w:spacing w:before="2"/>
              <w:ind w:left="18"/>
              <w:jc w:val="center"/>
              <w:rPr>
                <w:sz w:val="20"/>
              </w:rPr>
            </w:pPr>
            <w:r>
              <w:rPr>
                <w:w w:val="99"/>
                <w:sz w:val="20"/>
              </w:rPr>
              <w:t>3</w:t>
            </w:r>
          </w:p>
        </w:tc>
        <w:tc>
          <w:tcPr>
            <w:tcW w:w="13241" w:type="dxa"/>
            <w:gridSpan w:val="2"/>
          </w:tcPr>
          <w:p>
            <w:pPr>
              <w:pStyle w:val="TableParagraph"/>
              <w:spacing w:before="2"/>
              <w:ind w:left="117"/>
              <w:rPr>
                <w:sz w:val="20"/>
              </w:rPr>
            </w:pPr>
            <w:r>
              <w:rPr>
                <w:sz w:val="20"/>
              </w:rPr>
              <w:t>Антикоагулянтный препарат, см. Приложение 9-2</w:t>
            </w:r>
          </w:p>
        </w:tc>
      </w:tr>
      <w:tr>
        <w:trPr>
          <w:trHeight w:val="278" w:hRule="atLeast"/>
        </w:trPr>
        <w:tc>
          <w:tcPr>
            <w:tcW w:w="1188" w:type="dxa"/>
            <w:vMerge/>
            <w:tcBorders>
              <w:top w:val="nil"/>
            </w:tcBorders>
            <w:shd w:val="clear" w:color="auto" w:fill="F1F1F1"/>
          </w:tcPr>
          <w:p>
            <w:pPr>
              <w:rPr>
                <w:sz w:val="2"/>
                <w:szCs w:val="2"/>
              </w:rPr>
            </w:pPr>
          </w:p>
        </w:tc>
        <w:tc>
          <w:tcPr>
            <w:tcW w:w="451" w:type="dxa"/>
            <w:shd w:val="clear" w:color="auto" w:fill="F1F1F1"/>
          </w:tcPr>
          <w:p>
            <w:pPr>
              <w:pStyle w:val="TableParagraph"/>
              <w:ind w:left="18"/>
              <w:jc w:val="center"/>
              <w:rPr>
                <w:sz w:val="20"/>
              </w:rPr>
            </w:pPr>
            <w:r>
              <w:rPr>
                <w:w w:val="99"/>
                <w:sz w:val="20"/>
              </w:rPr>
              <w:t>4</w:t>
            </w:r>
          </w:p>
        </w:tc>
        <w:tc>
          <w:tcPr>
            <w:tcW w:w="13241" w:type="dxa"/>
            <w:gridSpan w:val="2"/>
            <w:shd w:val="clear" w:color="auto" w:fill="F1F1F1"/>
          </w:tcPr>
          <w:p>
            <w:pPr>
              <w:pStyle w:val="TableParagraph"/>
              <w:spacing w:before="17"/>
              <w:ind w:left="117"/>
              <w:rPr>
                <w:sz w:val="20"/>
              </w:rPr>
            </w:pPr>
            <w:r>
              <w:rPr>
                <w:sz w:val="20"/>
              </w:rPr>
              <w:t>НПВП по показаниям</w:t>
            </w:r>
          </w:p>
        </w:tc>
      </w:tr>
      <w:tr>
        <w:trPr>
          <w:trHeight w:val="455" w:hRule="atLeast"/>
        </w:trPr>
        <w:tc>
          <w:tcPr>
            <w:tcW w:w="1188" w:type="dxa"/>
            <w:vMerge w:val="restart"/>
            <w:shd w:val="clear" w:color="auto" w:fill="F1F1F1"/>
          </w:tcPr>
          <w:p>
            <w:pPr>
              <w:pStyle w:val="TableParagraph"/>
              <w:rPr>
                <w:b/>
                <w:sz w:val="22"/>
              </w:rPr>
            </w:pPr>
          </w:p>
          <w:p>
            <w:pPr>
              <w:pStyle w:val="TableParagraph"/>
              <w:rPr>
                <w:b/>
                <w:sz w:val="22"/>
              </w:rPr>
            </w:pPr>
          </w:p>
          <w:p>
            <w:pPr>
              <w:pStyle w:val="TableParagraph"/>
              <w:spacing w:before="173"/>
              <w:ind w:left="117"/>
              <w:rPr>
                <w:sz w:val="20"/>
              </w:rPr>
            </w:pPr>
            <w:r>
              <w:rPr>
                <w:sz w:val="20"/>
              </w:rPr>
              <w:t>Схема 3</w:t>
            </w:r>
          </w:p>
        </w:tc>
        <w:tc>
          <w:tcPr>
            <w:tcW w:w="451" w:type="dxa"/>
          </w:tcPr>
          <w:p>
            <w:pPr>
              <w:pStyle w:val="TableParagraph"/>
              <w:ind w:left="18"/>
              <w:jc w:val="center"/>
              <w:rPr>
                <w:sz w:val="20"/>
              </w:rPr>
            </w:pPr>
            <w:r>
              <w:rPr>
                <w:w w:val="99"/>
                <w:sz w:val="20"/>
              </w:rPr>
              <w:t>1</w:t>
            </w:r>
          </w:p>
        </w:tc>
        <w:tc>
          <w:tcPr>
            <w:tcW w:w="2909" w:type="dxa"/>
          </w:tcPr>
          <w:p>
            <w:pPr>
              <w:pStyle w:val="TableParagraph"/>
              <w:ind w:left="117"/>
              <w:rPr>
                <w:sz w:val="20"/>
              </w:rPr>
            </w:pPr>
            <w:r>
              <w:rPr>
                <w:sz w:val="20"/>
              </w:rPr>
              <w:t>Умифеновир</w:t>
            </w:r>
          </w:p>
        </w:tc>
        <w:tc>
          <w:tcPr>
            <w:tcW w:w="10332" w:type="dxa"/>
          </w:tcPr>
          <w:p>
            <w:pPr>
              <w:pStyle w:val="TableParagraph"/>
              <w:ind w:left="107"/>
              <w:rPr>
                <w:sz w:val="20"/>
              </w:rPr>
            </w:pPr>
            <w:bookmarkStart w:name="200 мг 4 р/сут в течение 5-7 дней" w:id="418"/>
            <w:bookmarkEnd w:id="418"/>
            <w:r>
              <w:rPr/>
            </w:r>
            <w:r>
              <w:rPr>
                <w:sz w:val="20"/>
              </w:rPr>
              <w:t>200 мг 4 р/сут в течение 5-7 дней</w:t>
            </w:r>
          </w:p>
        </w:tc>
      </w:tr>
      <w:tr>
        <w:trPr>
          <w:trHeight w:val="472" w:hRule="atLeast"/>
        </w:trPr>
        <w:tc>
          <w:tcPr>
            <w:tcW w:w="1188" w:type="dxa"/>
            <w:vMerge/>
            <w:tcBorders>
              <w:top w:val="nil"/>
            </w:tcBorders>
            <w:shd w:val="clear" w:color="auto" w:fill="F1F1F1"/>
          </w:tcPr>
          <w:p>
            <w:pPr>
              <w:rPr>
                <w:sz w:val="2"/>
                <w:szCs w:val="2"/>
              </w:rPr>
            </w:pPr>
          </w:p>
        </w:tc>
        <w:tc>
          <w:tcPr>
            <w:tcW w:w="451" w:type="dxa"/>
            <w:shd w:val="clear" w:color="auto" w:fill="F1F1F1"/>
          </w:tcPr>
          <w:p>
            <w:pPr>
              <w:pStyle w:val="TableParagraph"/>
              <w:ind w:left="18"/>
              <w:jc w:val="center"/>
              <w:rPr>
                <w:sz w:val="20"/>
              </w:rPr>
            </w:pPr>
            <w:r>
              <w:rPr>
                <w:w w:val="99"/>
                <w:sz w:val="20"/>
              </w:rPr>
              <w:t>2</w:t>
            </w:r>
          </w:p>
        </w:tc>
        <w:tc>
          <w:tcPr>
            <w:tcW w:w="2909" w:type="dxa"/>
            <w:shd w:val="clear" w:color="auto" w:fill="F1F1F1"/>
          </w:tcPr>
          <w:p>
            <w:pPr>
              <w:pStyle w:val="TableParagraph"/>
              <w:spacing w:line="230" w:lineRule="exact"/>
              <w:ind w:left="117" w:right="118"/>
              <w:rPr>
                <w:sz w:val="20"/>
              </w:rPr>
            </w:pPr>
            <w:r>
              <w:rPr>
                <w:sz w:val="20"/>
              </w:rPr>
              <w:t>ИФН-α, интраназальные формы</w:t>
            </w:r>
          </w:p>
        </w:tc>
        <w:tc>
          <w:tcPr>
            <w:tcW w:w="10332" w:type="dxa"/>
            <w:shd w:val="clear" w:color="auto" w:fill="F1F1F1"/>
          </w:tcPr>
          <w:p>
            <w:pPr>
              <w:pStyle w:val="TableParagraph"/>
              <w:spacing w:line="230" w:lineRule="exact"/>
              <w:ind w:left="107" w:right="4202"/>
              <w:rPr>
                <w:sz w:val="20"/>
              </w:rPr>
            </w:pPr>
            <w:bookmarkStart w:name="По 3 капли в каждый носовой ход (3000 МЕ" w:id="419"/>
            <w:bookmarkEnd w:id="419"/>
            <w:r>
              <w:rPr/>
            </w:r>
            <w:bookmarkStart w:name="впрыскивание 5-6 раз" w:id="420"/>
            <w:bookmarkEnd w:id="420"/>
            <w:r>
              <w:rPr/>
            </w:r>
            <w:r>
              <w:rPr>
                <w:sz w:val="20"/>
              </w:rPr>
              <w:t>По 3 капли в каждый носовой ход (3000 МЕ) 5 р/сут в течение 5 дней; впрыскивание 5-6 раз</w:t>
            </w:r>
          </w:p>
        </w:tc>
      </w:tr>
      <w:tr>
        <w:trPr>
          <w:trHeight w:val="244" w:hRule="atLeast"/>
        </w:trPr>
        <w:tc>
          <w:tcPr>
            <w:tcW w:w="1188" w:type="dxa"/>
            <w:vMerge/>
            <w:tcBorders>
              <w:top w:val="nil"/>
            </w:tcBorders>
            <w:shd w:val="clear" w:color="auto" w:fill="F1F1F1"/>
          </w:tcPr>
          <w:p>
            <w:pPr>
              <w:rPr>
                <w:sz w:val="2"/>
                <w:szCs w:val="2"/>
              </w:rPr>
            </w:pPr>
          </w:p>
        </w:tc>
        <w:tc>
          <w:tcPr>
            <w:tcW w:w="451" w:type="dxa"/>
          </w:tcPr>
          <w:p>
            <w:pPr>
              <w:pStyle w:val="TableParagraph"/>
              <w:spacing w:line="224" w:lineRule="exact"/>
              <w:ind w:left="18"/>
              <w:jc w:val="center"/>
              <w:rPr>
                <w:sz w:val="20"/>
              </w:rPr>
            </w:pPr>
            <w:r>
              <w:rPr>
                <w:w w:val="99"/>
                <w:sz w:val="20"/>
              </w:rPr>
              <w:t>3</w:t>
            </w:r>
          </w:p>
        </w:tc>
        <w:tc>
          <w:tcPr>
            <w:tcW w:w="13241" w:type="dxa"/>
            <w:gridSpan w:val="2"/>
          </w:tcPr>
          <w:p>
            <w:pPr>
              <w:pStyle w:val="TableParagraph"/>
              <w:spacing w:line="224" w:lineRule="exact"/>
              <w:ind w:left="117"/>
              <w:rPr>
                <w:sz w:val="20"/>
              </w:rPr>
            </w:pPr>
            <w:r>
              <w:rPr>
                <w:sz w:val="20"/>
              </w:rPr>
              <w:t>Антикоагулянтный препарат, см. Приложение 9-2</w:t>
            </w:r>
          </w:p>
        </w:tc>
      </w:tr>
      <w:tr>
        <w:trPr>
          <w:trHeight w:val="397" w:hRule="atLeast"/>
        </w:trPr>
        <w:tc>
          <w:tcPr>
            <w:tcW w:w="1188" w:type="dxa"/>
            <w:vMerge/>
            <w:tcBorders>
              <w:top w:val="nil"/>
            </w:tcBorders>
            <w:shd w:val="clear" w:color="auto" w:fill="F1F1F1"/>
          </w:tcPr>
          <w:p>
            <w:pPr>
              <w:rPr>
                <w:sz w:val="2"/>
                <w:szCs w:val="2"/>
              </w:rPr>
            </w:pPr>
          </w:p>
        </w:tc>
        <w:tc>
          <w:tcPr>
            <w:tcW w:w="451" w:type="dxa"/>
            <w:shd w:val="clear" w:color="auto" w:fill="F1F1F1"/>
          </w:tcPr>
          <w:p>
            <w:pPr>
              <w:pStyle w:val="TableParagraph"/>
              <w:ind w:left="18"/>
              <w:jc w:val="center"/>
              <w:rPr>
                <w:sz w:val="20"/>
              </w:rPr>
            </w:pPr>
            <w:r>
              <w:rPr>
                <w:w w:val="99"/>
                <w:sz w:val="20"/>
              </w:rPr>
              <w:t>4</w:t>
            </w:r>
          </w:p>
        </w:tc>
        <w:tc>
          <w:tcPr>
            <w:tcW w:w="13241" w:type="dxa"/>
            <w:gridSpan w:val="2"/>
            <w:shd w:val="clear" w:color="auto" w:fill="F1F1F1"/>
          </w:tcPr>
          <w:p>
            <w:pPr>
              <w:pStyle w:val="TableParagraph"/>
              <w:spacing w:before="77"/>
              <w:ind w:left="117"/>
              <w:rPr>
                <w:sz w:val="20"/>
              </w:rPr>
            </w:pPr>
            <w:r>
              <w:rPr>
                <w:sz w:val="20"/>
              </w:rPr>
              <w:t>НПВП по показаниям</w:t>
            </w:r>
          </w:p>
        </w:tc>
      </w:tr>
      <w:tr>
        <w:trPr>
          <w:trHeight w:val="453" w:hRule="atLeast"/>
        </w:trPr>
        <w:tc>
          <w:tcPr>
            <w:tcW w:w="1188" w:type="dxa"/>
          </w:tcPr>
          <w:p>
            <w:pPr>
              <w:pStyle w:val="TableParagraph"/>
              <w:rPr>
                <w:sz w:val="20"/>
              </w:rPr>
            </w:pPr>
          </w:p>
        </w:tc>
        <w:tc>
          <w:tcPr>
            <w:tcW w:w="13692" w:type="dxa"/>
            <w:gridSpan w:val="3"/>
            <w:shd w:val="clear" w:color="auto" w:fill="F1F1F1"/>
          </w:tcPr>
          <w:p>
            <w:pPr>
              <w:pStyle w:val="TableParagraph"/>
              <w:spacing w:before="103"/>
              <w:ind w:left="117"/>
              <w:rPr>
                <w:b/>
                <w:sz w:val="20"/>
              </w:rPr>
            </w:pPr>
            <w:r>
              <w:rPr>
                <w:b/>
                <w:sz w:val="20"/>
              </w:rPr>
              <w:t>Среднетяжелое течение</w:t>
            </w:r>
          </w:p>
        </w:tc>
      </w:tr>
      <w:tr>
        <w:trPr>
          <w:trHeight w:val="918" w:hRule="atLeast"/>
        </w:trPr>
        <w:tc>
          <w:tcPr>
            <w:tcW w:w="1188" w:type="dxa"/>
            <w:vMerge w:val="restart"/>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spacing w:before="7"/>
              <w:rPr>
                <w:b/>
                <w:sz w:val="20"/>
              </w:rPr>
            </w:pPr>
          </w:p>
          <w:p>
            <w:pPr>
              <w:pStyle w:val="TableParagraph"/>
              <w:ind w:left="117"/>
              <w:rPr>
                <w:sz w:val="20"/>
              </w:rPr>
            </w:pPr>
            <w:r>
              <w:rPr>
                <w:sz w:val="20"/>
              </w:rPr>
              <w:t>Схема 1</w:t>
            </w:r>
          </w:p>
        </w:tc>
        <w:tc>
          <w:tcPr>
            <w:tcW w:w="451" w:type="dxa"/>
          </w:tcPr>
          <w:p>
            <w:pPr>
              <w:pStyle w:val="TableParagraph"/>
              <w:spacing w:before="5"/>
              <w:rPr>
                <w:b/>
                <w:sz w:val="29"/>
              </w:rPr>
            </w:pPr>
          </w:p>
          <w:p>
            <w:pPr>
              <w:pStyle w:val="TableParagraph"/>
              <w:ind w:left="18"/>
              <w:jc w:val="center"/>
              <w:rPr>
                <w:sz w:val="20"/>
              </w:rPr>
            </w:pPr>
            <w:r>
              <w:rPr>
                <w:w w:val="99"/>
                <w:sz w:val="20"/>
              </w:rPr>
              <w:t>1</w:t>
            </w:r>
          </w:p>
        </w:tc>
        <w:tc>
          <w:tcPr>
            <w:tcW w:w="2909" w:type="dxa"/>
          </w:tcPr>
          <w:p>
            <w:pPr>
              <w:pStyle w:val="TableParagraph"/>
              <w:spacing w:before="5"/>
              <w:rPr>
                <w:b/>
                <w:sz w:val="29"/>
              </w:rPr>
            </w:pPr>
          </w:p>
          <w:p>
            <w:pPr>
              <w:pStyle w:val="TableParagraph"/>
              <w:ind w:left="117"/>
              <w:rPr>
                <w:sz w:val="20"/>
              </w:rPr>
            </w:pPr>
            <w:r>
              <w:rPr>
                <w:sz w:val="20"/>
              </w:rPr>
              <w:t>Фавипиравир</w:t>
            </w:r>
          </w:p>
        </w:tc>
        <w:tc>
          <w:tcPr>
            <w:tcW w:w="10332" w:type="dxa"/>
          </w:tcPr>
          <w:p>
            <w:pPr>
              <w:pStyle w:val="TableParagraph"/>
              <w:ind w:left="107"/>
              <w:rPr>
                <w:sz w:val="20"/>
              </w:rPr>
            </w:pPr>
            <w:bookmarkStart w:name="Для пациентов с массой тела ˂75 кг: " w:id="421"/>
            <w:bookmarkEnd w:id="421"/>
            <w:r>
              <w:rPr/>
            </w:r>
            <w:bookmarkStart w:name="по 1600 мг 2 р/сут в 1-й день и далее по" w:id="422"/>
            <w:bookmarkEnd w:id="422"/>
            <w:r>
              <w:rPr/>
            </w:r>
            <w:r>
              <w:rPr>
                <w:sz w:val="20"/>
              </w:rPr>
              <w:t>Для пациентов с массой тела ˂75 кг:</w:t>
            </w:r>
          </w:p>
          <w:p>
            <w:pPr>
              <w:pStyle w:val="TableParagraph"/>
              <w:ind w:left="107" w:right="3895"/>
              <w:rPr>
                <w:sz w:val="20"/>
              </w:rPr>
            </w:pPr>
            <w:bookmarkStart w:name="Для пациентов с массой тела 75 кг и боле" w:id="423"/>
            <w:bookmarkEnd w:id="423"/>
            <w:r>
              <w:rPr/>
            </w:r>
            <w:r>
              <w:rPr>
                <w:sz w:val="20"/>
              </w:rPr>
              <w:t>по 1600 мг 2 р/сут в 1-й день и далее по 600 мг 2 р/сут со 2 по 10 день.</w:t>
            </w:r>
            <w:bookmarkStart w:name="по 1800 мг 2 раза/сут в 1-й день, далее " w:id="424"/>
            <w:bookmarkEnd w:id="424"/>
            <w:r>
              <w:rPr>
                <w:sz w:val="20"/>
              </w:rPr>
            </w:r>
            <w:r>
              <w:rPr>
                <w:sz w:val="20"/>
              </w:rPr>
              <w:t> Для пациентов с массой тела 75 кг и более:</w:t>
            </w:r>
          </w:p>
          <w:p>
            <w:pPr>
              <w:pStyle w:val="TableParagraph"/>
              <w:spacing w:line="208" w:lineRule="exact"/>
              <w:ind w:left="107"/>
              <w:rPr>
                <w:sz w:val="20"/>
              </w:rPr>
            </w:pPr>
            <w:bookmarkStart w:name="4 мг 1 р/сут в течение 7-14 дней" w:id="425"/>
            <w:bookmarkEnd w:id="425"/>
            <w:r>
              <w:rPr/>
            </w:r>
            <w:r>
              <w:rPr>
                <w:sz w:val="20"/>
              </w:rPr>
              <w:t>по 1800 мг 2 раза/сут в 1-й день, далее по 800 мг 2 раза/сут со 2 по 10 день.</w:t>
            </w:r>
          </w:p>
        </w:tc>
      </w:tr>
      <w:tr>
        <w:trPr>
          <w:trHeight w:val="256" w:hRule="atLeast"/>
        </w:trPr>
        <w:tc>
          <w:tcPr>
            <w:tcW w:w="1188" w:type="dxa"/>
            <w:vMerge/>
            <w:tcBorders>
              <w:top w:val="nil"/>
            </w:tcBorders>
            <w:shd w:val="clear" w:color="auto" w:fill="F1F1F1"/>
          </w:tcPr>
          <w:p>
            <w:pPr>
              <w:rPr>
                <w:sz w:val="2"/>
                <w:szCs w:val="2"/>
              </w:rPr>
            </w:pPr>
          </w:p>
        </w:tc>
        <w:tc>
          <w:tcPr>
            <w:tcW w:w="451" w:type="dxa"/>
            <w:vMerge w:val="restart"/>
            <w:shd w:val="clear" w:color="auto" w:fill="F1F1F1"/>
          </w:tcPr>
          <w:p>
            <w:pPr>
              <w:pStyle w:val="TableParagraph"/>
              <w:spacing w:before="2"/>
              <w:rPr>
                <w:b/>
                <w:sz w:val="24"/>
              </w:rPr>
            </w:pPr>
          </w:p>
          <w:p>
            <w:pPr>
              <w:pStyle w:val="TableParagraph"/>
              <w:ind w:left="18"/>
              <w:jc w:val="center"/>
              <w:rPr>
                <w:sz w:val="20"/>
              </w:rPr>
            </w:pPr>
            <w:r>
              <w:rPr>
                <w:w w:val="99"/>
                <w:sz w:val="20"/>
              </w:rPr>
              <w:t>2</w:t>
            </w:r>
          </w:p>
        </w:tc>
        <w:tc>
          <w:tcPr>
            <w:tcW w:w="2909" w:type="dxa"/>
            <w:shd w:val="clear" w:color="auto" w:fill="F1F1F1"/>
          </w:tcPr>
          <w:p>
            <w:pPr>
              <w:pStyle w:val="TableParagraph"/>
              <w:spacing w:line="229" w:lineRule="exact" w:before="7"/>
              <w:ind w:left="117"/>
              <w:rPr>
                <w:sz w:val="20"/>
              </w:rPr>
            </w:pPr>
            <w:r>
              <w:rPr>
                <w:sz w:val="20"/>
              </w:rPr>
              <w:t>Барицитиниб</w:t>
            </w:r>
          </w:p>
        </w:tc>
        <w:tc>
          <w:tcPr>
            <w:tcW w:w="10332" w:type="dxa"/>
            <w:shd w:val="clear" w:color="auto" w:fill="F1F1F1"/>
          </w:tcPr>
          <w:p>
            <w:pPr>
              <w:pStyle w:val="TableParagraph"/>
              <w:ind w:left="107"/>
              <w:rPr>
                <w:sz w:val="20"/>
              </w:rPr>
            </w:pPr>
            <w:r>
              <w:rPr>
                <w:sz w:val="20"/>
              </w:rPr>
              <w:t>4 мг 1 р/сут в течение 7-14 дней</w:t>
            </w:r>
          </w:p>
        </w:tc>
      </w:tr>
      <w:tr>
        <w:trPr>
          <w:trHeight w:val="275" w:hRule="atLeast"/>
        </w:trPr>
        <w:tc>
          <w:tcPr>
            <w:tcW w:w="1188"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13241" w:type="dxa"/>
            <w:gridSpan w:val="2"/>
          </w:tcPr>
          <w:p>
            <w:pPr>
              <w:pStyle w:val="TableParagraph"/>
              <w:spacing w:before="17"/>
              <w:ind w:left="117"/>
              <w:rPr>
                <w:sz w:val="20"/>
              </w:rPr>
            </w:pPr>
            <w:r>
              <w:rPr>
                <w:sz w:val="20"/>
              </w:rPr>
              <w:t>или</w:t>
            </w:r>
          </w:p>
        </w:tc>
      </w:tr>
      <w:tr>
        <w:trPr>
          <w:trHeight w:val="244" w:hRule="atLeast"/>
        </w:trPr>
        <w:tc>
          <w:tcPr>
            <w:tcW w:w="1188"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2909" w:type="dxa"/>
            <w:shd w:val="clear" w:color="auto" w:fill="F1F1F1"/>
          </w:tcPr>
          <w:p>
            <w:pPr>
              <w:pStyle w:val="TableParagraph"/>
              <w:spacing w:line="222" w:lineRule="exact" w:before="2"/>
              <w:ind w:left="117"/>
              <w:rPr>
                <w:sz w:val="20"/>
              </w:rPr>
            </w:pPr>
            <w:r>
              <w:rPr>
                <w:sz w:val="20"/>
              </w:rPr>
              <w:t>Тофацитиниб</w:t>
            </w:r>
          </w:p>
        </w:tc>
        <w:tc>
          <w:tcPr>
            <w:tcW w:w="10332" w:type="dxa"/>
            <w:shd w:val="clear" w:color="auto" w:fill="F1F1F1"/>
          </w:tcPr>
          <w:p>
            <w:pPr>
              <w:pStyle w:val="TableParagraph"/>
              <w:spacing w:line="217" w:lineRule="exact" w:before="7"/>
              <w:ind w:left="107"/>
              <w:rPr>
                <w:sz w:val="20"/>
              </w:rPr>
            </w:pPr>
            <w:r>
              <w:rPr>
                <w:sz w:val="20"/>
              </w:rPr>
              <w:t>10 мг 2 р/сут в течение 7-14 дней</w:t>
            </w:r>
          </w:p>
        </w:tc>
      </w:tr>
      <w:tr>
        <w:trPr>
          <w:trHeight w:val="244" w:hRule="atLeast"/>
        </w:trPr>
        <w:tc>
          <w:tcPr>
            <w:tcW w:w="1188" w:type="dxa"/>
            <w:vMerge/>
            <w:tcBorders>
              <w:top w:val="nil"/>
            </w:tcBorders>
            <w:shd w:val="clear" w:color="auto" w:fill="F1F1F1"/>
          </w:tcPr>
          <w:p>
            <w:pPr>
              <w:rPr>
                <w:sz w:val="2"/>
                <w:szCs w:val="2"/>
              </w:rPr>
            </w:pPr>
          </w:p>
        </w:tc>
        <w:tc>
          <w:tcPr>
            <w:tcW w:w="451" w:type="dxa"/>
          </w:tcPr>
          <w:p>
            <w:pPr>
              <w:pStyle w:val="TableParagraph"/>
              <w:spacing w:line="224" w:lineRule="exact"/>
              <w:ind w:left="18"/>
              <w:jc w:val="center"/>
              <w:rPr>
                <w:sz w:val="20"/>
              </w:rPr>
            </w:pPr>
            <w:r>
              <w:rPr>
                <w:w w:val="99"/>
                <w:sz w:val="20"/>
              </w:rPr>
              <w:t>3</w:t>
            </w:r>
          </w:p>
        </w:tc>
        <w:tc>
          <w:tcPr>
            <w:tcW w:w="13241" w:type="dxa"/>
            <w:gridSpan w:val="2"/>
          </w:tcPr>
          <w:p>
            <w:pPr>
              <w:pStyle w:val="TableParagraph"/>
              <w:spacing w:line="224" w:lineRule="exact"/>
              <w:ind w:left="117"/>
              <w:rPr>
                <w:sz w:val="20"/>
              </w:rPr>
            </w:pPr>
            <w:r>
              <w:rPr>
                <w:sz w:val="20"/>
              </w:rPr>
              <w:t>Антикоагулянтный препарат, см. Приложение 9-2</w:t>
            </w:r>
          </w:p>
        </w:tc>
      </w:tr>
      <w:tr>
        <w:trPr>
          <w:trHeight w:val="244" w:hRule="atLeast"/>
        </w:trPr>
        <w:tc>
          <w:tcPr>
            <w:tcW w:w="1188" w:type="dxa"/>
            <w:vMerge/>
            <w:tcBorders>
              <w:top w:val="nil"/>
            </w:tcBorders>
            <w:shd w:val="clear" w:color="auto" w:fill="F1F1F1"/>
          </w:tcPr>
          <w:p>
            <w:pPr>
              <w:rPr>
                <w:sz w:val="2"/>
                <w:szCs w:val="2"/>
              </w:rPr>
            </w:pPr>
          </w:p>
        </w:tc>
        <w:tc>
          <w:tcPr>
            <w:tcW w:w="451" w:type="dxa"/>
            <w:shd w:val="clear" w:color="auto" w:fill="F1F1F1"/>
          </w:tcPr>
          <w:p>
            <w:pPr>
              <w:pStyle w:val="TableParagraph"/>
              <w:spacing w:line="224" w:lineRule="exact"/>
              <w:ind w:left="18"/>
              <w:jc w:val="center"/>
              <w:rPr>
                <w:sz w:val="20"/>
              </w:rPr>
            </w:pPr>
            <w:r>
              <w:rPr>
                <w:w w:val="99"/>
                <w:sz w:val="20"/>
              </w:rPr>
              <w:t>4</w:t>
            </w:r>
          </w:p>
        </w:tc>
        <w:tc>
          <w:tcPr>
            <w:tcW w:w="13241" w:type="dxa"/>
            <w:gridSpan w:val="2"/>
            <w:shd w:val="clear" w:color="auto" w:fill="F1F1F1"/>
          </w:tcPr>
          <w:p>
            <w:pPr>
              <w:pStyle w:val="TableParagraph"/>
              <w:spacing w:line="224" w:lineRule="exact"/>
              <w:ind w:left="117"/>
              <w:rPr>
                <w:sz w:val="20"/>
              </w:rPr>
            </w:pPr>
            <w:r>
              <w:rPr>
                <w:sz w:val="20"/>
              </w:rPr>
              <w:t>НПВП по показаниям</w:t>
            </w:r>
          </w:p>
        </w:tc>
      </w:tr>
    </w:tbl>
    <w:p>
      <w:pPr>
        <w:spacing w:after="0" w:line="224" w:lineRule="exact"/>
        <w:rPr>
          <w:sz w:val="20"/>
        </w:rPr>
        <w:sectPr>
          <w:pgSz w:w="16850" w:h="11920" w:orient="landscape"/>
          <w:pgMar w:header="0" w:footer="699" w:top="1060" w:bottom="960" w:left="880" w:right="360"/>
        </w:sectPr>
      </w:pPr>
    </w:p>
    <w:p>
      <w:pPr>
        <w:pStyle w:val="BodyText"/>
        <w:spacing w:before="3"/>
        <w:ind w:left="0"/>
        <w:jc w:val="left"/>
        <w:rPr>
          <w:b/>
          <w:sz w:val="2"/>
        </w:rPr>
      </w:pPr>
    </w:p>
    <w:tbl>
      <w:tblPr>
        <w:tblW w:w="0" w:type="auto"/>
        <w:jc w:val="left"/>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88"/>
        <w:gridCol w:w="451"/>
        <w:gridCol w:w="2909"/>
        <w:gridCol w:w="10332"/>
      </w:tblGrid>
      <w:tr>
        <w:trPr>
          <w:trHeight w:val="690" w:hRule="atLeast"/>
        </w:trPr>
        <w:tc>
          <w:tcPr>
            <w:tcW w:w="1188" w:type="dxa"/>
            <w:vMerge w:val="restart"/>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spacing w:before="3"/>
              <w:rPr>
                <w:b/>
                <w:sz w:val="26"/>
              </w:rPr>
            </w:pPr>
          </w:p>
          <w:p>
            <w:pPr>
              <w:pStyle w:val="TableParagraph"/>
              <w:ind w:left="117"/>
              <w:rPr>
                <w:sz w:val="20"/>
              </w:rPr>
            </w:pPr>
            <w:r>
              <w:rPr>
                <w:sz w:val="20"/>
              </w:rPr>
              <w:t>Схема 2</w:t>
            </w:r>
          </w:p>
        </w:tc>
        <w:tc>
          <w:tcPr>
            <w:tcW w:w="451" w:type="dxa"/>
          </w:tcPr>
          <w:p>
            <w:pPr>
              <w:pStyle w:val="TableParagraph"/>
              <w:spacing w:before="5"/>
              <w:rPr>
                <w:b/>
                <w:sz w:val="19"/>
              </w:rPr>
            </w:pPr>
          </w:p>
          <w:p>
            <w:pPr>
              <w:pStyle w:val="TableParagraph"/>
              <w:ind w:left="18"/>
              <w:jc w:val="center"/>
              <w:rPr>
                <w:sz w:val="20"/>
              </w:rPr>
            </w:pPr>
            <w:r>
              <w:rPr>
                <w:w w:val="99"/>
                <w:sz w:val="20"/>
              </w:rPr>
              <w:t>1</w:t>
            </w:r>
          </w:p>
        </w:tc>
        <w:tc>
          <w:tcPr>
            <w:tcW w:w="2909" w:type="dxa"/>
          </w:tcPr>
          <w:p>
            <w:pPr>
              <w:pStyle w:val="TableParagraph"/>
              <w:spacing w:before="5"/>
              <w:rPr>
                <w:b/>
                <w:sz w:val="19"/>
              </w:rPr>
            </w:pPr>
          </w:p>
          <w:p>
            <w:pPr>
              <w:pStyle w:val="TableParagraph"/>
              <w:ind w:left="117"/>
              <w:rPr>
                <w:sz w:val="20"/>
              </w:rPr>
            </w:pPr>
            <w:r>
              <w:rPr>
                <w:sz w:val="20"/>
              </w:rPr>
              <w:t>Ремдесивир</w:t>
            </w:r>
          </w:p>
        </w:tc>
        <w:tc>
          <w:tcPr>
            <w:tcW w:w="10332" w:type="dxa"/>
          </w:tcPr>
          <w:p>
            <w:pPr>
              <w:pStyle w:val="TableParagraph"/>
              <w:ind w:left="55" w:right="4514"/>
              <w:rPr>
                <w:sz w:val="20"/>
              </w:rPr>
            </w:pPr>
            <w:r>
              <w:rPr>
                <w:sz w:val="20"/>
              </w:rPr>
              <w:t>1-й день: 200 мг (в 0,9 % растворе натрия хлорида) однократно в/в. Со 2-го дня: 100 мг в/в 1 р/сут.</w:t>
            </w:r>
          </w:p>
          <w:p>
            <w:pPr>
              <w:pStyle w:val="TableParagraph"/>
              <w:spacing w:line="210" w:lineRule="exact" w:before="1"/>
              <w:ind w:left="55"/>
              <w:rPr>
                <w:sz w:val="20"/>
              </w:rPr>
            </w:pPr>
            <w:bookmarkStart w:name="4 мг 1 р/сут в течение 7-14 дней" w:id="426"/>
            <w:bookmarkEnd w:id="426"/>
            <w:r>
              <w:rPr/>
            </w:r>
            <w:r>
              <w:rPr>
                <w:sz w:val="20"/>
              </w:rPr>
              <w:t>Общий курс не более 10 дней.</w:t>
            </w:r>
          </w:p>
        </w:tc>
      </w:tr>
      <w:tr>
        <w:trPr>
          <w:trHeight w:val="323" w:hRule="atLeast"/>
        </w:trPr>
        <w:tc>
          <w:tcPr>
            <w:tcW w:w="1188" w:type="dxa"/>
            <w:vMerge/>
            <w:tcBorders>
              <w:top w:val="nil"/>
            </w:tcBorders>
            <w:shd w:val="clear" w:color="auto" w:fill="F1F1F1"/>
          </w:tcPr>
          <w:p>
            <w:pPr>
              <w:rPr>
                <w:sz w:val="2"/>
                <w:szCs w:val="2"/>
              </w:rPr>
            </w:pPr>
          </w:p>
        </w:tc>
        <w:tc>
          <w:tcPr>
            <w:tcW w:w="451" w:type="dxa"/>
            <w:vMerge w:val="restart"/>
            <w:shd w:val="clear" w:color="auto" w:fill="F1F1F1"/>
          </w:tcPr>
          <w:p>
            <w:pPr>
              <w:pStyle w:val="TableParagraph"/>
              <w:spacing w:before="6"/>
              <w:rPr>
                <w:b/>
                <w:sz w:val="32"/>
              </w:rPr>
            </w:pPr>
          </w:p>
          <w:p>
            <w:pPr>
              <w:pStyle w:val="TableParagraph"/>
              <w:ind w:left="18"/>
              <w:jc w:val="center"/>
              <w:rPr>
                <w:sz w:val="20"/>
              </w:rPr>
            </w:pPr>
            <w:r>
              <w:rPr>
                <w:w w:val="99"/>
                <w:sz w:val="20"/>
              </w:rPr>
              <w:t>2</w:t>
            </w:r>
          </w:p>
        </w:tc>
        <w:tc>
          <w:tcPr>
            <w:tcW w:w="2909" w:type="dxa"/>
            <w:shd w:val="clear" w:color="auto" w:fill="F1F1F1"/>
          </w:tcPr>
          <w:p>
            <w:pPr>
              <w:pStyle w:val="TableParagraph"/>
              <w:spacing w:before="41"/>
              <w:ind w:left="117"/>
              <w:rPr>
                <w:sz w:val="20"/>
              </w:rPr>
            </w:pPr>
            <w:r>
              <w:rPr>
                <w:sz w:val="20"/>
              </w:rPr>
              <w:t>Барицитиниб</w:t>
            </w:r>
          </w:p>
        </w:tc>
        <w:tc>
          <w:tcPr>
            <w:tcW w:w="10332" w:type="dxa"/>
            <w:shd w:val="clear" w:color="auto" w:fill="F1F1F1"/>
          </w:tcPr>
          <w:p>
            <w:pPr>
              <w:pStyle w:val="TableParagraph"/>
              <w:ind w:left="107"/>
              <w:rPr>
                <w:sz w:val="20"/>
              </w:rPr>
            </w:pPr>
            <w:r>
              <w:rPr>
                <w:sz w:val="20"/>
              </w:rPr>
              <w:t>4 мг 1 р/сут в течение 7-14 дней</w:t>
            </w:r>
          </w:p>
        </w:tc>
      </w:tr>
      <w:tr>
        <w:trPr>
          <w:trHeight w:val="326" w:hRule="atLeast"/>
        </w:trPr>
        <w:tc>
          <w:tcPr>
            <w:tcW w:w="1188"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13241" w:type="dxa"/>
            <w:gridSpan w:val="2"/>
          </w:tcPr>
          <w:p>
            <w:pPr>
              <w:pStyle w:val="TableParagraph"/>
              <w:spacing w:before="41"/>
              <w:ind w:left="117"/>
              <w:rPr>
                <w:sz w:val="20"/>
              </w:rPr>
            </w:pPr>
            <w:r>
              <w:rPr>
                <w:sz w:val="20"/>
              </w:rPr>
              <w:t>или</w:t>
            </w:r>
          </w:p>
        </w:tc>
      </w:tr>
      <w:tr>
        <w:trPr>
          <w:trHeight w:val="326" w:hRule="atLeast"/>
        </w:trPr>
        <w:tc>
          <w:tcPr>
            <w:tcW w:w="1188"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2909" w:type="dxa"/>
            <w:shd w:val="clear" w:color="auto" w:fill="F1F1F1"/>
          </w:tcPr>
          <w:p>
            <w:pPr>
              <w:pStyle w:val="TableParagraph"/>
              <w:spacing w:before="41"/>
              <w:ind w:left="117"/>
              <w:rPr>
                <w:sz w:val="20"/>
              </w:rPr>
            </w:pPr>
            <w:r>
              <w:rPr>
                <w:sz w:val="20"/>
              </w:rPr>
              <w:t>Тофацитиниб</w:t>
            </w:r>
          </w:p>
        </w:tc>
        <w:tc>
          <w:tcPr>
            <w:tcW w:w="10332" w:type="dxa"/>
            <w:shd w:val="clear" w:color="auto" w:fill="F1F1F1"/>
          </w:tcPr>
          <w:p>
            <w:pPr>
              <w:pStyle w:val="TableParagraph"/>
              <w:spacing w:before="48"/>
              <w:ind w:left="107"/>
              <w:rPr>
                <w:sz w:val="20"/>
              </w:rPr>
            </w:pPr>
            <w:bookmarkStart w:name="10 мг 2 р/сут в течение 7-14 дней" w:id="427"/>
            <w:bookmarkEnd w:id="427"/>
            <w:r>
              <w:rPr/>
            </w:r>
            <w:r>
              <w:rPr>
                <w:sz w:val="20"/>
              </w:rPr>
              <w:t>10 мг 2 р/сут в течение 7-14 дней</w:t>
            </w:r>
          </w:p>
        </w:tc>
      </w:tr>
      <w:tr>
        <w:trPr>
          <w:trHeight w:val="323" w:hRule="atLeast"/>
        </w:trPr>
        <w:tc>
          <w:tcPr>
            <w:tcW w:w="1188" w:type="dxa"/>
            <w:vMerge/>
            <w:tcBorders>
              <w:top w:val="nil"/>
            </w:tcBorders>
            <w:shd w:val="clear" w:color="auto" w:fill="F1F1F1"/>
          </w:tcPr>
          <w:p>
            <w:pPr>
              <w:rPr>
                <w:sz w:val="2"/>
                <w:szCs w:val="2"/>
              </w:rPr>
            </w:pPr>
          </w:p>
        </w:tc>
        <w:tc>
          <w:tcPr>
            <w:tcW w:w="451" w:type="dxa"/>
          </w:tcPr>
          <w:p>
            <w:pPr>
              <w:pStyle w:val="TableParagraph"/>
              <w:spacing w:before="41"/>
              <w:ind w:left="18"/>
              <w:jc w:val="center"/>
              <w:rPr>
                <w:sz w:val="20"/>
              </w:rPr>
            </w:pPr>
            <w:r>
              <w:rPr>
                <w:w w:val="99"/>
                <w:sz w:val="20"/>
              </w:rPr>
              <w:t>3</w:t>
            </w:r>
          </w:p>
        </w:tc>
        <w:tc>
          <w:tcPr>
            <w:tcW w:w="13241" w:type="dxa"/>
            <w:gridSpan w:val="2"/>
          </w:tcPr>
          <w:p>
            <w:pPr>
              <w:pStyle w:val="TableParagraph"/>
              <w:spacing w:before="41"/>
              <w:ind w:left="117"/>
              <w:rPr>
                <w:sz w:val="20"/>
              </w:rPr>
            </w:pPr>
            <w:r>
              <w:rPr>
                <w:sz w:val="20"/>
              </w:rPr>
              <w:t>Антикоагулянтный препарат, см. Приложение 9-2</w:t>
            </w:r>
          </w:p>
        </w:tc>
      </w:tr>
      <w:tr>
        <w:trPr>
          <w:trHeight w:val="326" w:hRule="atLeast"/>
        </w:trPr>
        <w:tc>
          <w:tcPr>
            <w:tcW w:w="1188" w:type="dxa"/>
            <w:vMerge/>
            <w:tcBorders>
              <w:top w:val="nil"/>
            </w:tcBorders>
            <w:shd w:val="clear" w:color="auto" w:fill="F1F1F1"/>
          </w:tcPr>
          <w:p>
            <w:pPr>
              <w:rPr>
                <w:sz w:val="2"/>
                <w:szCs w:val="2"/>
              </w:rPr>
            </w:pPr>
          </w:p>
        </w:tc>
        <w:tc>
          <w:tcPr>
            <w:tcW w:w="451" w:type="dxa"/>
            <w:shd w:val="clear" w:color="auto" w:fill="F1F1F1"/>
          </w:tcPr>
          <w:p>
            <w:pPr>
              <w:pStyle w:val="TableParagraph"/>
              <w:spacing w:before="41"/>
              <w:ind w:left="18"/>
              <w:jc w:val="center"/>
              <w:rPr>
                <w:sz w:val="20"/>
              </w:rPr>
            </w:pPr>
            <w:r>
              <w:rPr>
                <w:w w:val="99"/>
                <w:sz w:val="20"/>
              </w:rPr>
              <w:t>4</w:t>
            </w:r>
          </w:p>
        </w:tc>
        <w:tc>
          <w:tcPr>
            <w:tcW w:w="13241" w:type="dxa"/>
            <w:gridSpan w:val="2"/>
            <w:shd w:val="clear" w:color="auto" w:fill="F1F1F1"/>
          </w:tcPr>
          <w:p>
            <w:pPr>
              <w:pStyle w:val="TableParagraph"/>
              <w:spacing w:before="41"/>
              <w:ind w:left="117"/>
              <w:rPr>
                <w:sz w:val="20"/>
              </w:rPr>
            </w:pPr>
            <w:r>
              <w:rPr>
                <w:sz w:val="20"/>
              </w:rPr>
              <w:t>НПВП по показаниям</w:t>
            </w:r>
          </w:p>
        </w:tc>
      </w:tr>
      <w:tr>
        <w:trPr>
          <w:trHeight w:val="323" w:hRule="atLeast"/>
        </w:trPr>
        <w:tc>
          <w:tcPr>
            <w:tcW w:w="1188" w:type="dxa"/>
            <w:vMerge w:val="restart"/>
            <w:shd w:val="clear" w:color="auto" w:fill="F1F1F1"/>
          </w:tcPr>
          <w:p>
            <w:pPr>
              <w:pStyle w:val="TableParagraph"/>
              <w:rPr>
                <w:b/>
                <w:sz w:val="22"/>
              </w:rPr>
            </w:pPr>
          </w:p>
          <w:p>
            <w:pPr>
              <w:pStyle w:val="TableParagraph"/>
              <w:rPr>
                <w:b/>
                <w:sz w:val="22"/>
              </w:rPr>
            </w:pPr>
          </w:p>
          <w:p>
            <w:pPr>
              <w:pStyle w:val="TableParagraph"/>
              <w:spacing w:before="4"/>
              <w:rPr>
                <w:b/>
                <w:sz w:val="32"/>
              </w:rPr>
            </w:pPr>
          </w:p>
          <w:p>
            <w:pPr>
              <w:pStyle w:val="TableParagraph"/>
              <w:ind w:left="117"/>
              <w:rPr>
                <w:sz w:val="20"/>
              </w:rPr>
            </w:pPr>
            <w:r>
              <w:rPr>
                <w:sz w:val="20"/>
              </w:rPr>
              <w:t>Схема 3</w:t>
            </w:r>
          </w:p>
        </w:tc>
        <w:tc>
          <w:tcPr>
            <w:tcW w:w="451" w:type="dxa"/>
          </w:tcPr>
          <w:p>
            <w:pPr>
              <w:pStyle w:val="TableParagraph"/>
              <w:spacing w:before="41"/>
              <w:ind w:left="18"/>
              <w:jc w:val="center"/>
              <w:rPr>
                <w:sz w:val="20"/>
              </w:rPr>
            </w:pPr>
            <w:r>
              <w:rPr>
                <w:w w:val="99"/>
                <w:sz w:val="20"/>
              </w:rPr>
              <w:t>1</w:t>
            </w:r>
          </w:p>
        </w:tc>
        <w:tc>
          <w:tcPr>
            <w:tcW w:w="2909" w:type="dxa"/>
          </w:tcPr>
          <w:p>
            <w:pPr>
              <w:pStyle w:val="TableParagraph"/>
              <w:spacing w:before="41"/>
              <w:ind w:left="117"/>
              <w:rPr>
                <w:sz w:val="20"/>
              </w:rPr>
            </w:pPr>
            <w:r>
              <w:rPr>
                <w:sz w:val="20"/>
              </w:rPr>
              <w:t>Гидроксихлорохин</w:t>
            </w:r>
          </w:p>
        </w:tc>
        <w:tc>
          <w:tcPr>
            <w:tcW w:w="10332" w:type="dxa"/>
          </w:tcPr>
          <w:p>
            <w:pPr>
              <w:pStyle w:val="TableParagraph"/>
              <w:ind w:left="107"/>
              <w:rPr>
                <w:sz w:val="20"/>
              </w:rPr>
            </w:pPr>
            <w:bookmarkStart w:name="400 мг в 1-й день (200 мг 2 р/сут), дале" w:id="428"/>
            <w:bookmarkEnd w:id="428"/>
            <w:r>
              <w:rPr/>
            </w:r>
            <w:r>
              <w:rPr>
                <w:sz w:val="20"/>
              </w:rPr>
              <w:t>400 мг в 1-й день (200 мг 2 р/сут), далее 200 мг в сутки (100 мг 2 р/сут), в течение 6-8 дней</w:t>
            </w:r>
          </w:p>
        </w:tc>
      </w:tr>
      <w:tr>
        <w:trPr>
          <w:trHeight w:val="326" w:hRule="atLeast"/>
        </w:trPr>
        <w:tc>
          <w:tcPr>
            <w:tcW w:w="1188" w:type="dxa"/>
            <w:vMerge/>
            <w:tcBorders>
              <w:top w:val="nil"/>
            </w:tcBorders>
            <w:shd w:val="clear" w:color="auto" w:fill="F1F1F1"/>
          </w:tcPr>
          <w:p>
            <w:pPr>
              <w:rPr>
                <w:sz w:val="2"/>
                <w:szCs w:val="2"/>
              </w:rPr>
            </w:pPr>
          </w:p>
        </w:tc>
        <w:tc>
          <w:tcPr>
            <w:tcW w:w="451" w:type="dxa"/>
            <w:vMerge w:val="restart"/>
            <w:shd w:val="clear" w:color="auto" w:fill="F1F1F1"/>
          </w:tcPr>
          <w:p>
            <w:pPr>
              <w:pStyle w:val="TableParagraph"/>
              <w:spacing w:before="9"/>
              <w:rPr>
                <w:b/>
                <w:sz w:val="32"/>
              </w:rPr>
            </w:pPr>
          </w:p>
          <w:p>
            <w:pPr>
              <w:pStyle w:val="TableParagraph"/>
              <w:ind w:left="18"/>
              <w:jc w:val="center"/>
              <w:rPr>
                <w:sz w:val="20"/>
              </w:rPr>
            </w:pPr>
            <w:r>
              <w:rPr>
                <w:w w:val="99"/>
                <w:sz w:val="20"/>
              </w:rPr>
              <w:t>2</w:t>
            </w:r>
          </w:p>
        </w:tc>
        <w:tc>
          <w:tcPr>
            <w:tcW w:w="2909" w:type="dxa"/>
            <w:shd w:val="clear" w:color="auto" w:fill="F1F1F1"/>
          </w:tcPr>
          <w:p>
            <w:pPr>
              <w:pStyle w:val="TableParagraph"/>
              <w:spacing w:before="41"/>
              <w:ind w:left="117"/>
              <w:rPr>
                <w:sz w:val="20"/>
              </w:rPr>
            </w:pPr>
            <w:r>
              <w:rPr>
                <w:sz w:val="20"/>
              </w:rPr>
              <w:t>Барицитиниб</w:t>
            </w:r>
          </w:p>
        </w:tc>
        <w:tc>
          <w:tcPr>
            <w:tcW w:w="10332" w:type="dxa"/>
            <w:shd w:val="clear" w:color="auto" w:fill="F1F1F1"/>
          </w:tcPr>
          <w:p>
            <w:pPr>
              <w:pStyle w:val="TableParagraph"/>
              <w:ind w:left="107"/>
              <w:rPr>
                <w:sz w:val="20"/>
              </w:rPr>
            </w:pPr>
            <w:bookmarkStart w:name="4 мг 1 р/сут в течение 7-14 дней" w:id="429"/>
            <w:bookmarkEnd w:id="429"/>
            <w:r>
              <w:rPr/>
            </w:r>
            <w:r>
              <w:rPr>
                <w:sz w:val="20"/>
              </w:rPr>
              <w:t>4 мг 1 р/сут в течение 7-14 дней</w:t>
            </w:r>
          </w:p>
        </w:tc>
      </w:tr>
      <w:tr>
        <w:trPr>
          <w:trHeight w:val="323" w:hRule="atLeast"/>
        </w:trPr>
        <w:tc>
          <w:tcPr>
            <w:tcW w:w="1188"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13241" w:type="dxa"/>
            <w:gridSpan w:val="2"/>
          </w:tcPr>
          <w:p>
            <w:pPr>
              <w:pStyle w:val="TableParagraph"/>
              <w:spacing w:before="41"/>
              <w:ind w:left="117"/>
              <w:rPr>
                <w:sz w:val="20"/>
              </w:rPr>
            </w:pPr>
            <w:r>
              <w:rPr>
                <w:sz w:val="20"/>
              </w:rPr>
              <w:t>или</w:t>
            </w:r>
          </w:p>
        </w:tc>
      </w:tr>
      <w:tr>
        <w:trPr>
          <w:trHeight w:val="326" w:hRule="atLeast"/>
        </w:trPr>
        <w:tc>
          <w:tcPr>
            <w:tcW w:w="1188"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2909" w:type="dxa"/>
            <w:shd w:val="clear" w:color="auto" w:fill="F1F1F1"/>
          </w:tcPr>
          <w:p>
            <w:pPr>
              <w:pStyle w:val="TableParagraph"/>
              <w:spacing w:before="43"/>
              <w:ind w:left="117"/>
              <w:rPr>
                <w:sz w:val="20"/>
              </w:rPr>
            </w:pPr>
            <w:r>
              <w:rPr>
                <w:sz w:val="20"/>
              </w:rPr>
              <w:t>Тофацитиниб</w:t>
            </w:r>
          </w:p>
        </w:tc>
        <w:tc>
          <w:tcPr>
            <w:tcW w:w="10332" w:type="dxa"/>
            <w:shd w:val="clear" w:color="auto" w:fill="F1F1F1"/>
          </w:tcPr>
          <w:p>
            <w:pPr>
              <w:pStyle w:val="TableParagraph"/>
              <w:spacing w:before="48"/>
              <w:ind w:left="107"/>
              <w:rPr>
                <w:sz w:val="20"/>
              </w:rPr>
            </w:pPr>
            <w:bookmarkStart w:name="10 мг 2 р/сут в течение 7-14 дней" w:id="430"/>
            <w:bookmarkEnd w:id="430"/>
            <w:r>
              <w:rPr/>
            </w:r>
            <w:r>
              <w:rPr>
                <w:sz w:val="20"/>
              </w:rPr>
              <w:t>10 мг 2 р/сут в течение 7-14 дней</w:t>
            </w:r>
          </w:p>
        </w:tc>
      </w:tr>
      <w:tr>
        <w:trPr>
          <w:trHeight w:val="325" w:hRule="atLeast"/>
        </w:trPr>
        <w:tc>
          <w:tcPr>
            <w:tcW w:w="1188" w:type="dxa"/>
            <w:vMerge/>
            <w:tcBorders>
              <w:top w:val="nil"/>
            </w:tcBorders>
            <w:shd w:val="clear" w:color="auto" w:fill="F1F1F1"/>
          </w:tcPr>
          <w:p>
            <w:pPr>
              <w:rPr>
                <w:sz w:val="2"/>
                <w:szCs w:val="2"/>
              </w:rPr>
            </w:pPr>
          </w:p>
        </w:tc>
        <w:tc>
          <w:tcPr>
            <w:tcW w:w="451" w:type="dxa"/>
          </w:tcPr>
          <w:p>
            <w:pPr>
              <w:pStyle w:val="TableParagraph"/>
              <w:spacing w:before="41"/>
              <w:ind w:left="18"/>
              <w:jc w:val="center"/>
              <w:rPr>
                <w:sz w:val="20"/>
              </w:rPr>
            </w:pPr>
            <w:r>
              <w:rPr>
                <w:w w:val="99"/>
                <w:sz w:val="20"/>
              </w:rPr>
              <w:t>3</w:t>
            </w:r>
          </w:p>
        </w:tc>
        <w:tc>
          <w:tcPr>
            <w:tcW w:w="13241" w:type="dxa"/>
            <w:gridSpan w:val="2"/>
          </w:tcPr>
          <w:p>
            <w:pPr>
              <w:pStyle w:val="TableParagraph"/>
              <w:spacing w:before="41"/>
              <w:ind w:left="117"/>
              <w:rPr>
                <w:sz w:val="20"/>
              </w:rPr>
            </w:pPr>
            <w:r>
              <w:rPr>
                <w:sz w:val="20"/>
              </w:rPr>
              <w:t>Антикоагулянтный препарат, см. Приложение 9-2</w:t>
            </w:r>
          </w:p>
        </w:tc>
      </w:tr>
      <w:tr>
        <w:trPr>
          <w:trHeight w:val="323" w:hRule="atLeast"/>
        </w:trPr>
        <w:tc>
          <w:tcPr>
            <w:tcW w:w="1188" w:type="dxa"/>
            <w:vMerge/>
            <w:tcBorders>
              <w:top w:val="nil"/>
            </w:tcBorders>
            <w:shd w:val="clear" w:color="auto" w:fill="F1F1F1"/>
          </w:tcPr>
          <w:p>
            <w:pPr>
              <w:rPr>
                <w:sz w:val="2"/>
                <w:szCs w:val="2"/>
              </w:rPr>
            </w:pPr>
          </w:p>
        </w:tc>
        <w:tc>
          <w:tcPr>
            <w:tcW w:w="451" w:type="dxa"/>
          </w:tcPr>
          <w:p>
            <w:pPr>
              <w:pStyle w:val="TableParagraph"/>
              <w:spacing w:before="41"/>
              <w:ind w:left="18"/>
              <w:jc w:val="center"/>
              <w:rPr>
                <w:sz w:val="20"/>
              </w:rPr>
            </w:pPr>
            <w:r>
              <w:rPr>
                <w:w w:val="99"/>
                <w:sz w:val="20"/>
              </w:rPr>
              <w:t>4</w:t>
            </w:r>
          </w:p>
        </w:tc>
        <w:tc>
          <w:tcPr>
            <w:tcW w:w="13241" w:type="dxa"/>
            <w:gridSpan w:val="2"/>
            <w:shd w:val="clear" w:color="auto" w:fill="F1F1F1"/>
          </w:tcPr>
          <w:p>
            <w:pPr>
              <w:pStyle w:val="TableParagraph"/>
              <w:spacing w:before="41"/>
              <w:ind w:left="117"/>
              <w:rPr>
                <w:sz w:val="20"/>
              </w:rPr>
            </w:pPr>
            <w:r>
              <w:rPr>
                <w:sz w:val="20"/>
              </w:rPr>
              <w:t>НПВП по показаниям</w:t>
            </w:r>
          </w:p>
        </w:tc>
      </w:tr>
      <w:tr>
        <w:trPr>
          <w:trHeight w:val="921" w:hRule="atLeast"/>
        </w:trPr>
        <w:tc>
          <w:tcPr>
            <w:tcW w:w="1188" w:type="dxa"/>
            <w:vMerge w:val="restart"/>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spacing w:before="8"/>
              <w:rPr>
                <w:b/>
                <w:sz w:val="32"/>
              </w:rPr>
            </w:pPr>
          </w:p>
          <w:p>
            <w:pPr>
              <w:pStyle w:val="TableParagraph"/>
              <w:ind w:left="117"/>
              <w:rPr>
                <w:sz w:val="20"/>
              </w:rPr>
            </w:pPr>
            <w:r>
              <w:rPr>
                <w:sz w:val="20"/>
              </w:rPr>
              <w:t>Схема 4</w:t>
            </w:r>
          </w:p>
        </w:tc>
        <w:tc>
          <w:tcPr>
            <w:tcW w:w="451" w:type="dxa"/>
          </w:tcPr>
          <w:p>
            <w:pPr>
              <w:pStyle w:val="TableParagraph"/>
              <w:spacing w:before="5"/>
              <w:rPr>
                <w:b/>
                <w:sz w:val="29"/>
              </w:rPr>
            </w:pPr>
          </w:p>
          <w:p>
            <w:pPr>
              <w:pStyle w:val="TableParagraph"/>
              <w:ind w:left="18"/>
              <w:jc w:val="center"/>
              <w:rPr>
                <w:sz w:val="20"/>
              </w:rPr>
            </w:pPr>
            <w:r>
              <w:rPr>
                <w:w w:val="99"/>
                <w:sz w:val="20"/>
              </w:rPr>
              <w:t>1</w:t>
            </w:r>
          </w:p>
        </w:tc>
        <w:tc>
          <w:tcPr>
            <w:tcW w:w="2909" w:type="dxa"/>
          </w:tcPr>
          <w:p>
            <w:pPr>
              <w:pStyle w:val="TableParagraph"/>
              <w:spacing w:before="5"/>
              <w:rPr>
                <w:b/>
                <w:sz w:val="29"/>
              </w:rPr>
            </w:pPr>
          </w:p>
          <w:p>
            <w:pPr>
              <w:pStyle w:val="TableParagraph"/>
              <w:ind w:left="117"/>
              <w:rPr>
                <w:sz w:val="20"/>
              </w:rPr>
            </w:pPr>
            <w:r>
              <w:rPr>
                <w:sz w:val="20"/>
              </w:rPr>
              <w:t>Фавипиравир</w:t>
            </w:r>
          </w:p>
        </w:tc>
        <w:tc>
          <w:tcPr>
            <w:tcW w:w="10332" w:type="dxa"/>
          </w:tcPr>
          <w:p>
            <w:pPr>
              <w:pStyle w:val="TableParagraph"/>
              <w:ind w:left="107"/>
              <w:rPr>
                <w:sz w:val="20"/>
              </w:rPr>
            </w:pPr>
            <w:bookmarkStart w:name="Для пациентов массой тела менее 75 кг:" w:id="431"/>
            <w:bookmarkEnd w:id="431"/>
            <w:r>
              <w:rPr/>
            </w:r>
            <w:bookmarkStart w:name="по 1600 мг 2 р/сут в День 1 и далее по 6" w:id="432"/>
            <w:bookmarkEnd w:id="432"/>
            <w:r>
              <w:rPr/>
            </w:r>
            <w:r>
              <w:rPr>
                <w:sz w:val="20"/>
              </w:rPr>
              <w:t>Для пациентов массой тела менее 75 кг:</w:t>
            </w:r>
          </w:p>
          <w:p>
            <w:pPr>
              <w:pStyle w:val="TableParagraph"/>
              <w:ind w:left="107"/>
              <w:rPr>
                <w:sz w:val="20"/>
              </w:rPr>
            </w:pPr>
            <w:bookmarkStart w:name="Для пациентов массой тела от 75 кг:" w:id="433"/>
            <w:bookmarkEnd w:id="433"/>
            <w:r>
              <w:rPr/>
            </w:r>
            <w:r>
              <w:rPr>
                <w:sz w:val="20"/>
              </w:rPr>
              <w:t>по 1600 мг 2 р/сут в День 1 и далее по 600 мг 2 раза в сутки в Дни 2 - 10.</w:t>
            </w:r>
          </w:p>
          <w:p>
            <w:pPr>
              <w:pStyle w:val="TableParagraph"/>
              <w:spacing w:before="1"/>
              <w:ind w:left="107"/>
              <w:rPr>
                <w:sz w:val="20"/>
              </w:rPr>
            </w:pPr>
            <w:bookmarkStart w:name="по 1800 мг 2 р/сут в День 1 и далее по 8" w:id="434"/>
            <w:bookmarkEnd w:id="434"/>
            <w:r>
              <w:rPr/>
            </w:r>
            <w:r>
              <w:rPr>
                <w:sz w:val="20"/>
              </w:rPr>
              <w:t>Для пациентов массой тела от 75 кг:</w:t>
            </w:r>
          </w:p>
          <w:p>
            <w:pPr>
              <w:pStyle w:val="TableParagraph"/>
              <w:spacing w:line="210" w:lineRule="exact"/>
              <w:ind w:left="107"/>
              <w:rPr>
                <w:sz w:val="20"/>
              </w:rPr>
            </w:pPr>
            <w:r>
              <w:rPr>
                <w:sz w:val="20"/>
              </w:rPr>
              <w:t>по 1800 мг 2 р/сут в День 1 и далее по 800 мг 2 раза в сутки в Дни 2 - 10</w:t>
            </w:r>
          </w:p>
        </w:tc>
      </w:tr>
      <w:tr>
        <w:trPr>
          <w:trHeight w:val="323" w:hRule="atLeast"/>
        </w:trPr>
        <w:tc>
          <w:tcPr>
            <w:tcW w:w="1188" w:type="dxa"/>
            <w:vMerge/>
            <w:tcBorders>
              <w:top w:val="nil"/>
            </w:tcBorders>
            <w:shd w:val="clear" w:color="auto" w:fill="F1F1F1"/>
          </w:tcPr>
          <w:p>
            <w:pPr>
              <w:rPr>
                <w:sz w:val="2"/>
                <w:szCs w:val="2"/>
              </w:rPr>
            </w:pPr>
          </w:p>
        </w:tc>
        <w:tc>
          <w:tcPr>
            <w:tcW w:w="451" w:type="dxa"/>
            <w:vMerge w:val="restart"/>
          </w:tcPr>
          <w:p>
            <w:pPr>
              <w:pStyle w:val="TableParagraph"/>
              <w:rPr>
                <w:b/>
                <w:sz w:val="29"/>
              </w:rPr>
            </w:pPr>
          </w:p>
          <w:p>
            <w:pPr>
              <w:pStyle w:val="TableParagraph"/>
              <w:ind w:left="18"/>
              <w:jc w:val="center"/>
              <w:rPr>
                <w:sz w:val="20"/>
              </w:rPr>
            </w:pPr>
            <w:r>
              <w:rPr>
                <w:w w:val="99"/>
                <w:sz w:val="20"/>
              </w:rPr>
              <w:t>2</w:t>
            </w:r>
          </w:p>
        </w:tc>
        <w:tc>
          <w:tcPr>
            <w:tcW w:w="2909" w:type="dxa"/>
            <w:shd w:val="clear" w:color="auto" w:fill="F1F1F1"/>
          </w:tcPr>
          <w:p>
            <w:pPr>
              <w:pStyle w:val="TableParagraph"/>
              <w:spacing w:before="41"/>
              <w:ind w:left="117"/>
              <w:rPr>
                <w:sz w:val="20"/>
              </w:rPr>
            </w:pPr>
            <w:r>
              <w:rPr>
                <w:sz w:val="20"/>
              </w:rPr>
              <w:t>Олокизумаб</w:t>
            </w:r>
          </w:p>
        </w:tc>
        <w:tc>
          <w:tcPr>
            <w:tcW w:w="10332" w:type="dxa"/>
            <w:shd w:val="clear" w:color="auto" w:fill="F1F1F1"/>
          </w:tcPr>
          <w:p>
            <w:pPr>
              <w:pStyle w:val="TableParagraph"/>
              <w:ind w:left="107"/>
              <w:rPr>
                <w:sz w:val="20"/>
              </w:rPr>
            </w:pPr>
            <w:r>
              <w:rPr>
                <w:sz w:val="20"/>
              </w:rPr>
              <w:t>160 мг/мл - 0,4 мл подкожно однократно</w:t>
            </w:r>
          </w:p>
        </w:tc>
      </w:tr>
      <w:tr>
        <w:trPr>
          <w:trHeight w:val="244" w:hRule="atLeast"/>
        </w:trPr>
        <w:tc>
          <w:tcPr>
            <w:tcW w:w="1188"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13241" w:type="dxa"/>
            <w:gridSpan w:val="2"/>
          </w:tcPr>
          <w:p>
            <w:pPr>
              <w:pStyle w:val="TableParagraph"/>
              <w:spacing w:line="224" w:lineRule="exact"/>
              <w:ind w:left="117"/>
              <w:rPr>
                <w:sz w:val="20"/>
              </w:rPr>
            </w:pPr>
            <w:r>
              <w:rPr>
                <w:sz w:val="20"/>
              </w:rPr>
              <w:t>или</w:t>
            </w:r>
          </w:p>
        </w:tc>
      </w:tr>
      <w:tr>
        <w:trPr>
          <w:trHeight w:val="325" w:hRule="atLeast"/>
        </w:trPr>
        <w:tc>
          <w:tcPr>
            <w:tcW w:w="1188"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2909" w:type="dxa"/>
          </w:tcPr>
          <w:p>
            <w:pPr>
              <w:pStyle w:val="TableParagraph"/>
              <w:spacing w:before="41"/>
              <w:ind w:left="117"/>
              <w:rPr>
                <w:sz w:val="20"/>
              </w:rPr>
            </w:pPr>
            <w:r>
              <w:rPr>
                <w:sz w:val="20"/>
              </w:rPr>
              <w:t>Левилимаб</w:t>
            </w:r>
          </w:p>
        </w:tc>
        <w:tc>
          <w:tcPr>
            <w:tcW w:w="10332" w:type="dxa"/>
          </w:tcPr>
          <w:p>
            <w:pPr>
              <w:pStyle w:val="TableParagraph"/>
              <w:spacing w:before="48"/>
              <w:ind w:left="107"/>
              <w:rPr>
                <w:sz w:val="20"/>
              </w:rPr>
            </w:pPr>
            <w:r>
              <w:rPr>
                <w:sz w:val="20"/>
              </w:rPr>
              <w:t>324 мг (два преднаполненных шприца по 162 мг/0,9 мл) подкожно однократно</w:t>
            </w:r>
          </w:p>
        </w:tc>
      </w:tr>
      <w:tr>
        <w:trPr>
          <w:trHeight w:val="323" w:hRule="atLeast"/>
        </w:trPr>
        <w:tc>
          <w:tcPr>
            <w:tcW w:w="1188" w:type="dxa"/>
            <w:vMerge/>
            <w:tcBorders>
              <w:top w:val="nil"/>
            </w:tcBorders>
            <w:shd w:val="clear" w:color="auto" w:fill="F1F1F1"/>
          </w:tcPr>
          <w:p>
            <w:pPr>
              <w:rPr>
                <w:sz w:val="2"/>
                <w:szCs w:val="2"/>
              </w:rPr>
            </w:pPr>
          </w:p>
        </w:tc>
        <w:tc>
          <w:tcPr>
            <w:tcW w:w="451" w:type="dxa"/>
          </w:tcPr>
          <w:p>
            <w:pPr>
              <w:pStyle w:val="TableParagraph"/>
              <w:spacing w:before="41"/>
              <w:ind w:left="18"/>
              <w:jc w:val="center"/>
              <w:rPr>
                <w:sz w:val="20"/>
              </w:rPr>
            </w:pPr>
            <w:r>
              <w:rPr>
                <w:w w:val="99"/>
                <w:sz w:val="20"/>
              </w:rPr>
              <w:t>3</w:t>
            </w:r>
          </w:p>
        </w:tc>
        <w:tc>
          <w:tcPr>
            <w:tcW w:w="13241" w:type="dxa"/>
            <w:gridSpan w:val="2"/>
            <w:shd w:val="clear" w:color="auto" w:fill="F1F1F1"/>
          </w:tcPr>
          <w:p>
            <w:pPr>
              <w:pStyle w:val="TableParagraph"/>
              <w:spacing w:before="41"/>
              <w:ind w:left="117"/>
              <w:rPr>
                <w:sz w:val="20"/>
              </w:rPr>
            </w:pPr>
            <w:r>
              <w:rPr>
                <w:sz w:val="20"/>
              </w:rPr>
              <w:t>Антикоагулянтный препарат, см. Приложение 9-2</w:t>
            </w:r>
          </w:p>
        </w:tc>
      </w:tr>
      <w:tr>
        <w:trPr>
          <w:trHeight w:val="325" w:hRule="atLeast"/>
        </w:trPr>
        <w:tc>
          <w:tcPr>
            <w:tcW w:w="1188" w:type="dxa"/>
            <w:vMerge/>
            <w:tcBorders>
              <w:top w:val="nil"/>
            </w:tcBorders>
            <w:shd w:val="clear" w:color="auto" w:fill="F1F1F1"/>
          </w:tcPr>
          <w:p>
            <w:pPr>
              <w:rPr>
                <w:sz w:val="2"/>
                <w:szCs w:val="2"/>
              </w:rPr>
            </w:pPr>
          </w:p>
        </w:tc>
        <w:tc>
          <w:tcPr>
            <w:tcW w:w="451" w:type="dxa"/>
          </w:tcPr>
          <w:p>
            <w:pPr>
              <w:pStyle w:val="TableParagraph"/>
              <w:spacing w:before="41"/>
              <w:ind w:left="18"/>
              <w:jc w:val="center"/>
              <w:rPr>
                <w:sz w:val="20"/>
              </w:rPr>
            </w:pPr>
            <w:r>
              <w:rPr>
                <w:w w:val="99"/>
                <w:sz w:val="20"/>
              </w:rPr>
              <w:t>4</w:t>
            </w:r>
          </w:p>
        </w:tc>
        <w:tc>
          <w:tcPr>
            <w:tcW w:w="13241" w:type="dxa"/>
            <w:gridSpan w:val="2"/>
          </w:tcPr>
          <w:p>
            <w:pPr>
              <w:pStyle w:val="TableParagraph"/>
              <w:spacing w:before="41"/>
              <w:ind w:left="117"/>
              <w:rPr>
                <w:sz w:val="20"/>
              </w:rPr>
            </w:pPr>
            <w:r>
              <w:rPr>
                <w:sz w:val="20"/>
              </w:rPr>
              <w:t>НПВП по показаниям</w:t>
            </w:r>
          </w:p>
        </w:tc>
      </w:tr>
      <w:tr>
        <w:trPr>
          <w:trHeight w:val="688" w:hRule="atLeast"/>
        </w:trPr>
        <w:tc>
          <w:tcPr>
            <w:tcW w:w="1188" w:type="dxa"/>
            <w:vMerge w:val="restart"/>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spacing w:before="154"/>
              <w:ind w:left="117"/>
              <w:rPr>
                <w:sz w:val="20"/>
              </w:rPr>
            </w:pPr>
            <w:r>
              <w:rPr>
                <w:sz w:val="20"/>
              </w:rPr>
              <w:t>Схема 5</w:t>
            </w:r>
          </w:p>
        </w:tc>
        <w:tc>
          <w:tcPr>
            <w:tcW w:w="451" w:type="dxa"/>
            <w:shd w:val="clear" w:color="auto" w:fill="F1F1F1"/>
          </w:tcPr>
          <w:p>
            <w:pPr>
              <w:pStyle w:val="TableParagraph"/>
              <w:spacing w:before="5"/>
              <w:rPr>
                <w:b/>
                <w:sz w:val="19"/>
              </w:rPr>
            </w:pPr>
          </w:p>
          <w:p>
            <w:pPr>
              <w:pStyle w:val="TableParagraph"/>
              <w:ind w:left="18"/>
              <w:jc w:val="center"/>
              <w:rPr>
                <w:sz w:val="20"/>
              </w:rPr>
            </w:pPr>
            <w:r>
              <w:rPr>
                <w:w w:val="99"/>
                <w:sz w:val="20"/>
              </w:rPr>
              <w:t>1</w:t>
            </w:r>
          </w:p>
        </w:tc>
        <w:tc>
          <w:tcPr>
            <w:tcW w:w="2909" w:type="dxa"/>
            <w:shd w:val="clear" w:color="auto" w:fill="F1F1F1"/>
          </w:tcPr>
          <w:p>
            <w:pPr>
              <w:pStyle w:val="TableParagraph"/>
              <w:spacing w:before="5"/>
              <w:rPr>
                <w:b/>
                <w:sz w:val="19"/>
              </w:rPr>
            </w:pPr>
          </w:p>
          <w:p>
            <w:pPr>
              <w:pStyle w:val="TableParagraph"/>
              <w:ind w:left="117"/>
              <w:rPr>
                <w:sz w:val="20"/>
              </w:rPr>
            </w:pPr>
            <w:r>
              <w:rPr>
                <w:sz w:val="20"/>
              </w:rPr>
              <w:t>Ремдесивир</w:t>
            </w:r>
          </w:p>
        </w:tc>
        <w:tc>
          <w:tcPr>
            <w:tcW w:w="10332" w:type="dxa"/>
            <w:shd w:val="clear" w:color="auto" w:fill="F1F1F1"/>
          </w:tcPr>
          <w:p>
            <w:pPr>
              <w:pStyle w:val="TableParagraph"/>
              <w:ind w:left="55" w:right="4514"/>
              <w:rPr>
                <w:sz w:val="20"/>
              </w:rPr>
            </w:pPr>
            <w:r>
              <w:rPr>
                <w:sz w:val="20"/>
              </w:rPr>
              <w:t>1-й день: 200 мг (в 0,9 % растворе натрия хлорида) однократно в/в. Со 2-го дня: 100 мг в/в 1 р/сут.</w:t>
            </w:r>
          </w:p>
          <w:p>
            <w:pPr>
              <w:pStyle w:val="TableParagraph"/>
              <w:spacing w:line="208" w:lineRule="exact"/>
              <w:ind w:left="55"/>
              <w:rPr>
                <w:sz w:val="20"/>
              </w:rPr>
            </w:pPr>
            <w:r>
              <w:rPr>
                <w:sz w:val="20"/>
              </w:rPr>
              <w:t>Общий курс не более 10 дней.</w:t>
            </w:r>
          </w:p>
        </w:tc>
      </w:tr>
      <w:tr>
        <w:trPr>
          <w:trHeight w:val="326" w:hRule="atLeast"/>
        </w:trPr>
        <w:tc>
          <w:tcPr>
            <w:tcW w:w="1188" w:type="dxa"/>
            <w:vMerge/>
            <w:tcBorders>
              <w:top w:val="nil"/>
            </w:tcBorders>
            <w:shd w:val="clear" w:color="auto" w:fill="F1F1F1"/>
          </w:tcPr>
          <w:p>
            <w:pPr>
              <w:rPr>
                <w:sz w:val="2"/>
                <w:szCs w:val="2"/>
              </w:rPr>
            </w:pPr>
          </w:p>
        </w:tc>
        <w:tc>
          <w:tcPr>
            <w:tcW w:w="451" w:type="dxa"/>
            <w:vMerge w:val="restart"/>
          </w:tcPr>
          <w:p>
            <w:pPr>
              <w:pStyle w:val="TableParagraph"/>
              <w:spacing w:before="9"/>
              <w:rPr>
                <w:b/>
                <w:sz w:val="32"/>
              </w:rPr>
            </w:pPr>
          </w:p>
          <w:p>
            <w:pPr>
              <w:pStyle w:val="TableParagraph"/>
              <w:ind w:left="18"/>
              <w:jc w:val="center"/>
              <w:rPr>
                <w:sz w:val="20"/>
              </w:rPr>
            </w:pPr>
            <w:r>
              <w:rPr>
                <w:w w:val="99"/>
                <w:sz w:val="20"/>
              </w:rPr>
              <w:t>2</w:t>
            </w:r>
          </w:p>
        </w:tc>
        <w:tc>
          <w:tcPr>
            <w:tcW w:w="2909" w:type="dxa"/>
          </w:tcPr>
          <w:p>
            <w:pPr>
              <w:pStyle w:val="TableParagraph"/>
              <w:spacing w:before="43"/>
              <w:ind w:left="117"/>
              <w:rPr>
                <w:sz w:val="20"/>
              </w:rPr>
            </w:pPr>
            <w:r>
              <w:rPr>
                <w:sz w:val="20"/>
              </w:rPr>
              <w:t>Олокизумаб</w:t>
            </w:r>
          </w:p>
        </w:tc>
        <w:tc>
          <w:tcPr>
            <w:tcW w:w="10332" w:type="dxa"/>
          </w:tcPr>
          <w:p>
            <w:pPr>
              <w:pStyle w:val="TableParagraph"/>
              <w:ind w:left="107"/>
              <w:rPr>
                <w:sz w:val="20"/>
              </w:rPr>
            </w:pPr>
            <w:r>
              <w:rPr>
                <w:sz w:val="20"/>
              </w:rPr>
              <w:t>160 мг/мл - 0,4 мл подкожно однократно</w:t>
            </w:r>
          </w:p>
        </w:tc>
      </w:tr>
      <w:tr>
        <w:trPr>
          <w:trHeight w:val="326" w:hRule="atLeast"/>
        </w:trPr>
        <w:tc>
          <w:tcPr>
            <w:tcW w:w="1188"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13241" w:type="dxa"/>
            <w:gridSpan w:val="2"/>
          </w:tcPr>
          <w:p>
            <w:pPr>
              <w:pStyle w:val="TableParagraph"/>
              <w:spacing w:before="41"/>
              <w:ind w:left="117"/>
              <w:rPr>
                <w:sz w:val="20"/>
              </w:rPr>
            </w:pPr>
            <w:r>
              <w:rPr>
                <w:sz w:val="20"/>
              </w:rPr>
              <w:t>или</w:t>
            </w:r>
          </w:p>
        </w:tc>
      </w:tr>
      <w:tr>
        <w:trPr>
          <w:trHeight w:val="323" w:hRule="atLeast"/>
        </w:trPr>
        <w:tc>
          <w:tcPr>
            <w:tcW w:w="1188"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2909" w:type="dxa"/>
          </w:tcPr>
          <w:p>
            <w:pPr>
              <w:pStyle w:val="TableParagraph"/>
              <w:spacing w:before="41"/>
              <w:ind w:left="117"/>
              <w:rPr>
                <w:sz w:val="20"/>
              </w:rPr>
            </w:pPr>
            <w:r>
              <w:rPr>
                <w:sz w:val="20"/>
              </w:rPr>
              <w:t>Левилимаб</w:t>
            </w:r>
          </w:p>
        </w:tc>
        <w:tc>
          <w:tcPr>
            <w:tcW w:w="10332" w:type="dxa"/>
          </w:tcPr>
          <w:p>
            <w:pPr>
              <w:pStyle w:val="TableParagraph"/>
              <w:spacing w:before="46"/>
              <w:ind w:left="107"/>
              <w:rPr>
                <w:sz w:val="20"/>
              </w:rPr>
            </w:pPr>
            <w:r>
              <w:rPr>
                <w:sz w:val="20"/>
              </w:rPr>
              <w:t>324 мг (два преднаполненных шприца по 162 мг/0,9 мл) подкожно однократно</w:t>
            </w:r>
          </w:p>
        </w:tc>
      </w:tr>
      <w:tr>
        <w:trPr>
          <w:trHeight w:val="325" w:hRule="atLeast"/>
        </w:trPr>
        <w:tc>
          <w:tcPr>
            <w:tcW w:w="1188" w:type="dxa"/>
            <w:vMerge/>
            <w:tcBorders>
              <w:top w:val="nil"/>
            </w:tcBorders>
            <w:shd w:val="clear" w:color="auto" w:fill="F1F1F1"/>
          </w:tcPr>
          <w:p>
            <w:pPr>
              <w:rPr>
                <w:sz w:val="2"/>
                <w:szCs w:val="2"/>
              </w:rPr>
            </w:pPr>
          </w:p>
        </w:tc>
        <w:tc>
          <w:tcPr>
            <w:tcW w:w="451" w:type="dxa"/>
            <w:shd w:val="clear" w:color="auto" w:fill="F1F1F1"/>
          </w:tcPr>
          <w:p>
            <w:pPr>
              <w:pStyle w:val="TableParagraph"/>
              <w:spacing w:before="41"/>
              <w:ind w:left="18"/>
              <w:jc w:val="center"/>
              <w:rPr>
                <w:sz w:val="20"/>
              </w:rPr>
            </w:pPr>
            <w:r>
              <w:rPr>
                <w:w w:val="99"/>
                <w:sz w:val="20"/>
              </w:rPr>
              <w:t>3</w:t>
            </w:r>
          </w:p>
        </w:tc>
        <w:tc>
          <w:tcPr>
            <w:tcW w:w="13241" w:type="dxa"/>
            <w:gridSpan w:val="2"/>
            <w:shd w:val="clear" w:color="auto" w:fill="F1F1F1"/>
          </w:tcPr>
          <w:p>
            <w:pPr>
              <w:pStyle w:val="TableParagraph"/>
              <w:spacing w:before="41"/>
              <w:ind w:left="117"/>
              <w:rPr>
                <w:sz w:val="20"/>
              </w:rPr>
            </w:pPr>
            <w:r>
              <w:rPr>
                <w:sz w:val="20"/>
              </w:rPr>
              <w:t>Антикоагулянтный препарат, см. Приложение 9-2</w:t>
            </w:r>
          </w:p>
        </w:tc>
      </w:tr>
      <w:tr>
        <w:trPr>
          <w:trHeight w:val="534" w:hRule="atLeast"/>
        </w:trPr>
        <w:tc>
          <w:tcPr>
            <w:tcW w:w="1188" w:type="dxa"/>
            <w:vMerge/>
            <w:tcBorders>
              <w:top w:val="nil"/>
            </w:tcBorders>
            <w:shd w:val="clear" w:color="auto" w:fill="F1F1F1"/>
          </w:tcPr>
          <w:p>
            <w:pPr>
              <w:rPr>
                <w:sz w:val="2"/>
                <w:szCs w:val="2"/>
              </w:rPr>
            </w:pPr>
          </w:p>
        </w:tc>
        <w:tc>
          <w:tcPr>
            <w:tcW w:w="451" w:type="dxa"/>
          </w:tcPr>
          <w:p>
            <w:pPr>
              <w:pStyle w:val="TableParagraph"/>
              <w:spacing w:before="146"/>
              <w:ind w:left="18"/>
              <w:jc w:val="center"/>
              <w:rPr>
                <w:sz w:val="20"/>
              </w:rPr>
            </w:pPr>
            <w:r>
              <w:rPr>
                <w:w w:val="99"/>
                <w:sz w:val="20"/>
              </w:rPr>
              <w:t>4</w:t>
            </w:r>
          </w:p>
        </w:tc>
        <w:tc>
          <w:tcPr>
            <w:tcW w:w="13241" w:type="dxa"/>
            <w:gridSpan w:val="2"/>
          </w:tcPr>
          <w:p>
            <w:pPr>
              <w:pStyle w:val="TableParagraph"/>
              <w:spacing w:before="146"/>
              <w:ind w:left="117"/>
              <w:rPr>
                <w:sz w:val="20"/>
              </w:rPr>
            </w:pPr>
            <w:r>
              <w:rPr>
                <w:sz w:val="20"/>
              </w:rPr>
              <w:t>НПВП по показаниям</w:t>
            </w:r>
          </w:p>
        </w:tc>
      </w:tr>
    </w:tbl>
    <w:p>
      <w:pPr>
        <w:spacing w:after="0"/>
        <w:rPr>
          <w:sz w:val="20"/>
        </w:rPr>
        <w:sectPr>
          <w:pgSz w:w="16850" w:h="11920" w:orient="landscape"/>
          <w:pgMar w:header="0" w:footer="699" w:top="1100" w:bottom="880" w:left="880" w:right="360"/>
        </w:sectPr>
      </w:pPr>
    </w:p>
    <w:p>
      <w:pPr>
        <w:pStyle w:val="BodyText"/>
        <w:spacing w:before="3"/>
        <w:ind w:left="0"/>
        <w:jc w:val="left"/>
        <w:rPr>
          <w:b/>
          <w:sz w:val="2"/>
        </w:rPr>
      </w:pPr>
    </w:p>
    <w:tbl>
      <w:tblPr>
        <w:tblW w:w="0" w:type="auto"/>
        <w:jc w:val="left"/>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88"/>
        <w:gridCol w:w="451"/>
        <w:gridCol w:w="2909"/>
        <w:gridCol w:w="10332"/>
      </w:tblGrid>
      <w:tr>
        <w:trPr>
          <w:trHeight w:val="325" w:hRule="atLeast"/>
        </w:trPr>
        <w:tc>
          <w:tcPr>
            <w:tcW w:w="1188" w:type="dxa"/>
            <w:vMerge w:val="restart"/>
            <w:shd w:val="clear" w:color="auto" w:fill="F1F1F1"/>
          </w:tcPr>
          <w:p>
            <w:pPr>
              <w:pStyle w:val="TableParagraph"/>
              <w:rPr>
                <w:b/>
                <w:sz w:val="22"/>
              </w:rPr>
            </w:pPr>
          </w:p>
          <w:p>
            <w:pPr>
              <w:pStyle w:val="TableParagraph"/>
              <w:rPr>
                <w:b/>
                <w:sz w:val="22"/>
              </w:rPr>
            </w:pPr>
          </w:p>
          <w:p>
            <w:pPr>
              <w:pStyle w:val="TableParagraph"/>
              <w:spacing w:before="6"/>
              <w:rPr>
                <w:b/>
                <w:sz w:val="31"/>
              </w:rPr>
            </w:pPr>
          </w:p>
          <w:p>
            <w:pPr>
              <w:pStyle w:val="TableParagraph"/>
              <w:ind w:left="117"/>
              <w:rPr>
                <w:sz w:val="20"/>
              </w:rPr>
            </w:pPr>
            <w:r>
              <w:rPr>
                <w:sz w:val="20"/>
              </w:rPr>
              <w:t>Схема 6</w:t>
            </w:r>
          </w:p>
        </w:tc>
        <w:tc>
          <w:tcPr>
            <w:tcW w:w="451" w:type="dxa"/>
            <w:shd w:val="clear" w:color="auto" w:fill="F1F1F1"/>
          </w:tcPr>
          <w:p>
            <w:pPr>
              <w:pStyle w:val="TableParagraph"/>
              <w:spacing w:before="41"/>
              <w:ind w:left="18"/>
              <w:jc w:val="center"/>
              <w:rPr>
                <w:sz w:val="20"/>
              </w:rPr>
            </w:pPr>
            <w:r>
              <w:rPr>
                <w:w w:val="99"/>
                <w:sz w:val="20"/>
              </w:rPr>
              <w:t>1</w:t>
            </w:r>
          </w:p>
        </w:tc>
        <w:tc>
          <w:tcPr>
            <w:tcW w:w="2909" w:type="dxa"/>
            <w:shd w:val="clear" w:color="auto" w:fill="F1F1F1"/>
          </w:tcPr>
          <w:p>
            <w:pPr>
              <w:pStyle w:val="TableParagraph"/>
              <w:spacing w:before="41"/>
              <w:ind w:left="117"/>
              <w:rPr>
                <w:sz w:val="20"/>
              </w:rPr>
            </w:pPr>
            <w:r>
              <w:rPr>
                <w:sz w:val="20"/>
              </w:rPr>
              <w:t>Гидроксихлорохин</w:t>
            </w:r>
          </w:p>
        </w:tc>
        <w:tc>
          <w:tcPr>
            <w:tcW w:w="10332" w:type="dxa"/>
            <w:shd w:val="clear" w:color="auto" w:fill="F1F1F1"/>
          </w:tcPr>
          <w:p>
            <w:pPr>
              <w:pStyle w:val="TableParagraph"/>
              <w:ind w:left="107"/>
              <w:rPr>
                <w:sz w:val="20"/>
              </w:rPr>
            </w:pPr>
            <w:bookmarkStart w:name="400 мг в 1-й день (200 мг 2 р/сут), дале" w:id="435"/>
            <w:bookmarkEnd w:id="435"/>
            <w:r>
              <w:rPr/>
            </w:r>
            <w:r>
              <w:rPr>
                <w:sz w:val="20"/>
              </w:rPr>
              <w:t>400 мг в 1-й день (200 мг 2 р/сут), далее 200 мг в сутки (100 мг 2 р/сут), в течение 6-8 дней</w:t>
            </w:r>
          </w:p>
        </w:tc>
      </w:tr>
      <w:tr>
        <w:trPr>
          <w:trHeight w:val="280" w:hRule="atLeast"/>
        </w:trPr>
        <w:tc>
          <w:tcPr>
            <w:tcW w:w="1188" w:type="dxa"/>
            <w:vMerge/>
            <w:tcBorders>
              <w:top w:val="nil"/>
            </w:tcBorders>
            <w:shd w:val="clear" w:color="auto" w:fill="F1F1F1"/>
          </w:tcPr>
          <w:p>
            <w:pPr>
              <w:rPr>
                <w:sz w:val="2"/>
                <w:szCs w:val="2"/>
              </w:rPr>
            </w:pPr>
          </w:p>
        </w:tc>
        <w:tc>
          <w:tcPr>
            <w:tcW w:w="451" w:type="dxa"/>
            <w:vMerge w:val="restart"/>
          </w:tcPr>
          <w:p>
            <w:pPr>
              <w:pStyle w:val="TableParagraph"/>
              <w:spacing w:before="5"/>
              <w:rPr>
                <w:b/>
                <w:sz w:val="29"/>
              </w:rPr>
            </w:pPr>
          </w:p>
          <w:p>
            <w:pPr>
              <w:pStyle w:val="TableParagraph"/>
              <w:ind w:left="18"/>
              <w:jc w:val="center"/>
              <w:rPr>
                <w:sz w:val="20"/>
              </w:rPr>
            </w:pPr>
            <w:r>
              <w:rPr>
                <w:w w:val="99"/>
                <w:sz w:val="20"/>
              </w:rPr>
              <w:t>2</w:t>
            </w:r>
          </w:p>
        </w:tc>
        <w:tc>
          <w:tcPr>
            <w:tcW w:w="2909" w:type="dxa"/>
          </w:tcPr>
          <w:p>
            <w:pPr>
              <w:pStyle w:val="TableParagraph"/>
              <w:spacing w:before="17"/>
              <w:ind w:left="117"/>
              <w:rPr>
                <w:sz w:val="20"/>
              </w:rPr>
            </w:pPr>
            <w:r>
              <w:rPr>
                <w:sz w:val="20"/>
              </w:rPr>
              <w:t>Олокизумаб</w:t>
            </w:r>
          </w:p>
        </w:tc>
        <w:tc>
          <w:tcPr>
            <w:tcW w:w="10332" w:type="dxa"/>
          </w:tcPr>
          <w:p>
            <w:pPr>
              <w:pStyle w:val="TableParagraph"/>
              <w:ind w:left="107"/>
              <w:rPr>
                <w:sz w:val="20"/>
              </w:rPr>
            </w:pPr>
            <w:r>
              <w:rPr>
                <w:sz w:val="20"/>
              </w:rPr>
              <w:t>160 мг/мл - 0,4 мл подкожно однократно</w:t>
            </w:r>
          </w:p>
        </w:tc>
      </w:tr>
      <w:tr>
        <w:trPr>
          <w:trHeight w:val="270" w:hRule="atLeast"/>
        </w:trPr>
        <w:tc>
          <w:tcPr>
            <w:tcW w:w="1188"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13241" w:type="dxa"/>
            <w:gridSpan w:val="2"/>
          </w:tcPr>
          <w:p>
            <w:pPr>
              <w:pStyle w:val="TableParagraph"/>
              <w:spacing w:before="12"/>
              <w:ind w:left="117"/>
              <w:rPr>
                <w:sz w:val="20"/>
              </w:rPr>
            </w:pPr>
            <w:r>
              <w:rPr>
                <w:sz w:val="20"/>
              </w:rPr>
              <w:t>или</w:t>
            </w:r>
          </w:p>
        </w:tc>
      </w:tr>
      <w:tr>
        <w:trPr>
          <w:trHeight w:val="350" w:hRule="atLeast"/>
        </w:trPr>
        <w:tc>
          <w:tcPr>
            <w:tcW w:w="1188"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2909" w:type="dxa"/>
          </w:tcPr>
          <w:p>
            <w:pPr>
              <w:pStyle w:val="TableParagraph"/>
              <w:spacing w:before="53"/>
              <w:ind w:left="117"/>
              <w:rPr>
                <w:sz w:val="20"/>
              </w:rPr>
            </w:pPr>
            <w:r>
              <w:rPr>
                <w:sz w:val="20"/>
              </w:rPr>
              <w:t>Левилимаб</w:t>
            </w:r>
          </w:p>
        </w:tc>
        <w:tc>
          <w:tcPr>
            <w:tcW w:w="10332" w:type="dxa"/>
          </w:tcPr>
          <w:p>
            <w:pPr>
              <w:pStyle w:val="TableParagraph"/>
              <w:spacing w:before="60"/>
              <w:ind w:left="107"/>
              <w:rPr>
                <w:sz w:val="20"/>
              </w:rPr>
            </w:pPr>
            <w:bookmarkStart w:name="324 мг (два преднаполненных шприца по 16" w:id="436"/>
            <w:bookmarkEnd w:id="436"/>
            <w:r>
              <w:rPr/>
            </w:r>
            <w:r>
              <w:rPr>
                <w:sz w:val="20"/>
              </w:rPr>
              <w:t>324 мг (два преднаполненных шприца по 162 мг/0,9 мл) подкожно однократно</w:t>
            </w:r>
          </w:p>
        </w:tc>
      </w:tr>
      <w:tr>
        <w:trPr>
          <w:trHeight w:val="352" w:hRule="atLeast"/>
        </w:trPr>
        <w:tc>
          <w:tcPr>
            <w:tcW w:w="1188" w:type="dxa"/>
            <w:vMerge/>
            <w:tcBorders>
              <w:top w:val="nil"/>
            </w:tcBorders>
            <w:shd w:val="clear" w:color="auto" w:fill="F1F1F1"/>
          </w:tcPr>
          <w:p>
            <w:pPr>
              <w:rPr>
                <w:sz w:val="2"/>
                <w:szCs w:val="2"/>
              </w:rPr>
            </w:pPr>
          </w:p>
        </w:tc>
        <w:tc>
          <w:tcPr>
            <w:tcW w:w="451" w:type="dxa"/>
            <w:shd w:val="clear" w:color="auto" w:fill="F1F1F1"/>
          </w:tcPr>
          <w:p>
            <w:pPr>
              <w:pStyle w:val="TableParagraph"/>
              <w:spacing w:before="55"/>
              <w:ind w:left="18"/>
              <w:jc w:val="center"/>
              <w:rPr>
                <w:sz w:val="20"/>
              </w:rPr>
            </w:pPr>
            <w:r>
              <w:rPr>
                <w:w w:val="99"/>
                <w:sz w:val="20"/>
              </w:rPr>
              <w:t>3</w:t>
            </w:r>
          </w:p>
        </w:tc>
        <w:tc>
          <w:tcPr>
            <w:tcW w:w="13241" w:type="dxa"/>
            <w:gridSpan w:val="2"/>
            <w:shd w:val="clear" w:color="auto" w:fill="F1F1F1"/>
          </w:tcPr>
          <w:p>
            <w:pPr>
              <w:pStyle w:val="TableParagraph"/>
              <w:spacing w:before="55"/>
              <w:ind w:left="117"/>
              <w:rPr>
                <w:sz w:val="20"/>
              </w:rPr>
            </w:pPr>
            <w:r>
              <w:rPr>
                <w:sz w:val="20"/>
              </w:rPr>
              <w:t>Антикоагулянтный препарат, см. Приложение 9-2</w:t>
            </w:r>
          </w:p>
        </w:tc>
      </w:tr>
      <w:tr>
        <w:trPr>
          <w:trHeight w:val="350" w:hRule="atLeast"/>
        </w:trPr>
        <w:tc>
          <w:tcPr>
            <w:tcW w:w="1188" w:type="dxa"/>
            <w:vMerge/>
            <w:tcBorders>
              <w:top w:val="nil"/>
            </w:tcBorders>
            <w:shd w:val="clear" w:color="auto" w:fill="F1F1F1"/>
          </w:tcPr>
          <w:p>
            <w:pPr>
              <w:rPr>
                <w:sz w:val="2"/>
                <w:szCs w:val="2"/>
              </w:rPr>
            </w:pPr>
          </w:p>
        </w:tc>
        <w:tc>
          <w:tcPr>
            <w:tcW w:w="451" w:type="dxa"/>
          </w:tcPr>
          <w:p>
            <w:pPr>
              <w:pStyle w:val="TableParagraph"/>
              <w:spacing w:before="53"/>
              <w:ind w:left="18"/>
              <w:jc w:val="center"/>
              <w:rPr>
                <w:sz w:val="20"/>
              </w:rPr>
            </w:pPr>
            <w:r>
              <w:rPr>
                <w:w w:val="99"/>
                <w:sz w:val="20"/>
              </w:rPr>
              <w:t>4</w:t>
            </w:r>
          </w:p>
        </w:tc>
        <w:tc>
          <w:tcPr>
            <w:tcW w:w="13241" w:type="dxa"/>
            <w:gridSpan w:val="2"/>
          </w:tcPr>
          <w:p>
            <w:pPr>
              <w:pStyle w:val="TableParagraph"/>
              <w:spacing w:before="53"/>
              <w:ind w:left="117"/>
              <w:rPr>
                <w:sz w:val="20"/>
              </w:rPr>
            </w:pPr>
            <w:r>
              <w:rPr>
                <w:sz w:val="20"/>
              </w:rPr>
              <w:t>НПВП по показаниям</w:t>
            </w:r>
          </w:p>
        </w:tc>
      </w:tr>
      <w:tr>
        <w:trPr>
          <w:trHeight w:val="453" w:hRule="atLeast"/>
        </w:trPr>
        <w:tc>
          <w:tcPr>
            <w:tcW w:w="1188" w:type="dxa"/>
          </w:tcPr>
          <w:p>
            <w:pPr>
              <w:pStyle w:val="TableParagraph"/>
              <w:rPr>
                <w:sz w:val="18"/>
              </w:rPr>
            </w:pPr>
          </w:p>
        </w:tc>
        <w:tc>
          <w:tcPr>
            <w:tcW w:w="451" w:type="dxa"/>
            <w:shd w:val="clear" w:color="auto" w:fill="F1F1F1"/>
          </w:tcPr>
          <w:p>
            <w:pPr>
              <w:pStyle w:val="TableParagraph"/>
              <w:spacing w:before="106"/>
              <w:ind w:left="18"/>
              <w:jc w:val="center"/>
              <w:rPr>
                <w:sz w:val="20"/>
              </w:rPr>
            </w:pPr>
            <w:r>
              <w:rPr>
                <w:w w:val="99"/>
                <w:sz w:val="20"/>
              </w:rPr>
              <w:t>5</w:t>
            </w:r>
          </w:p>
        </w:tc>
        <w:tc>
          <w:tcPr>
            <w:tcW w:w="13241" w:type="dxa"/>
            <w:gridSpan w:val="2"/>
            <w:shd w:val="clear" w:color="auto" w:fill="F1F1F1"/>
          </w:tcPr>
          <w:p>
            <w:pPr>
              <w:pStyle w:val="TableParagraph"/>
              <w:spacing w:before="106"/>
              <w:ind w:left="117"/>
              <w:rPr>
                <w:sz w:val="20"/>
              </w:rPr>
            </w:pPr>
            <w:r>
              <w:rPr>
                <w:sz w:val="20"/>
              </w:rPr>
              <w:t>При лихорадке (t &gt; 38,0 °С) более 3 дней при среднетяжелом течении в схемах 1-6 назначается антибактериальная терапия по показаниям*</w:t>
            </w:r>
          </w:p>
        </w:tc>
      </w:tr>
      <w:tr>
        <w:trPr>
          <w:trHeight w:val="371" w:hRule="atLeast"/>
        </w:trPr>
        <w:tc>
          <w:tcPr>
            <w:tcW w:w="1188" w:type="dxa"/>
          </w:tcPr>
          <w:p>
            <w:pPr>
              <w:pStyle w:val="TableParagraph"/>
              <w:rPr>
                <w:sz w:val="18"/>
              </w:rPr>
            </w:pPr>
          </w:p>
        </w:tc>
        <w:tc>
          <w:tcPr>
            <w:tcW w:w="13692" w:type="dxa"/>
            <w:gridSpan w:val="3"/>
            <w:shd w:val="clear" w:color="auto" w:fill="F1F1F1"/>
          </w:tcPr>
          <w:p>
            <w:pPr>
              <w:pStyle w:val="TableParagraph"/>
              <w:spacing w:before="65"/>
              <w:ind w:left="4963" w:right="4945"/>
              <w:jc w:val="center"/>
              <w:rPr>
                <w:sz w:val="20"/>
              </w:rPr>
            </w:pPr>
            <w:r>
              <w:rPr>
                <w:b/>
                <w:sz w:val="20"/>
              </w:rPr>
              <w:t>Тяжелые формы </w:t>
            </w:r>
            <w:r>
              <w:rPr>
                <w:sz w:val="20"/>
              </w:rPr>
              <w:t>(пневмония с ДН, ОРДС)</w:t>
            </w:r>
          </w:p>
        </w:tc>
      </w:tr>
      <w:tr>
        <w:trPr>
          <w:trHeight w:val="918" w:hRule="atLeast"/>
        </w:trPr>
        <w:tc>
          <w:tcPr>
            <w:tcW w:w="1188" w:type="dxa"/>
            <w:vMerge w:val="restart"/>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spacing w:before="170"/>
              <w:ind w:left="117"/>
              <w:rPr>
                <w:sz w:val="20"/>
              </w:rPr>
            </w:pPr>
            <w:r>
              <w:rPr>
                <w:sz w:val="20"/>
              </w:rPr>
              <w:t>Схема 1</w:t>
            </w:r>
          </w:p>
        </w:tc>
        <w:tc>
          <w:tcPr>
            <w:tcW w:w="451" w:type="dxa"/>
          </w:tcPr>
          <w:p>
            <w:pPr>
              <w:pStyle w:val="TableParagraph"/>
              <w:spacing w:before="5"/>
              <w:rPr>
                <w:b/>
                <w:sz w:val="29"/>
              </w:rPr>
            </w:pPr>
          </w:p>
          <w:p>
            <w:pPr>
              <w:pStyle w:val="TableParagraph"/>
              <w:ind w:left="18"/>
              <w:jc w:val="center"/>
              <w:rPr>
                <w:sz w:val="20"/>
              </w:rPr>
            </w:pPr>
            <w:r>
              <w:rPr>
                <w:w w:val="99"/>
                <w:sz w:val="20"/>
              </w:rPr>
              <w:t>1</w:t>
            </w:r>
          </w:p>
        </w:tc>
        <w:tc>
          <w:tcPr>
            <w:tcW w:w="2909" w:type="dxa"/>
          </w:tcPr>
          <w:p>
            <w:pPr>
              <w:pStyle w:val="TableParagraph"/>
              <w:spacing w:before="5"/>
              <w:rPr>
                <w:b/>
                <w:sz w:val="29"/>
              </w:rPr>
            </w:pPr>
          </w:p>
          <w:p>
            <w:pPr>
              <w:pStyle w:val="TableParagraph"/>
              <w:ind w:left="117"/>
              <w:rPr>
                <w:sz w:val="20"/>
              </w:rPr>
            </w:pPr>
            <w:r>
              <w:rPr>
                <w:sz w:val="20"/>
              </w:rPr>
              <w:t>Фавипиравир</w:t>
            </w:r>
          </w:p>
        </w:tc>
        <w:tc>
          <w:tcPr>
            <w:tcW w:w="10332" w:type="dxa"/>
          </w:tcPr>
          <w:p>
            <w:pPr>
              <w:pStyle w:val="TableParagraph"/>
              <w:ind w:left="107"/>
              <w:rPr>
                <w:sz w:val="20"/>
              </w:rPr>
            </w:pPr>
            <w:bookmarkStart w:name="Для пациентов с массой тела ˂ 75 кг: " w:id="437"/>
            <w:bookmarkEnd w:id="437"/>
            <w:r>
              <w:rPr/>
            </w:r>
            <w:bookmarkStart w:name="по 1600 мг 2 р/сут в 1-й день и далее по" w:id="438"/>
            <w:bookmarkEnd w:id="438"/>
            <w:r>
              <w:rPr/>
            </w:r>
            <w:r>
              <w:rPr>
                <w:sz w:val="20"/>
              </w:rPr>
              <w:t>Для пациентов с массой тела ˂ 75 кг:</w:t>
            </w:r>
          </w:p>
          <w:p>
            <w:pPr>
              <w:pStyle w:val="TableParagraph"/>
              <w:ind w:left="107" w:right="3895"/>
              <w:rPr>
                <w:sz w:val="20"/>
              </w:rPr>
            </w:pPr>
            <w:bookmarkStart w:name="Для пациентов с массой тела 75 кг и боле" w:id="439"/>
            <w:bookmarkEnd w:id="439"/>
            <w:r>
              <w:rPr/>
            </w:r>
            <w:r>
              <w:rPr>
                <w:sz w:val="20"/>
              </w:rPr>
              <w:t>по 1600 мг 2 р/сут в 1-й день и далее по 600 мг 2 р/сут со 2 по 10 день.</w:t>
            </w:r>
            <w:bookmarkStart w:name="по 1800 мг 2 раза/сут в 1-й день, далее " w:id="440"/>
            <w:bookmarkEnd w:id="440"/>
            <w:r>
              <w:rPr>
                <w:sz w:val="20"/>
              </w:rPr>
            </w:r>
            <w:r>
              <w:rPr>
                <w:sz w:val="20"/>
              </w:rPr>
              <w:t> Для пациентов с массой тела 75 кг и более:</w:t>
            </w:r>
          </w:p>
          <w:p>
            <w:pPr>
              <w:pStyle w:val="TableParagraph"/>
              <w:spacing w:line="208" w:lineRule="exact"/>
              <w:ind w:left="107"/>
              <w:rPr>
                <w:sz w:val="20"/>
              </w:rPr>
            </w:pPr>
            <w:r>
              <w:rPr>
                <w:sz w:val="20"/>
              </w:rPr>
              <w:t>по 1800 мг 2 раза/сут в 1-й день, далее по 800 мг 2 раза/сут со 2 по 10 день.</w:t>
            </w:r>
          </w:p>
        </w:tc>
      </w:tr>
      <w:tr>
        <w:trPr>
          <w:trHeight w:val="921" w:hRule="atLeast"/>
        </w:trPr>
        <w:tc>
          <w:tcPr>
            <w:tcW w:w="1188" w:type="dxa"/>
            <w:vMerge/>
            <w:tcBorders>
              <w:top w:val="nil"/>
            </w:tcBorders>
            <w:shd w:val="clear" w:color="auto" w:fill="F1F1F1"/>
          </w:tcPr>
          <w:p>
            <w:pPr>
              <w:rPr>
                <w:sz w:val="2"/>
                <w:szCs w:val="2"/>
              </w:rPr>
            </w:pPr>
          </w:p>
        </w:tc>
        <w:tc>
          <w:tcPr>
            <w:tcW w:w="451" w:type="dxa"/>
            <w:vMerge w:val="restart"/>
            <w:shd w:val="clear" w:color="auto" w:fill="F1F1F1"/>
          </w:tcPr>
          <w:p>
            <w:pPr>
              <w:pStyle w:val="TableParagraph"/>
              <w:rPr>
                <w:b/>
                <w:sz w:val="22"/>
              </w:rPr>
            </w:pPr>
          </w:p>
          <w:p>
            <w:pPr>
              <w:pStyle w:val="TableParagraph"/>
              <w:rPr>
                <w:b/>
                <w:sz w:val="22"/>
              </w:rPr>
            </w:pPr>
          </w:p>
          <w:p>
            <w:pPr>
              <w:pStyle w:val="TableParagraph"/>
              <w:spacing w:before="195"/>
              <w:ind w:left="18"/>
              <w:jc w:val="center"/>
              <w:rPr>
                <w:sz w:val="20"/>
              </w:rPr>
            </w:pPr>
            <w:r>
              <w:rPr>
                <w:w w:val="99"/>
                <w:sz w:val="20"/>
              </w:rPr>
              <w:t>2</w:t>
            </w:r>
          </w:p>
        </w:tc>
        <w:tc>
          <w:tcPr>
            <w:tcW w:w="2909" w:type="dxa"/>
            <w:shd w:val="clear" w:color="auto" w:fill="F1F1F1"/>
          </w:tcPr>
          <w:p>
            <w:pPr>
              <w:pStyle w:val="TableParagraph"/>
              <w:spacing w:before="5"/>
              <w:rPr>
                <w:b/>
                <w:sz w:val="29"/>
              </w:rPr>
            </w:pPr>
          </w:p>
          <w:p>
            <w:pPr>
              <w:pStyle w:val="TableParagraph"/>
              <w:ind w:left="117"/>
              <w:rPr>
                <w:sz w:val="20"/>
              </w:rPr>
            </w:pPr>
            <w:r>
              <w:rPr>
                <w:sz w:val="20"/>
              </w:rPr>
              <w:t>Тоцилизумаб</w:t>
            </w:r>
          </w:p>
        </w:tc>
        <w:tc>
          <w:tcPr>
            <w:tcW w:w="10332" w:type="dxa"/>
            <w:shd w:val="clear" w:color="auto" w:fill="F1F1F1"/>
          </w:tcPr>
          <w:p>
            <w:pPr>
              <w:pStyle w:val="TableParagraph"/>
              <w:ind w:left="107"/>
              <w:rPr>
                <w:sz w:val="20"/>
              </w:rPr>
            </w:pPr>
            <w:r>
              <w:rPr>
                <w:sz w:val="20"/>
              </w:rPr>
              <w:t>4-8 мг/кг/введение</w:t>
            </w:r>
          </w:p>
          <w:p>
            <w:pPr>
              <w:pStyle w:val="TableParagraph"/>
              <w:ind w:left="107" w:right="4491"/>
              <w:rPr>
                <w:sz w:val="20"/>
              </w:rPr>
            </w:pPr>
            <w:r>
              <w:rPr>
                <w:sz w:val="20"/>
              </w:rPr>
              <w:t>400 мг разводят в 100 мл 0,9% раствора NaCl, вводят в/в капельно.</w:t>
            </w:r>
            <w:bookmarkStart w:name="При недостаточном эффекте повторить введ" w:id="441"/>
            <w:bookmarkEnd w:id="441"/>
            <w:r>
              <w:rPr>
                <w:sz w:val="20"/>
              </w:rPr>
            </w:r>
            <w:r>
              <w:rPr>
                <w:sz w:val="20"/>
              </w:rPr>
              <w:t> Вводить не более 800 мг.</w:t>
            </w:r>
          </w:p>
          <w:p>
            <w:pPr>
              <w:pStyle w:val="TableParagraph"/>
              <w:spacing w:line="210" w:lineRule="exact" w:before="1"/>
              <w:ind w:left="107"/>
              <w:rPr>
                <w:sz w:val="20"/>
              </w:rPr>
            </w:pPr>
            <w:r>
              <w:rPr>
                <w:sz w:val="20"/>
              </w:rPr>
              <w:t>При недостаточном эффекте повторить введение через 12 ч.</w:t>
            </w:r>
          </w:p>
        </w:tc>
      </w:tr>
      <w:tr>
        <w:trPr>
          <w:trHeight w:val="244" w:hRule="atLeast"/>
        </w:trPr>
        <w:tc>
          <w:tcPr>
            <w:tcW w:w="1188"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13241" w:type="dxa"/>
            <w:gridSpan w:val="2"/>
          </w:tcPr>
          <w:p>
            <w:pPr>
              <w:pStyle w:val="TableParagraph"/>
              <w:spacing w:line="224" w:lineRule="exact"/>
              <w:ind w:left="117"/>
              <w:rPr>
                <w:sz w:val="20"/>
              </w:rPr>
            </w:pPr>
            <w:r>
              <w:rPr>
                <w:sz w:val="20"/>
              </w:rPr>
              <w:t>или</w:t>
            </w:r>
          </w:p>
        </w:tc>
      </w:tr>
      <w:tr>
        <w:trPr>
          <w:trHeight w:val="460" w:hRule="atLeast"/>
        </w:trPr>
        <w:tc>
          <w:tcPr>
            <w:tcW w:w="1188"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2909" w:type="dxa"/>
            <w:shd w:val="clear" w:color="auto" w:fill="F1F1F1"/>
          </w:tcPr>
          <w:p>
            <w:pPr>
              <w:pStyle w:val="TableParagraph"/>
              <w:spacing w:before="108"/>
              <w:ind w:left="117"/>
              <w:rPr>
                <w:sz w:val="20"/>
              </w:rPr>
            </w:pPr>
            <w:r>
              <w:rPr>
                <w:sz w:val="20"/>
              </w:rPr>
              <w:t>Сарилумаб</w:t>
            </w:r>
          </w:p>
        </w:tc>
        <w:tc>
          <w:tcPr>
            <w:tcW w:w="10332" w:type="dxa"/>
            <w:shd w:val="clear" w:color="auto" w:fill="F1F1F1"/>
          </w:tcPr>
          <w:p>
            <w:pPr>
              <w:pStyle w:val="TableParagraph"/>
              <w:spacing w:line="230" w:lineRule="atLeast"/>
              <w:ind w:left="107" w:right="794"/>
              <w:rPr>
                <w:sz w:val="20"/>
              </w:rPr>
            </w:pPr>
            <w:bookmarkStart w:name="200 мг или 400 мг (предварительно заполн" w:id="442"/>
            <w:bookmarkEnd w:id="442"/>
            <w:r>
              <w:rPr/>
            </w:r>
            <w:r>
              <w:rPr>
                <w:sz w:val="20"/>
              </w:rPr>
              <w:t>200 мг или 400 мг (предварительно заполненную шприц-ручку 200 мг) развести в 100 мл 0,9% раствора NaCl, вводить в/в, при недостаточном эффекте повторить введение через 12 ч.</w:t>
            </w:r>
          </w:p>
        </w:tc>
      </w:tr>
      <w:tr>
        <w:trPr>
          <w:trHeight w:val="275" w:hRule="atLeast"/>
        </w:trPr>
        <w:tc>
          <w:tcPr>
            <w:tcW w:w="1188" w:type="dxa"/>
            <w:vMerge/>
            <w:tcBorders>
              <w:top w:val="nil"/>
            </w:tcBorders>
            <w:shd w:val="clear" w:color="auto" w:fill="F1F1F1"/>
          </w:tcPr>
          <w:p>
            <w:pPr>
              <w:rPr>
                <w:sz w:val="2"/>
                <w:szCs w:val="2"/>
              </w:rPr>
            </w:pPr>
          </w:p>
        </w:tc>
        <w:tc>
          <w:tcPr>
            <w:tcW w:w="451" w:type="dxa"/>
          </w:tcPr>
          <w:p>
            <w:pPr>
              <w:pStyle w:val="TableParagraph"/>
              <w:spacing w:before="17"/>
              <w:ind w:left="18"/>
              <w:jc w:val="center"/>
              <w:rPr>
                <w:sz w:val="20"/>
              </w:rPr>
            </w:pPr>
            <w:r>
              <w:rPr>
                <w:w w:val="99"/>
                <w:sz w:val="20"/>
              </w:rPr>
              <w:t>3</w:t>
            </w:r>
          </w:p>
        </w:tc>
        <w:tc>
          <w:tcPr>
            <w:tcW w:w="13241" w:type="dxa"/>
            <w:gridSpan w:val="2"/>
          </w:tcPr>
          <w:p>
            <w:pPr>
              <w:pStyle w:val="TableParagraph"/>
              <w:spacing w:before="17"/>
              <w:ind w:left="117"/>
              <w:rPr>
                <w:sz w:val="20"/>
              </w:rPr>
            </w:pPr>
            <w:r>
              <w:rPr>
                <w:sz w:val="20"/>
              </w:rPr>
              <w:t>Антикоагулянтный препарат, см. Приложение 9-2</w:t>
            </w:r>
          </w:p>
        </w:tc>
      </w:tr>
      <w:tr>
        <w:trPr>
          <w:trHeight w:val="244" w:hRule="atLeast"/>
        </w:trPr>
        <w:tc>
          <w:tcPr>
            <w:tcW w:w="1188" w:type="dxa"/>
            <w:vMerge/>
            <w:tcBorders>
              <w:top w:val="nil"/>
            </w:tcBorders>
            <w:shd w:val="clear" w:color="auto" w:fill="F1F1F1"/>
          </w:tcPr>
          <w:p>
            <w:pPr>
              <w:rPr>
                <w:sz w:val="2"/>
                <w:szCs w:val="2"/>
              </w:rPr>
            </w:pPr>
          </w:p>
        </w:tc>
        <w:tc>
          <w:tcPr>
            <w:tcW w:w="451" w:type="dxa"/>
            <w:shd w:val="clear" w:color="auto" w:fill="F1F1F1"/>
          </w:tcPr>
          <w:p>
            <w:pPr>
              <w:pStyle w:val="TableParagraph"/>
              <w:spacing w:line="224" w:lineRule="exact"/>
              <w:ind w:left="18"/>
              <w:jc w:val="center"/>
              <w:rPr>
                <w:sz w:val="20"/>
              </w:rPr>
            </w:pPr>
            <w:r>
              <w:rPr>
                <w:w w:val="99"/>
                <w:sz w:val="20"/>
              </w:rPr>
              <w:t>4</w:t>
            </w:r>
          </w:p>
        </w:tc>
        <w:tc>
          <w:tcPr>
            <w:tcW w:w="13241" w:type="dxa"/>
            <w:gridSpan w:val="2"/>
            <w:shd w:val="clear" w:color="auto" w:fill="F1F1F1"/>
          </w:tcPr>
          <w:p>
            <w:pPr>
              <w:pStyle w:val="TableParagraph"/>
              <w:spacing w:line="224" w:lineRule="exact"/>
              <w:ind w:left="117"/>
              <w:rPr>
                <w:sz w:val="20"/>
              </w:rPr>
            </w:pPr>
            <w:r>
              <w:rPr>
                <w:sz w:val="20"/>
              </w:rPr>
              <w:t>НПВП по показаниям</w:t>
            </w:r>
          </w:p>
        </w:tc>
      </w:tr>
      <w:tr>
        <w:trPr>
          <w:trHeight w:val="918" w:hRule="atLeast"/>
        </w:trPr>
        <w:tc>
          <w:tcPr>
            <w:tcW w:w="1188" w:type="dxa"/>
            <w:vMerge w:val="restart"/>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rPr>
                <w:b/>
                <w:sz w:val="22"/>
              </w:rPr>
            </w:pPr>
          </w:p>
          <w:p>
            <w:pPr>
              <w:pStyle w:val="TableParagraph"/>
              <w:spacing w:before="187"/>
              <w:ind w:left="117"/>
              <w:rPr>
                <w:sz w:val="20"/>
              </w:rPr>
            </w:pPr>
            <w:r>
              <w:rPr>
                <w:sz w:val="20"/>
              </w:rPr>
              <w:t>Схема 2</w:t>
            </w:r>
          </w:p>
        </w:tc>
        <w:tc>
          <w:tcPr>
            <w:tcW w:w="451" w:type="dxa"/>
          </w:tcPr>
          <w:p>
            <w:pPr>
              <w:pStyle w:val="TableParagraph"/>
              <w:spacing w:before="5"/>
              <w:rPr>
                <w:b/>
                <w:sz w:val="29"/>
              </w:rPr>
            </w:pPr>
          </w:p>
          <w:p>
            <w:pPr>
              <w:pStyle w:val="TableParagraph"/>
              <w:ind w:left="18"/>
              <w:jc w:val="center"/>
              <w:rPr>
                <w:sz w:val="20"/>
              </w:rPr>
            </w:pPr>
            <w:r>
              <w:rPr>
                <w:w w:val="99"/>
                <w:sz w:val="20"/>
              </w:rPr>
              <w:t>1</w:t>
            </w:r>
          </w:p>
        </w:tc>
        <w:tc>
          <w:tcPr>
            <w:tcW w:w="2909" w:type="dxa"/>
          </w:tcPr>
          <w:p>
            <w:pPr>
              <w:pStyle w:val="TableParagraph"/>
              <w:spacing w:before="5"/>
              <w:rPr>
                <w:b/>
                <w:sz w:val="29"/>
              </w:rPr>
            </w:pPr>
          </w:p>
          <w:p>
            <w:pPr>
              <w:pStyle w:val="TableParagraph"/>
              <w:ind w:left="117"/>
              <w:rPr>
                <w:sz w:val="20"/>
              </w:rPr>
            </w:pPr>
            <w:r>
              <w:rPr>
                <w:sz w:val="20"/>
              </w:rPr>
              <w:t>Фавипиравир</w:t>
            </w:r>
          </w:p>
        </w:tc>
        <w:tc>
          <w:tcPr>
            <w:tcW w:w="10332" w:type="dxa"/>
          </w:tcPr>
          <w:p>
            <w:pPr>
              <w:pStyle w:val="TableParagraph"/>
              <w:ind w:left="107"/>
              <w:rPr>
                <w:sz w:val="20"/>
              </w:rPr>
            </w:pPr>
            <w:bookmarkStart w:name="Для пациентов с массой тела ˂75 кг: " w:id="443"/>
            <w:bookmarkEnd w:id="443"/>
            <w:r>
              <w:rPr/>
            </w:r>
            <w:bookmarkStart w:name="по 1600 мг 2 р/сут в 1-й день и далее по" w:id="444"/>
            <w:bookmarkEnd w:id="444"/>
            <w:r>
              <w:rPr/>
            </w:r>
            <w:r>
              <w:rPr>
                <w:sz w:val="20"/>
              </w:rPr>
              <w:t>Для пациентов с массой тела ˂75 кг:</w:t>
            </w:r>
          </w:p>
          <w:p>
            <w:pPr>
              <w:pStyle w:val="TableParagraph"/>
              <w:ind w:left="107" w:right="3895"/>
              <w:rPr>
                <w:sz w:val="20"/>
              </w:rPr>
            </w:pPr>
            <w:bookmarkStart w:name="Для пациентов с массой тела 75 кг и боле" w:id="445"/>
            <w:bookmarkEnd w:id="445"/>
            <w:r>
              <w:rPr/>
            </w:r>
            <w:r>
              <w:rPr>
                <w:sz w:val="20"/>
              </w:rPr>
              <w:t>по 1600 мг 2 р/сут в 1-й день и далее по 600 мг 2 р/сут со 2 по 10 день.</w:t>
            </w:r>
            <w:bookmarkStart w:name="по 1800 мг 2 раза/сут в 1-й день, далее " w:id="446"/>
            <w:bookmarkEnd w:id="446"/>
            <w:r>
              <w:rPr>
                <w:sz w:val="20"/>
              </w:rPr>
            </w:r>
            <w:r>
              <w:rPr>
                <w:sz w:val="20"/>
              </w:rPr>
              <w:t> Для пациентов с массой тела 75 кг и более:</w:t>
            </w:r>
          </w:p>
          <w:p>
            <w:pPr>
              <w:pStyle w:val="TableParagraph"/>
              <w:spacing w:line="208" w:lineRule="exact"/>
              <w:ind w:left="107"/>
              <w:rPr>
                <w:sz w:val="20"/>
              </w:rPr>
            </w:pPr>
            <w:r>
              <w:rPr>
                <w:sz w:val="20"/>
              </w:rPr>
              <w:t>по 1800 мг 2 раза/сут в 1-й день, далее по 800 мг 2 раза/сут со 2 по 10 день.</w:t>
            </w:r>
          </w:p>
        </w:tc>
      </w:tr>
      <w:tr>
        <w:trPr>
          <w:trHeight w:val="921" w:hRule="atLeast"/>
        </w:trPr>
        <w:tc>
          <w:tcPr>
            <w:tcW w:w="1188" w:type="dxa"/>
            <w:vMerge/>
            <w:tcBorders>
              <w:top w:val="nil"/>
            </w:tcBorders>
            <w:shd w:val="clear" w:color="auto" w:fill="F1F1F1"/>
          </w:tcPr>
          <w:p>
            <w:pPr>
              <w:rPr>
                <w:sz w:val="2"/>
                <w:szCs w:val="2"/>
              </w:rPr>
            </w:pPr>
          </w:p>
        </w:tc>
        <w:tc>
          <w:tcPr>
            <w:tcW w:w="451" w:type="dxa"/>
            <w:vMerge w:val="restart"/>
            <w:shd w:val="clear" w:color="auto" w:fill="F1F1F1"/>
          </w:tcPr>
          <w:p>
            <w:pPr>
              <w:pStyle w:val="TableParagraph"/>
              <w:rPr>
                <w:b/>
                <w:sz w:val="22"/>
              </w:rPr>
            </w:pPr>
          </w:p>
          <w:p>
            <w:pPr>
              <w:pStyle w:val="TableParagraph"/>
              <w:rPr>
                <w:b/>
                <w:sz w:val="22"/>
              </w:rPr>
            </w:pPr>
          </w:p>
          <w:p>
            <w:pPr>
              <w:pStyle w:val="TableParagraph"/>
              <w:spacing w:before="195"/>
              <w:ind w:left="18"/>
              <w:jc w:val="center"/>
              <w:rPr>
                <w:sz w:val="20"/>
              </w:rPr>
            </w:pPr>
            <w:r>
              <w:rPr>
                <w:w w:val="99"/>
                <w:sz w:val="20"/>
              </w:rPr>
              <w:t>2</w:t>
            </w:r>
          </w:p>
        </w:tc>
        <w:tc>
          <w:tcPr>
            <w:tcW w:w="2909" w:type="dxa"/>
            <w:shd w:val="clear" w:color="auto" w:fill="F1F1F1"/>
          </w:tcPr>
          <w:p>
            <w:pPr>
              <w:pStyle w:val="TableParagraph"/>
              <w:spacing w:before="5"/>
              <w:rPr>
                <w:b/>
                <w:sz w:val="29"/>
              </w:rPr>
            </w:pPr>
          </w:p>
          <w:p>
            <w:pPr>
              <w:pStyle w:val="TableParagraph"/>
              <w:ind w:left="117"/>
              <w:rPr>
                <w:sz w:val="20"/>
              </w:rPr>
            </w:pPr>
            <w:r>
              <w:rPr>
                <w:sz w:val="20"/>
              </w:rPr>
              <w:t>Тоцилизумаб</w:t>
            </w:r>
          </w:p>
        </w:tc>
        <w:tc>
          <w:tcPr>
            <w:tcW w:w="10332" w:type="dxa"/>
            <w:shd w:val="clear" w:color="auto" w:fill="F1F1F1"/>
          </w:tcPr>
          <w:p>
            <w:pPr>
              <w:pStyle w:val="TableParagraph"/>
              <w:ind w:left="107"/>
              <w:rPr>
                <w:sz w:val="20"/>
              </w:rPr>
            </w:pPr>
            <w:r>
              <w:rPr>
                <w:sz w:val="20"/>
              </w:rPr>
              <w:t>4-8 мг/кг/введение</w:t>
            </w:r>
          </w:p>
          <w:p>
            <w:pPr>
              <w:pStyle w:val="TableParagraph"/>
              <w:ind w:left="107" w:right="4491"/>
              <w:rPr>
                <w:sz w:val="20"/>
              </w:rPr>
            </w:pPr>
            <w:r>
              <w:rPr>
                <w:sz w:val="20"/>
              </w:rPr>
              <w:t>400 мг разводят в 100 мл 0,9% раствора NaCl, вводят в/в капельно.</w:t>
            </w:r>
            <w:bookmarkStart w:name="При недостаточном эффекте повторить введ" w:id="447"/>
            <w:bookmarkEnd w:id="447"/>
            <w:r>
              <w:rPr>
                <w:sz w:val="20"/>
              </w:rPr>
            </w:r>
            <w:r>
              <w:rPr>
                <w:sz w:val="20"/>
              </w:rPr>
              <w:t> Вводить не более 800 мг.</w:t>
            </w:r>
          </w:p>
          <w:p>
            <w:pPr>
              <w:pStyle w:val="TableParagraph"/>
              <w:spacing w:line="210" w:lineRule="exact" w:before="1"/>
              <w:ind w:left="107"/>
              <w:rPr>
                <w:sz w:val="20"/>
              </w:rPr>
            </w:pPr>
            <w:r>
              <w:rPr>
                <w:sz w:val="20"/>
              </w:rPr>
              <w:t>При недостаточном эффекте повторить введение через 12 ч.</w:t>
            </w:r>
          </w:p>
        </w:tc>
      </w:tr>
      <w:tr>
        <w:trPr>
          <w:trHeight w:val="244" w:hRule="atLeast"/>
        </w:trPr>
        <w:tc>
          <w:tcPr>
            <w:tcW w:w="1188"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13241" w:type="dxa"/>
            <w:gridSpan w:val="2"/>
          </w:tcPr>
          <w:p>
            <w:pPr>
              <w:pStyle w:val="TableParagraph"/>
              <w:spacing w:line="224" w:lineRule="exact"/>
              <w:ind w:left="117"/>
              <w:rPr>
                <w:sz w:val="20"/>
              </w:rPr>
            </w:pPr>
            <w:r>
              <w:rPr>
                <w:sz w:val="20"/>
              </w:rPr>
              <w:t>или</w:t>
            </w:r>
          </w:p>
        </w:tc>
      </w:tr>
      <w:tr>
        <w:trPr>
          <w:trHeight w:val="460" w:hRule="atLeast"/>
        </w:trPr>
        <w:tc>
          <w:tcPr>
            <w:tcW w:w="1188"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2909" w:type="dxa"/>
            <w:shd w:val="clear" w:color="auto" w:fill="F1F1F1"/>
          </w:tcPr>
          <w:p>
            <w:pPr>
              <w:pStyle w:val="TableParagraph"/>
              <w:spacing w:before="108"/>
              <w:ind w:left="117"/>
              <w:rPr>
                <w:sz w:val="20"/>
              </w:rPr>
            </w:pPr>
            <w:r>
              <w:rPr>
                <w:sz w:val="20"/>
              </w:rPr>
              <w:t>Сарилумаб</w:t>
            </w:r>
          </w:p>
        </w:tc>
        <w:tc>
          <w:tcPr>
            <w:tcW w:w="10332" w:type="dxa"/>
            <w:shd w:val="clear" w:color="auto" w:fill="F1F1F1"/>
          </w:tcPr>
          <w:p>
            <w:pPr>
              <w:pStyle w:val="TableParagraph"/>
              <w:spacing w:line="230" w:lineRule="atLeast"/>
              <w:ind w:left="107" w:right="794"/>
              <w:rPr>
                <w:sz w:val="20"/>
              </w:rPr>
            </w:pPr>
            <w:bookmarkStart w:name="200 мг или 400 мг (предварительно заполн" w:id="448"/>
            <w:bookmarkEnd w:id="448"/>
            <w:r>
              <w:rPr/>
            </w:r>
            <w:r>
              <w:rPr>
                <w:sz w:val="20"/>
              </w:rPr>
              <w:t>200 мг или 400 мг (предварительно заполненную шприц-ручку 200 мг) развести в 100 мл 0,9% раствора NaCl, вводить в/в, при недостаточном эффекте повторить введение через 12 ч.</w:t>
            </w:r>
          </w:p>
        </w:tc>
      </w:tr>
      <w:tr>
        <w:trPr>
          <w:trHeight w:val="241" w:hRule="atLeast"/>
        </w:trPr>
        <w:tc>
          <w:tcPr>
            <w:tcW w:w="1188" w:type="dxa"/>
            <w:vMerge/>
            <w:tcBorders>
              <w:top w:val="nil"/>
            </w:tcBorders>
            <w:shd w:val="clear" w:color="auto" w:fill="F1F1F1"/>
          </w:tcPr>
          <w:p>
            <w:pPr>
              <w:rPr>
                <w:sz w:val="2"/>
                <w:szCs w:val="2"/>
              </w:rPr>
            </w:pPr>
          </w:p>
        </w:tc>
        <w:tc>
          <w:tcPr>
            <w:tcW w:w="451" w:type="dxa"/>
          </w:tcPr>
          <w:p>
            <w:pPr>
              <w:pStyle w:val="TableParagraph"/>
              <w:spacing w:line="222" w:lineRule="exact"/>
              <w:ind w:left="18"/>
              <w:jc w:val="center"/>
              <w:rPr>
                <w:sz w:val="20"/>
              </w:rPr>
            </w:pPr>
            <w:r>
              <w:rPr>
                <w:w w:val="99"/>
                <w:sz w:val="20"/>
              </w:rPr>
              <w:t>3</w:t>
            </w:r>
          </w:p>
        </w:tc>
        <w:tc>
          <w:tcPr>
            <w:tcW w:w="13241" w:type="dxa"/>
            <w:gridSpan w:val="2"/>
          </w:tcPr>
          <w:p>
            <w:pPr>
              <w:pStyle w:val="TableParagraph"/>
              <w:spacing w:line="222" w:lineRule="exact"/>
              <w:ind w:left="117"/>
              <w:rPr>
                <w:sz w:val="20"/>
              </w:rPr>
            </w:pPr>
            <w:r>
              <w:rPr>
                <w:sz w:val="20"/>
              </w:rPr>
              <w:t>Антикоагулянтный препарат, см. Приложение 9-2</w:t>
            </w:r>
          </w:p>
        </w:tc>
      </w:tr>
      <w:tr>
        <w:trPr>
          <w:trHeight w:val="309" w:hRule="atLeast"/>
        </w:trPr>
        <w:tc>
          <w:tcPr>
            <w:tcW w:w="1188" w:type="dxa"/>
            <w:vMerge/>
            <w:tcBorders>
              <w:top w:val="nil"/>
            </w:tcBorders>
            <w:shd w:val="clear" w:color="auto" w:fill="F1F1F1"/>
          </w:tcPr>
          <w:p>
            <w:pPr>
              <w:rPr>
                <w:sz w:val="2"/>
                <w:szCs w:val="2"/>
              </w:rPr>
            </w:pPr>
          </w:p>
        </w:tc>
        <w:tc>
          <w:tcPr>
            <w:tcW w:w="451" w:type="dxa"/>
            <w:shd w:val="clear" w:color="auto" w:fill="F1F1F1"/>
          </w:tcPr>
          <w:p>
            <w:pPr>
              <w:pStyle w:val="TableParagraph"/>
              <w:spacing w:before="34"/>
              <w:ind w:left="18"/>
              <w:jc w:val="center"/>
              <w:rPr>
                <w:sz w:val="20"/>
              </w:rPr>
            </w:pPr>
            <w:r>
              <w:rPr>
                <w:w w:val="99"/>
                <w:sz w:val="20"/>
              </w:rPr>
              <w:t>4</w:t>
            </w:r>
          </w:p>
        </w:tc>
        <w:tc>
          <w:tcPr>
            <w:tcW w:w="13241" w:type="dxa"/>
            <w:gridSpan w:val="2"/>
            <w:shd w:val="clear" w:color="auto" w:fill="F1F1F1"/>
          </w:tcPr>
          <w:p>
            <w:pPr>
              <w:pStyle w:val="TableParagraph"/>
              <w:spacing w:before="34"/>
              <w:ind w:left="117"/>
              <w:rPr>
                <w:sz w:val="20"/>
              </w:rPr>
            </w:pPr>
            <w:r>
              <w:rPr>
                <w:sz w:val="20"/>
              </w:rPr>
              <w:t>НПВП по показаниям</w:t>
            </w:r>
          </w:p>
        </w:tc>
      </w:tr>
      <w:tr>
        <w:trPr>
          <w:trHeight w:val="455" w:hRule="atLeast"/>
        </w:trPr>
        <w:tc>
          <w:tcPr>
            <w:tcW w:w="1188" w:type="dxa"/>
          </w:tcPr>
          <w:p>
            <w:pPr>
              <w:pStyle w:val="TableParagraph"/>
              <w:rPr>
                <w:sz w:val="18"/>
              </w:rPr>
            </w:pPr>
          </w:p>
        </w:tc>
        <w:tc>
          <w:tcPr>
            <w:tcW w:w="451" w:type="dxa"/>
          </w:tcPr>
          <w:p>
            <w:pPr>
              <w:pStyle w:val="TableParagraph"/>
              <w:spacing w:before="106"/>
              <w:ind w:left="18"/>
              <w:jc w:val="center"/>
              <w:rPr>
                <w:sz w:val="20"/>
              </w:rPr>
            </w:pPr>
            <w:r>
              <w:rPr>
                <w:w w:val="99"/>
                <w:sz w:val="20"/>
              </w:rPr>
              <w:t>5</w:t>
            </w:r>
          </w:p>
        </w:tc>
        <w:tc>
          <w:tcPr>
            <w:tcW w:w="13241" w:type="dxa"/>
            <w:gridSpan w:val="2"/>
          </w:tcPr>
          <w:p>
            <w:pPr>
              <w:pStyle w:val="TableParagraph"/>
              <w:spacing w:before="106"/>
              <w:ind w:left="117"/>
              <w:rPr>
                <w:sz w:val="20"/>
              </w:rPr>
            </w:pPr>
            <w:r>
              <w:rPr>
                <w:sz w:val="20"/>
              </w:rPr>
              <w:t>При лихорадке (t &gt; 38,0 °С) более 3 дней при среднетяжелом течении в схему 1 и 2 назначается антибактериальная терапия по показаниям*</w:t>
            </w:r>
          </w:p>
        </w:tc>
      </w:tr>
    </w:tbl>
    <w:p>
      <w:pPr>
        <w:spacing w:after="0"/>
        <w:rPr>
          <w:sz w:val="20"/>
        </w:rPr>
        <w:sectPr>
          <w:pgSz w:w="16850" w:h="11920" w:orient="landscape"/>
          <w:pgMar w:header="0" w:footer="699" w:top="1100" w:bottom="880" w:left="880" w:right="360"/>
        </w:sectPr>
      </w:pPr>
    </w:p>
    <w:p>
      <w:pPr>
        <w:pStyle w:val="BodyText"/>
        <w:spacing w:before="3"/>
        <w:ind w:left="0"/>
        <w:jc w:val="left"/>
        <w:rPr>
          <w:b/>
          <w:sz w:val="2"/>
        </w:rPr>
      </w:pPr>
    </w:p>
    <w:tbl>
      <w:tblPr>
        <w:tblW w:w="0" w:type="auto"/>
        <w:jc w:val="left"/>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88"/>
        <w:gridCol w:w="451"/>
        <w:gridCol w:w="2909"/>
        <w:gridCol w:w="10332"/>
      </w:tblGrid>
      <w:tr>
        <w:trPr>
          <w:trHeight w:val="453" w:hRule="atLeast"/>
        </w:trPr>
        <w:tc>
          <w:tcPr>
            <w:tcW w:w="1188" w:type="dxa"/>
          </w:tcPr>
          <w:p>
            <w:pPr>
              <w:pStyle w:val="TableParagraph"/>
              <w:rPr>
                <w:sz w:val="18"/>
              </w:rPr>
            </w:pPr>
          </w:p>
        </w:tc>
        <w:tc>
          <w:tcPr>
            <w:tcW w:w="13692" w:type="dxa"/>
            <w:gridSpan w:val="3"/>
            <w:shd w:val="clear" w:color="auto" w:fill="F1F1F1"/>
          </w:tcPr>
          <w:p>
            <w:pPr>
              <w:pStyle w:val="TableParagraph"/>
              <w:spacing w:before="106"/>
              <w:ind w:left="4962" w:right="4945"/>
              <w:jc w:val="center"/>
              <w:rPr>
                <w:b/>
                <w:sz w:val="20"/>
              </w:rPr>
            </w:pPr>
            <w:r>
              <w:rPr>
                <w:b/>
                <w:sz w:val="20"/>
              </w:rPr>
              <w:t>Цитокиновый шторм</w:t>
            </w:r>
          </w:p>
        </w:tc>
      </w:tr>
      <w:tr>
        <w:trPr>
          <w:trHeight w:val="645" w:hRule="atLeast"/>
        </w:trPr>
        <w:tc>
          <w:tcPr>
            <w:tcW w:w="1188" w:type="dxa"/>
            <w:vMerge w:val="restart"/>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spacing w:before="3"/>
              <w:rPr>
                <w:b/>
                <w:sz w:val="27"/>
              </w:rPr>
            </w:pPr>
          </w:p>
          <w:p>
            <w:pPr>
              <w:pStyle w:val="TableParagraph"/>
              <w:ind w:left="117"/>
              <w:rPr>
                <w:sz w:val="20"/>
              </w:rPr>
            </w:pPr>
            <w:r>
              <w:rPr>
                <w:sz w:val="20"/>
              </w:rPr>
              <w:t>Схема 1</w:t>
            </w:r>
          </w:p>
        </w:tc>
        <w:tc>
          <w:tcPr>
            <w:tcW w:w="451" w:type="dxa"/>
          </w:tcPr>
          <w:p>
            <w:pPr>
              <w:pStyle w:val="TableParagraph"/>
              <w:spacing w:before="6"/>
              <w:rPr>
                <w:b/>
                <w:sz w:val="17"/>
              </w:rPr>
            </w:pPr>
          </w:p>
          <w:p>
            <w:pPr>
              <w:pStyle w:val="TableParagraph"/>
              <w:ind w:left="18"/>
              <w:jc w:val="center"/>
              <w:rPr>
                <w:sz w:val="20"/>
              </w:rPr>
            </w:pPr>
            <w:r>
              <w:rPr>
                <w:w w:val="99"/>
                <w:sz w:val="20"/>
              </w:rPr>
              <w:t>1</w:t>
            </w:r>
          </w:p>
        </w:tc>
        <w:tc>
          <w:tcPr>
            <w:tcW w:w="2909" w:type="dxa"/>
          </w:tcPr>
          <w:p>
            <w:pPr>
              <w:pStyle w:val="TableParagraph"/>
              <w:spacing w:before="6"/>
              <w:rPr>
                <w:b/>
                <w:sz w:val="17"/>
              </w:rPr>
            </w:pPr>
          </w:p>
          <w:p>
            <w:pPr>
              <w:pStyle w:val="TableParagraph"/>
              <w:ind w:left="117"/>
              <w:rPr>
                <w:sz w:val="20"/>
              </w:rPr>
            </w:pPr>
            <w:r>
              <w:rPr>
                <w:sz w:val="20"/>
              </w:rPr>
              <w:t>Метилпреднизолон</w:t>
            </w:r>
          </w:p>
        </w:tc>
        <w:tc>
          <w:tcPr>
            <w:tcW w:w="10332" w:type="dxa"/>
          </w:tcPr>
          <w:p>
            <w:pPr>
              <w:pStyle w:val="TableParagraph"/>
              <w:spacing w:line="216" w:lineRule="auto" w:before="2"/>
              <w:ind w:left="107" w:right="586"/>
              <w:rPr>
                <w:sz w:val="20"/>
              </w:rPr>
            </w:pPr>
            <w:r>
              <w:rPr>
                <w:sz w:val="20"/>
              </w:rPr>
              <w:t>1 мг/кг на введение в/в каждые 12 ч в течение 3-х суток, с постепенным снижением дозы на 20-25% на введение</w:t>
            </w:r>
            <w:bookmarkStart w:name="При прогрессировании: 120-125 мг/введени" w:id="449"/>
            <w:bookmarkEnd w:id="449"/>
            <w:r>
              <w:rPr>
                <w:sz w:val="20"/>
              </w:rPr>
            </w:r>
            <w:r>
              <w:rPr>
                <w:sz w:val="20"/>
              </w:rPr>
              <w:t> каждые 1-2 суток в течение 3-4 суток, далее на 50% каждые 1-2 суток до полной отмены.</w:t>
            </w:r>
          </w:p>
          <w:p>
            <w:pPr>
              <w:pStyle w:val="TableParagraph"/>
              <w:spacing w:line="209" w:lineRule="exact"/>
              <w:ind w:left="107"/>
              <w:rPr>
                <w:sz w:val="20"/>
              </w:rPr>
            </w:pPr>
            <w:r>
              <w:rPr>
                <w:sz w:val="20"/>
              </w:rPr>
              <w:t>При прогрессировании: 120-125 мг/введение/в/в каждые 6-8 ч.</w:t>
            </w:r>
          </w:p>
        </w:tc>
      </w:tr>
      <w:tr>
        <w:trPr>
          <w:trHeight w:val="918" w:hRule="atLeast"/>
        </w:trPr>
        <w:tc>
          <w:tcPr>
            <w:tcW w:w="1188" w:type="dxa"/>
            <w:vMerge/>
            <w:tcBorders>
              <w:top w:val="nil"/>
            </w:tcBorders>
            <w:shd w:val="clear" w:color="auto" w:fill="F1F1F1"/>
          </w:tcPr>
          <w:p>
            <w:pPr>
              <w:rPr>
                <w:sz w:val="2"/>
                <w:szCs w:val="2"/>
              </w:rPr>
            </w:pPr>
          </w:p>
        </w:tc>
        <w:tc>
          <w:tcPr>
            <w:tcW w:w="451" w:type="dxa"/>
            <w:vMerge w:val="restart"/>
            <w:shd w:val="clear" w:color="auto" w:fill="F1F1F1"/>
          </w:tcPr>
          <w:p>
            <w:pPr>
              <w:pStyle w:val="TableParagraph"/>
              <w:rPr>
                <w:b/>
                <w:sz w:val="22"/>
              </w:rPr>
            </w:pPr>
          </w:p>
          <w:p>
            <w:pPr>
              <w:pStyle w:val="TableParagraph"/>
              <w:rPr>
                <w:b/>
                <w:sz w:val="22"/>
              </w:rPr>
            </w:pPr>
          </w:p>
          <w:p>
            <w:pPr>
              <w:pStyle w:val="TableParagraph"/>
              <w:spacing w:before="8"/>
              <w:rPr>
                <w:b/>
                <w:sz w:val="20"/>
              </w:rPr>
            </w:pPr>
          </w:p>
          <w:p>
            <w:pPr>
              <w:pStyle w:val="TableParagraph"/>
              <w:ind w:left="18"/>
              <w:jc w:val="center"/>
              <w:rPr>
                <w:sz w:val="20"/>
              </w:rPr>
            </w:pPr>
            <w:r>
              <w:rPr>
                <w:w w:val="99"/>
                <w:sz w:val="20"/>
              </w:rPr>
              <w:t>2</w:t>
            </w:r>
          </w:p>
        </w:tc>
        <w:tc>
          <w:tcPr>
            <w:tcW w:w="2909" w:type="dxa"/>
            <w:shd w:val="clear" w:color="auto" w:fill="F1F1F1"/>
          </w:tcPr>
          <w:p>
            <w:pPr>
              <w:pStyle w:val="TableParagraph"/>
              <w:spacing w:before="5"/>
              <w:rPr>
                <w:b/>
                <w:sz w:val="29"/>
              </w:rPr>
            </w:pPr>
          </w:p>
          <w:p>
            <w:pPr>
              <w:pStyle w:val="TableParagraph"/>
              <w:ind w:left="117"/>
              <w:rPr>
                <w:sz w:val="20"/>
              </w:rPr>
            </w:pPr>
            <w:r>
              <w:rPr>
                <w:sz w:val="20"/>
              </w:rPr>
              <w:t>Тоцилизумаб</w:t>
            </w:r>
          </w:p>
        </w:tc>
        <w:tc>
          <w:tcPr>
            <w:tcW w:w="10332" w:type="dxa"/>
            <w:shd w:val="clear" w:color="auto" w:fill="F1F1F1"/>
          </w:tcPr>
          <w:p>
            <w:pPr>
              <w:pStyle w:val="TableParagraph"/>
              <w:ind w:left="107"/>
              <w:rPr>
                <w:sz w:val="20"/>
              </w:rPr>
            </w:pPr>
            <w:r>
              <w:rPr>
                <w:sz w:val="20"/>
              </w:rPr>
              <w:t>4-8 мг/кг/введение</w:t>
            </w:r>
          </w:p>
          <w:p>
            <w:pPr>
              <w:pStyle w:val="TableParagraph"/>
              <w:ind w:left="107" w:right="4491"/>
              <w:rPr>
                <w:sz w:val="20"/>
              </w:rPr>
            </w:pPr>
            <w:r>
              <w:rPr>
                <w:sz w:val="20"/>
              </w:rPr>
              <w:t>400 мг разводят в 100 мл 0,9% раствора NaCl, вводят в/в капельно.</w:t>
            </w:r>
            <w:bookmarkStart w:name="При недостаточном эффекте повторить введ" w:id="450"/>
            <w:bookmarkEnd w:id="450"/>
            <w:r>
              <w:rPr>
                <w:sz w:val="20"/>
              </w:rPr>
            </w:r>
            <w:r>
              <w:rPr>
                <w:sz w:val="20"/>
              </w:rPr>
              <w:t> Вводить не более 800 мг.</w:t>
            </w:r>
          </w:p>
          <w:p>
            <w:pPr>
              <w:pStyle w:val="TableParagraph"/>
              <w:spacing w:line="208" w:lineRule="exact"/>
              <w:ind w:left="107"/>
              <w:rPr>
                <w:sz w:val="20"/>
              </w:rPr>
            </w:pPr>
            <w:r>
              <w:rPr>
                <w:sz w:val="20"/>
              </w:rPr>
              <w:t>При недостаточном эффекте повторить введение через 12 ч.</w:t>
            </w:r>
          </w:p>
        </w:tc>
      </w:tr>
      <w:tr>
        <w:trPr>
          <w:trHeight w:val="333" w:hRule="atLeast"/>
        </w:trPr>
        <w:tc>
          <w:tcPr>
            <w:tcW w:w="1188"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13241" w:type="dxa"/>
            <w:gridSpan w:val="2"/>
          </w:tcPr>
          <w:p>
            <w:pPr>
              <w:pStyle w:val="TableParagraph"/>
              <w:spacing w:before="46"/>
              <w:ind w:left="117"/>
              <w:rPr>
                <w:sz w:val="20"/>
              </w:rPr>
            </w:pPr>
            <w:r>
              <w:rPr>
                <w:sz w:val="20"/>
              </w:rPr>
              <w:t>или</w:t>
            </w:r>
          </w:p>
        </w:tc>
      </w:tr>
      <w:tr>
        <w:trPr>
          <w:trHeight w:val="460" w:hRule="atLeast"/>
        </w:trPr>
        <w:tc>
          <w:tcPr>
            <w:tcW w:w="1188"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2909" w:type="dxa"/>
            <w:shd w:val="clear" w:color="auto" w:fill="F1F1F1"/>
          </w:tcPr>
          <w:p>
            <w:pPr>
              <w:pStyle w:val="TableParagraph"/>
              <w:spacing w:before="110"/>
              <w:ind w:left="117"/>
              <w:rPr>
                <w:sz w:val="20"/>
              </w:rPr>
            </w:pPr>
            <w:r>
              <w:rPr>
                <w:sz w:val="20"/>
              </w:rPr>
              <w:t>Сарилумаб</w:t>
            </w:r>
          </w:p>
        </w:tc>
        <w:tc>
          <w:tcPr>
            <w:tcW w:w="10332" w:type="dxa"/>
            <w:shd w:val="clear" w:color="auto" w:fill="F1F1F1"/>
          </w:tcPr>
          <w:p>
            <w:pPr>
              <w:pStyle w:val="TableParagraph"/>
              <w:spacing w:line="230" w:lineRule="atLeast"/>
              <w:ind w:left="107" w:right="794"/>
              <w:rPr>
                <w:sz w:val="20"/>
              </w:rPr>
            </w:pPr>
            <w:bookmarkStart w:name="200 мг или 400 мг (предварительно заполн" w:id="451"/>
            <w:bookmarkEnd w:id="451"/>
            <w:r>
              <w:rPr/>
            </w:r>
            <w:r>
              <w:rPr>
                <w:sz w:val="20"/>
              </w:rPr>
              <w:t>200 мг или 400 мг (предварительно заполненную шприц-ручку 200 мг) развести в 100 мл 0,9% раствора NaCl, вводить в/в, при недостаточном эффекте повторить введение через 12 ч.</w:t>
            </w:r>
          </w:p>
        </w:tc>
      </w:tr>
      <w:tr>
        <w:trPr>
          <w:trHeight w:val="278" w:hRule="atLeast"/>
        </w:trPr>
        <w:tc>
          <w:tcPr>
            <w:tcW w:w="1188" w:type="dxa"/>
            <w:shd w:val="clear" w:color="auto" w:fill="F1F1F1"/>
          </w:tcPr>
          <w:p>
            <w:pPr>
              <w:pStyle w:val="TableParagraph"/>
              <w:rPr>
                <w:sz w:val="18"/>
              </w:rPr>
            </w:pPr>
          </w:p>
        </w:tc>
        <w:tc>
          <w:tcPr>
            <w:tcW w:w="451" w:type="dxa"/>
          </w:tcPr>
          <w:p>
            <w:pPr>
              <w:pStyle w:val="TableParagraph"/>
              <w:spacing w:before="17"/>
              <w:ind w:left="18"/>
              <w:jc w:val="center"/>
              <w:rPr>
                <w:sz w:val="20"/>
              </w:rPr>
            </w:pPr>
            <w:r>
              <w:rPr>
                <w:w w:val="99"/>
                <w:sz w:val="20"/>
              </w:rPr>
              <w:t>3</w:t>
            </w:r>
          </w:p>
        </w:tc>
        <w:tc>
          <w:tcPr>
            <w:tcW w:w="13241" w:type="dxa"/>
            <w:gridSpan w:val="2"/>
          </w:tcPr>
          <w:p>
            <w:pPr>
              <w:pStyle w:val="TableParagraph"/>
              <w:spacing w:before="17"/>
              <w:ind w:left="117"/>
              <w:rPr>
                <w:sz w:val="20"/>
              </w:rPr>
            </w:pPr>
            <w:r>
              <w:rPr>
                <w:sz w:val="20"/>
              </w:rPr>
              <w:t>Антикоагулянтный препарат, см. Приложение 9-2</w:t>
            </w:r>
          </w:p>
        </w:tc>
      </w:tr>
      <w:tr>
        <w:trPr>
          <w:trHeight w:val="688" w:hRule="atLeast"/>
        </w:trPr>
        <w:tc>
          <w:tcPr>
            <w:tcW w:w="1188" w:type="dxa"/>
            <w:vMerge w:val="restart"/>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spacing w:before="5"/>
              <w:rPr>
                <w:b/>
                <w:sz w:val="25"/>
              </w:rPr>
            </w:pPr>
          </w:p>
          <w:p>
            <w:pPr>
              <w:pStyle w:val="TableParagraph"/>
              <w:ind w:left="117"/>
              <w:rPr>
                <w:sz w:val="20"/>
              </w:rPr>
            </w:pPr>
            <w:r>
              <w:rPr>
                <w:sz w:val="20"/>
              </w:rPr>
              <w:t>Схема 2</w:t>
            </w:r>
          </w:p>
        </w:tc>
        <w:tc>
          <w:tcPr>
            <w:tcW w:w="451" w:type="dxa"/>
          </w:tcPr>
          <w:p>
            <w:pPr>
              <w:pStyle w:val="TableParagraph"/>
              <w:spacing w:before="5"/>
              <w:rPr>
                <w:b/>
                <w:sz w:val="19"/>
              </w:rPr>
            </w:pPr>
          </w:p>
          <w:p>
            <w:pPr>
              <w:pStyle w:val="TableParagraph"/>
              <w:ind w:left="18"/>
              <w:jc w:val="center"/>
              <w:rPr>
                <w:sz w:val="20"/>
              </w:rPr>
            </w:pPr>
            <w:r>
              <w:rPr>
                <w:w w:val="99"/>
                <w:sz w:val="20"/>
              </w:rPr>
              <w:t>1</w:t>
            </w:r>
          </w:p>
        </w:tc>
        <w:tc>
          <w:tcPr>
            <w:tcW w:w="2909" w:type="dxa"/>
          </w:tcPr>
          <w:p>
            <w:pPr>
              <w:pStyle w:val="TableParagraph"/>
              <w:spacing w:before="5"/>
              <w:rPr>
                <w:b/>
                <w:sz w:val="19"/>
              </w:rPr>
            </w:pPr>
          </w:p>
          <w:p>
            <w:pPr>
              <w:pStyle w:val="TableParagraph"/>
              <w:ind w:left="117"/>
              <w:rPr>
                <w:sz w:val="20"/>
              </w:rPr>
            </w:pPr>
            <w:r>
              <w:rPr>
                <w:sz w:val="20"/>
              </w:rPr>
              <w:t>Дексаметазон</w:t>
            </w:r>
          </w:p>
        </w:tc>
        <w:tc>
          <w:tcPr>
            <w:tcW w:w="10332" w:type="dxa"/>
          </w:tcPr>
          <w:p>
            <w:pPr>
              <w:pStyle w:val="TableParagraph"/>
              <w:ind w:left="107" w:right="794"/>
              <w:rPr>
                <w:sz w:val="20"/>
              </w:rPr>
            </w:pPr>
            <w:bookmarkStart w:name="20 мг/сутки (по 10 мг Х 2 раза в сутки) " w:id="452"/>
            <w:bookmarkEnd w:id="452"/>
            <w:r>
              <w:rPr/>
            </w:r>
            <w:r>
              <w:rPr>
                <w:sz w:val="20"/>
              </w:rPr>
              <w:t>20 мг/сутки (по 10 мг Х 2 раза в сутки) в/в в течение 3-х суток с постепенным снижением дозы на 20-25% на введение каждые</w:t>
            </w:r>
          </w:p>
          <w:p>
            <w:pPr>
              <w:pStyle w:val="TableParagraph"/>
              <w:spacing w:line="208" w:lineRule="exact"/>
              <w:ind w:left="107"/>
              <w:rPr>
                <w:sz w:val="20"/>
              </w:rPr>
            </w:pPr>
            <w:r>
              <w:rPr>
                <w:sz w:val="20"/>
              </w:rPr>
              <w:t>1-2 суток, в течение 3-4 суток, далее на 50% каждые 1-2 суток до полной отмены</w:t>
            </w:r>
          </w:p>
        </w:tc>
      </w:tr>
      <w:tr>
        <w:trPr>
          <w:trHeight w:val="921" w:hRule="atLeast"/>
        </w:trPr>
        <w:tc>
          <w:tcPr>
            <w:tcW w:w="1188" w:type="dxa"/>
            <w:vMerge/>
            <w:tcBorders>
              <w:top w:val="nil"/>
            </w:tcBorders>
            <w:shd w:val="clear" w:color="auto" w:fill="F1F1F1"/>
          </w:tcPr>
          <w:p>
            <w:pPr>
              <w:rPr>
                <w:sz w:val="2"/>
                <w:szCs w:val="2"/>
              </w:rPr>
            </w:pPr>
          </w:p>
        </w:tc>
        <w:tc>
          <w:tcPr>
            <w:tcW w:w="451" w:type="dxa"/>
            <w:vMerge w:val="restart"/>
            <w:shd w:val="clear" w:color="auto" w:fill="F1F1F1"/>
          </w:tcPr>
          <w:p>
            <w:pPr>
              <w:pStyle w:val="TableParagraph"/>
              <w:rPr>
                <w:b/>
                <w:sz w:val="22"/>
              </w:rPr>
            </w:pPr>
          </w:p>
          <w:p>
            <w:pPr>
              <w:pStyle w:val="TableParagraph"/>
              <w:rPr>
                <w:b/>
                <w:sz w:val="22"/>
              </w:rPr>
            </w:pPr>
          </w:p>
          <w:p>
            <w:pPr>
              <w:pStyle w:val="TableParagraph"/>
              <w:spacing w:before="197"/>
              <w:ind w:left="18"/>
              <w:jc w:val="center"/>
              <w:rPr>
                <w:sz w:val="20"/>
              </w:rPr>
            </w:pPr>
            <w:r>
              <w:rPr>
                <w:w w:val="99"/>
                <w:sz w:val="20"/>
              </w:rPr>
              <w:t>2</w:t>
            </w:r>
          </w:p>
        </w:tc>
        <w:tc>
          <w:tcPr>
            <w:tcW w:w="2909" w:type="dxa"/>
            <w:shd w:val="clear" w:color="auto" w:fill="F1F1F1"/>
          </w:tcPr>
          <w:p>
            <w:pPr>
              <w:pStyle w:val="TableParagraph"/>
              <w:spacing w:before="5"/>
              <w:rPr>
                <w:b/>
                <w:sz w:val="29"/>
              </w:rPr>
            </w:pPr>
          </w:p>
          <w:p>
            <w:pPr>
              <w:pStyle w:val="TableParagraph"/>
              <w:ind w:left="117"/>
              <w:rPr>
                <w:sz w:val="20"/>
              </w:rPr>
            </w:pPr>
            <w:r>
              <w:rPr>
                <w:sz w:val="20"/>
              </w:rPr>
              <w:t>Тоцилизумаб</w:t>
            </w:r>
          </w:p>
        </w:tc>
        <w:tc>
          <w:tcPr>
            <w:tcW w:w="10332" w:type="dxa"/>
            <w:shd w:val="clear" w:color="auto" w:fill="F1F1F1"/>
          </w:tcPr>
          <w:p>
            <w:pPr>
              <w:pStyle w:val="TableParagraph"/>
              <w:ind w:left="107"/>
              <w:rPr>
                <w:sz w:val="20"/>
              </w:rPr>
            </w:pPr>
            <w:r>
              <w:rPr>
                <w:sz w:val="20"/>
              </w:rPr>
              <w:t>4-8 мг/кг/введение</w:t>
            </w:r>
          </w:p>
          <w:p>
            <w:pPr>
              <w:pStyle w:val="TableParagraph"/>
              <w:ind w:left="107" w:right="4491"/>
              <w:rPr>
                <w:sz w:val="20"/>
              </w:rPr>
            </w:pPr>
            <w:r>
              <w:rPr>
                <w:sz w:val="20"/>
              </w:rPr>
              <w:t>400 мг разводят в 100 мл 0,9% раствора NaCl, вводят в/в капельно.</w:t>
            </w:r>
            <w:bookmarkStart w:name="При недостаточном эффекте повторить введ" w:id="453"/>
            <w:bookmarkEnd w:id="453"/>
            <w:r>
              <w:rPr>
                <w:sz w:val="20"/>
              </w:rPr>
            </w:r>
            <w:r>
              <w:rPr>
                <w:sz w:val="20"/>
              </w:rPr>
              <w:t> Вводить не более 800 мг.</w:t>
            </w:r>
          </w:p>
          <w:p>
            <w:pPr>
              <w:pStyle w:val="TableParagraph"/>
              <w:spacing w:line="210" w:lineRule="exact" w:before="1"/>
              <w:ind w:left="107"/>
              <w:rPr>
                <w:sz w:val="20"/>
              </w:rPr>
            </w:pPr>
            <w:r>
              <w:rPr>
                <w:sz w:val="20"/>
              </w:rPr>
              <w:t>При недостаточном эффекте повторить введение через 12 ч.</w:t>
            </w:r>
          </w:p>
        </w:tc>
      </w:tr>
      <w:tr>
        <w:trPr>
          <w:trHeight w:val="246" w:hRule="atLeast"/>
        </w:trPr>
        <w:tc>
          <w:tcPr>
            <w:tcW w:w="1188"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13241" w:type="dxa"/>
            <w:gridSpan w:val="2"/>
          </w:tcPr>
          <w:p>
            <w:pPr>
              <w:pStyle w:val="TableParagraph"/>
              <w:spacing w:line="227" w:lineRule="exact"/>
              <w:ind w:left="117"/>
              <w:rPr>
                <w:sz w:val="20"/>
              </w:rPr>
            </w:pPr>
            <w:r>
              <w:rPr>
                <w:sz w:val="20"/>
              </w:rPr>
              <w:t>или</w:t>
            </w:r>
          </w:p>
        </w:tc>
      </w:tr>
      <w:tr>
        <w:trPr>
          <w:trHeight w:val="457" w:hRule="atLeast"/>
        </w:trPr>
        <w:tc>
          <w:tcPr>
            <w:tcW w:w="1188" w:type="dxa"/>
            <w:vMerge/>
            <w:tcBorders>
              <w:top w:val="nil"/>
            </w:tcBorders>
            <w:shd w:val="clear" w:color="auto" w:fill="F1F1F1"/>
          </w:tcPr>
          <w:p>
            <w:pPr>
              <w:rPr>
                <w:sz w:val="2"/>
                <w:szCs w:val="2"/>
              </w:rPr>
            </w:pPr>
          </w:p>
        </w:tc>
        <w:tc>
          <w:tcPr>
            <w:tcW w:w="451" w:type="dxa"/>
            <w:vMerge/>
            <w:tcBorders>
              <w:top w:val="nil"/>
            </w:tcBorders>
            <w:shd w:val="clear" w:color="auto" w:fill="F1F1F1"/>
          </w:tcPr>
          <w:p>
            <w:pPr>
              <w:rPr>
                <w:sz w:val="2"/>
                <w:szCs w:val="2"/>
              </w:rPr>
            </w:pPr>
          </w:p>
        </w:tc>
        <w:tc>
          <w:tcPr>
            <w:tcW w:w="2909" w:type="dxa"/>
            <w:shd w:val="clear" w:color="auto" w:fill="F1F1F1"/>
          </w:tcPr>
          <w:p>
            <w:pPr>
              <w:pStyle w:val="TableParagraph"/>
              <w:spacing w:before="108"/>
              <w:ind w:left="117"/>
              <w:rPr>
                <w:sz w:val="20"/>
              </w:rPr>
            </w:pPr>
            <w:r>
              <w:rPr>
                <w:sz w:val="20"/>
              </w:rPr>
              <w:t>Сарилумаб</w:t>
            </w:r>
          </w:p>
        </w:tc>
        <w:tc>
          <w:tcPr>
            <w:tcW w:w="10332" w:type="dxa"/>
            <w:shd w:val="clear" w:color="auto" w:fill="F1F1F1"/>
          </w:tcPr>
          <w:p>
            <w:pPr>
              <w:pStyle w:val="TableParagraph"/>
              <w:spacing w:line="228" w:lineRule="exact" w:before="4"/>
              <w:ind w:left="107" w:right="794"/>
              <w:rPr>
                <w:sz w:val="20"/>
              </w:rPr>
            </w:pPr>
            <w:bookmarkStart w:name="200 мг или 400 мг (предварительно заполн" w:id="454"/>
            <w:bookmarkEnd w:id="454"/>
            <w:r>
              <w:rPr/>
            </w:r>
            <w:r>
              <w:rPr>
                <w:sz w:val="20"/>
              </w:rPr>
              <w:t>200 мг или 400 мг (предварительно заполненную шприц-ручку 200 мг) развести в 100 мл 0,9% раствора NaCl, вводить в/в, при недостаточном эффекте повторить введение через 12 ч.</w:t>
            </w:r>
          </w:p>
        </w:tc>
      </w:tr>
      <w:tr>
        <w:trPr>
          <w:trHeight w:val="242" w:hRule="atLeast"/>
        </w:trPr>
        <w:tc>
          <w:tcPr>
            <w:tcW w:w="1188" w:type="dxa"/>
            <w:shd w:val="clear" w:color="auto" w:fill="F1F1F1"/>
          </w:tcPr>
          <w:p>
            <w:pPr>
              <w:pStyle w:val="TableParagraph"/>
              <w:rPr>
                <w:sz w:val="16"/>
              </w:rPr>
            </w:pPr>
          </w:p>
        </w:tc>
        <w:tc>
          <w:tcPr>
            <w:tcW w:w="451" w:type="dxa"/>
          </w:tcPr>
          <w:p>
            <w:pPr>
              <w:pStyle w:val="TableParagraph"/>
              <w:spacing w:line="222" w:lineRule="exact"/>
              <w:ind w:left="18"/>
              <w:jc w:val="center"/>
              <w:rPr>
                <w:sz w:val="20"/>
              </w:rPr>
            </w:pPr>
            <w:r>
              <w:rPr>
                <w:w w:val="99"/>
                <w:sz w:val="20"/>
              </w:rPr>
              <w:t>3</w:t>
            </w:r>
          </w:p>
        </w:tc>
        <w:tc>
          <w:tcPr>
            <w:tcW w:w="13241" w:type="dxa"/>
            <w:gridSpan w:val="2"/>
          </w:tcPr>
          <w:p>
            <w:pPr>
              <w:pStyle w:val="TableParagraph"/>
              <w:spacing w:line="222" w:lineRule="exact"/>
              <w:ind w:left="117"/>
              <w:rPr>
                <w:sz w:val="20"/>
              </w:rPr>
            </w:pPr>
            <w:r>
              <w:rPr>
                <w:sz w:val="20"/>
              </w:rPr>
              <w:t>Антикоагулянтный препарат, см. Приложение 9-2</w:t>
            </w:r>
          </w:p>
        </w:tc>
      </w:tr>
      <w:tr>
        <w:trPr>
          <w:trHeight w:val="645" w:hRule="atLeast"/>
        </w:trPr>
        <w:tc>
          <w:tcPr>
            <w:tcW w:w="1188" w:type="dxa"/>
            <w:vMerge w:val="restart"/>
            <w:shd w:val="clear" w:color="auto" w:fill="F1F1F1"/>
          </w:tcPr>
          <w:p>
            <w:pPr>
              <w:pStyle w:val="TableParagraph"/>
              <w:rPr>
                <w:b/>
                <w:sz w:val="22"/>
              </w:rPr>
            </w:pPr>
          </w:p>
          <w:p>
            <w:pPr>
              <w:pStyle w:val="TableParagraph"/>
              <w:spacing w:before="184"/>
              <w:ind w:left="117"/>
              <w:rPr>
                <w:sz w:val="20"/>
              </w:rPr>
            </w:pPr>
            <w:r>
              <w:rPr>
                <w:sz w:val="20"/>
              </w:rPr>
              <w:t>Схема 3</w:t>
            </w:r>
          </w:p>
        </w:tc>
        <w:tc>
          <w:tcPr>
            <w:tcW w:w="451" w:type="dxa"/>
          </w:tcPr>
          <w:p>
            <w:pPr>
              <w:pStyle w:val="TableParagraph"/>
              <w:spacing w:before="6"/>
              <w:rPr>
                <w:b/>
                <w:sz w:val="17"/>
              </w:rPr>
            </w:pPr>
          </w:p>
          <w:p>
            <w:pPr>
              <w:pStyle w:val="TableParagraph"/>
              <w:ind w:left="18"/>
              <w:jc w:val="center"/>
              <w:rPr>
                <w:sz w:val="20"/>
              </w:rPr>
            </w:pPr>
            <w:r>
              <w:rPr>
                <w:w w:val="99"/>
                <w:sz w:val="20"/>
              </w:rPr>
              <w:t>1</w:t>
            </w:r>
          </w:p>
        </w:tc>
        <w:tc>
          <w:tcPr>
            <w:tcW w:w="2909" w:type="dxa"/>
          </w:tcPr>
          <w:p>
            <w:pPr>
              <w:pStyle w:val="TableParagraph"/>
              <w:spacing w:before="6"/>
              <w:rPr>
                <w:b/>
                <w:sz w:val="17"/>
              </w:rPr>
            </w:pPr>
          </w:p>
          <w:p>
            <w:pPr>
              <w:pStyle w:val="TableParagraph"/>
              <w:ind w:left="117"/>
              <w:rPr>
                <w:sz w:val="20"/>
              </w:rPr>
            </w:pPr>
            <w:r>
              <w:rPr>
                <w:sz w:val="20"/>
              </w:rPr>
              <w:t>Метилпреднизолон</w:t>
            </w:r>
          </w:p>
        </w:tc>
        <w:tc>
          <w:tcPr>
            <w:tcW w:w="10332" w:type="dxa"/>
          </w:tcPr>
          <w:p>
            <w:pPr>
              <w:pStyle w:val="TableParagraph"/>
              <w:spacing w:line="218" w:lineRule="auto"/>
              <w:ind w:left="107" w:right="586"/>
              <w:rPr>
                <w:sz w:val="20"/>
              </w:rPr>
            </w:pPr>
            <w:r>
              <w:rPr>
                <w:sz w:val="20"/>
              </w:rPr>
              <w:t>1 мг/кг на введение в/в каждые 12 ч в течение 3-х суток, с постепенным снижением дозы на 20-25% на введение</w:t>
            </w:r>
            <w:bookmarkStart w:name="При прогрессировании: 120-125 мг/введени" w:id="455"/>
            <w:bookmarkEnd w:id="455"/>
            <w:r>
              <w:rPr>
                <w:sz w:val="20"/>
              </w:rPr>
            </w:r>
            <w:r>
              <w:rPr>
                <w:sz w:val="20"/>
              </w:rPr>
              <w:t> каждые 1-2 суток в течение 3-4 суток, далее на 50% каждые 1-2 суток до полной отмены.</w:t>
            </w:r>
          </w:p>
          <w:p>
            <w:pPr>
              <w:pStyle w:val="TableParagraph"/>
              <w:spacing w:line="209" w:lineRule="exact"/>
              <w:ind w:left="107"/>
              <w:rPr>
                <w:sz w:val="20"/>
              </w:rPr>
            </w:pPr>
            <w:r>
              <w:rPr>
                <w:sz w:val="20"/>
              </w:rPr>
              <w:t>При прогрессировании: 120-125 мг/введение/в/в каждые 6-8 ч.</w:t>
            </w:r>
          </w:p>
        </w:tc>
      </w:tr>
      <w:tr>
        <w:trPr>
          <w:trHeight w:val="458" w:hRule="atLeast"/>
        </w:trPr>
        <w:tc>
          <w:tcPr>
            <w:tcW w:w="1188" w:type="dxa"/>
            <w:vMerge/>
            <w:tcBorders>
              <w:top w:val="nil"/>
            </w:tcBorders>
            <w:shd w:val="clear" w:color="auto" w:fill="F1F1F1"/>
          </w:tcPr>
          <w:p>
            <w:pPr>
              <w:rPr>
                <w:sz w:val="2"/>
                <w:szCs w:val="2"/>
              </w:rPr>
            </w:pPr>
          </w:p>
        </w:tc>
        <w:tc>
          <w:tcPr>
            <w:tcW w:w="451" w:type="dxa"/>
          </w:tcPr>
          <w:p>
            <w:pPr>
              <w:pStyle w:val="TableParagraph"/>
              <w:spacing w:before="108"/>
              <w:ind w:left="18"/>
              <w:jc w:val="center"/>
              <w:rPr>
                <w:sz w:val="20"/>
              </w:rPr>
            </w:pPr>
            <w:r>
              <w:rPr>
                <w:w w:val="99"/>
                <w:sz w:val="20"/>
              </w:rPr>
              <w:t>2</w:t>
            </w:r>
          </w:p>
        </w:tc>
        <w:tc>
          <w:tcPr>
            <w:tcW w:w="2909" w:type="dxa"/>
            <w:shd w:val="clear" w:color="auto" w:fill="F1F1F1"/>
          </w:tcPr>
          <w:p>
            <w:pPr>
              <w:pStyle w:val="TableParagraph"/>
              <w:spacing w:before="108"/>
              <w:ind w:left="117"/>
              <w:rPr>
                <w:sz w:val="20"/>
              </w:rPr>
            </w:pPr>
            <w:r>
              <w:rPr>
                <w:sz w:val="20"/>
              </w:rPr>
              <w:t>Канакинумаб</w:t>
            </w:r>
          </w:p>
        </w:tc>
        <w:tc>
          <w:tcPr>
            <w:tcW w:w="10332" w:type="dxa"/>
            <w:shd w:val="clear" w:color="auto" w:fill="F1F1F1"/>
          </w:tcPr>
          <w:p>
            <w:pPr>
              <w:pStyle w:val="TableParagraph"/>
              <w:spacing w:line="229" w:lineRule="exact"/>
              <w:ind w:left="107"/>
              <w:rPr>
                <w:sz w:val="20"/>
              </w:rPr>
            </w:pPr>
            <w:bookmarkStart w:name="4-8 мг/кг. " w:id="456"/>
            <w:bookmarkEnd w:id="456"/>
            <w:r>
              <w:rPr/>
            </w:r>
            <w:bookmarkStart w:name="150 мг в 1 мл воды для инъекций, далее в" w:id="457"/>
            <w:bookmarkEnd w:id="457"/>
            <w:r>
              <w:rPr/>
            </w:r>
            <w:r>
              <w:rPr>
                <w:sz w:val="20"/>
              </w:rPr>
              <w:t>4-8 мг/кг.</w:t>
            </w:r>
          </w:p>
          <w:p>
            <w:pPr>
              <w:pStyle w:val="TableParagraph"/>
              <w:spacing w:line="209" w:lineRule="exact"/>
              <w:ind w:left="107"/>
              <w:rPr>
                <w:sz w:val="20"/>
              </w:rPr>
            </w:pPr>
            <w:r>
              <w:rPr>
                <w:sz w:val="20"/>
              </w:rPr>
              <w:t>150 мг в 1 мл воды для инъекций, далее вводят во флакон с 250 мл 5% раствора глюкозы.</w:t>
            </w:r>
          </w:p>
        </w:tc>
      </w:tr>
      <w:tr>
        <w:trPr>
          <w:trHeight w:val="285" w:hRule="atLeast"/>
        </w:trPr>
        <w:tc>
          <w:tcPr>
            <w:tcW w:w="1188" w:type="dxa"/>
            <w:shd w:val="clear" w:color="auto" w:fill="F1F1F1"/>
          </w:tcPr>
          <w:p>
            <w:pPr>
              <w:pStyle w:val="TableParagraph"/>
              <w:rPr>
                <w:sz w:val="18"/>
              </w:rPr>
            </w:pPr>
          </w:p>
        </w:tc>
        <w:tc>
          <w:tcPr>
            <w:tcW w:w="451" w:type="dxa"/>
          </w:tcPr>
          <w:p>
            <w:pPr>
              <w:pStyle w:val="TableParagraph"/>
              <w:spacing w:before="22"/>
              <w:ind w:left="18"/>
              <w:jc w:val="center"/>
              <w:rPr>
                <w:sz w:val="20"/>
              </w:rPr>
            </w:pPr>
            <w:r>
              <w:rPr>
                <w:w w:val="99"/>
                <w:sz w:val="20"/>
              </w:rPr>
              <w:t>3</w:t>
            </w:r>
          </w:p>
        </w:tc>
        <w:tc>
          <w:tcPr>
            <w:tcW w:w="13241" w:type="dxa"/>
            <w:gridSpan w:val="2"/>
          </w:tcPr>
          <w:p>
            <w:pPr>
              <w:pStyle w:val="TableParagraph"/>
              <w:spacing w:before="22"/>
              <w:ind w:left="117"/>
              <w:rPr>
                <w:sz w:val="20"/>
              </w:rPr>
            </w:pPr>
            <w:r>
              <w:rPr>
                <w:sz w:val="20"/>
              </w:rPr>
              <w:t>Антикоагулянтный препарат, см. Приложение 9-2</w:t>
            </w:r>
          </w:p>
        </w:tc>
      </w:tr>
      <w:tr>
        <w:trPr>
          <w:trHeight w:val="1048" w:hRule="atLeast"/>
        </w:trPr>
        <w:tc>
          <w:tcPr>
            <w:tcW w:w="1188" w:type="dxa"/>
            <w:vMerge w:val="restart"/>
            <w:shd w:val="clear" w:color="auto" w:fill="F1F1F1"/>
          </w:tcPr>
          <w:p>
            <w:pPr>
              <w:pStyle w:val="TableParagraph"/>
              <w:rPr>
                <w:b/>
                <w:sz w:val="22"/>
              </w:rPr>
            </w:pPr>
          </w:p>
          <w:p>
            <w:pPr>
              <w:pStyle w:val="TableParagraph"/>
              <w:rPr>
                <w:b/>
                <w:sz w:val="22"/>
              </w:rPr>
            </w:pPr>
          </w:p>
          <w:p>
            <w:pPr>
              <w:pStyle w:val="TableParagraph"/>
              <w:spacing w:before="1"/>
              <w:rPr>
                <w:b/>
                <w:sz w:val="21"/>
              </w:rPr>
            </w:pPr>
          </w:p>
          <w:p>
            <w:pPr>
              <w:pStyle w:val="TableParagraph"/>
              <w:ind w:left="117"/>
              <w:rPr>
                <w:sz w:val="20"/>
              </w:rPr>
            </w:pPr>
            <w:r>
              <w:rPr>
                <w:sz w:val="20"/>
              </w:rPr>
              <w:t>Схема 4</w:t>
            </w:r>
          </w:p>
        </w:tc>
        <w:tc>
          <w:tcPr>
            <w:tcW w:w="451" w:type="dxa"/>
            <w:shd w:val="clear" w:color="auto" w:fill="F1F1F1"/>
          </w:tcPr>
          <w:p>
            <w:pPr>
              <w:pStyle w:val="TableParagraph"/>
              <w:rPr>
                <w:b/>
                <w:sz w:val="22"/>
              </w:rPr>
            </w:pPr>
          </w:p>
          <w:p>
            <w:pPr>
              <w:pStyle w:val="TableParagraph"/>
              <w:spacing w:before="150"/>
              <w:ind w:left="18"/>
              <w:jc w:val="center"/>
              <w:rPr>
                <w:sz w:val="20"/>
              </w:rPr>
            </w:pPr>
            <w:r>
              <w:rPr>
                <w:w w:val="99"/>
                <w:sz w:val="20"/>
              </w:rPr>
              <w:t>1</w:t>
            </w:r>
          </w:p>
        </w:tc>
        <w:tc>
          <w:tcPr>
            <w:tcW w:w="2909" w:type="dxa"/>
            <w:shd w:val="clear" w:color="auto" w:fill="F1F1F1"/>
          </w:tcPr>
          <w:p>
            <w:pPr>
              <w:pStyle w:val="TableParagraph"/>
              <w:rPr>
                <w:b/>
                <w:sz w:val="22"/>
              </w:rPr>
            </w:pPr>
          </w:p>
          <w:p>
            <w:pPr>
              <w:pStyle w:val="TableParagraph"/>
              <w:spacing w:before="150"/>
              <w:ind w:left="117"/>
              <w:rPr>
                <w:sz w:val="20"/>
              </w:rPr>
            </w:pPr>
            <w:r>
              <w:rPr>
                <w:sz w:val="20"/>
              </w:rPr>
              <w:t>Дексаметазон</w:t>
            </w:r>
          </w:p>
        </w:tc>
        <w:tc>
          <w:tcPr>
            <w:tcW w:w="10332" w:type="dxa"/>
            <w:shd w:val="clear" w:color="auto" w:fill="F1F1F1"/>
          </w:tcPr>
          <w:p>
            <w:pPr>
              <w:pStyle w:val="TableParagraph"/>
              <w:ind w:left="107"/>
              <w:rPr>
                <w:sz w:val="20"/>
              </w:rPr>
            </w:pPr>
            <w:bookmarkStart w:name="20 мг/сутки в/в в течение 3-х суток  (по" w:id="458"/>
            <w:bookmarkEnd w:id="458"/>
            <w:r>
              <w:rPr/>
            </w:r>
            <w:r>
              <w:rPr>
                <w:sz w:val="20"/>
              </w:rPr>
              <w:t>20 мг/сутки в/в в течение 3-х суток (по 10 мг Х 2 раза в сутки) в/в с постепенным снижением дозы на 20-25% на введение каждые</w:t>
            </w:r>
          </w:p>
          <w:p>
            <w:pPr>
              <w:pStyle w:val="TableParagraph"/>
              <w:spacing w:before="1"/>
              <w:ind w:left="107"/>
              <w:rPr>
                <w:sz w:val="20"/>
              </w:rPr>
            </w:pPr>
            <w:r>
              <w:rPr>
                <w:sz w:val="20"/>
              </w:rPr>
              <w:t>1-2 суток, в течение 3-4 суток, далее на 50% каждые 1-2 суток до полной отмены</w:t>
            </w:r>
          </w:p>
        </w:tc>
      </w:tr>
      <w:tr>
        <w:trPr>
          <w:trHeight w:val="681" w:hRule="atLeast"/>
        </w:trPr>
        <w:tc>
          <w:tcPr>
            <w:tcW w:w="1188" w:type="dxa"/>
            <w:vMerge/>
            <w:tcBorders>
              <w:top w:val="nil"/>
            </w:tcBorders>
            <w:shd w:val="clear" w:color="auto" w:fill="F1F1F1"/>
          </w:tcPr>
          <w:p>
            <w:pPr>
              <w:rPr>
                <w:sz w:val="2"/>
                <w:szCs w:val="2"/>
              </w:rPr>
            </w:pPr>
          </w:p>
        </w:tc>
        <w:tc>
          <w:tcPr>
            <w:tcW w:w="451" w:type="dxa"/>
          </w:tcPr>
          <w:p>
            <w:pPr>
              <w:pStyle w:val="TableParagraph"/>
              <w:rPr>
                <w:b/>
                <w:sz w:val="19"/>
              </w:rPr>
            </w:pPr>
          </w:p>
          <w:p>
            <w:pPr>
              <w:pStyle w:val="TableParagraph"/>
              <w:ind w:left="18"/>
              <w:jc w:val="center"/>
              <w:rPr>
                <w:sz w:val="20"/>
              </w:rPr>
            </w:pPr>
            <w:r>
              <w:rPr>
                <w:w w:val="99"/>
                <w:sz w:val="20"/>
              </w:rPr>
              <w:t>2</w:t>
            </w:r>
          </w:p>
        </w:tc>
        <w:tc>
          <w:tcPr>
            <w:tcW w:w="2909" w:type="dxa"/>
          </w:tcPr>
          <w:p>
            <w:pPr>
              <w:pStyle w:val="TableParagraph"/>
              <w:rPr>
                <w:b/>
                <w:sz w:val="19"/>
              </w:rPr>
            </w:pPr>
          </w:p>
          <w:p>
            <w:pPr>
              <w:pStyle w:val="TableParagraph"/>
              <w:ind w:left="117"/>
              <w:rPr>
                <w:sz w:val="20"/>
              </w:rPr>
            </w:pPr>
            <w:r>
              <w:rPr>
                <w:sz w:val="20"/>
              </w:rPr>
              <w:t>Канакинумаб</w:t>
            </w:r>
          </w:p>
        </w:tc>
        <w:tc>
          <w:tcPr>
            <w:tcW w:w="10332" w:type="dxa"/>
          </w:tcPr>
          <w:p>
            <w:pPr>
              <w:pStyle w:val="TableParagraph"/>
              <w:ind w:left="107"/>
              <w:rPr>
                <w:sz w:val="20"/>
              </w:rPr>
            </w:pPr>
            <w:bookmarkStart w:name="4-8 мг/кг. " w:id="459"/>
            <w:bookmarkEnd w:id="459"/>
            <w:r>
              <w:rPr/>
            </w:r>
            <w:bookmarkStart w:name="150 мг в 1 мл воды для инъекций, далее в" w:id="460"/>
            <w:bookmarkEnd w:id="460"/>
            <w:r>
              <w:rPr/>
            </w:r>
            <w:r>
              <w:rPr>
                <w:sz w:val="20"/>
              </w:rPr>
              <w:t>4-8 мг/кг.</w:t>
            </w:r>
          </w:p>
          <w:p>
            <w:pPr>
              <w:pStyle w:val="TableParagraph"/>
              <w:ind w:left="107"/>
              <w:rPr>
                <w:sz w:val="20"/>
              </w:rPr>
            </w:pPr>
            <w:r>
              <w:rPr>
                <w:sz w:val="20"/>
              </w:rPr>
              <w:t>150 мг в 1 мл воды для инъекций, далее вводят во флакон с 250 мл 5% раствора глюкозы.</w:t>
            </w:r>
          </w:p>
        </w:tc>
      </w:tr>
      <w:tr>
        <w:trPr>
          <w:trHeight w:val="285" w:hRule="atLeast"/>
        </w:trPr>
        <w:tc>
          <w:tcPr>
            <w:tcW w:w="1188" w:type="dxa"/>
            <w:shd w:val="clear" w:color="auto" w:fill="F1F1F1"/>
          </w:tcPr>
          <w:p>
            <w:pPr>
              <w:pStyle w:val="TableParagraph"/>
              <w:rPr>
                <w:sz w:val="18"/>
              </w:rPr>
            </w:pPr>
          </w:p>
        </w:tc>
        <w:tc>
          <w:tcPr>
            <w:tcW w:w="451" w:type="dxa"/>
            <w:shd w:val="clear" w:color="auto" w:fill="F1F1F1"/>
          </w:tcPr>
          <w:p>
            <w:pPr>
              <w:pStyle w:val="TableParagraph"/>
              <w:spacing w:before="22"/>
              <w:ind w:left="18"/>
              <w:jc w:val="center"/>
              <w:rPr>
                <w:sz w:val="20"/>
              </w:rPr>
            </w:pPr>
            <w:r>
              <w:rPr>
                <w:w w:val="99"/>
                <w:sz w:val="20"/>
              </w:rPr>
              <w:t>3</w:t>
            </w:r>
          </w:p>
        </w:tc>
        <w:tc>
          <w:tcPr>
            <w:tcW w:w="13241" w:type="dxa"/>
            <w:gridSpan w:val="2"/>
            <w:shd w:val="clear" w:color="auto" w:fill="F1F1F1"/>
          </w:tcPr>
          <w:p>
            <w:pPr>
              <w:pStyle w:val="TableParagraph"/>
              <w:spacing w:before="22"/>
              <w:ind w:left="117"/>
              <w:rPr>
                <w:sz w:val="20"/>
              </w:rPr>
            </w:pPr>
            <w:r>
              <w:rPr>
                <w:sz w:val="20"/>
              </w:rPr>
              <w:t>Антикоагулянтный препарат, см. Приложение 9-2</w:t>
            </w:r>
          </w:p>
        </w:tc>
      </w:tr>
    </w:tbl>
    <w:p>
      <w:pPr>
        <w:spacing w:after="0"/>
        <w:rPr>
          <w:sz w:val="20"/>
        </w:rPr>
        <w:sectPr>
          <w:pgSz w:w="16850" w:h="11920" w:orient="landscape"/>
          <w:pgMar w:header="0" w:footer="699" w:top="1100" w:bottom="880" w:left="880" w:right="360"/>
        </w:sectPr>
      </w:pPr>
    </w:p>
    <w:p>
      <w:pPr>
        <w:pStyle w:val="BodyText"/>
        <w:spacing w:before="3"/>
        <w:ind w:left="0"/>
        <w:jc w:val="left"/>
        <w:rPr>
          <w:b/>
          <w:sz w:val="2"/>
        </w:rPr>
      </w:pPr>
    </w:p>
    <w:tbl>
      <w:tblPr>
        <w:tblW w:w="0" w:type="auto"/>
        <w:jc w:val="left"/>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88"/>
        <w:gridCol w:w="451"/>
        <w:gridCol w:w="2909"/>
        <w:gridCol w:w="10332"/>
      </w:tblGrid>
      <w:tr>
        <w:trPr>
          <w:trHeight w:val="645" w:hRule="atLeast"/>
        </w:trPr>
        <w:tc>
          <w:tcPr>
            <w:tcW w:w="1188" w:type="dxa"/>
            <w:vMerge w:val="restart"/>
            <w:shd w:val="clear" w:color="auto" w:fill="F1F1F1"/>
          </w:tcPr>
          <w:p>
            <w:pPr>
              <w:pStyle w:val="TableParagraph"/>
              <w:rPr>
                <w:b/>
                <w:sz w:val="22"/>
              </w:rPr>
            </w:pPr>
          </w:p>
          <w:p>
            <w:pPr>
              <w:pStyle w:val="TableParagraph"/>
              <w:rPr>
                <w:b/>
                <w:sz w:val="22"/>
              </w:rPr>
            </w:pPr>
          </w:p>
          <w:p>
            <w:pPr>
              <w:pStyle w:val="TableParagraph"/>
              <w:spacing w:before="192"/>
              <w:ind w:left="117"/>
              <w:rPr>
                <w:sz w:val="20"/>
              </w:rPr>
            </w:pPr>
            <w:r>
              <w:rPr>
                <w:sz w:val="20"/>
              </w:rPr>
              <w:t>Схема 5**</w:t>
            </w:r>
          </w:p>
        </w:tc>
        <w:tc>
          <w:tcPr>
            <w:tcW w:w="451" w:type="dxa"/>
            <w:vMerge w:val="restart"/>
          </w:tcPr>
          <w:p>
            <w:pPr>
              <w:pStyle w:val="TableParagraph"/>
              <w:rPr>
                <w:b/>
                <w:sz w:val="22"/>
              </w:rPr>
            </w:pPr>
          </w:p>
          <w:p>
            <w:pPr>
              <w:pStyle w:val="TableParagraph"/>
              <w:rPr>
                <w:b/>
                <w:sz w:val="22"/>
              </w:rPr>
            </w:pPr>
          </w:p>
          <w:p>
            <w:pPr>
              <w:pStyle w:val="TableParagraph"/>
              <w:spacing w:before="192"/>
              <w:ind w:left="18"/>
              <w:jc w:val="center"/>
              <w:rPr>
                <w:sz w:val="20"/>
              </w:rPr>
            </w:pPr>
            <w:r>
              <w:rPr>
                <w:w w:val="99"/>
                <w:sz w:val="20"/>
              </w:rPr>
              <w:t>1</w:t>
            </w:r>
          </w:p>
        </w:tc>
        <w:tc>
          <w:tcPr>
            <w:tcW w:w="2909" w:type="dxa"/>
          </w:tcPr>
          <w:p>
            <w:pPr>
              <w:pStyle w:val="TableParagraph"/>
              <w:spacing w:before="6"/>
              <w:rPr>
                <w:b/>
                <w:sz w:val="17"/>
              </w:rPr>
            </w:pPr>
          </w:p>
          <w:p>
            <w:pPr>
              <w:pStyle w:val="TableParagraph"/>
              <w:ind w:left="117"/>
              <w:rPr>
                <w:sz w:val="20"/>
              </w:rPr>
            </w:pPr>
            <w:r>
              <w:rPr>
                <w:sz w:val="20"/>
              </w:rPr>
              <w:t>Метилпреднизолон</w:t>
            </w:r>
          </w:p>
        </w:tc>
        <w:tc>
          <w:tcPr>
            <w:tcW w:w="10332" w:type="dxa"/>
          </w:tcPr>
          <w:p>
            <w:pPr>
              <w:pStyle w:val="TableParagraph"/>
              <w:spacing w:line="218" w:lineRule="auto"/>
              <w:ind w:left="107" w:right="586"/>
              <w:rPr>
                <w:sz w:val="20"/>
              </w:rPr>
            </w:pPr>
            <w:r>
              <w:rPr>
                <w:sz w:val="20"/>
              </w:rPr>
              <w:t>1 мг/кг на введение в/в каждые 12 ч в течение 3-х суток, с постепенным снижением дозы на 20-25% на введение</w:t>
            </w:r>
            <w:bookmarkStart w:name="При прогрессировании: 120-125 мг/введени" w:id="461"/>
            <w:bookmarkEnd w:id="461"/>
            <w:r>
              <w:rPr>
                <w:sz w:val="20"/>
              </w:rPr>
            </w:r>
            <w:r>
              <w:rPr>
                <w:sz w:val="20"/>
              </w:rPr>
              <w:t> каждые 1-2 суток в течение 3-4 суток, далее на 50% каждые 1-2 суток до полной отмены.</w:t>
            </w:r>
          </w:p>
          <w:p>
            <w:pPr>
              <w:pStyle w:val="TableParagraph"/>
              <w:spacing w:line="209" w:lineRule="exact"/>
              <w:ind w:left="107"/>
              <w:rPr>
                <w:sz w:val="20"/>
              </w:rPr>
            </w:pPr>
            <w:r>
              <w:rPr>
                <w:sz w:val="20"/>
              </w:rPr>
              <w:t>При прогрессировании: 120-125 мг/введение/в/в каждые 6-8 ч.</w:t>
            </w:r>
          </w:p>
        </w:tc>
      </w:tr>
      <w:tr>
        <w:trPr>
          <w:trHeight w:val="285" w:hRule="atLeast"/>
        </w:trPr>
        <w:tc>
          <w:tcPr>
            <w:tcW w:w="1188"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13241" w:type="dxa"/>
            <w:gridSpan w:val="2"/>
          </w:tcPr>
          <w:p>
            <w:pPr>
              <w:pStyle w:val="TableParagraph"/>
              <w:spacing w:before="19"/>
              <w:ind w:left="117"/>
              <w:rPr>
                <w:sz w:val="20"/>
              </w:rPr>
            </w:pPr>
            <w:r>
              <w:rPr>
                <w:sz w:val="20"/>
              </w:rPr>
              <w:t>или</w:t>
            </w:r>
          </w:p>
        </w:tc>
      </w:tr>
      <w:tr>
        <w:trPr>
          <w:trHeight w:val="688" w:hRule="atLeast"/>
        </w:trPr>
        <w:tc>
          <w:tcPr>
            <w:tcW w:w="1188"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2909" w:type="dxa"/>
            <w:shd w:val="clear" w:color="auto" w:fill="F1F1F1"/>
          </w:tcPr>
          <w:p>
            <w:pPr>
              <w:pStyle w:val="TableParagraph"/>
              <w:spacing w:before="5"/>
              <w:rPr>
                <w:b/>
                <w:sz w:val="19"/>
              </w:rPr>
            </w:pPr>
          </w:p>
          <w:p>
            <w:pPr>
              <w:pStyle w:val="TableParagraph"/>
              <w:ind w:left="117"/>
              <w:rPr>
                <w:sz w:val="20"/>
              </w:rPr>
            </w:pPr>
            <w:r>
              <w:rPr>
                <w:sz w:val="20"/>
              </w:rPr>
              <w:t>Дексаметазон</w:t>
            </w:r>
          </w:p>
        </w:tc>
        <w:tc>
          <w:tcPr>
            <w:tcW w:w="10332" w:type="dxa"/>
            <w:shd w:val="clear" w:color="auto" w:fill="F1F1F1"/>
          </w:tcPr>
          <w:p>
            <w:pPr>
              <w:pStyle w:val="TableParagraph"/>
              <w:ind w:left="107"/>
              <w:rPr>
                <w:sz w:val="20"/>
              </w:rPr>
            </w:pPr>
            <w:bookmarkStart w:name="20 мг/сутки в/в в течение 3-х суток  2(п" w:id="462"/>
            <w:bookmarkEnd w:id="462"/>
            <w:r>
              <w:rPr/>
            </w:r>
            <w:r>
              <w:rPr>
                <w:sz w:val="20"/>
              </w:rPr>
              <w:t>20 мг/сутки в/в в течение 3-х суток 2(по 10 мг Х 2 раза в сутки) в/в с постепенным снижением дозы на 20-25% на введение каждые</w:t>
            </w:r>
          </w:p>
          <w:p>
            <w:pPr>
              <w:pStyle w:val="TableParagraph"/>
              <w:spacing w:line="208" w:lineRule="exact"/>
              <w:ind w:left="107"/>
              <w:rPr>
                <w:sz w:val="20"/>
              </w:rPr>
            </w:pPr>
            <w:r>
              <w:rPr>
                <w:sz w:val="20"/>
              </w:rPr>
              <w:t>1-2 суток, в течение 3-4 суток, далее на 50% каждые 1-2 суток до полной отмены</w:t>
            </w:r>
          </w:p>
        </w:tc>
      </w:tr>
      <w:tr>
        <w:trPr>
          <w:trHeight w:val="285" w:hRule="atLeast"/>
        </w:trPr>
        <w:tc>
          <w:tcPr>
            <w:tcW w:w="1188" w:type="dxa"/>
            <w:shd w:val="clear" w:color="auto" w:fill="F1F1F1"/>
          </w:tcPr>
          <w:p>
            <w:pPr>
              <w:pStyle w:val="TableParagraph"/>
              <w:rPr>
                <w:sz w:val="18"/>
              </w:rPr>
            </w:pPr>
          </w:p>
        </w:tc>
        <w:tc>
          <w:tcPr>
            <w:tcW w:w="451" w:type="dxa"/>
          </w:tcPr>
          <w:p>
            <w:pPr>
              <w:pStyle w:val="TableParagraph"/>
              <w:spacing w:before="22"/>
              <w:ind w:left="18"/>
              <w:jc w:val="center"/>
              <w:rPr>
                <w:sz w:val="20"/>
              </w:rPr>
            </w:pPr>
            <w:r>
              <w:rPr>
                <w:w w:val="99"/>
                <w:sz w:val="20"/>
              </w:rPr>
              <w:t>2</w:t>
            </w:r>
          </w:p>
        </w:tc>
        <w:tc>
          <w:tcPr>
            <w:tcW w:w="13241" w:type="dxa"/>
            <w:gridSpan w:val="2"/>
          </w:tcPr>
          <w:p>
            <w:pPr>
              <w:pStyle w:val="TableParagraph"/>
              <w:spacing w:before="22"/>
              <w:ind w:left="117"/>
              <w:rPr>
                <w:sz w:val="20"/>
              </w:rPr>
            </w:pPr>
            <w:r>
              <w:rPr>
                <w:sz w:val="20"/>
              </w:rPr>
              <w:t>Антикоагулянтный препарат, см. Приложение 9-2</w:t>
            </w:r>
          </w:p>
        </w:tc>
      </w:tr>
      <w:tr>
        <w:trPr>
          <w:trHeight w:val="921" w:hRule="atLeast"/>
        </w:trPr>
        <w:tc>
          <w:tcPr>
            <w:tcW w:w="1188" w:type="dxa"/>
            <w:vMerge w:val="restart"/>
            <w:shd w:val="clear" w:color="auto" w:fill="F1F1F1"/>
          </w:tcPr>
          <w:p>
            <w:pPr>
              <w:pStyle w:val="TableParagraph"/>
              <w:rPr>
                <w:b/>
                <w:sz w:val="22"/>
              </w:rPr>
            </w:pPr>
          </w:p>
          <w:p>
            <w:pPr>
              <w:pStyle w:val="TableParagraph"/>
              <w:rPr>
                <w:b/>
                <w:sz w:val="22"/>
              </w:rPr>
            </w:pPr>
          </w:p>
          <w:p>
            <w:pPr>
              <w:pStyle w:val="TableParagraph"/>
              <w:rPr>
                <w:b/>
                <w:sz w:val="22"/>
              </w:rPr>
            </w:pPr>
          </w:p>
          <w:p>
            <w:pPr>
              <w:pStyle w:val="TableParagraph"/>
              <w:rPr>
                <w:b/>
                <w:sz w:val="20"/>
              </w:rPr>
            </w:pPr>
          </w:p>
          <w:p>
            <w:pPr>
              <w:pStyle w:val="TableParagraph"/>
              <w:ind w:left="117"/>
              <w:rPr>
                <w:sz w:val="20"/>
              </w:rPr>
            </w:pPr>
            <w:r>
              <w:rPr>
                <w:sz w:val="20"/>
              </w:rPr>
              <w:t>Схема</w:t>
            </w:r>
          </w:p>
          <w:p>
            <w:pPr>
              <w:pStyle w:val="TableParagraph"/>
              <w:ind w:left="117"/>
              <w:rPr>
                <w:sz w:val="20"/>
              </w:rPr>
            </w:pPr>
            <w:r>
              <w:rPr>
                <w:sz w:val="20"/>
              </w:rPr>
              <w:t>6***</w:t>
            </w:r>
          </w:p>
        </w:tc>
        <w:tc>
          <w:tcPr>
            <w:tcW w:w="451" w:type="dxa"/>
            <w:vMerge w:val="restart"/>
          </w:tcPr>
          <w:p>
            <w:pPr>
              <w:pStyle w:val="TableParagraph"/>
              <w:rPr>
                <w:b/>
                <w:sz w:val="22"/>
              </w:rPr>
            </w:pPr>
          </w:p>
          <w:p>
            <w:pPr>
              <w:pStyle w:val="TableParagraph"/>
              <w:rPr>
                <w:b/>
                <w:sz w:val="22"/>
              </w:rPr>
            </w:pPr>
          </w:p>
          <w:p>
            <w:pPr>
              <w:pStyle w:val="TableParagraph"/>
              <w:rPr>
                <w:b/>
                <w:sz w:val="22"/>
              </w:rPr>
            </w:pPr>
          </w:p>
          <w:p>
            <w:pPr>
              <w:pStyle w:val="TableParagraph"/>
              <w:rPr>
                <w:b/>
                <w:sz w:val="30"/>
              </w:rPr>
            </w:pPr>
          </w:p>
          <w:p>
            <w:pPr>
              <w:pStyle w:val="TableParagraph"/>
              <w:ind w:left="18"/>
              <w:jc w:val="center"/>
              <w:rPr>
                <w:sz w:val="20"/>
              </w:rPr>
            </w:pPr>
            <w:r>
              <w:rPr>
                <w:w w:val="99"/>
                <w:sz w:val="20"/>
              </w:rPr>
              <w:t>1</w:t>
            </w:r>
          </w:p>
        </w:tc>
        <w:tc>
          <w:tcPr>
            <w:tcW w:w="2909" w:type="dxa"/>
          </w:tcPr>
          <w:p>
            <w:pPr>
              <w:pStyle w:val="TableParagraph"/>
              <w:spacing w:before="5"/>
              <w:rPr>
                <w:b/>
                <w:sz w:val="29"/>
              </w:rPr>
            </w:pPr>
          </w:p>
          <w:p>
            <w:pPr>
              <w:pStyle w:val="TableParagraph"/>
              <w:ind w:left="117"/>
              <w:rPr>
                <w:sz w:val="20"/>
              </w:rPr>
            </w:pPr>
            <w:r>
              <w:rPr>
                <w:sz w:val="20"/>
              </w:rPr>
              <w:t>Тоцилизумаб</w:t>
            </w:r>
          </w:p>
        </w:tc>
        <w:tc>
          <w:tcPr>
            <w:tcW w:w="10332" w:type="dxa"/>
          </w:tcPr>
          <w:p>
            <w:pPr>
              <w:pStyle w:val="TableParagraph"/>
              <w:ind w:left="107"/>
              <w:rPr>
                <w:sz w:val="20"/>
              </w:rPr>
            </w:pPr>
            <w:r>
              <w:rPr>
                <w:sz w:val="20"/>
              </w:rPr>
              <w:t>4-8 мг/кг/введение</w:t>
            </w:r>
          </w:p>
          <w:p>
            <w:pPr>
              <w:pStyle w:val="TableParagraph"/>
              <w:ind w:left="107" w:right="4491"/>
              <w:rPr>
                <w:sz w:val="20"/>
              </w:rPr>
            </w:pPr>
            <w:r>
              <w:rPr>
                <w:sz w:val="20"/>
              </w:rPr>
              <w:t>400 мг разводят в 100 мл 0,9% раствора NaCl, вводят в/в капельно.</w:t>
            </w:r>
            <w:bookmarkStart w:name="При недостаточном эффекте повторить введ" w:id="463"/>
            <w:bookmarkEnd w:id="463"/>
            <w:r>
              <w:rPr>
                <w:sz w:val="20"/>
              </w:rPr>
            </w:r>
            <w:r>
              <w:rPr>
                <w:sz w:val="20"/>
              </w:rPr>
              <w:t> Вводить не более 800 мг.</w:t>
            </w:r>
          </w:p>
          <w:p>
            <w:pPr>
              <w:pStyle w:val="TableParagraph"/>
              <w:spacing w:line="210" w:lineRule="exact" w:before="1"/>
              <w:ind w:left="107"/>
              <w:rPr>
                <w:sz w:val="20"/>
              </w:rPr>
            </w:pPr>
            <w:r>
              <w:rPr>
                <w:sz w:val="20"/>
              </w:rPr>
              <w:t>При недостаточном эффекте повторить введение через 12 ч.</w:t>
            </w:r>
          </w:p>
        </w:tc>
      </w:tr>
      <w:tr>
        <w:trPr>
          <w:trHeight w:val="285" w:hRule="atLeast"/>
        </w:trPr>
        <w:tc>
          <w:tcPr>
            <w:tcW w:w="1188"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13241" w:type="dxa"/>
            <w:gridSpan w:val="2"/>
          </w:tcPr>
          <w:p>
            <w:pPr>
              <w:pStyle w:val="TableParagraph"/>
              <w:spacing w:before="19"/>
              <w:ind w:left="117"/>
              <w:rPr>
                <w:sz w:val="20"/>
              </w:rPr>
            </w:pPr>
            <w:r>
              <w:rPr>
                <w:sz w:val="20"/>
              </w:rPr>
              <w:t>или</w:t>
            </w:r>
          </w:p>
        </w:tc>
      </w:tr>
      <w:tr>
        <w:trPr>
          <w:trHeight w:val="458" w:hRule="atLeast"/>
        </w:trPr>
        <w:tc>
          <w:tcPr>
            <w:tcW w:w="1188"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2909" w:type="dxa"/>
            <w:shd w:val="clear" w:color="auto" w:fill="F1F1F1"/>
          </w:tcPr>
          <w:p>
            <w:pPr>
              <w:pStyle w:val="TableParagraph"/>
              <w:spacing w:before="108"/>
              <w:ind w:left="117"/>
              <w:rPr>
                <w:sz w:val="20"/>
              </w:rPr>
            </w:pPr>
            <w:r>
              <w:rPr>
                <w:sz w:val="20"/>
              </w:rPr>
              <w:t>Сарилумаб</w:t>
            </w:r>
          </w:p>
        </w:tc>
        <w:tc>
          <w:tcPr>
            <w:tcW w:w="10332" w:type="dxa"/>
            <w:shd w:val="clear" w:color="auto" w:fill="F1F1F1"/>
          </w:tcPr>
          <w:p>
            <w:pPr>
              <w:pStyle w:val="TableParagraph"/>
              <w:spacing w:line="230" w:lineRule="exact"/>
              <w:ind w:left="107" w:right="794"/>
              <w:rPr>
                <w:sz w:val="20"/>
              </w:rPr>
            </w:pPr>
            <w:bookmarkStart w:name="200 мг или 400 мг (предварительно заполн" w:id="464"/>
            <w:bookmarkEnd w:id="464"/>
            <w:r>
              <w:rPr/>
            </w:r>
            <w:r>
              <w:rPr>
                <w:sz w:val="20"/>
              </w:rPr>
              <w:t>200 мг или 400 мг (предварительно заполненную шприц-ручку 200 мг) развести в 100 мл 0,9% раствора NaCl, вводить в/в, при недостаточном эффекте повторить введение через 12 ч.</w:t>
            </w:r>
          </w:p>
        </w:tc>
      </w:tr>
      <w:tr>
        <w:trPr>
          <w:trHeight w:val="283" w:hRule="atLeast"/>
        </w:trPr>
        <w:tc>
          <w:tcPr>
            <w:tcW w:w="1188"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13241" w:type="dxa"/>
            <w:gridSpan w:val="2"/>
          </w:tcPr>
          <w:p>
            <w:pPr>
              <w:pStyle w:val="TableParagraph"/>
              <w:spacing w:before="20"/>
              <w:ind w:left="117"/>
              <w:rPr>
                <w:sz w:val="20"/>
              </w:rPr>
            </w:pPr>
            <w:r>
              <w:rPr>
                <w:sz w:val="20"/>
              </w:rPr>
              <w:t>или</w:t>
            </w:r>
          </w:p>
        </w:tc>
      </w:tr>
      <w:tr>
        <w:trPr>
          <w:trHeight w:val="460" w:hRule="atLeast"/>
        </w:trPr>
        <w:tc>
          <w:tcPr>
            <w:tcW w:w="1188" w:type="dxa"/>
            <w:vMerge/>
            <w:tcBorders>
              <w:top w:val="nil"/>
            </w:tcBorders>
            <w:shd w:val="clear" w:color="auto" w:fill="F1F1F1"/>
          </w:tcPr>
          <w:p>
            <w:pPr>
              <w:rPr>
                <w:sz w:val="2"/>
                <w:szCs w:val="2"/>
              </w:rPr>
            </w:pPr>
          </w:p>
        </w:tc>
        <w:tc>
          <w:tcPr>
            <w:tcW w:w="451" w:type="dxa"/>
            <w:vMerge/>
            <w:tcBorders>
              <w:top w:val="nil"/>
            </w:tcBorders>
          </w:tcPr>
          <w:p>
            <w:pPr>
              <w:rPr>
                <w:sz w:val="2"/>
                <w:szCs w:val="2"/>
              </w:rPr>
            </w:pPr>
          </w:p>
        </w:tc>
        <w:tc>
          <w:tcPr>
            <w:tcW w:w="2909" w:type="dxa"/>
          </w:tcPr>
          <w:p>
            <w:pPr>
              <w:pStyle w:val="TableParagraph"/>
              <w:spacing w:before="108"/>
              <w:ind w:left="117"/>
              <w:rPr>
                <w:sz w:val="20"/>
              </w:rPr>
            </w:pPr>
            <w:r>
              <w:rPr>
                <w:sz w:val="20"/>
              </w:rPr>
              <w:t>Канакинумаб</w:t>
            </w:r>
          </w:p>
        </w:tc>
        <w:tc>
          <w:tcPr>
            <w:tcW w:w="10332" w:type="dxa"/>
          </w:tcPr>
          <w:p>
            <w:pPr>
              <w:pStyle w:val="TableParagraph"/>
              <w:ind w:left="107"/>
              <w:rPr>
                <w:sz w:val="20"/>
              </w:rPr>
            </w:pPr>
            <w:r>
              <w:rPr>
                <w:sz w:val="20"/>
              </w:rPr>
              <w:t>4-8 мг/кг.</w:t>
            </w:r>
          </w:p>
          <w:p>
            <w:pPr>
              <w:pStyle w:val="TableParagraph"/>
              <w:spacing w:line="210" w:lineRule="exact"/>
              <w:ind w:left="107"/>
              <w:rPr>
                <w:sz w:val="20"/>
              </w:rPr>
            </w:pPr>
            <w:r>
              <w:rPr>
                <w:sz w:val="20"/>
              </w:rPr>
              <w:t>150 мг в 1 мл воды для инъекций, далее вводят во флакон с 250 мл 5% раствора глюкозы.</w:t>
            </w:r>
          </w:p>
        </w:tc>
      </w:tr>
      <w:tr>
        <w:trPr>
          <w:trHeight w:val="285" w:hRule="atLeast"/>
        </w:trPr>
        <w:tc>
          <w:tcPr>
            <w:tcW w:w="1188" w:type="dxa"/>
            <w:shd w:val="clear" w:color="auto" w:fill="F1F1F1"/>
          </w:tcPr>
          <w:p>
            <w:pPr>
              <w:pStyle w:val="TableParagraph"/>
              <w:rPr>
                <w:sz w:val="18"/>
              </w:rPr>
            </w:pPr>
          </w:p>
        </w:tc>
        <w:tc>
          <w:tcPr>
            <w:tcW w:w="451" w:type="dxa"/>
          </w:tcPr>
          <w:p>
            <w:pPr>
              <w:pStyle w:val="TableParagraph"/>
              <w:spacing w:before="22"/>
              <w:ind w:left="18"/>
              <w:jc w:val="center"/>
              <w:rPr>
                <w:sz w:val="20"/>
              </w:rPr>
            </w:pPr>
            <w:r>
              <w:rPr>
                <w:w w:val="99"/>
                <w:sz w:val="20"/>
              </w:rPr>
              <w:t>2</w:t>
            </w:r>
          </w:p>
        </w:tc>
        <w:tc>
          <w:tcPr>
            <w:tcW w:w="13241" w:type="dxa"/>
            <w:gridSpan w:val="2"/>
          </w:tcPr>
          <w:p>
            <w:pPr>
              <w:pStyle w:val="TableParagraph"/>
              <w:spacing w:before="22"/>
              <w:ind w:left="117"/>
              <w:rPr>
                <w:sz w:val="20"/>
              </w:rPr>
            </w:pPr>
            <w:r>
              <w:rPr>
                <w:sz w:val="20"/>
              </w:rPr>
              <w:t>Антикоагулянтный препарат, см. Приложение 9-2</w:t>
            </w:r>
          </w:p>
        </w:tc>
      </w:tr>
    </w:tbl>
    <w:p>
      <w:pPr>
        <w:pStyle w:val="BodyText"/>
        <w:ind w:left="0"/>
        <w:jc w:val="left"/>
        <w:rPr>
          <w:b/>
          <w:sz w:val="20"/>
        </w:rPr>
      </w:pPr>
    </w:p>
    <w:p>
      <w:pPr>
        <w:pStyle w:val="BodyText"/>
        <w:ind w:left="0"/>
        <w:jc w:val="left"/>
        <w:rPr>
          <w:b/>
          <w:sz w:val="22"/>
        </w:rPr>
      </w:pPr>
    </w:p>
    <w:p>
      <w:pPr>
        <w:spacing w:before="91"/>
        <w:ind w:left="252" w:right="0" w:firstLine="0"/>
        <w:jc w:val="left"/>
        <w:rPr>
          <w:sz w:val="20"/>
        </w:rPr>
      </w:pPr>
      <w:bookmarkStart w:name="_bookmark63" w:id="465"/>
      <w:bookmarkEnd w:id="465"/>
      <w:r>
        <w:rPr/>
      </w:r>
      <w:r>
        <w:rPr>
          <w:sz w:val="20"/>
        </w:rPr>
        <w:t>* в соответствии с разделом 5.4</w:t>
      </w:r>
    </w:p>
    <w:p>
      <w:pPr>
        <w:spacing w:before="94"/>
        <w:ind w:left="252" w:right="0" w:firstLine="0"/>
        <w:jc w:val="left"/>
        <w:rPr>
          <w:sz w:val="20"/>
        </w:rPr>
      </w:pPr>
      <w:r>
        <w:rPr>
          <w:sz w:val="20"/>
        </w:rPr>
        <w:t>** при наличии противопоказаний к применению генно-инженерных биологических препаратов</w:t>
      </w:r>
    </w:p>
    <w:p>
      <w:pPr>
        <w:spacing w:before="94"/>
        <w:ind w:left="252" w:right="0" w:firstLine="0"/>
        <w:jc w:val="left"/>
        <w:rPr>
          <w:sz w:val="20"/>
        </w:rPr>
      </w:pPr>
      <w:r>
        <w:rPr>
          <w:sz w:val="20"/>
        </w:rPr>
        <w:t>*** при наличии противопоказаний к применению глюкокортикоидов</w:t>
      </w:r>
    </w:p>
    <w:p>
      <w:pPr>
        <w:spacing w:after="0"/>
        <w:jc w:val="left"/>
        <w:rPr>
          <w:sz w:val="20"/>
        </w:rPr>
        <w:sectPr>
          <w:pgSz w:w="16850" w:h="11920" w:orient="landscape"/>
          <w:pgMar w:header="0" w:footer="699" w:top="1100" w:bottom="880" w:left="880" w:right="360"/>
        </w:sectPr>
      </w:pPr>
    </w:p>
    <w:p>
      <w:pPr>
        <w:pStyle w:val="Heading3"/>
        <w:spacing w:before="65"/>
        <w:ind w:left="252"/>
        <w:jc w:val="left"/>
      </w:pPr>
      <w:bookmarkStart w:name="Приложение 11-1" w:id="466"/>
      <w:bookmarkEnd w:id="466"/>
      <w:r>
        <w:rPr>
          <w:b w:val="0"/>
        </w:rPr>
      </w:r>
      <w:bookmarkStart w:name="_bookmark64" w:id="467"/>
      <w:bookmarkEnd w:id="467"/>
      <w:r>
        <w:rPr>
          <w:b w:val="0"/>
        </w:rPr>
      </w:r>
      <w:r>
        <w:rPr>
          <w:color w:val="1F487C"/>
        </w:rPr>
        <w:t>Приложение 11-1</w:t>
      </w:r>
    </w:p>
    <w:p>
      <w:pPr>
        <w:spacing w:before="142"/>
        <w:ind w:left="1597" w:right="1066" w:firstLine="0"/>
        <w:jc w:val="center"/>
        <w:rPr>
          <w:b/>
          <w:sz w:val="24"/>
        </w:rPr>
      </w:pPr>
      <w:r>
        <w:rPr>
          <w:b/>
          <w:sz w:val="24"/>
        </w:rPr>
        <w:t>Оценка интервала QT, уровня электролитов до начала применения противомалярийных препаратов</w:t>
      </w:r>
    </w:p>
    <w:p>
      <w:pPr>
        <w:pStyle w:val="ListParagraph"/>
        <w:numPr>
          <w:ilvl w:val="0"/>
          <w:numId w:val="65"/>
        </w:numPr>
        <w:tabs>
          <w:tab w:pos="1321" w:val="left" w:leader="none"/>
        </w:tabs>
        <w:spacing w:line="240" w:lineRule="auto" w:before="0" w:after="0"/>
        <w:ind w:left="1320" w:right="424" w:hanging="360"/>
        <w:jc w:val="left"/>
        <w:rPr>
          <w:sz w:val="22"/>
        </w:rPr>
      </w:pPr>
      <w:r>
        <w:rPr>
          <w:sz w:val="22"/>
        </w:rPr>
        <w:t>ЭКГ</w:t>
      </w:r>
      <w:r>
        <w:rPr>
          <w:spacing w:val="-4"/>
          <w:sz w:val="22"/>
        </w:rPr>
        <w:t> </w:t>
      </w:r>
      <w:r>
        <w:rPr>
          <w:sz w:val="22"/>
        </w:rPr>
        <w:t>в</w:t>
      </w:r>
      <w:r>
        <w:rPr>
          <w:spacing w:val="-5"/>
          <w:sz w:val="22"/>
        </w:rPr>
        <w:t> </w:t>
      </w:r>
      <w:r>
        <w:rPr>
          <w:sz w:val="22"/>
        </w:rPr>
        <w:t>12</w:t>
      </w:r>
      <w:r>
        <w:rPr>
          <w:spacing w:val="-4"/>
          <w:sz w:val="22"/>
        </w:rPr>
        <w:t> </w:t>
      </w:r>
      <w:r>
        <w:rPr>
          <w:sz w:val="22"/>
        </w:rPr>
        <w:t>отведениях</w:t>
      </w:r>
      <w:r>
        <w:rPr>
          <w:spacing w:val="-4"/>
          <w:sz w:val="22"/>
        </w:rPr>
        <w:t> </w:t>
      </w:r>
      <w:r>
        <w:rPr>
          <w:sz w:val="22"/>
        </w:rPr>
        <w:t>с</w:t>
      </w:r>
      <w:r>
        <w:rPr>
          <w:spacing w:val="-3"/>
          <w:sz w:val="22"/>
        </w:rPr>
        <w:t> </w:t>
      </w:r>
      <w:r>
        <w:rPr>
          <w:sz w:val="22"/>
        </w:rPr>
        <w:t>расчетом</w:t>
      </w:r>
      <w:r>
        <w:rPr>
          <w:spacing w:val="-4"/>
          <w:sz w:val="22"/>
        </w:rPr>
        <w:t> </w:t>
      </w:r>
      <w:r>
        <w:rPr>
          <w:sz w:val="22"/>
        </w:rPr>
        <w:t>и</w:t>
      </w:r>
      <w:r>
        <w:rPr>
          <w:spacing w:val="-4"/>
          <w:sz w:val="22"/>
        </w:rPr>
        <w:t> </w:t>
      </w:r>
      <w:r>
        <w:rPr>
          <w:sz w:val="22"/>
        </w:rPr>
        <w:t>документированием</w:t>
      </w:r>
      <w:r>
        <w:rPr>
          <w:spacing w:val="-4"/>
          <w:sz w:val="22"/>
        </w:rPr>
        <w:t> </w:t>
      </w:r>
      <w:r>
        <w:rPr>
          <w:sz w:val="22"/>
        </w:rPr>
        <w:t>корригированного</w:t>
      </w:r>
      <w:r>
        <w:rPr>
          <w:spacing w:val="-4"/>
          <w:sz w:val="22"/>
        </w:rPr>
        <w:t> </w:t>
      </w:r>
      <w:r>
        <w:rPr>
          <w:sz w:val="22"/>
        </w:rPr>
        <w:t>интервала</w:t>
      </w:r>
      <w:r>
        <w:rPr>
          <w:spacing w:val="-3"/>
          <w:sz w:val="22"/>
        </w:rPr>
        <w:t> </w:t>
      </w:r>
      <w:r>
        <w:rPr>
          <w:sz w:val="22"/>
        </w:rPr>
        <w:t>QT</w:t>
      </w:r>
      <w:r>
        <w:rPr>
          <w:spacing w:val="-4"/>
          <w:sz w:val="22"/>
        </w:rPr>
        <w:t> </w:t>
      </w:r>
      <w:r>
        <w:rPr>
          <w:sz w:val="22"/>
        </w:rPr>
        <w:t>(предпочтительно</w:t>
      </w:r>
      <w:r>
        <w:rPr>
          <w:spacing w:val="-4"/>
          <w:sz w:val="22"/>
        </w:rPr>
        <w:t> </w:t>
      </w:r>
      <w:r>
        <w:rPr>
          <w:sz w:val="22"/>
        </w:rPr>
        <w:t>с</w:t>
      </w:r>
      <w:r>
        <w:rPr>
          <w:spacing w:val="-3"/>
          <w:sz w:val="22"/>
        </w:rPr>
        <w:t> </w:t>
      </w:r>
      <w:r>
        <w:rPr>
          <w:sz w:val="22"/>
        </w:rPr>
        <w:t>использованием</w:t>
      </w:r>
      <w:r>
        <w:rPr>
          <w:spacing w:val="-4"/>
          <w:sz w:val="22"/>
        </w:rPr>
        <w:t> </w:t>
      </w:r>
      <w:r>
        <w:rPr>
          <w:sz w:val="22"/>
        </w:rPr>
        <w:t>формул</w:t>
      </w:r>
      <w:r>
        <w:rPr>
          <w:spacing w:val="-3"/>
          <w:sz w:val="22"/>
        </w:rPr>
        <w:t> </w:t>
      </w:r>
      <w:r>
        <w:rPr>
          <w:sz w:val="22"/>
        </w:rPr>
        <w:t>Fridericia</w:t>
      </w:r>
      <w:r>
        <w:rPr>
          <w:spacing w:val="-3"/>
          <w:sz w:val="22"/>
        </w:rPr>
        <w:t> </w:t>
      </w:r>
      <w:r>
        <w:rPr>
          <w:sz w:val="22"/>
        </w:rPr>
        <w:t>или Framingham).</w:t>
      </w:r>
    </w:p>
    <w:p>
      <w:pPr>
        <w:pStyle w:val="BodyText"/>
        <w:ind w:left="0"/>
        <w:jc w:val="left"/>
        <w:rPr>
          <w:sz w:val="8"/>
        </w:rPr>
      </w:pPr>
    </w:p>
    <w:tbl>
      <w:tblPr>
        <w:tblW w:w="0" w:type="auto"/>
        <w:jc w:val="left"/>
        <w:tblInd w:w="9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3936"/>
        <w:gridCol w:w="10346"/>
      </w:tblGrid>
      <w:tr>
        <w:trPr>
          <w:trHeight w:val="1329" w:hRule="atLeast"/>
        </w:trPr>
        <w:tc>
          <w:tcPr>
            <w:tcW w:w="3936" w:type="dxa"/>
          </w:tcPr>
          <w:p>
            <w:pPr>
              <w:pStyle w:val="TableParagraph"/>
              <w:spacing w:before="1"/>
              <w:ind w:left="134"/>
              <w:rPr>
                <w:sz w:val="22"/>
              </w:rPr>
            </w:pPr>
            <w:r>
              <w:rPr>
                <w:sz w:val="22"/>
              </w:rPr>
              <w:t>QTc ≥ 500 мс</w:t>
            </w:r>
          </w:p>
        </w:tc>
        <w:tc>
          <w:tcPr>
            <w:tcW w:w="10346" w:type="dxa"/>
          </w:tcPr>
          <w:p>
            <w:pPr>
              <w:pStyle w:val="TableParagraph"/>
              <w:numPr>
                <w:ilvl w:val="0"/>
                <w:numId w:val="66"/>
              </w:numPr>
              <w:tabs>
                <w:tab w:pos="341" w:val="left" w:leader="none"/>
              </w:tabs>
              <w:spacing w:line="269" w:lineRule="exact" w:before="0" w:after="0"/>
              <w:ind w:left="340" w:right="0" w:hanging="212"/>
              <w:jc w:val="left"/>
              <w:rPr>
                <w:sz w:val="22"/>
              </w:rPr>
            </w:pPr>
            <w:r>
              <w:rPr>
                <w:sz w:val="22"/>
              </w:rPr>
              <w:t>Документировать повышенный риск желудочковых аритмий типа</w:t>
            </w:r>
            <w:r>
              <w:rPr>
                <w:spacing w:val="-7"/>
                <w:sz w:val="22"/>
              </w:rPr>
              <w:t> </w:t>
            </w:r>
            <w:r>
              <w:rPr>
                <w:sz w:val="22"/>
              </w:rPr>
              <w:t>«пируэт».</w:t>
            </w:r>
          </w:p>
          <w:p>
            <w:pPr>
              <w:pStyle w:val="TableParagraph"/>
              <w:numPr>
                <w:ilvl w:val="0"/>
                <w:numId w:val="66"/>
              </w:numPr>
              <w:tabs>
                <w:tab w:pos="341" w:val="left" w:leader="none"/>
              </w:tabs>
              <w:spacing w:line="269" w:lineRule="exact" w:before="0" w:after="0"/>
              <w:ind w:left="340" w:right="0" w:hanging="212"/>
              <w:jc w:val="left"/>
              <w:rPr>
                <w:sz w:val="22"/>
              </w:rPr>
            </w:pPr>
            <w:r>
              <w:rPr>
                <w:sz w:val="22"/>
              </w:rPr>
              <w:t>Коррекция электролитных</w:t>
            </w:r>
            <w:r>
              <w:rPr>
                <w:spacing w:val="-2"/>
                <w:sz w:val="22"/>
              </w:rPr>
              <w:t> </w:t>
            </w:r>
            <w:r>
              <w:rPr>
                <w:sz w:val="22"/>
              </w:rPr>
              <w:t>нарушений.</w:t>
            </w:r>
          </w:p>
          <w:p>
            <w:pPr>
              <w:pStyle w:val="TableParagraph"/>
              <w:numPr>
                <w:ilvl w:val="0"/>
                <w:numId w:val="66"/>
              </w:numPr>
              <w:tabs>
                <w:tab w:pos="341" w:val="left" w:leader="none"/>
              </w:tabs>
              <w:spacing w:line="269" w:lineRule="exact" w:before="0" w:after="0"/>
              <w:ind w:left="340" w:right="0" w:hanging="212"/>
              <w:jc w:val="left"/>
              <w:rPr>
                <w:sz w:val="22"/>
              </w:rPr>
            </w:pPr>
            <w:r>
              <w:rPr>
                <w:sz w:val="22"/>
              </w:rPr>
              <w:t>Отменить лекарственные препараты, удлиняющие интервал</w:t>
            </w:r>
            <w:r>
              <w:rPr>
                <w:spacing w:val="-8"/>
                <w:sz w:val="22"/>
              </w:rPr>
              <w:t> </w:t>
            </w:r>
            <w:r>
              <w:rPr>
                <w:sz w:val="22"/>
              </w:rPr>
              <w:t>QT.</w:t>
            </w:r>
          </w:p>
          <w:p>
            <w:pPr>
              <w:pStyle w:val="TableParagraph"/>
              <w:numPr>
                <w:ilvl w:val="0"/>
                <w:numId w:val="66"/>
              </w:numPr>
              <w:tabs>
                <w:tab w:pos="341" w:val="left" w:leader="none"/>
              </w:tabs>
              <w:spacing w:line="252" w:lineRule="exact" w:before="19" w:after="0"/>
              <w:ind w:left="340" w:right="95" w:hanging="212"/>
              <w:jc w:val="left"/>
              <w:rPr>
                <w:sz w:val="22"/>
              </w:rPr>
            </w:pPr>
            <w:r>
              <w:rPr>
                <w:sz w:val="22"/>
              </w:rPr>
              <w:t>Назначение противомалярийных препаратов возможно только по жизненным показаниям. Обязательно следует использовать телеметрический мониторинг</w:t>
            </w:r>
            <w:r>
              <w:rPr>
                <w:spacing w:val="-3"/>
                <w:sz w:val="22"/>
              </w:rPr>
              <w:t> </w:t>
            </w:r>
            <w:r>
              <w:rPr>
                <w:sz w:val="22"/>
              </w:rPr>
              <w:t>ЭКГ.</w:t>
            </w:r>
          </w:p>
        </w:tc>
      </w:tr>
      <w:tr>
        <w:trPr>
          <w:trHeight w:val="777" w:hRule="atLeast"/>
        </w:trPr>
        <w:tc>
          <w:tcPr>
            <w:tcW w:w="3936" w:type="dxa"/>
            <w:shd w:val="clear" w:color="auto" w:fill="F1F1F1"/>
          </w:tcPr>
          <w:p>
            <w:pPr>
              <w:pStyle w:val="TableParagraph"/>
              <w:ind w:left="134" w:right="1414"/>
              <w:rPr>
                <w:sz w:val="22"/>
              </w:rPr>
            </w:pPr>
            <w:r>
              <w:rPr>
                <w:sz w:val="22"/>
              </w:rPr>
              <w:t>QTc ≥ 460 мс (у детей) QTc ≥ 470 мс (у мужчин)</w:t>
            </w:r>
          </w:p>
          <w:p>
            <w:pPr>
              <w:pStyle w:val="TableParagraph"/>
              <w:spacing w:line="240" w:lineRule="exact" w:before="11"/>
              <w:ind w:left="134"/>
              <w:rPr>
                <w:sz w:val="22"/>
              </w:rPr>
            </w:pPr>
            <w:r>
              <w:rPr>
                <w:sz w:val="22"/>
              </w:rPr>
              <w:t>QTc ≥ 480 мс (у женщин), но &lt; 500 мс</w:t>
            </w:r>
          </w:p>
        </w:tc>
        <w:tc>
          <w:tcPr>
            <w:tcW w:w="10346" w:type="dxa"/>
            <w:shd w:val="clear" w:color="auto" w:fill="F1F1F1"/>
          </w:tcPr>
          <w:p>
            <w:pPr>
              <w:pStyle w:val="TableParagraph"/>
              <w:ind w:left="107"/>
              <w:rPr>
                <w:sz w:val="22"/>
              </w:rPr>
            </w:pPr>
            <w:r>
              <w:rPr>
                <w:sz w:val="22"/>
              </w:rPr>
              <w:t>Перед назначением противомалярийных препаратов следует скорректировать уровень Ca2+, Mg2+, K+, отменить другие лекарственные препараты, которые могут удлинять интервал QT.</w:t>
            </w:r>
          </w:p>
        </w:tc>
      </w:tr>
      <w:tr>
        <w:trPr>
          <w:trHeight w:val="789" w:hRule="atLeast"/>
        </w:trPr>
        <w:tc>
          <w:tcPr>
            <w:tcW w:w="3936" w:type="dxa"/>
          </w:tcPr>
          <w:p>
            <w:pPr>
              <w:pStyle w:val="TableParagraph"/>
              <w:spacing w:before="1"/>
              <w:ind w:left="134"/>
              <w:rPr>
                <w:sz w:val="22"/>
              </w:rPr>
            </w:pPr>
            <w:r>
              <w:rPr>
                <w:sz w:val="22"/>
              </w:rPr>
              <w:t>QTc &lt; 460 мс (у детей),</w:t>
            </w:r>
          </w:p>
          <w:p>
            <w:pPr>
              <w:pStyle w:val="TableParagraph"/>
              <w:spacing w:line="260" w:lineRule="atLeast" w:before="4"/>
              <w:ind w:left="134" w:right="1356"/>
              <w:rPr>
                <w:sz w:val="22"/>
              </w:rPr>
            </w:pPr>
            <w:r>
              <w:rPr>
                <w:sz w:val="22"/>
              </w:rPr>
              <w:t>QTc &lt; 470 мс (у мужчин), QTc &lt; 480 мс (у женщин)</w:t>
            </w:r>
          </w:p>
        </w:tc>
        <w:tc>
          <w:tcPr>
            <w:tcW w:w="10346" w:type="dxa"/>
          </w:tcPr>
          <w:p>
            <w:pPr>
              <w:pStyle w:val="TableParagraph"/>
              <w:spacing w:line="251" w:lineRule="exact"/>
              <w:ind w:left="107"/>
              <w:rPr>
                <w:sz w:val="22"/>
              </w:rPr>
            </w:pPr>
            <w:r>
              <w:rPr>
                <w:sz w:val="22"/>
              </w:rPr>
              <w:t>Возможно назначение противомалярийных препаратов.</w:t>
            </w:r>
          </w:p>
        </w:tc>
      </w:tr>
    </w:tbl>
    <w:p>
      <w:pPr>
        <w:pStyle w:val="BodyText"/>
        <w:ind w:left="0"/>
        <w:jc w:val="left"/>
        <w:rPr>
          <w:sz w:val="22"/>
        </w:rPr>
      </w:pPr>
    </w:p>
    <w:p>
      <w:pPr>
        <w:pStyle w:val="ListParagraph"/>
        <w:numPr>
          <w:ilvl w:val="0"/>
          <w:numId w:val="65"/>
        </w:numPr>
        <w:tabs>
          <w:tab w:pos="1668" w:val="left" w:leader="none"/>
          <w:tab w:pos="1669" w:val="left" w:leader="none"/>
        </w:tabs>
        <w:spacing w:line="240" w:lineRule="auto" w:before="0" w:after="0"/>
        <w:ind w:left="1668" w:right="0" w:hanging="709"/>
        <w:jc w:val="left"/>
        <w:rPr>
          <w:sz w:val="22"/>
        </w:rPr>
      </w:pPr>
      <w:r>
        <w:rPr>
          <w:sz w:val="22"/>
        </w:rPr>
        <w:t>Анализ уров22. Анализ уровня Mg2+,</w:t>
      </w:r>
      <w:r>
        <w:rPr>
          <w:spacing w:val="-4"/>
          <w:sz w:val="22"/>
        </w:rPr>
        <w:t> </w:t>
      </w:r>
      <w:r>
        <w:rPr>
          <w:sz w:val="22"/>
        </w:rPr>
        <w:t>K+</w:t>
      </w:r>
    </w:p>
    <w:p>
      <w:pPr>
        <w:pStyle w:val="ListParagraph"/>
        <w:numPr>
          <w:ilvl w:val="1"/>
          <w:numId w:val="65"/>
        </w:numPr>
        <w:tabs>
          <w:tab w:pos="2028" w:val="left" w:leader="none"/>
          <w:tab w:pos="2030" w:val="left" w:leader="none"/>
        </w:tabs>
        <w:spacing w:line="269" w:lineRule="exact" w:before="0" w:after="0"/>
        <w:ind w:left="2029" w:right="0" w:hanging="362"/>
        <w:jc w:val="left"/>
        <w:rPr>
          <w:sz w:val="22"/>
        </w:rPr>
      </w:pPr>
      <w:r>
        <w:rPr>
          <w:sz w:val="22"/>
        </w:rPr>
        <w:t>При уровне Mg2+ &lt; 0,82 ммоль/л (&lt;2 мг/дл) и (или) K+ &lt;4 ммоль/л восполнить недостаток</w:t>
      </w:r>
      <w:r>
        <w:rPr>
          <w:spacing w:val="-12"/>
          <w:sz w:val="22"/>
        </w:rPr>
        <w:t> </w:t>
      </w:r>
      <w:r>
        <w:rPr>
          <w:sz w:val="22"/>
        </w:rPr>
        <w:t>электролитов;</w:t>
      </w:r>
    </w:p>
    <w:p>
      <w:pPr>
        <w:pStyle w:val="ListParagraph"/>
        <w:numPr>
          <w:ilvl w:val="1"/>
          <w:numId w:val="65"/>
        </w:numPr>
        <w:tabs>
          <w:tab w:pos="2029" w:val="left" w:leader="none"/>
          <w:tab w:pos="2030" w:val="left" w:leader="none"/>
        </w:tabs>
        <w:spacing w:line="240" w:lineRule="auto" w:before="0" w:after="0"/>
        <w:ind w:left="2029" w:right="424" w:hanging="361"/>
        <w:jc w:val="left"/>
        <w:rPr>
          <w:sz w:val="22"/>
        </w:rPr>
      </w:pPr>
      <w:r>
        <w:rPr>
          <w:sz w:val="22"/>
        </w:rPr>
        <w:t>Оценить потенциальные межлекарственные взаимодействия противомалярийных препаратов с принимаемыми пациентом препаратами, особенно удлиняющими интервал</w:t>
      </w:r>
      <w:r>
        <w:rPr>
          <w:spacing w:val="-4"/>
          <w:sz w:val="22"/>
        </w:rPr>
        <w:t> </w:t>
      </w:r>
      <w:r>
        <w:rPr>
          <w:sz w:val="22"/>
        </w:rPr>
        <w:t>QT.</w:t>
      </w:r>
    </w:p>
    <w:p>
      <w:pPr>
        <w:pStyle w:val="ListParagraph"/>
        <w:numPr>
          <w:ilvl w:val="0"/>
          <w:numId w:val="65"/>
        </w:numPr>
        <w:tabs>
          <w:tab w:pos="1322" w:val="left" w:leader="none"/>
        </w:tabs>
        <w:spacing w:line="250" w:lineRule="exact" w:before="0" w:after="0"/>
        <w:ind w:left="1321" w:right="0" w:hanging="361"/>
        <w:jc w:val="left"/>
        <w:rPr>
          <w:sz w:val="22"/>
        </w:rPr>
      </w:pPr>
      <w:r>
        <w:rPr>
          <w:sz w:val="22"/>
        </w:rPr>
        <w:t>Отменить и избегать любые лекарственные препараты c эффектом удлинения QT, не являющиеся жизненно важными для</w:t>
      </w:r>
      <w:r>
        <w:rPr>
          <w:spacing w:val="-23"/>
          <w:sz w:val="22"/>
        </w:rPr>
        <w:t> </w:t>
      </w:r>
      <w:r>
        <w:rPr>
          <w:sz w:val="22"/>
        </w:rPr>
        <w:t>пациента.</w:t>
      </w:r>
    </w:p>
    <w:p>
      <w:pPr>
        <w:pStyle w:val="BodyText"/>
        <w:spacing w:before="2"/>
        <w:ind w:left="0"/>
        <w:jc w:val="left"/>
      </w:pPr>
    </w:p>
    <w:p>
      <w:pPr>
        <w:pStyle w:val="Heading3"/>
        <w:spacing w:line="276" w:lineRule="exact"/>
        <w:ind w:left="2626"/>
        <w:jc w:val="left"/>
      </w:pPr>
      <w:r>
        <w:rPr/>
        <w:t>Мониторинг интервала QT, уровня электролитов на фоне приема противомалярийных препаратов</w:t>
      </w:r>
    </w:p>
    <w:p>
      <w:pPr>
        <w:pStyle w:val="ListParagraph"/>
        <w:numPr>
          <w:ilvl w:val="0"/>
          <w:numId w:val="67"/>
        </w:numPr>
        <w:tabs>
          <w:tab w:pos="1321" w:val="left" w:leader="none"/>
        </w:tabs>
        <w:spacing w:line="253" w:lineRule="exact" w:before="0" w:after="0"/>
        <w:ind w:left="1320" w:right="0" w:hanging="361"/>
        <w:jc w:val="left"/>
        <w:rPr>
          <w:sz w:val="22"/>
        </w:rPr>
      </w:pPr>
      <w:r>
        <w:rPr>
          <w:sz w:val="22"/>
        </w:rPr>
        <w:t>Ежедневный контроль ЭКГ с расчетом и документированием корригированного интервала</w:t>
      </w:r>
      <w:r>
        <w:rPr>
          <w:spacing w:val="-12"/>
          <w:sz w:val="22"/>
        </w:rPr>
        <w:t> </w:t>
      </w:r>
      <w:r>
        <w:rPr>
          <w:sz w:val="22"/>
        </w:rPr>
        <w:t>QT</w:t>
      </w:r>
    </w:p>
    <w:tbl>
      <w:tblPr>
        <w:tblW w:w="0" w:type="auto"/>
        <w:jc w:val="left"/>
        <w:tblInd w:w="9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400"/>
        <w:gridCol w:w="11777"/>
      </w:tblGrid>
      <w:tr>
        <w:trPr>
          <w:trHeight w:val="1329" w:hRule="atLeast"/>
        </w:trPr>
        <w:tc>
          <w:tcPr>
            <w:tcW w:w="2400" w:type="dxa"/>
          </w:tcPr>
          <w:p>
            <w:pPr>
              <w:pStyle w:val="TableParagraph"/>
              <w:ind w:left="131" w:right="973" w:hanging="3"/>
              <w:rPr>
                <w:sz w:val="22"/>
              </w:rPr>
            </w:pPr>
            <w:r>
              <w:rPr>
                <w:rFonts w:ascii="Symbol" w:hAnsi="Symbol"/>
                <w:sz w:val="22"/>
              </w:rPr>
              <w:t></w:t>
            </w:r>
            <w:r>
              <w:rPr>
                <w:sz w:val="22"/>
              </w:rPr>
              <w:t>QTc ≥ 60 мс или</w:t>
            </w:r>
          </w:p>
          <w:p>
            <w:pPr>
              <w:pStyle w:val="TableParagraph"/>
              <w:spacing w:before="1"/>
              <w:ind w:left="131"/>
              <w:rPr>
                <w:sz w:val="22"/>
              </w:rPr>
            </w:pPr>
            <w:r>
              <w:rPr>
                <w:sz w:val="22"/>
              </w:rPr>
              <w:t>QTc ≥ 500 мс</w:t>
            </w:r>
          </w:p>
        </w:tc>
        <w:tc>
          <w:tcPr>
            <w:tcW w:w="11777" w:type="dxa"/>
          </w:tcPr>
          <w:p>
            <w:pPr>
              <w:pStyle w:val="TableParagraph"/>
              <w:numPr>
                <w:ilvl w:val="0"/>
                <w:numId w:val="68"/>
              </w:numPr>
              <w:tabs>
                <w:tab w:pos="250" w:val="left" w:leader="none"/>
              </w:tabs>
              <w:spacing w:line="269" w:lineRule="exact" w:before="0" w:after="0"/>
              <w:ind w:left="249" w:right="0" w:hanging="162"/>
              <w:jc w:val="left"/>
              <w:rPr>
                <w:sz w:val="22"/>
              </w:rPr>
            </w:pPr>
            <w:r>
              <w:rPr>
                <w:sz w:val="22"/>
              </w:rPr>
              <w:t>Документировать повышенный риск желудочковых аритмий типа</w:t>
            </w:r>
            <w:r>
              <w:rPr>
                <w:spacing w:val="-6"/>
                <w:sz w:val="22"/>
              </w:rPr>
              <w:t> </w:t>
            </w:r>
            <w:r>
              <w:rPr>
                <w:sz w:val="22"/>
              </w:rPr>
              <w:t>«пируэт».</w:t>
            </w:r>
          </w:p>
          <w:p>
            <w:pPr>
              <w:pStyle w:val="TableParagraph"/>
              <w:numPr>
                <w:ilvl w:val="0"/>
                <w:numId w:val="68"/>
              </w:numPr>
              <w:tabs>
                <w:tab w:pos="250" w:val="left" w:leader="none"/>
              </w:tabs>
              <w:spacing w:line="269" w:lineRule="exact" w:before="0" w:after="0"/>
              <w:ind w:left="249" w:right="0" w:hanging="162"/>
              <w:jc w:val="left"/>
              <w:rPr>
                <w:sz w:val="22"/>
              </w:rPr>
            </w:pPr>
            <w:r>
              <w:rPr>
                <w:sz w:val="22"/>
              </w:rPr>
              <w:t>Коррекция электролитных</w:t>
            </w:r>
            <w:r>
              <w:rPr>
                <w:spacing w:val="-2"/>
                <w:sz w:val="22"/>
              </w:rPr>
              <w:t> </w:t>
            </w:r>
            <w:r>
              <w:rPr>
                <w:sz w:val="22"/>
              </w:rPr>
              <w:t>нарушений.</w:t>
            </w:r>
          </w:p>
          <w:p>
            <w:pPr>
              <w:pStyle w:val="TableParagraph"/>
              <w:numPr>
                <w:ilvl w:val="0"/>
                <w:numId w:val="68"/>
              </w:numPr>
              <w:tabs>
                <w:tab w:pos="250" w:val="left" w:leader="none"/>
              </w:tabs>
              <w:spacing w:line="269" w:lineRule="exact" w:before="0" w:after="0"/>
              <w:ind w:left="249" w:right="0" w:hanging="162"/>
              <w:jc w:val="left"/>
              <w:rPr>
                <w:sz w:val="22"/>
              </w:rPr>
            </w:pPr>
            <w:r>
              <w:rPr>
                <w:sz w:val="22"/>
              </w:rPr>
              <w:t>Отменить лекарственные препараты, удлиняющие интервал</w:t>
            </w:r>
            <w:r>
              <w:rPr>
                <w:spacing w:val="-8"/>
                <w:sz w:val="22"/>
              </w:rPr>
              <w:t> </w:t>
            </w:r>
            <w:r>
              <w:rPr>
                <w:sz w:val="22"/>
              </w:rPr>
              <w:t>QT.</w:t>
            </w:r>
          </w:p>
          <w:p>
            <w:pPr>
              <w:pStyle w:val="TableParagraph"/>
              <w:numPr>
                <w:ilvl w:val="0"/>
                <w:numId w:val="68"/>
              </w:numPr>
              <w:tabs>
                <w:tab w:pos="250" w:val="left" w:leader="none"/>
              </w:tabs>
              <w:spacing w:line="252" w:lineRule="exact" w:before="19" w:after="0"/>
              <w:ind w:left="249" w:right="93" w:hanging="161"/>
              <w:jc w:val="left"/>
              <w:rPr>
                <w:sz w:val="22"/>
              </w:rPr>
            </w:pPr>
            <w:r>
              <w:rPr>
                <w:sz w:val="22"/>
              </w:rPr>
              <w:t>Назначение противомалярийных препаратов возможно только по жизненным показаниям. Обязательно следует использовать телеметрический мониторинг</w:t>
            </w:r>
            <w:r>
              <w:rPr>
                <w:spacing w:val="-2"/>
                <w:sz w:val="22"/>
              </w:rPr>
              <w:t> </w:t>
            </w:r>
            <w:r>
              <w:rPr>
                <w:sz w:val="22"/>
              </w:rPr>
              <w:t>ЭКГ.</w:t>
            </w:r>
          </w:p>
        </w:tc>
      </w:tr>
      <w:tr>
        <w:trPr>
          <w:trHeight w:val="784" w:hRule="atLeast"/>
        </w:trPr>
        <w:tc>
          <w:tcPr>
            <w:tcW w:w="2400" w:type="dxa"/>
            <w:shd w:val="clear" w:color="auto" w:fill="F1F1F1"/>
          </w:tcPr>
          <w:p>
            <w:pPr>
              <w:pStyle w:val="TableParagraph"/>
              <w:ind w:left="131" w:right="970" w:hanging="3"/>
              <w:rPr>
                <w:sz w:val="22"/>
              </w:rPr>
            </w:pPr>
            <w:r>
              <w:rPr>
                <w:rFonts w:ascii="Symbol" w:hAnsi="Symbol"/>
                <w:sz w:val="22"/>
              </w:rPr>
              <w:t></w:t>
            </w:r>
            <w:r>
              <w:rPr>
                <w:sz w:val="22"/>
              </w:rPr>
              <w:t>QTc &lt; 60 мс или</w:t>
            </w:r>
          </w:p>
          <w:p>
            <w:pPr>
              <w:pStyle w:val="TableParagraph"/>
              <w:spacing w:line="240" w:lineRule="exact" w:before="1"/>
              <w:ind w:left="131"/>
              <w:rPr>
                <w:sz w:val="22"/>
              </w:rPr>
            </w:pPr>
            <w:r>
              <w:rPr>
                <w:sz w:val="22"/>
              </w:rPr>
              <w:t>QTc &lt; 500 мс</w:t>
            </w:r>
          </w:p>
        </w:tc>
        <w:tc>
          <w:tcPr>
            <w:tcW w:w="11777" w:type="dxa"/>
            <w:shd w:val="clear" w:color="auto" w:fill="F1F1F1"/>
          </w:tcPr>
          <w:p>
            <w:pPr>
              <w:pStyle w:val="TableParagraph"/>
              <w:spacing w:line="251" w:lineRule="exact"/>
              <w:ind w:left="107"/>
              <w:rPr>
                <w:sz w:val="22"/>
              </w:rPr>
            </w:pPr>
            <w:r>
              <w:rPr>
                <w:sz w:val="22"/>
              </w:rPr>
              <w:t>Продолжить применение противомалярийных препаратов.</w:t>
            </w:r>
          </w:p>
        </w:tc>
      </w:tr>
    </w:tbl>
    <w:p>
      <w:pPr>
        <w:pStyle w:val="BodyText"/>
        <w:spacing w:before="11"/>
        <w:ind w:left="0"/>
        <w:jc w:val="left"/>
        <w:rPr>
          <w:sz w:val="21"/>
        </w:rPr>
      </w:pPr>
    </w:p>
    <w:p>
      <w:pPr>
        <w:pStyle w:val="ListParagraph"/>
        <w:numPr>
          <w:ilvl w:val="0"/>
          <w:numId w:val="67"/>
        </w:numPr>
        <w:tabs>
          <w:tab w:pos="1321" w:val="left" w:leader="none"/>
        </w:tabs>
        <w:spacing w:line="240" w:lineRule="auto" w:before="0" w:after="0"/>
        <w:ind w:left="1320" w:right="422" w:hanging="360"/>
        <w:jc w:val="left"/>
        <w:rPr>
          <w:sz w:val="22"/>
        </w:rPr>
      </w:pPr>
      <w:r>
        <w:rPr>
          <w:sz w:val="22"/>
        </w:rPr>
        <w:t>При появлении жалоб на аритмию, ощущение сердцебиения, боли и дискомфорт в области сердца, эпизоды слабости и головокружения, синкопальные состояния назначается внеочередное</w:t>
      </w:r>
      <w:r>
        <w:rPr>
          <w:spacing w:val="-9"/>
          <w:sz w:val="22"/>
        </w:rPr>
        <w:t> </w:t>
      </w:r>
      <w:r>
        <w:rPr>
          <w:sz w:val="22"/>
        </w:rPr>
        <w:t>ЭКГ.</w:t>
      </w:r>
    </w:p>
    <w:p>
      <w:pPr>
        <w:spacing w:after="0" w:line="240" w:lineRule="auto"/>
        <w:jc w:val="left"/>
        <w:rPr>
          <w:sz w:val="22"/>
        </w:rPr>
        <w:sectPr>
          <w:pgSz w:w="16850" w:h="11920" w:orient="landscape"/>
          <w:pgMar w:header="0" w:footer="699" w:top="1060" w:bottom="960" w:left="880" w:right="360"/>
        </w:sectPr>
      </w:pPr>
    </w:p>
    <w:p>
      <w:pPr>
        <w:pStyle w:val="Heading3"/>
        <w:spacing w:before="60"/>
        <w:ind w:left="0" w:right="371"/>
        <w:jc w:val="right"/>
      </w:pPr>
      <w:r>
        <w:rPr/>
        <w:pict>
          <v:group style="position:absolute;margin-left:88.739403pt;margin-top:648.983459pt;width:15.2pt;height:29.35pt;mso-position-horizontal-relative:page;mso-position-vertical-relative:page;z-index:15743488" coordorigin="1775,12980" coordsize="304,587">
            <v:shape style="position:absolute;left:1784;top:12989;width:284;height:567" coordorigin="1785,12990" coordsize="284,567" path="m1997,12990l1856,12990,1856,13415,1785,13415,1927,13557,2068,13415,1997,13415,1997,12990xe" filled="true" fillcolor="#5b9bd4" stroked="false">
              <v:path arrowok="t"/>
              <v:fill type="solid"/>
            </v:shape>
            <v:shape style="position:absolute;left:1784;top:12989;width:284;height:567" coordorigin="1785,12990" coordsize="284,567" path="m1785,13415l1856,13415,1856,12990,1997,12990,1997,13415,2068,13415,1927,13557,1785,13415xe" filled="false" stroked="true" strokeweight="1pt" strokecolor="#41709c">
              <v:path arrowok="t"/>
              <v:stroke dashstyle="solid"/>
            </v:shape>
            <w10:wrap type="none"/>
          </v:group>
        </w:pict>
      </w:r>
      <w:r>
        <w:rPr/>
        <w:drawing>
          <wp:anchor distT="0" distB="0" distL="0" distR="0" allowOverlap="1" layoutInCell="1" locked="0" behindDoc="0" simplePos="0" relativeHeight="15744000">
            <wp:simplePos x="0" y="0"/>
            <wp:positionH relativeFrom="page">
              <wp:posOffset>1851383</wp:posOffset>
            </wp:positionH>
            <wp:positionV relativeFrom="page">
              <wp:posOffset>8971794</wp:posOffset>
            </wp:positionV>
            <wp:extent cx="193274" cy="157162"/>
            <wp:effectExtent l="0" t="0" r="0" b="0"/>
            <wp:wrapNone/>
            <wp:docPr id="47" name="image35.png"/>
            <wp:cNvGraphicFramePr>
              <a:graphicFrameLocks noChangeAspect="1"/>
            </wp:cNvGraphicFramePr>
            <a:graphic>
              <a:graphicData uri="http://schemas.openxmlformats.org/drawingml/2006/picture">
                <pic:pic>
                  <pic:nvPicPr>
                    <pic:cNvPr id="48" name="image35.png"/>
                    <pic:cNvPicPr/>
                  </pic:nvPicPr>
                  <pic:blipFill>
                    <a:blip r:embed="rId103" cstate="print"/>
                    <a:stretch>
                      <a:fillRect/>
                    </a:stretch>
                  </pic:blipFill>
                  <pic:spPr>
                    <a:xfrm>
                      <a:off x="0" y="0"/>
                      <a:ext cx="193274" cy="157162"/>
                    </a:xfrm>
                    <a:prstGeom prst="rect">
                      <a:avLst/>
                    </a:prstGeom>
                  </pic:spPr>
                </pic:pic>
              </a:graphicData>
            </a:graphic>
          </wp:anchor>
        </w:drawing>
      </w:r>
      <w:r>
        <w:rPr/>
        <w:drawing>
          <wp:anchor distT="0" distB="0" distL="0" distR="0" allowOverlap="1" layoutInCell="1" locked="0" behindDoc="0" simplePos="0" relativeHeight="15744512">
            <wp:simplePos x="0" y="0"/>
            <wp:positionH relativeFrom="page">
              <wp:posOffset>775715</wp:posOffset>
            </wp:positionH>
            <wp:positionV relativeFrom="page">
              <wp:posOffset>5135879</wp:posOffset>
            </wp:positionV>
            <wp:extent cx="4333453" cy="2941320"/>
            <wp:effectExtent l="0" t="0" r="0" b="0"/>
            <wp:wrapNone/>
            <wp:docPr id="49" name="image36.png"/>
            <wp:cNvGraphicFramePr>
              <a:graphicFrameLocks noChangeAspect="1"/>
            </wp:cNvGraphicFramePr>
            <a:graphic>
              <a:graphicData uri="http://schemas.openxmlformats.org/drawingml/2006/picture">
                <pic:pic>
                  <pic:nvPicPr>
                    <pic:cNvPr id="50" name="image36.png"/>
                    <pic:cNvPicPr/>
                  </pic:nvPicPr>
                  <pic:blipFill>
                    <a:blip r:embed="rId104" cstate="print"/>
                    <a:stretch>
                      <a:fillRect/>
                    </a:stretch>
                  </pic:blipFill>
                  <pic:spPr>
                    <a:xfrm>
                      <a:off x="0" y="0"/>
                      <a:ext cx="4333453" cy="2941320"/>
                    </a:xfrm>
                    <a:prstGeom prst="rect">
                      <a:avLst/>
                    </a:prstGeom>
                  </pic:spPr>
                </pic:pic>
              </a:graphicData>
            </a:graphic>
          </wp:anchor>
        </w:drawing>
      </w:r>
      <w:r>
        <w:rPr/>
        <w:pict>
          <v:group style="position:absolute;margin-left:58.778999pt;margin-top:347.057678pt;width:345.6pt;height:294.7pt;mso-position-horizontal-relative:page;mso-position-vertical-relative:page;z-index:15745536" coordorigin="1176,6941" coordsize="6912,5894">
            <v:shape style="position:absolute;left:4531;top:6951;width:284;height:1021" coordorigin="4531,6951" coordsize="284,1021" path="m4744,6951l4602,6951,4602,7830,4531,7830,4673,7972,4815,7830,4744,7830,4744,6951xe" filled="true" fillcolor="#5b9bd4" stroked="false">
              <v:path arrowok="t"/>
              <v:fill type="solid"/>
            </v:shape>
            <v:shape style="position:absolute;left:4531;top:6951;width:284;height:1021" coordorigin="4531,6951" coordsize="284,1021" path="m4531,7830l4602,7830,4602,6951,4744,6951,4744,7830,4815,7830,4673,7972,4531,7830xe" filled="false" stroked="true" strokeweight="1pt" strokecolor="#41709c">
              <v:path arrowok="t"/>
              <v:stroke dashstyle="solid"/>
            </v:shape>
            <v:shape style="position:absolute;left:1198;top:7993;width:6867;height:4819" type="#_x0000_t202" filled="false" stroked="true" strokeweight="2.25pt" strokecolor="#41709c">
              <v:textbox inset="0,0,0,0">
                <w:txbxContent>
                  <w:p>
                    <w:pPr>
                      <w:spacing w:before="73"/>
                      <w:ind w:left="1321" w:right="170" w:hanging="989"/>
                      <w:jc w:val="left"/>
                      <w:rPr>
                        <w:sz w:val="20"/>
                      </w:rPr>
                    </w:pPr>
                    <w:r>
                      <w:rPr>
                        <w:sz w:val="20"/>
                      </w:rPr>
                      <w:t>Оценка наличия/отсутствия </w:t>
                    </w:r>
                    <w:r>
                      <w:rPr>
                        <w:b/>
                        <w:sz w:val="20"/>
                        <w:u w:val="single"/>
                      </w:rPr>
                      <w:t>дополнительных</w:t>
                    </w:r>
                    <w:r>
                      <w:rPr>
                        <w:b/>
                        <w:sz w:val="20"/>
                      </w:rPr>
                      <w:t> </w:t>
                    </w:r>
                    <w:r>
                      <w:rPr>
                        <w:sz w:val="20"/>
                      </w:rPr>
                      <w:t>факторов риска удлинения интервала QT по модифицированному чек-листу</w:t>
                    </w:r>
                  </w:p>
                  <w:p>
                    <w:pPr>
                      <w:spacing w:before="64"/>
                      <w:ind w:left="2979" w:right="2871" w:firstLine="0"/>
                      <w:jc w:val="center"/>
                      <w:rPr>
                        <w:sz w:val="16"/>
                      </w:rPr>
                    </w:pPr>
                    <w:r>
                      <w:rPr>
                        <w:sz w:val="16"/>
                      </w:rPr>
                      <w:t>Фактор риска</w:t>
                    </w:r>
                  </w:p>
                  <w:p>
                    <w:pPr>
                      <w:spacing w:before="131"/>
                      <w:ind w:left="257" w:right="0" w:firstLine="0"/>
                      <w:jc w:val="left"/>
                      <w:rPr>
                        <w:sz w:val="16"/>
                      </w:rPr>
                    </w:pPr>
                    <w:r>
                      <w:rPr>
                        <w:sz w:val="16"/>
                      </w:rPr>
                      <w:t>Мужчины &gt;55 лет, женщины &gt;65 лет</w:t>
                    </w:r>
                  </w:p>
                  <w:p>
                    <w:pPr>
                      <w:spacing w:before="128"/>
                      <w:ind w:left="257" w:right="331" w:firstLine="0"/>
                      <w:jc w:val="left"/>
                      <w:rPr>
                        <w:sz w:val="16"/>
                      </w:rPr>
                    </w:pPr>
                    <w:r>
                      <w:rPr>
                        <w:sz w:val="16"/>
                      </w:rPr>
                      <w:t>Нервная анорексия или длительное голодание или указание на существенные ограничение по диете</w:t>
                    </w:r>
                  </w:p>
                  <w:p>
                    <w:pPr>
                      <w:spacing w:before="131"/>
                      <w:ind w:left="257" w:right="0" w:firstLine="0"/>
                      <w:jc w:val="left"/>
                      <w:rPr>
                        <w:sz w:val="16"/>
                      </w:rPr>
                    </w:pPr>
                    <w:r>
                      <w:rPr>
                        <w:sz w:val="16"/>
                      </w:rPr>
                      <w:t>Длительная диарея или рвота в настоящее время или за несколько дней до обращения</w:t>
                    </w:r>
                  </w:p>
                  <w:p>
                    <w:pPr>
                      <w:spacing w:before="130"/>
                      <w:ind w:left="257" w:right="0" w:firstLine="0"/>
                      <w:jc w:val="left"/>
                      <w:rPr>
                        <w:sz w:val="16"/>
                      </w:rPr>
                    </w:pPr>
                    <w:r>
                      <w:rPr>
                        <w:sz w:val="16"/>
                      </w:rPr>
                      <w:t>Врожденный синдром удлинения QT или другая генетическая предрасположенность</w:t>
                    </w:r>
                  </w:p>
                  <w:p>
                    <w:pPr>
                      <w:spacing w:before="128"/>
                      <w:ind w:left="257" w:right="583" w:firstLine="0"/>
                      <w:jc w:val="left"/>
                      <w:rPr>
                        <w:sz w:val="16"/>
                      </w:rPr>
                    </w:pPr>
                    <w:r>
                      <w:rPr>
                        <w:sz w:val="16"/>
                      </w:rPr>
                      <w:t>Личный или семейный анамнез удлинения интервала QT или внезапной необъяснимой смерти при отсутствии клинического или генетического диагноза</w:t>
                    </w:r>
                  </w:p>
                  <w:p>
                    <w:pPr>
                      <w:spacing w:line="183" w:lineRule="exact" w:before="131"/>
                      <w:ind w:left="257" w:right="0" w:firstLine="0"/>
                      <w:jc w:val="left"/>
                      <w:rPr>
                        <w:sz w:val="16"/>
                      </w:rPr>
                    </w:pPr>
                    <w:r>
                      <w:rPr>
                        <w:sz w:val="16"/>
                      </w:rPr>
                      <w:t>Врожденные или приобретенные нарушение ритма или проводимости</w:t>
                    </w:r>
                  </w:p>
                  <w:p>
                    <w:pPr>
                      <w:spacing w:before="0"/>
                      <w:ind w:left="257" w:right="324" w:firstLine="0"/>
                      <w:jc w:val="left"/>
                      <w:rPr>
                        <w:sz w:val="16"/>
                      </w:rPr>
                    </w:pPr>
                    <w:r>
                      <w:rPr>
                        <w:sz w:val="16"/>
                      </w:rPr>
                      <w:t>(например АВ-блокада или блокада ножек пучка Гисса) в анамнезе (задокументированные и не задокументированные) или любые необъяснимые обмороки в анамнезе</w:t>
                    </w:r>
                  </w:p>
                  <w:p>
                    <w:pPr>
                      <w:spacing w:before="131"/>
                      <w:ind w:left="257" w:right="252" w:firstLine="0"/>
                      <w:jc w:val="left"/>
                      <w:rPr>
                        <w:sz w:val="16"/>
                      </w:rPr>
                    </w:pPr>
                    <w:r>
                      <w:rPr>
                        <w:sz w:val="16"/>
                      </w:rPr>
                      <w:t>Структурные поражения миокарда (состояние после инфаркта миокарда, гипертрофическая кардиомиопатия, поражение клапанов и др.)</w:t>
                    </w:r>
                  </w:p>
                  <w:p>
                    <w:pPr>
                      <w:spacing w:before="131"/>
                      <w:ind w:left="257" w:right="0" w:firstLine="0"/>
                      <w:jc w:val="left"/>
                      <w:rPr>
                        <w:sz w:val="16"/>
                      </w:rPr>
                    </w:pPr>
                    <w:r>
                      <w:rPr>
                        <w:sz w:val="16"/>
                      </w:rPr>
                      <w:t>Хроническая почечная недостаточность, требующая диализа</w:t>
                    </w:r>
                  </w:p>
                  <w:p>
                    <w:pPr>
                      <w:spacing w:before="128"/>
                      <w:ind w:left="257" w:right="0" w:firstLine="0"/>
                      <w:jc w:val="left"/>
                      <w:rPr>
                        <w:sz w:val="16"/>
                      </w:rPr>
                    </w:pPr>
                    <w:r>
                      <w:rPr>
                        <w:sz w:val="16"/>
                      </w:rPr>
                      <w:t>СД (тип 1 и 2) или гипогликемия (задокументированная при отсутствии диагноза диабета)</w:t>
                    </w:r>
                  </w:p>
                </w:txbxContent>
              </v:textbox>
              <v:stroke dashstyle="solid"/>
              <w10:wrap type="none"/>
            </v:shape>
            <w10:wrap type="none"/>
          </v:group>
        </w:pict>
      </w:r>
      <w:r>
        <w:rPr/>
        <w:pict>
          <v:group style="position:absolute;margin-left:340.682098pt;margin-top:649.727600pt;width:15.2pt;height:29.35pt;mso-position-horizontal-relative:page;mso-position-vertical-relative:page;z-index:15746048" coordorigin="6814,12995" coordsize="304,587">
            <v:shape style="position:absolute;left:6823;top:13004;width:284;height:567" coordorigin="6824,13005" coordsize="284,567" path="m7036,13005l6895,13005,6895,13430,6824,13430,6965,13571,7107,13430,7036,13430,7036,13005xe" filled="true" fillcolor="#5b9bd4" stroked="false">
              <v:path arrowok="t"/>
              <v:fill type="solid"/>
            </v:shape>
            <v:shape style="position:absolute;left:6823;top:13004;width:284;height:567" coordorigin="6824,13005" coordsize="284,567" path="m6824,13430l6895,13430,6895,13005,7036,13005,7036,13430,7107,13430,6965,13571,6824,13430xe" filled="false" stroked="true" strokeweight="1pt" strokecolor="#41709c">
              <v:path arrowok="t"/>
              <v:stroke dashstyle="solid"/>
            </v:shape>
            <w10:wrap type="none"/>
          </v:group>
        </w:pict>
      </w:r>
      <w:r>
        <w:rPr/>
        <w:pict>
          <v:group style="position:absolute;margin-left:463.777588pt;margin-top:640.057861pt;width:26.55pt;height:75.4pt;mso-position-horizontal-relative:page;mso-position-vertical-relative:page;z-index:15746560" coordorigin="9276,12801" coordsize="531,1508">
            <v:shape style="position:absolute;left:9285;top:12811;width:511;height:1488" coordorigin="9286,12811" coordsize="511,1488" path="m9674,12811l9552,12939,9610,12939,9610,14171,9286,14171,9286,14299,9738,14299,9738,12939,9796,12939,9674,12811xe" filled="true" fillcolor="#5b9bd4" stroked="false">
              <v:path arrowok="t"/>
              <v:fill type="solid"/>
            </v:shape>
            <v:shape style="position:absolute;left:9285;top:12811;width:511;height:1488" coordorigin="9286,12811" coordsize="511,1488" path="m9286,14171l9610,14171,9610,12939,9552,12939,9674,12811,9796,12939,9738,12939,9738,14299,9286,14299,9286,14171xe" filled="false" stroked="true" strokeweight="1pt" strokecolor="#2d75b6">
              <v:path arrowok="t"/>
              <v:stroke dashstyle="solid"/>
            </v:shape>
            <w10:wrap type="none"/>
          </v:group>
        </w:pict>
      </w:r>
      <w:r>
        <w:rPr/>
        <w:pict>
          <v:group style="position:absolute;margin-left:475.14209pt;margin-top:361.549591pt;width:15.2pt;height:151.25pt;mso-position-horizontal-relative:page;mso-position-vertical-relative:page;z-index:15747072" coordorigin="9503,7231" coordsize="304,3025">
            <v:shape style="position:absolute;left:9512;top:7241;width:284;height:3005" coordorigin="9513,7241" coordsize="284,3005" path="m9725,7241l9584,7241,9584,10104,9513,10104,9655,10246,9796,10104,9725,10104,9725,7241xe" filled="true" fillcolor="#5b9bd4" stroked="false">
              <v:path arrowok="t"/>
              <v:fill type="solid"/>
            </v:shape>
            <v:shape style="position:absolute;left:9512;top:7241;width:284;height:3005" coordorigin="9513,7241" coordsize="284,3005" path="m9513,10104l9584,10104,9584,7241,9725,7241,9725,10104,9796,10104,9655,10246,9513,10104xe" filled="false" stroked="true" strokeweight="1pt" strokecolor="#41709c">
              <v:path arrowok="t"/>
              <v:stroke dashstyle="solid"/>
            </v:shape>
            <w10:wrap type="none"/>
          </v:group>
        </w:pict>
      </w:r>
      <w:r>
        <w:rPr/>
        <w:pict>
          <v:shape style="position:absolute;margin-left:323.502991pt;margin-top:688.455994pt;width:133.25pt;height:46.95pt;mso-position-horizontal-relative:page;mso-position-vertical-relative:page;z-index:15747584" type="#_x0000_t202" filled="false" stroked="true" strokeweight="2.25pt" strokecolor="#41709c">
            <v:textbox inset="0,0,0,0">
              <w:txbxContent>
                <w:p>
                  <w:pPr>
                    <w:spacing w:before="90"/>
                    <w:ind w:left="657" w:right="0" w:firstLine="0"/>
                    <w:jc w:val="left"/>
                    <w:rPr>
                      <w:sz w:val="20"/>
                    </w:rPr>
                  </w:pPr>
                  <w:r>
                    <w:rPr>
                      <w:sz w:val="20"/>
                    </w:rPr>
                    <w:t>По крайней мере</w:t>
                  </w:r>
                </w:p>
                <w:p>
                  <w:pPr>
                    <w:spacing w:before="13"/>
                    <w:ind w:left="239" w:right="0" w:firstLine="496"/>
                    <w:jc w:val="left"/>
                    <w:rPr>
                      <w:sz w:val="20"/>
                    </w:rPr>
                  </w:pPr>
                  <w:r>
                    <w:rPr>
                      <w:sz w:val="20"/>
                    </w:rPr>
                    <w:t>1 фактор риска удлинения интервала QT</w:t>
                  </w:r>
                </w:p>
              </w:txbxContent>
            </v:textbox>
            <v:stroke dashstyle="solid"/>
            <w10:wrap type="none"/>
          </v:shape>
        </w:pict>
      </w:r>
      <w:r>
        <w:rPr/>
        <w:pict>
          <v:shape style="position:absolute;margin-left:53.799999pt;margin-top:682.585999pt;width:86.9pt;height:59pt;mso-position-horizontal-relative:page;mso-position-vertical-relative:page;z-index:15748096" type="#_x0000_t202" filled="false" stroked="true" strokeweight="2.25pt" strokecolor="#41709c">
            <v:textbox inset="0,0,0,0">
              <w:txbxContent>
                <w:p>
                  <w:pPr>
                    <w:spacing w:before="71"/>
                    <w:ind w:left="257" w:right="257" w:firstLine="2"/>
                    <w:jc w:val="center"/>
                    <w:rPr>
                      <w:sz w:val="20"/>
                    </w:rPr>
                  </w:pPr>
                  <w:r>
                    <w:rPr>
                      <w:sz w:val="20"/>
                    </w:rPr>
                    <w:t>Нет факторов риска удлинения интервала QT</w:t>
                  </w:r>
                </w:p>
              </w:txbxContent>
            </v:textbox>
            <v:stroke dashstyle="solid"/>
            <w10:wrap type="none"/>
          </v:shape>
        </w:pict>
      </w:r>
      <w:r>
        <w:rPr/>
        <w:pict>
          <v:shape style="position:absolute;margin-left:165.542999pt;margin-top:667.748962pt;width:145.050pt;height:92.75pt;mso-position-horizontal-relative:page;mso-position-vertical-relative:page;z-index:15748608" type="#_x0000_t202" filled="true" fillcolor="#c1efdb" stroked="true" strokeweight="2.25pt" strokecolor="#41709c">
            <v:textbox inset="0,0,0,0">
              <w:txbxContent>
                <w:p>
                  <w:pPr>
                    <w:spacing w:line="244" w:lineRule="auto" w:before="72"/>
                    <w:ind w:left="384" w:right="383" w:firstLine="2"/>
                    <w:jc w:val="center"/>
                    <w:rPr>
                      <w:sz w:val="20"/>
                    </w:rPr>
                  </w:pPr>
                  <w:r>
                    <w:rPr>
                      <w:b/>
                      <w:sz w:val="20"/>
                    </w:rPr>
                    <w:t>Решение А </w:t>
                  </w:r>
                  <w:r>
                    <w:rPr>
                      <w:sz w:val="20"/>
                    </w:rPr>
                    <w:t>Допускается</w:t>
                  </w:r>
                  <w:r>
                    <w:rPr>
                      <w:spacing w:val="-10"/>
                      <w:sz w:val="20"/>
                    </w:rPr>
                    <w:t> </w:t>
                  </w:r>
                  <w:r>
                    <w:rPr>
                      <w:sz w:val="20"/>
                    </w:rPr>
                    <w:t>назначение противомалярийных</w:t>
                  </w:r>
                </w:p>
                <w:p>
                  <w:pPr>
                    <w:spacing w:line="240" w:lineRule="auto" w:before="0"/>
                    <w:ind w:left="266" w:right="262" w:firstLine="0"/>
                    <w:jc w:val="center"/>
                    <w:rPr>
                      <w:sz w:val="20"/>
                    </w:rPr>
                  </w:pPr>
                  <w:r>
                    <w:rPr>
                      <w:sz w:val="20"/>
                    </w:rPr>
                    <w:t>препаратов при отсутствии возможности проведения исходного ЭКГ и оценки в динамике</w:t>
                  </w:r>
                </w:p>
              </w:txbxContent>
            </v:textbox>
            <v:fill type="solid"/>
            <v:stroke dashstyle="solid"/>
            <w10:wrap type="none"/>
          </v:shape>
        </w:pict>
      </w:r>
      <w:r>
        <w:rPr/>
        <w:pict>
          <v:shape style="position:absolute;margin-left:423.296997pt;margin-top:522.802002pt;width:121.7pt;height:107.75pt;mso-position-horizontal-relative:page;mso-position-vertical-relative:page;z-index:15749120" type="#_x0000_t202" filled="true" fillcolor="#f3d6cf" stroked="true" strokeweight="2.25pt" strokecolor="#41709c">
            <v:textbox inset="0,0,0,0">
              <w:txbxContent>
                <w:p>
                  <w:pPr>
                    <w:spacing w:before="72"/>
                    <w:ind w:left="689" w:right="688" w:firstLine="0"/>
                    <w:jc w:val="center"/>
                    <w:rPr>
                      <w:b/>
                      <w:sz w:val="20"/>
                    </w:rPr>
                  </w:pPr>
                  <w:r>
                    <w:rPr>
                      <w:b/>
                      <w:sz w:val="20"/>
                    </w:rPr>
                    <w:t>Решение В</w:t>
                  </w:r>
                </w:p>
                <w:p>
                  <w:pPr>
                    <w:spacing w:before="92"/>
                    <w:ind w:left="314" w:right="314" w:firstLine="2"/>
                    <w:jc w:val="center"/>
                    <w:rPr>
                      <w:sz w:val="20"/>
                    </w:rPr>
                  </w:pPr>
                  <w:r>
                    <w:rPr>
                      <w:sz w:val="20"/>
                    </w:rPr>
                    <w:t>Не рекомендуется назначение </w:t>
                  </w:r>
                  <w:r>
                    <w:rPr>
                      <w:w w:val="95"/>
                      <w:sz w:val="20"/>
                    </w:rPr>
                    <w:t>противомалярийных </w:t>
                  </w:r>
                  <w:r>
                    <w:rPr>
                      <w:sz w:val="20"/>
                    </w:rPr>
                    <w:t>препаратов в связи с риском развития жизнеугрожающих нарушений ритма</w:t>
                  </w:r>
                </w:p>
              </w:txbxContent>
            </v:textbox>
            <v:fill type="solid"/>
            <v:stroke dashstyle="solid"/>
            <w10:wrap type="none"/>
          </v:shape>
        </w:pict>
      </w:r>
      <w:r>
        <w:rPr/>
        <w:pict>
          <v:shape style="position:absolute;margin-left:415.833008pt;margin-top:318.705963pt;width:134.7pt;height:34.050pt;mso-position-horizontal-relative:page;mso-position-vertical-relative:page;z-index:15749632" type="#_x0000_t202" filled="false" stroked="true" strokeweight="2.25pt" strokecolor="#41709c">
            <v:textbox inset="0,0,0,0">
              <w:txbxContent>
                <w:p>
                  <w:pPr>
                    <w:spacing w:before="72"/>
                    <w:ind w:left="144" w:right="0" w:firstLine="0"/>
                    <w:jc w:val="left"/>
                    <w:rPr>
                      <w:sz w:val="20"/>
                    </w:rPr>
                  </w:pPr>
                  <w:r>
                    <w:rPr>
                      <w:sz w:val="20"/>
                    </w:rPr>
                    <w:t>7-10 баллов - средний</w:t>
                  </w:r>
                  <w:r>
                    <w:rPr>
                      <w:spacing w:val="-12"/>
                      <w:sz w:val="20"/>
                    </w:rPr>
                    <w:t> </w:t>
                  </w:r>
                  <w:r>
                    <w:rPr>
                      <w:sz w:val="20"/>
                    </w:rPr>
                    <w:t>риск</w:t>
                  </w:r>
                </w:p>
                <w:p>
                  <w:pPr>
                    <w:spacing w:before="0"/>
                    <w:ind w:left="144" w:right="0" w:firstLine="0"/>
                    <w:jc w:val="left"/>
                    <w:rPr>
                      <w:sz w:val="20"/>
                    </w:rPr>
                  </w:pPr>
                  <w:r>
                    <w:rPr>
                      <w:sz w:val="20"/>
                    </w:rPr>
                    <w:t>≥ 11 баллов - высокий</w:t>
                  </w:r>
                  <w:r>
                    <w:rPr>
                      <w:spacing w:val="-12"/>
                      <w:sz w:val="20"/>
                    </w:rPr>
                    <w:t> </w:t>
                  </w:r>
                  <w:r>
                    <w:rPr>
                      <w:sz w:val="20"/>
                    </w:rPr>
                    <w:t>риск</w:t>
                  </w:r>
                </w:p>
              </w:txbxContent>
            </v:textbox>
            <v:stroke dashstyle="solid"/>
            <w10:wrap type="none"/>
          </v:shape>
        </w:pict>
      </w:r>
      <w:r>
        <w:rPr/>
        <w:pict>
          <v:shape style="position:absolute;margin-left:165.578995pt;margin-top:318.705963pt;width:125.35pt;height:19.850pt;mso-position-horizontal-relative:page;mso-position-vertical-relative:page;z-index:15750144" type="#_x0000_t202" filled="false" stroked="true" strokeweight="2.25pt" strokecolor="#41709c">
            <v:textbox inset="0,0,0,0">
              <w:txbxContent>
                <w:p>
                  <w:pPr>
                    <w:spacing w:before="72"/>
                    <w:ind w:left="177" w:right="0" w:firstLine="0"/>
                    <w:jc w:val="left"/>
                    <w:rPr>
                      <w:sz w:val="20"/>
                    </w:rPr>
                  </w:pPr>
                  <w:r>
                    <w:rPr>
                      <w:sz w:val="20"/>
                    </w:rPr>
                    <w:t>≤ 6 баллов - низкий риск</w:t>
                  </w:r>
                </w:p>
              </w:txbxContent>
            </v:textbox>
            <v:stroke dashstyle="solid"/>
            <w10:wrap type="none"/>
          </v:shape>
        </w:pict>
      </w:r>
      <w:bookmarkStart w:name="Приложение 11-2" w:id="468"/>
      <w:bookmarkEnd w:id="468"/>
      <w:r>
        <w:rPr>
          <w:b w:val="0"/>
        </w:rPr>
      </w:r>
      <w:bookmarkStart w:name="_bookmark65" w:id="469"/>
      <w:bookmarkEnd w:id="469"/>
      <w:r>
        <w:rPr>
          <w:b w:val="0"/>
        </w:rPr>
      </w:r>
      <w:r>
        <w:rPr>
          <w:color w:val="1F487C"/>
        </w:rPr>
        <w:t>Приложение 11-2</w:t>
      </w:r>
    </w:p>
    <w:p>
      <w:pPr>
        <w:spacing w:before="141"/>
        <w:ind w:left="588" w:right="640" w:hanging="137"/>
        <w:jc w:val="left"/>
        <w:rPr>
          <w:b/>
          <w:sz w:val="24"/>
        </w:rPr>
      </w:pPr>
      <w:r>
        <w:rPr>
          <w:b/>
          <w:sz w:val="24"/>
        </w:rPr>
        <w:t>Алгоритм оценка риска развития развития жизнеугрожающих нарушений ритма при принятии решения об амбулаторном применении противомалярийных препаратов</w:t>
      </w:r>
    </w:p>
    <w:p>
      <w:pPr>
        <w:pStyle w:val="BodyText"/>
        <w:spacing w:before="6"/>
        <w:ind w:left="0"/>
        <w:jc w:val="left"/>
        <w:rPr>
          <w:b/>
          <w:sz w:val="20"/>
        </w:rPr>
      </w:pPr>
      <w:r>
        <w:rPr/>
        <w:pict>
          <v:group style="position:absolute;margin-left:78.484001pt;margin-top:13.776516pt;width:455.85pt;height:169.5pt;mso-position-horizontal-relative:page;mso-position-vertical-relative:paragraph;z-index:-15714304;mso-wrap-distance-left:0;mso-wrap-distance-right:0" coordorigin="1570,276" coordsize="9117,3390">
            <v:shape style="position:absolute;left:1615;top:392;width:9027;height:3156" type="#_x0000_t75" stroked="false">
              <v:imagedata r:id="rId105" o:title=""/>
            </v:shape>
            <v:shape style="position:absolute;left:1592;top:298;width:9072;height:3345" type="#_x0000_t202" filled="false" stroked="true" strokeweight="2.25pt" strokecolor="#5b9bd4">
              <v:textbox inset="0,0,0,0">
                <w:txbxContent>
                  <w:p>
                    <w:pPr>
                      <w:tabs>
                        <w:tab w:pos="7884" w:val="left" w:leader="none"/>
                      </w:tabs>
                      <w:spacing w:line="249" w:lineRule="auto" w:before="72"/>
                      <w:ind w:left="252" w:right="508" w:hanging="108"/>
                      <w:jc w:val="left"/>
                      <w:rPr>
                        <w:sz w:val="20"/>
                      </w:rPr>
                    </w:pPr>
                    <w:r>
                      <w:rPr>
                        <w:sz w:val="20"/>
                      </w:rPr>
                      <w:t>Оценка</w:t>
                    </w:r>
                    <w:r>
                      <w:rPr>
                        <w:spacing w:val="-6"/>
                        <w:sz w:val="20"/>
                      </w:rPr>
                      <w:t> </w:t>
                    </w:r>
                    <w:r>
                      <w:rPr>
                        <w:sz w:val="20"/>
                      </w:rPr>
                      <w:t>лекарственно-ассоциированного</w:t>
                    </w:r>
                    <w:r>
                      <w:rPr>
                        <w:spacing w:val="-2"/>
                        <w:sz w:val="20"/>
                      </w:rPr>
                      <w:t> </w:t>
                    </w:r>
                    <w:r>
                      <w:rPr>
                        <w:sz w:val="20"/>
                      </w:rPr>
                      <w:t>удлинения</w:t>
                    </w:r>
                    <w:r>
                      <w:rPr>
                        <w:spacing w:val="-6"/>
                        <w:sz w:val="20"/>
                      </w:rPr>
                      <w:t> </w:t>
                    </w:r>
                    <w:r>
                      <w:rPr>
                        <w:sz w:val="20"/>
                      </w:rPr>
                      <w:t>интервала</w:t>
                    </w:r>
                    <w:r>
                      <w:rPr>
                        <w:spacing w:val="-6"/>
                        <w:sz w:val="20"/>
                      </w:rPr>
                      <w:t> </w:t>
                    </w:r>
                    <w:r>
                      <w:rPr>
                        <w:sz w:val="20"/>
                      </w:rPr>
                      <w:t>QT,</w:t>
                    </w:r>
                    <w:r>
                      <w:rPr>
                        <w:spacing w:val="-5"/>
                        <w:sz w:val="20"/>
                      </w:rPr>
                      <w:t> </w:t>
                    </w:r>
                    <w:r>
                      <w:rPr>
                        <w:sz w:val="20"/>
                      </w:rPr>
                      <w:t>оцененном</w:t>
                    </w:r>
                    <w:r>
                      <w:rPr>
                        <w:spacing w:val="-4"/>
                        <w:sz w:val="20"/>
                      </w:rPr>
                      <w:t> </w:t>
                    </w:r>
                    <w:r>
                      <w:rPr>
                        <w:sz w:val="20"/>
                      </w:rPr>
                      <w:t>по</w:t>
                    </w:r>
                    <w:r>
                      <w:rPr>
                        <w:spacing w:val="-5"/>
                        <w:sz w:val="20"/>
                      </w:rPr>
                      <w:t> </w:t>
                    </w:r>
                    <w:r>
                      <w:rPr>
                        <w:sz w:val="20"/>
                      </w:rPr>
                      <w:t>шкале</w:t>
                    </w:r>
                    <w:r>
                      <w:rPr>
                        <w:spacing w:val="-6"/>
                        <w:sz w:val="20"/>
                      </w:rPr>
                      <w:t> </w:t>
                    </w:r>
                    <w:r>
                      <w:rPr>
                        <w:sz w:val="20"/>
                      </w:rPr>
                      <w:t>Тисдейла Факторы</w:t>
                    </w:r>
                    <w:r>
                      <w:rPr>
                        <w:spacing w:val="-2"/>
                        <w:sz w:val="20"/>
                      </w:rPr>
                      <w:t> </w:t>
                    </w:r>
                    <w:r>
                      <w:rPr>
                        <w:sz w:val="20"/>
                      </w:rPr>
                      <w:t>риска</w:t>
                      <w:tab/>
                      <w:t>Баллы</w:t>
                    </w:r>
                  </w:p>
                  <w:p>
                    <w:pPr>
                      <w:tabs>
                        <w:tab w:pos="8202" w:val="right" w:leader="none"/>
                      </w:tabs>
                      <w:spacing w:before="2"/>
                      <w:ind w:left="252" w:right="0" w:firstLine="0"/>
                      <w:jc w:val="left"/>
                      <w:rPr>
                        <w:sz w:val="20"/>
                      </w:rPr>
                    </w:pPr>
                    <w:r>
                      <w:rPr>
                        <w:sz w:val="20"/>
                      </w:rPr>
                      <w:t>Возраст ≥</w:t>
                    </w:r>
                    <w:r>
                      <w:rPr>
                        <w:spacing w:val="-3"/>
                        <w:sz w:val="20"/>
                      </w:rPr>
                      <w:t> </w:t>
                    </w:r>
                    <w:r>
                      <w:rPr>
                        <w:sz w:val="20"/>
                      </w:rPr>
                      <w:t>68</w:t>
                    </w:r>
                    <w:r>
                      <w:rPr>
                        <w:spacing w:val="1"/>
                        <w:sz w:val="20"/>
                      </w:rPr>
                      <w:t> </w:t>
                    </w:r>
                    <w:r>
                      <w:rPr>
                        <w:sz w:val="20"/>
                      </w:rPr>
                      <w:t>лет</w:t>
                      <w:tab/>
                      <w:t>1</w:t>
                    </w:r>
                  </w:p>
                  <w:p>
                    <w:pPr>
                      <w:tabs>
                        <w:tab w:pos="8202" w:val="right" w:leader="none"/>
                      </w:tabs>
                      <w:spacing w:before="15"/>
                      <w:ind w:left="252" w:right="0" w:firstLine="0"/>
                      <w:jc w:val="left"/>
                      <w:rPr>
                        <w:sz w:val="20"/>
                      </w:rPr>
                    </w:pPr>
                    <w:r>
                      <w:rPr>
                        <w:sz w:val="20"/>
                      </w:rPr>
                      <w:t>Женский</w:t>
                    </w:r>
                    <w:r>
                      <w:rPr>
                        <w:spacing w:val="-2"/>
                        <w:sz w:val="20"/>
                      </w:rPr>
                      <w:t> </w:t>
                    </w:r>
                    <w:r>
                      <w:rPr>
                        <w:sz w:val="20"/>
                      </w:rPr>
                      <w:t>пол</w:t>
                      <w:tab/>
                      <w:t>1</w:t>
                    </w:r>
                  </w:p>
                  <w:p>
                    <w:pPr>
                      <w:tabs>
                        <w:tab w:pos="8202" w:val="right" w:leader="none"/>
                      </w:tabs>
                      <w:spacing w:before="10"/>
                      <w:ind w:left="252" w:right="0" w:firstLine="0"/>
                      <w:jc w:val="left"/>
                      <w:rPr>
                        <w:sz w:val="20"/>
                      </w:rPr>
                    </w:pPr>
                    <w:r>
                      <w:rPr>
                        <w:sz w:val="20"/>
                      </w:rPr>
                      <w:t>Прием петлевого</w:t>
                    </w:r>
                    <w:r>
                      <w:rPr>
                        <w:spacing w:val="1"/>
                        <w:sz w:val="20"/>
                      </w:rPr>
                      <w:t> </w:t>
                    </w:r>
                    <w:r>
                      <w:rPr>
                        <w:sz w:val="20"/>
                      </w:rPr>
                      <w:t>диуретика</w:t>
                      <w:tab/>
                      <w:t>1</w:t>
                    </w:r>
                  </w:p>
                  <w:p>
                    <w:pPr>
                      <w:tabs>
                        <w:tab w:pos="8202" w:val="right" w:leader="none"/>
                      </w:tabs>
                      <w:spacing w:before="10"/>
                      <w:ind w:left="252" w:right="0" w:firstLine="0"/>
                      <w:jc w:val="left"/>
                      <w:rPr>
                        <w:sz w:val="20"/>
                      </w:rPr>
                    </w:pPr>
                    <w:r>
                      <w:rPr>
                        <w:sz w:val="20"/>
                      </w:rPr>
                      <w:t>Сывороточный K</w:t>
                    </w:r>
                    <w:r>
                      <w:rPr>
                        <w:sz w:val="20"/>
                        <w:vertAlign w:val="superscript"/>
                      </w:rPr>
                      <w:t>+</w:t>
                    </w:r>
                    <w:r>
                      <w:rPr>
                        <w:sz w:val="20"/>
                        <w:vertAlign w:val="baseline"/>
                      </w:rPr>
                      <w:t> ≤</w:t>
                    </w:r>
                    <w:r>
                      <w:rPr>
                        <w:spacing w:val="-2"/>
                        <w:sz w:val="20"/>
                        <w:vertAlign w:val="baseline"/>
                      </w:rPr>
                      <w:t> </w:t>
                    </w:r>
                    <w:r>
                      <w:rPr>
                        <w:sz w:val="20"/>
                        <w:vertAlign w:val="baseline"/>
                      </w:rPr>
                      <w:t>3.5</w:t>
                    </w:r>
                    <w:r>
                      <w:rPr>
                        <w:spacing w:val="1"/>
                        <w:sz w:val="20"/>
                        <w:vertAlign w:val="baseline"/>
                      </w:rPr>
                      <w:t> </w:t>
                    </w:r>
                    <w:r>
                      <w:rPr>
                        <w:sz w:val="20"/>
                        <w:vertAlign w:val="baseline"/>
                      </w:rPr>
                      <w:t>ммоль/л</w:t>
                      <w:tab/>
                      <w:t>2</w:t>
                    </w:r>
                  </w:p>
                  <w:p>
                    <w:pPr>
                      <w:tabs>
                        <w:tab w:pos="8202" w:val="right" w:leader="none"/>
                      </w:tabs>
                      <w:spacing w:before="10"/>
                      <w:ind w:left="252" w:right="0" w:firstLine="0"/>
                      <w:jc w:val="left"/>
                      <w:rPr>
                        <w:sz w:val="20"/>
                      </w:rPr>
                    </w:pPr>
                    <w:r>
                      <w:rPr>
                        <w:sz w:val="20"/>
                      </w:rPr>
                      <w:t>QTc исходный  ≥</w:t>
                    </w:r>
                    <w:r>
                      <w:rPr>
                        <w:spacing w:val="-1"/>
                        <w:sz w:val="20"/>
                      </w:rPr>
                      <w:t> </w:t>
                    </w:r>
                    <w:r>
                      <w:rPr>
                        <w:sz w:val="20"/>
                      </w:rPr>
                      <w:t>450</w:t>
                    </w:r>
                    <w:r>
                      <w:rPr>
                        <w:spacing w:val="1"/>
                        <w:sz w:val="20"/>
                      </w:rPr>
                      <w:t> </w:t>
                    </w:r>
                    <w:r>
                      <w:rPr>
                        <w:sz w:val="20"/>
                      </w:rPr>
                      <w:t>мс</w:t>
                      <w:tab/>
                      <w:t>2</w:t>
                    </w:r>
                  </w:p>
                  <w:p>
                    <w:pPr>
                      <w:tabs>
                        <w:tab w:pos="8202" w:val="right" w:leader="none"/>
                      </w:tabs>
                      <w:spacing w:before="10"/>
                      <w:ind w:left="252" w:right="0" w:firstLine="0"/>
                      <w:jc w:val="left"/>
                      <w:rPr>
                        <w:sz w:val="20"/>
                      </w:rPr>
                    </w:pPr>
                    <w:r>
                      <w:rPr>
                        <w:sz w:val="20"/>
                      </w:rPr>
                      <w:t>Острый</w:t>
                    </w:r>
                    <w:r>
                      <w:rPr>
                        <w:spacing w:val="-2"/>
                        <w:sz w:val="20"/>
                      </w:rPr>
                      <w:t> </w:t>
                    </w:r>
                    <w:r>
                      <w:rPr>
                        <w:sz w:val="20"/>
                      </w:rPr>
                      <w:t>инфаркт</w:t>
                    </w:r>
                    <w:r>
                      <w:rPr>
                        <w:spacing w:val="-1"/>
                        <w:sz w:val="20"/>
                      </w:rPr>
                      <w:t> </w:t>
                    </w:r>
                    <w:r>
                      <w:rPr>
                        <w:sz w:val="20"/>
                      </w:rPr>
                      <w:t>миокарда</w:t>
                      <w:tab/>
                      <w:t>2</w:t>
                    </w:r>
                  </w:p>
                  <w:p>
                    <w:pPr>
                      <w:tabs>
                        <w:tab w:pos="8202" w:val="right" w:leader="none"/>
                      </w:tabs>
                      <w:spacing w:before="10"/>
                      <w:ind w:left="252" w:right="0" w:firstLine="0"/>
                      <w:jc w:val="left"/>
                      <w:rPr>
                        <w:sz w:val="20"/>
                      </w:rPr>
                    </w:pPr>
                    <w:r>
                      <w:rPr>
                        <w:sz w:val="20"/>
                      </w:rPr>
                      <w:t>Сепсис</w:t>
                      <w:tab/>
                      <w:t>3</w:t>
                    </w:r>
                  </w:p>
                  <w:p>
                    <w:pPr>
                      <w:tabs>
                        <w:tab w:pos="8202" w:val="right" w:leader="none"/>
                      </w:tabs>
                      <w:spacing w:before="10"/>
                      <w:ind w:left="252" w:right="0" w:firstLine="0"/>
                      <w:jc w:val="left"/>
                      <w:rPr>
                        <w:sz w:val="20"/>
                      </w:rPr>
                    </w:pPr>
                    <w:r>
                      <w:rPr>
                        <w:sz w:val="20"/>
                      </w:rPr>
                      <w:t>Сердечная</w:t>
                    </w:r>
                    <w:r>
                      <w:rPr>
                        <w:spacing w:val="1"/>
                        <w:sz w:val="20"/>
                      </w:rPr>
                      <w:t> </w:t>
                    </w:r>
                    <w:r>
                      <w:rPr>
                        <w:sz w:val="20"/>
                      </w:rPr>
                      <w:t>недостаточность</w:t>
                      <w:tab/>
                      <w:t>3</w:t>
                    </w:r>
                  </w:p>
                  <w:p>
                    <w:pPr>
                      <w:tabs>
                        <w:tab w:pos="8202" w:val="right" w:leader="none"/>
                      </w:tabs>
                      <w:spacing w:before="10"/>
                      <w:ind w:left="252" w:right="0" w:firstLine="0"/>
                      <w:jc w:val="left"/>
                      <w:rPr>
                        <w:sz w:val="20"/>
                      </w:rPr>
                    </w:pPr>
                    <w:r>
                      <w:rPr>
                        <w:sz w:val="20"/>
                      </w:rPr>
                      <w:t>Один препарат с эффектом</w:t>
                    </w:r>
                    <w:r>
                      <w:rPr>
                        <w:spacing w:val="-2"/>
                        <w:sz w:val="20"/>
                      </w:rPr>
                      <w:t> </w:t>
                    </w:r>
                    <w:r>
                      <w:rPr>
                        <w:sz w:val="20"/>
                      </w:rPr>
                      <w:t>удлинения</w:t>
                    </w:r>
                    <w:r>
                      <w:rPr>
                        <w:spacing w:val="-1"/>
                        <w:sz w:val="20"/>
                      </w:rPr>
                      <w:t> </w:t>
                    </w:r>
                    <w:r>
                      <w:rPr>
                        <w:sz w:val="20"/>
                      </w:rPr>
                      <w:t>QT</w:t>
                      <w:tab/>
                      <w:t>3</w:t>
                    </w:r>
                  </w:p>
                  <w:p>
                    <w:pPr>
                      <w:tabs>
                        <w:tab w:pos="8202" w:val="right" w:leader="none"/>
                      </w:tabs>
                      <w:spacing w:before="10"/>
                      <w:ind w:left="252" w:right="0" w:firstLine="0"/>
                      <w:jc w:val="left"/>
                      <w:rPr>
                        <w:sz w:val="20"/>
                      </w:rPr>
                    </w:pPr>
                    <w:r>
                      <w:rPr>
                        <w:sz w:val="20"/>
                      </w:rPr>
                      <w:t>≥2 препаратов с эффектом удлинения</w:t>
                    </w:r>
                    <w:r>
                      <w:rPr>
                        <w:spacing w:val="-1"/>
                        <w:sz w:val="20"/>
                      </w:rPr>
                      <w:t> </w:t>
                    </w:r>
                    <w:r>
                      <w:rPr>
                        <w:sz w:val="20"/>
                      </w:rPr>
                      <w:t>QT</w:t>
                      <w:tab/>
                      <w:t>3</w:t>
                    </w:r>
                  </w:p>
                  <w:p>
                    <w:pPr>
                      <w:tabs>
                        <w:tab w:pos="8254" w:val="right" w:leader="none"/>
                      </w:tabs>
                      <w:spacing w:before="10"/>
                      <w:ind w:left="252" w:right="0" w:firstLine="0"/>
                      <w:jc w:val="left"/>
                      <w:rPr>
                        <w:sz w:val="20"/>
                      </w:rPr>
                    </w:pPr>
                    <w:r>
                      <w:rPr>
                        <w:sz w:val="20"/>
                      </w:rPr>
                      <w:t>Максимальный</w:t>
                    </w:r>
                    <w:r>
                      <w:rPr>
                        <w:spacing w:val="-2"/>
                        <w:sz w:val="20"/>
                      </w:rPr>
                      <w:t> </w:t>
                    </w:r>
                    <w:r>
                      <w:rPr>
                        <w:sz w:val="20"/>
                      </w:rPr>
                      <w:t>балл</w:t>
                      <w:tab/>
                      <w:t>21</w:t>
                    </w:r>
                  </w:p>
                </w:txbxContent>
              </v:textbox>
              <v:stroke dashstyle="solid"/>
              <w10:wrap type="none"/>
            </v:shape>
            <w10:wrap type="topAndBottom"/>
          </v:group>
        </w:pict>
      </w:r>
    </w:p>
    <w:p>
      <w:pPr>
        <w:pStyle w:val="BodyText"/>
        <w:spacing w:before="11"/>
        <w:ind w:left="0"/>
        <w:jc w:val="left"/>
        <w:rPr>
          <w:b/>
          <w:sz w:val="5"/>
        </w:rPr>
      </w:pPr>
    </w:p>
    <w:p>
      <w:pPr>
        <w:tabs>
          <w:tab w:pos="8553" w:val="left" w:leader="none"/>
        </w:tabs>
        <w:spacing w:line="240" w:lineRule="auto"/>
        <w:ind w:left="3561" w:right="0" w:firstLine="0"/>
        <w:rPr>
          <w:sz w:val="20"/>
        </w:rPr>
      </w:pPr>
      <w:r>
        <w:rPr>
          <w:sz w:val="20"/>
        </w:rPr>
        <w:drawing>
          <wp:inline distT="0" distB="0" distL="0" distR="0">
            <wp:extent cx="193262" cy="157162"/>
            <wp:effectExtent l="0" t="0" r="0" b="0"/>
            <wp:docPr id="51" name="image38.png"/>
            <wp:cNvGraphicFramePr>
              <a:graphicFrameLocks noChangeAspect="1"/>
            </wp:cNvGraphicFramePr>
            <a:graphic>
              <a:graphicData uri="http://schemas.openxmlformats.org/drawingml/2006/picture">
                <pic:pic>
                  <pic:nvPicPr>
                    <pic:cNvPr id="52" name="image38.png"/>
                    <pic:cNvPicPr/>
                  </pic:nvPicPr>
                  <pic:blipFill>
                    <a:blip r:embed="rId106" cstate="print"/>
                    <a:stretch>
                      <a:fillRect/>
                    </a:stretch>
                  </pic:blipFill>
                  <pic:spPr>
                    <a:xfrm>
                      <a:off x="0" y="0"/>
                      <a:ext cx="193262" cy="157162"/>
                    </a:xfrm>
                    <a:prstGeom prst="rect">
                      <a:avLst/>
                    </a:prstGeom>
                  </pic:spPr>
                </pic:pic>
              </a:graphicData>
            </a:graphic>
          </wp:inline>
        </w:drawing>
      </w:r>
      <w:r>
        <w:rPr>
          <w:sz w:val="20"/>
        </w:rPr>
      </w:r>
      <w:r>
        <w:rPr>
          <w:sz w:val="20"/>
        </w:rPr>
        <w:tab/>
      </w:r>
      <w:r>
        <w:rPr>
          <w:sz w:val="20"/>
        </w:rPr>
        <w:drawing>
          <wp:inline distT="0" distB="0" distL="0" distR="0">
            <wp:extent cx="193262" cy="157162"/>
            <wp:effectExtent l="0" t="0" r="0" b="0"/>
            <wp:docPr id="53" name="image39.png"/>
            <wp:cNvGraphicFramePr>
              <a:graphicFrameLocks noChangeAspect="1"/>
            </wp:cNvGraphicFramePr>
            <a:graphic>
              <a:graphicData uri="http://schemas.openxmlformats.org/drawingml/2006/picture">
                <pic:pic>
                  <pic:nvPicPr>
                    <pic:cNvPr id="54" name="image39.png"/>
                    <pic:cNvPicPr/>
                  </pic:nvPicPr>
                  <pic:blipFill>
                    <a:blip r:embed="rId107" cstate="print"/>
                    <a:stretch>
                      <a:fillRect/>
                    </a:stretch>
                  </pic:blipFill>
                  <pic:spPr>
                    <a:xfrm>
                      <a:off x="0" y="0"/>
                      <a:ext cx="193262" cy="157162"/>
                    </a:xfrm>
                    <a:prstGeom prst="rect">
                      <a:avLst/>
                    </a:prstGeom>
                  </pic:spPr>
                </pic:pic>
              </a:graphicData>
            </a:graphic>
          </wp:inline>
        </w:drawing>
      </w:r>
      <w:r>
        <w:rPr>
          <w:sz w:val="20"/>
        </w:rPr>
      </w:r>
    </w:p>
    <w:p>
      <w:pPr>
        <w:spacing w:after="0" w:line="240" w:lineRule="auto"/>
        <w:rPr>
          <w:sz w:val="20"/>
        </w:rPr>
        <w:sectPr>
          <w:footerReference w:type="default" r:id="rId102"/>
          <w:pgSz w:w="11920" w:h="16850"/>
          <w:pgMar w:footer="956" w:header="0" w:top="1220" w:bottom="1140" w:left="960" w:right="480"/>
          <w:pgNumType w:start="219"/>
        </w:sectPr>
      </w:pPr>
    </w:p>
    <w:p>
      <w:pPr>
        <w:spacing w:before="79"/>
        <w:ind w:left="172" w:right="365" w:firstLine="0"/>
        <w:jc w:val="both"/>
        <w:rPr>
          <w:sz w:val="22"/>
        </w:rPr>
      </w:pPr>
      <w:r>
        <w:rPr>
          <w:b/>
          <w:sz w:val="22"/>
        </w:rPr>
        <w:t>Цель</w:t>
      </w:r>
      <w:r>
        <w:rPr>
          <w:b/>
          <w:spacing w:val="-7"/>
          <w:sz w:val="22"/>
        </w:rPr>
        <w:t> </w:t>
      </w:r>
      <w:r>
        <w:rPr>
          <w:b/>
          <w:sz w:val="22"/>
        </w:rPr>
        <w:t>применения</w:t>
      </w:r>
      <w:r>
        <w:rPr>
          <w:b/>
          <w:spacing w:val="-8"/>
          <w:sz w:val="22"/>
        </w:rPr>
        <w:t> </w:t>
      </w:r>
      <w:r>
        <w:rPr>
          <w:b/>
          <w:sz w:val="22"/>
        </w:rPr>
        <w:t>алгоритма:</w:t>
      </w:r>
      <w:r>
        <w:rPr>
          <w:b/>
          <w:spacing w:val="-9"/>
          <w:sz w:val="22"/>
        </w:rPr>
        <w:t> </w:t>
      </w:r>
      <w:r>
        <w:rPr>
          <w:sz w:val="22"/>
        </w:rPr>
        <w:t>стратифицировать</w:t>
      </w:r>
      <w:r>
        <w:rPr>
          <w:spacing w:val="-10"/>
          <w:sz w:val="22"/>
        </w:rPr>
        <w:t> </w:t>
      </w:r>
      <w:r>
        <w:rPr>
          <w:sz w:val="22"/>
        </w:rPr>
        <w:t>и</w:t>
      </w:r>
      <w:r>
        <w:rPr>
          <w:spacing w:val="-8"/>
          <w:sz w:val="22"/>
        </w:rPr>
        <w:t> </w:t>
      </w:r>
      <w:r>
        <w:rPr>
          <w:sz w:val="22"/>
        </w:rPr>
        <w:t>исключить</w:t>
      </w:r>
      <w:r>
        <w:rPr>
          <w:spacing w:val="-8"/>
          <w:sz w:val="22"/>
        </w:rPr>
        <w:t> </w:t>
      </w:r>
      <w:r>
        <w:rPr>
          <w:sz w:val="22"/>
        </w:rPr>
        <w:t>амбулаторных</w:t>
      </w:r>
      <w:r>
        <w:rPr>
          <w:spacing w:val="-7"/>
          <w:sz w:val="22"/>
        </w:rPr>
        <w:t> </w:t>
      </w:r>
      <w:r>
        <w:rPr>
          <w:sz w:val="22"/>
        </w:rPr>
        <w:t>пациентов</w:t>
      </w:r>
      <w:r>
        <w:rPr>
          <w:spacing w:val="-9"/>
          <w:sz w:val="22"/>
        </w:rPr>
        <w:t> </w:t>
      </w:r>
      <w:r>
        <w:rPr>
          <w:sz w:val="22"/>
        </w:rPr>
        <w:t>с</w:t>
      </w:r>
      <w:r>
        <w:rPr>
          <w:spacing w:val="-7"/>
          <w:sz w:val="22"/>
        </w:rPr>
        <w:t> </w:t>
      </w:r>
      <w:r>
        <w:rPr>
          <w:sz w:val="22"/>
        </w:rPr>
        <w:t>потенциально более высоким риском развития тяжелых жизнеугрожающих нарушений ритма в условиях карантина     и ограниченности ресурсов (отсутствие возможности контроля ЭКГ и контроля электролитов в</w:t>
      </w:r>
      <w:r>
        <w:rPr>
          <w:spacing w:val="-26"/>
          <w:sz w:val="22"/>
        </w:rPr>
        <w:t> </w:t>
      </w:r>
      <w:r>
        <w:rPr>
          <w:sz w:val="22"/>
        </w:rPr>
        <w:t>плазме).</w:t>
      </w:r>
    </w:p>
    <w:p>
      <w:pPr>
        <w:pStyle w:val="BodyText"/>
        <w:spacing w:before="1"/>
        <w:ind w:left="0"/>
        <w:jc w:val="left"/>
        <w:rPr>
          <w:sz w:val="22"/>
        </w:rPr>
      </w:pPr>
    </w:p>
    <w:p>
      <w:pPr>
        <w:spacing w:line="253" w:lineRule="exact" w:before="0"/>
        <w:ind w:left="172" w:right="0" w:firstLine="0"/>
        <w:jc w:val="both"/>
        <w:rPr>
          <w:b/>
          <w:sz w:val="22"/>
        </w:rPr>
      </w:pPr>
      <w:r>
        <w:rPr>
          <w:b/>
          <w:sz w:val="22"/>
        </w:rPr>
        <w:t>Инструкция к алгоритму.</w:t>
      </w:r>
    </w:p>
    <w:p>
      <w:pPr>
        <w:pStyle w:val="ListParagraph"/>
        <w:numPr>
          <w:ilvl w:val="0"/>
          <w:numId w:val="69"/>
        </w:numPr>
        <w:tabs>
          <w:tab w:pos="893" w:val="left" w:leader="none"/>
        </w:tabs>
        <w:spacing w:line="240" w:lineRule="auto" w:before="0" w:after="0"/>
        <w:ind w:left="892" w:right="364" w:hanging="361"/>
        <w:jc w:val="both"/>
        <w:rPr>
          <w:sz w:val="22"/>
        </w:rPr>
      </w:pPr>
      <w:r>
        <w:rPr>
          <w:sz w:val="22"/>
        </w:rPr>
        <w:t>Шаг 1. Обязательная оценка риска по шкале Тисдейла</w:t>
      </w:r>
      <w:hyperlink w:history="true" w:anchor="_bookmark66">
        <w:r>
          <w:rPr>
            <w:sz w:val="22"/>
            <w:vertAlign w:val="superscript"/>
          </w:rPr>
          <w:t>1</w:t>
        </w:r>
        <w:r>
          <w:rPr>
            <w:sz w:val="22"/>
            <w:vertAlign w:val="baseline"/>
          </w:rPr>
          <w:t> </w:t>
        </w:r>
      </w:hyperlink>
      <w:r>
        <w:rPr>
          <w:sz w:val="22"/>
          <w:vertAlign w:val="baseline"/>
        </w:rPr>
        <w:t>всем амбулаторным пациентам перед назначением</w:t>
      </w:r>
      <w:r>
        <w:rPr>
          <w:spacing w:val="-2"/>
          <w:sz w:val="22"/>
          <w:vertAlign w:val="baseline"/>
        </w:rPr>
        <w:t> </w:t>
      </w:r>
      <w:r>
        <w:rPr>
          <w:sz w:val="22"/>
          <w:vertAlign w:val="baseline"/>
        </w:rPr>
        <w:t>гидроксихлорохина.</w:t>
      </w:r>
    </w:p>
    <w:p>
      <w:pPr>
        <w:pStyle w:val="ListParagraph"/>
        <w:numPr>
          <w:ilvl w:val="1"/>
          <w:numId w:val="69"/>
        </w:numPr>
        <w:tabs>
          <w:tab w:pos="1527" w:val="left" w:leader="none"/>
        </w:tabs>
        <w:spacing w:line="269" w:lineRule="exact" w:before="1" w:after="0"/>
        <w:ind w:left="1526" w:right="0" w:hanging="361"/>
        <w:jc w:val="both"/>
        <w:rPr>
          <w:sz w:val="22"/>
        </w:rPr>
      </w:pPr>
      <w:r>
        <w:rPr>
          <w:sz w:val="22"/>
        </w:rPr>
        <w:t>Решение В – при умеренном и высоком риске по шкале Тисдейла (7 и более</w:t>
      </w:r>
      <w:r>
        <w:rPr>
          <w:spacing w:val="-17"/>
          <w:sz w:val="22"/>
        </w:rPr>
        <w:t> </w:t>
      </w:r>
      <w:r>
        <w:rPr>
          <w:sz w:val="22"/>
        </w:rPr>
        <w:t>баллов).</w:t>
      </w:r>
    </w:p>
    <w:p>
      <w:pPr>
        <w:pStyle w:val="ListParagraph"/>
        <w:numPr>
          <w:ilvl w:val="0"/>
          <w:numId w:val="69"/>
        </w:numPr>
        <w:tabs>
          <w:tab w:pos="893" w:val="left" w:leader="none"/>
        </w:tabs>
        <w:spacing w:line="240" w:lineRule="auto" w:before="0" w:after="0"/>
        <w:ind w:left="892" w:right="364" w:hanging="360"/>
        <w:jc w:val="both"/>
        <w:rPr>
          <w:sz w:val="22"/>
        </w:rPr>
      </w:pPr>
      <w:r>
        <w:rPr>
          <w:sz w:val="22"/>
        </w:rPr>
        <w:t>Шаг</w:t>
      </w:r>
      <w:r>
        <w:rPr>
          <w:spacing w:val="-16"/>
          <w:sz w:val="22"/>
        </w:rPr>
        <w:t> </w:t>
      </w:r>
      <w:r>
        <w:rPr>
          <w:sz w:val="22"/>
        </w:rPr>
        <w:t>2.</w:t>
      </w:r>
      <w:r>
        <w:rPr>
          <w:spacing w:val="-16"/>
          <w:sz w:val="22"/>
        </w:rPr>
        <w:t> </w:t>
      </w:r>
      <w:r>
        <w:rPr>
          <w:sz w:val="22"/>
        </w:rPr>
        <w:t>При</w:t>
      </w:r>
      <w:r>
        <w:rPr>
          <w:spacing w:val="-16"/>
          <w:sz w:val="22"/>
        </w:rPr>
        <w:t> </w:t>
      </w:r>
      <w:r>
        <w:rPr>
          <w:sz w:val="22"/>
        </w:rPr>
        <w:t>низком</w:t>
      </w:r>
      <w:r>
        <w:rPr>
          <w:spacing w:val="-16"/>
          <w:sz w:val="22"/>
        </w:rPr>
        <w:t> </w:t>
      </w:r>
      <w:r>
        <w:rPr>
          <w:sz w:val="22"/>
        </w:rPr>
        <w:t>риске</w:t>
      </w:r>
      <w:r>
        <w:rPr>
          <w:spacing w:val="-18"/>
          <w:sz w:val="22"/>
        </w:rPr>
        <w:t> </w:t>
      </w:r>
      <w:r>
        <w:rPr>
          <w:sz w:val="22"/>
        </w:rPr>
        <w:t>по</w:t>
      </w:r>
      <w:r>
        <w:rPr>
          <w:spacing w:val="-16"/>
          <w:sz w:val="22"/>
        </w:rPr>
        <w:t> </w:t>
      </w:r>
      <w:r>
        <w:rPr>
          <w:sz w:val="22"/>
        </w:rPr>
        <w:t>шкале</w:t>
      </w:r>
      <w:r>
        <w:rPr>
          <w:spacing w:val="-15"/>
          <w:sz w:val="22"/>
        </w:rPr>
        <w:t> </w:t>
      </w:r>
      <w:r>
        <w:rPr>
          <w:sz w:val="22"/>
        </w:rPr>
        <w:t>Тисдейла</w:t>
      </w:r>
      <w:r>
        <w:rPr>
          <w:spacing w:val="-15"/>
          <w:sz w:val="22"/>
        </w:rPr>
        <w:t> </w:t>
      </w:r>
      <w:r>
        <w:rPr>
          <w:sz w:val="22"/>
        </w:rPr>
        <w:t>(≤</w:t>
      </w:r>
      <w:r>
        <w:rPr>
          <w:spacing w:val="-14"/>
          <w:sz w:val="22"/>
        </w:rPr>
        <w:t> </w:t>
      </w:r>
      <w:r>
        <w:rPr>
          <w:sz w:val="22"/>
        </w:rPr>
        <w:t>6</w:t>
      </w:r>
      <w:r>
        <w:rPr>
          <w:spacing w:val="-16"/>
          <w:sz w:val="22"/>
        </w:rPr>
        <w:t> </w:t>
      </w:r>
      <w:r>
        <w:rPr>
          <w:sz w:val="22"/>
        </w:rPr>
        <w:t>баллов)</w:t>
      </w:r>
      <w:r>
        <w:rPr>
          <w:spacing w:val="-15"/>
          <w:sz w:val="22"/>
        </w:rPr>
        <w:t> </w:t>
      </w:r>
      <w:r>
        <w:rPr>
          <w:sz w:val="22"/>
        </w:rPr>
        <w:t>обязательное</w:t>
      </w:r>
      <w:r>
        <w:rPr>
          <w:spacing w:val="-15"/>
          <w:sz w:val="22"/>
        </w:rPr>
        <w:t> </w:t>
      </w:r>
      <w:r>
        <w:rPr>
          <w:sz w:val="22"/>
        </w:rPr>
        <w:t>заполнение</w:t>
      </w:r>
      <w:r>
        <w:rPr>
          <w:spacing w:val="-15"/>
          <w:sz w:val="22"/>
        </w:rPr>
        <w:t> </w:t>
      </w:r>
      <w:r>
        <w:rPr>
          <w:sz w:val="22"/>
        </w:rPr>
        <w:t>всем</w:t>
      </w:r>
      <w:r>
        <w:rPr>
          <w:spacing w:val="-16"/>
          <w:sz w:val="22"/>
        </w:rPr>
        <w:t> </w:t>
      </w:r>
      <w:r>
        <w:rPr>
          <w:sz w:val="22"/>
        </w:rPr>
        <w:t>пациентам модифицированного чек-листа наличия/отсутствия дополнительных факторов риска удлинения интервала</w:t>
      </w:r>
      <w:r>
        <w:rPr>
          <w:spacing w:val="-1"/>
          <w:sz w:val="22"/>
        </w:rPr>
        <w:t> </w:t>
      </w:r>
      <w:r>
        <w:rPr>
          <w:sz w:val="22"/>
        </w:rPr>
        <w:t>QT.</w:t>
      </w:r>
    </w:p>
    <w:p>
      <w:pPr>
        <w:pStyle w:val="ListParagraph"/>
        <w:numPr>
          <w:ilvl w:val="1"/>
          <w:numId w:val="69"/>
        </w:numPr>
        <w:tabs>
          <w:tab w:pos="1527" w:val="left" w:leader="none"/>
        </w:tabs>
        <w:spacing w:line="269" w:lineRule="exact" w:before="0" w:after="0"/>
        <w:ind w:left="1526" w:right="0" w:hanging="361"/>
        <w:jc w:val="both"/>
        <w:rPr>
          <w:sz w:val="22"/>
        </w:rPr>
      </w:pPr>
      <w:r>
        <w:rPr>
          <w:sz w:val="22"/>
        </w:rPr>
        <w:t>Решение А - при отсутствии дополнительных факторов риска удлинения интервала</w:t>
      </w:r>
      <w:r>
        <w:rPr>
          <w:spacing w:val="-19"/>
          <w:sz w:val="22"/>
        </w:rPr>
        <w:t> </w:t>
      </w:r>
      <w:r>
        <w:rPr>
          <w:sz w:val="22"/>
        </w:rPr>
        <w:t>QT.</w:t>
      </w:r>
    </w:p>
    <w:p>
      <w:pPr>
        <w:pStyle w:val="ListParagraph"/>
        <w:numPr>
          <w:ilvl w:val="1"/>
          <w:numId w:val="69"/>
        </w:numPr>
        <w:tabs>
          <w:tab w:pos="1527" w:val="left" w:leader="none"/>
        </w:tabs>
        <w:spacing w:line="269" w:lineRule="exact" w:before="0" w:after="0"/>
        <w:ind w:left="1526" w:right="0" w:hanging="361"/>
        <w:jc w:val="both"/>
        <w:rPr>
          <w:sz w:val="22"/>
        </w:rPr>
      </w:pPr>
      <w:r>
        <w:rPr>
          <w:sz w:val="22"/>
        </w:rPr>
        <w:t>Решение В - наличии дополнительных факторов риска удлинения интервала</w:t>
      </w:r>
      <w:r>
        <w:rPr>
          <w:spacing w:val="-17"/>
          <w:sz w:val="22"/>
        </w:rPr>
        <w:t> </w:t>
      </w:r>
      <w:r>
        <w:rPr>
          <w:sz w:val="22"/>
        </w:rPr>
        <w:t>QT.</w:t>
      </w: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14"/>
        </w:rPr>
      </w:pPr>
      <w:r>
        <w:rPr/>
        <w:pict>
          <v:rect style="position:absolute;margin-left:56.639999pt;margin-top:10.035098pt;width:144pt;height:.72pt;mso-position-horizontal-relative:page;mso-position-vertical-relative:paragraph;z-index:-15706624;mso-wrap-distance-left:0;mso-wrap-distance-right:0" filled="true" fillcolor="#000000" stroked="false">
            <v:fill type="solid"/>
            <w10:wrap type="topAndBottom"/>
          </v:rect>
        </w:pict>
      </w:r>
    </w:p>
    <w:p>
      <w:pPr>
        <w:pStyle w:val="BodyText"/>
        <w:spacing w:before="5"/>
        <w:ind w:left="0"/>
        <w:jc w:val="left"/>
        <w:rPr>
          <w:sz w:val="6"/>
        </w:rPr>
      </w:pPr>
    </w:p>
    <w:p>
      <w:pPr>
        <w:spacing w:before="99"/>
        <w:ind w:left="172" w:right="364" w:firstLine="707"/>
        <w:jc w:val="both"/>
        <w:rPr>
          <w:sz w:val="20"/>
        </w:rPr>
      </w:pPr>
      <w:bookmarkStart w:name="_bookmark66" w:id="470"/>
      <w:bookmarkEnd w:id="470"/>
      <w:r>
        <w:rPr/>
      </w:r>
      <w:r>
        <w:rPr>
          <w:sz w:val="20"/>
          <w:vertAlign w:val="superscript"/>
        </w:rPr>
        <w:t>1</w:t>
      </w:r>
      <w:r>
        <w:rPr>
          <w:sz w:val="20"/>
          <w:vertAlign w:val="baseline"/>
        </w:rPr>
        <w:t> C учетом наличия в шкале оценки лекарственно-ассоциированного удлинения интервала QT Тисдейла признаков, которые зачастую недоступны для корректной оценки в амбулаторных условиях (сывороточный калий, исходный QTc), недостаточные доказательства эффективности терапии COVID-19 гидроксихлорохином, относительно высокую частоту развития кардиальных осложнений, рекомендации по ограничению амбулаторного применения гидроксихлорохина при COVID-19 со стороны ряда регуляторных органов и профессиональных сообществ (FDA, и Heart Rhythm Society) экспертами ФармакоCOVID предлагается: при отсутствии возможности оценки какого-либо фактора из шкалы Тисдейла, следует считать этот фактор положительным и присвоить соответствующий балл.</w:t>
      </w:r>
    </w:p>
    <w:p>
      <w:pPr>
        <w:spacing w:after="0"/>
        <w:jc w:val="both"/>
        <w:rPr>
          <w:sz w:val="20"/>
        </w:rPr>
        <w:sectPr>
          <w:pgSz w:w="11920" w:h="16850"/>
          <w:pgMar w:header="0" w:footer="956" w:top="960" w:bottom="1140" w:left="960" w:right="480"/>
        </w:sectPr>
      </w:pPr>
    </w:p>
    <w:p>
      <w:pPr>
        <w:pStyle w:val="Heading3"/>
        <w:spacing w:before="60"/>
        <w:ind w:left="0" w:right="371"/>
        <w:jc w:val="right"/>
      </w:pPr>
      <w:bookmarkStart w:name="Приложение 12" w:id="471"/>
      <w:bookmarkEnd w:id="471"/>
      <w:r>
        <w:rPr>
          <w:b w:val="0"/>
        </w:rPr>
      </w:r>
      <w:bookmarkStart w:name="_bookmark67" w:id="472"/>
      <w:bookmarkEnd w:id="472"/>
      <w:r>
        <w:rPr>
          <w:b w:val="0"/>
        </w:rPr>
      </w:r>
      <w:r>
        <w:rPr>
          <w:color w:val="1F487C"/>
        </w:rPr>
        <w:t>Приложение 12</w:t>
      </w:r>
    </w:p>
    <w:p>
      <w:pPr>
        <w:spacing w:before="141"/>
        <w:ind w:left="1333" w:right="1532" w:firstLine="0"/>
        <w:jc w:val="center"/>
        <w:rPr>
          <w:b/>
          <w:sz w:val="24"/>
        </w:rPr>
      </w:pPr>
      <w:r>
        <w:rPr>
          <w:b/>
          <w:sz w:val="24"/>
        </w:rPr>
        <w:t>Рекомендованные схемы медикаментозной профилактики COVID-19</w:t>
      </w:r>
    </w:p>
    <w:p>
      <w:pPr>
        <w:pStyle w:val="BodyText"/>
        <w:spacing w:before="1"/>
        <w:ind w:left="0"/>
        <w:jc w:val="left"/>
        <w:rPr>
          <w:b/>
        </w:rPr>
      </w:pPr>
    </w:p>
    <w:tbl>
      <w:tblPr>
        <w:tblW w:w="0" w:type="auto"/>
        <w:jc w:val="left"/>
        <w:tblInd w:w="7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3118"/>
        <w:gridCol w:w="6519"/>
      </w:tblGrid>
      <w:tr>
        <w:trPr>
          <w:trHeight w:val="518" w:hRule="atLeast"/>
        </w:trPr>
        <w:tc>
          <w:tcPr>
            <w:tcW w:w="3118" w:type="dxa"/>
            <w:shd w:val="clear" w:color="auto" w:fill="F1F1F1"/>
          </w:tcPr>
          <w:p>
            <w:pPr>
              <w:pStyle w:val="TableParagraph"/>
              <w:spacing w:before="128"/>
              <w:ind w:left="1171" w:right="1160"/>
              <w:jc w:val="center"/>
              <w:rPr>
                <w:b/>
                <w:sz w:val="22"/>
              </w:rPr>
            </w:pPr>
            <w:r>
              <w:rPr>
                <w:b/>
                <w:sz w:val="22"/>
              </w:rPr>
              <w:t>Группа</w:t>
            </w:r>
          </w:p>
        </w:tc>
        <w:tc>
          <w:tcPr>
            <w:tcW w:w="6519" w:type="dxa"/>
            <w:shd w:val="clear" w:color="auto" w:fill="F1F1F1"/>
          </w:tcPr>
          <w:p>
            <w:pPr>
              <w:pStyle w:val="TableParagraph"/>
              <w:spacing w:before="128"/>
              <w:ind w:left="1667"/>
              <w:rPr>
                <w:b/>
                <w:sz w:val="22"/>
              </w:rPr>
            </w:pPr>
            <w:r>
              <w:rPr>
                <w:b/>
                <w:sz w:val="22"/>
              </w:rPr>
              <w:t>Рекомендованная схема*</w:t>
            </w:r>
          </w:p>
        </w:tc>
      </w:tr>
      <w:tr>
        <w:trPr>
          <w:trHeight w:val="2850" w:hRule="atLeast"/>
        </w:trPr>
        <w:tc>
          <w:tcPr>
            <w:tcW w:w="3118" w:type="dxa"/>
          </w:tcPr>
          <w:p>
            <w:pPr>
              <w:pStyle w:val="TableParagraph"/>
              <w:ind w:left="107" w:right="90"/>
              <w:rPr>
                <w:sz w:val="22"/>
              </w:rPr>
            </w:pPr>
            <w:r>
              <w:rPr>
                <w:sz w:val="22"/>
              </w:rPr>
              <w:t>Здоровые лица и лица из группы риска (старше 60 лет или с сопутствующими хроническими заболеваниями)</w:t>
            </w:r>
          </w:p>
        </w:tc>
        <w:tc>
          <w:tcPr>
            <w:tcW w:w="6519" w:type="dxa"/>
          </w:tcPr>
          <w:p>
            <w:pPr>
              <w:pStyle w:val="TableParagraph"/>
              <w:spacing w:before="1"/>
              <w:rPr>
                <w:b/>
                <w:sz w:val="20"/>
              </w:rPr>
            </w:pPr>
          </w:p>
          <w:p>
            <w:pPr>
              <w:pStyle w:val="TableParagraph"/>
              <w:ind w:left="294"/>
              <w:rPr>
                <w:b/>
                <w:sz w:val="22"/>
              </w:rPr>
            </w:pPr>
            <w:r>
              <w:rPr>
                <w:b/>
                <w:sz w:val="22"/>
              </w:rPr>
              <w:t>Рекомбинантный ИФН-α</w:t>
            </w:r>
          </w:p>
          <w:p>
            <w:pPr>
              <w:pStyle w:val="TableParagraph"/>
              <w:spacing w:before="13"/>
              <w:ind w:left="294" w:right="482"/>
              <w:rPr>
                <w:sz w:val="22"/>
              </w:rPr>
            </w:pPr>
            <w:r>
              <w:rPr>
                <w:sz w:val="22"/>
              </w:rPr>
              <w:t>Капли или спрей в каждый носовой ход 1 раз утром (разовая доза – 3000 ME с интервалом 24-48 часов</w:t>
            </w:r>
          </w:p>
          <w:p>
            <w:pPr>
              <w:pStyle w:val="TableParagraph"/>
              <w:spacing w:before="8"/>
              <w:rPr>
                <w:b/>
                <w:sz w:val="24"/>
              </w:rPr>
            </w:pPr>
          </w:p>
          <w:p>
            <w:pPr>
              <w:pStyle w:val="TableParagraph"/>
              <w:ind w:left="294"/>
              <w:rPr>
                <w:sz w:val="22"/>
              </w:rPr>
            </w:pPr>
            <w:r>
              <w:rPr>
                <w:sz w:val="22"/>
              </w:rPr>
              <w:t>ИЛИ</w:t>
            </w:r>
          </w:p>
          <w:p>
            <w:pPr>
              <w:pStyle w:val="TableParagraph"/>
              <w:spacing w:line="534" w:lineRule="exact" w:before="58"/>
              <w:ind w:left="306" w:right="621" w:hanging="13"/>
              <w:rPr>
                <w:sz w:val="22"/>
              </w:rPr>
            </w:pPr>
            <w:r>
              <w:rPr>
                <w:b/>
                <w:sz w:val="22"/>
              </w:rPr>
              <w:t>Умифеновир </w:t>
            </w:r>
            <w:r>
              <w:rPr>
                <w:sz w:val="22"/>
              </w:rPr>
              <w:t>по 200 мг 2 раза в неделю в течение 3 недель При необходимости профилактические курсы повторяют.</w:t>
            </w:r>
          </w:p>
        </w:tc>
      </w:tr>
      <w:tr>
        <w:trPr>
          <w:trHeight w:val="3813" w:hRule="atLeast"/>
        </w:trPr>
        <w:tc>
          <w:tcPr>
            <w:tcW w:w="3118" w:type="dxa"/>
            <w:shd w:val="clear" w:color="auto" w:fill="F1F1F1"/>
          </w:tcPr>
          <w:p>
            <w:pPr>
              <w:pStyle w:val="TableParagraph"/>
              <w:ind w:left="107" w:right="99"/>
              <w:rPr>
                <w:sz w:val="22"/>
              </w:rPr>
            </w:pPr>
            <w:r>
              <w:rPr>
                <w:sz w:val="22"/>
              </w:rPr>
              <w:t>Постконтактная профилактика у лиц при единичном контакте с подтвержденным случаем COVID-19, включая медицинских работников</w:t>
            </w:r>
          </w:p>
        </w:tc>
        <w:tc>
          <w:tcPr>
            <w:tcW w:w="6519" w:type="dxa"/>
            <w:shd w:val="clear" w:color="auto" w:fill="F1F1F1"/>
          </w:tcPr>
          <w:p>
            <w:pPr>
              <w:pStyle w:val="TableParagraph"/>
              <w:rPr>
                <w:b/>
                <w:sz w:val="19"/>
              </w:rPr>
            </w:pPr>
          </w:p>
          <w:p>
            <w:pPr>
              <w:pStyle w:val="TableParagraph"/>
              <w:spacing w:line="252" w:lineRule="exact"/>
              <w:ind w:left="282"/>
              <w:rPr>
                <w:b/>
                <w:sz w:val="22"/>
              </w:rPr>
            </w:pPr>
            <w:r>
              <w:rPr>
                <w:b/>
                <w:sz w:val="22"/>
              </w:rPr>
              <w:t>Гидроксихлорохин</w:t>
            </w:r>
          </w:p>
          <w:p>
            <w:pPr>
              <w:pStyle w:val="TableParagraph"/>
              <w:spacing w:line="252" w:lineRule="exact"/>
              <w:ind w:left="282"/>
              <w:rPr>
                <w:sz w:val="22"/>
              </w:rPr>
            </w:pPr>
            <w:r>
              <w:rPr>
                <w:sz w:val="22"/>
              </w:rPr>
              <w:t>1-й день: 200 мг 2 раза (утро, вечер),</w:t>
            </w:r>
          </w:p>
          <w:p>
            <w:pPr>
              <w:pStyle w:val="TableParagraph"/>
              <w:spacing w:line="480" w:lineRule="auto"/>
              <w:ind w:left="282" w:right="1447"/>
              <w:rPr>
                <w:sz w:val="22"/>
              </w:rPr>
            </w:pPr>
            <w:r>
              <w:rPr>
                <w:sz w:val="22"/>
              </w:rPr>
              <w:t>далее по 200 мг 1 раз в неделю в течение 3 недель; ИЛИ</w:t>
            </w:r>
          </w:p>
          <w:p>
            <w:pPr>
              <w:pStyle w:val="TableParagraph"/>
              <w:spacing w:before="3"/>
              <w:ind w:left="294"/>
              <w:rPr>
                <w:b/>
                <w:sz w:val="22"/>
              </w:rPr>
            </w:pPr>
            <w:r>
              <w:rPr>
                <w:b/>
                <w:sz w:val="22"/>
              </w:rPr>
              <w:t>Рекомбинантный ИФН-α</w:t>
            </w:r>
          </w:p>
          <w:p>
            <w:pPr>
              <w:pStyle w:val="TableParagraph"/>
              <w:spacing w:line="244" w:lineRule="auto" w:before="11"/>
              <w:ind w:left="294" w:right="1487"/>
              <w:rPr>
                <w:sz w:val="22"/>
              </w:rPr>
            </w:pPr>
            <w:r>
              <w:rPr>
                <w:sz w:val="22"/>
              </w:rPr>
              <w:t>Капли или спрей в каждый носовой ход 2 р/сут (разовая доза 3000 ME, суточная доза – 6000 ME).</w:t>
            </w:r>
          </w:p>
          <w:p>
            <w:pPr>
              <w:pStyle w:val="TableParagraph"/>
              <w:spacing w:before="7"/>
              <w:ind w:left="294"/>
              <w:rPr>
                <w:b/>
                <w:sz w:val="22"/>
              </w:rPr>
            </w:pPr>
            <w:r>
              <w:rPr>
                <w:b/>
                <w:w w:val="100"/>
                <w:sz w:val="22"/>
              </w:rPr>
              <w:t>+</w:t>
            </w:r>
          </w:p>
          <w:p>
            <w:pPr>
              <w:pStyle w:val="TableParagraph"/>
              <w:spacing w:before="14"/>
              <w:ind w:left="294"/>
              <w:rPr>
                <w:sz w:val="22"/>
              </w:rPr>
            </w:pPr>
            <w:r>
              <w:rPr>
                <w:b/>
                <w:sz w:val="22"/>
              </w:rPr>
              <w:t>Умифеновир </w:t>
            </w:r>
            <w:r>
              <w:rPr>
                <w:sz w:val="22"/>
              </w:rPr>
              <w:t>по 200 мг 1 раз в день в течение 10-14</w:t>
            </w:r>
            <w:r>
              <w:rPr>
                <w:spacing w:val="-15"/>
                <w:sz w:val="22"/>
              </w:rPr>
              <w:t> </w:t>
            </w:r>
            <w:r>
              <w:rPr>
                <w:sz w:val="22"/>
              </w:rPr>
              <w:t>дней</w:t>
            </w:r>
          </w:p>
          <w:p>
            <w:pPr>
              <w:pStyle w:val="TableParagraph"/>
              <w:spacing w:before="6"/>
              <w:rPr>
                <w:b/>
                <w:sz w:val="24"/>
              </w:rPr>
            </w:pPr>
          </w:p>
          <w:p>
            <w:pPr>
              <w:pStyle w:val="TableParagraph"/>
              <w:ind w:left="294"/>
              <w:rPr>
                <w:sz w:val="22"/>
              </w:rPr>
            </w:pPr>
            <w:r>
              <w:rPr>
                <w:sz w:val="22"/>
              </w:rPr>
              <w:t>При необходимости профилактические курсы</w:t>
            </w:r>
            <w:r>
              <w:rPr>
                <w:spacing w:val="-15"/>
                <w:sz w:val="22"/>
              </w:rPr>
              <w:t> </w:t>
            </w:r>
            <w:r>
              <w:rPr>
                <w:sz w:val="22"/>
              </w:rPr>
              <w:t>повторяют.</w:t>
            </w:r>
          </w:p>
        </w:tc>
      </w:tr>
    </w:tbl>
    <w:p>
      <w:pPr>
        <w:pStyle w:val="BodyText"/>
        <w:spacing w:before="11"/>
        <w:ind w:left="0"/>
        <w:jc w:val="left"/>
        <w:rPr>
          <w:b/>
          <w:sz w:val="30"/>
        </w:rPr>
      </w:pPr>
    </w:p>
    <w:p>
      <w:pPr>
        <w:spacing w:before="0"/>
        <w:ind w:left="1024" w:right="0" w:firstLine="0"/>
        <w:jc w:val="left"/>
        <w:rPr>
          <w:sz w:val="22"/>
        </w:rPr>
      </w:pPr>
      <w:r>
        <w:rPr>
          <w:sz w:val="22"/>
        </w:rPr>
        <w:t>* При необходимости профилактические курсы повторяют</w:t>
      </w:r>
    </w:p>
    <w:p>
      <w:pPr>
        <w:spacing w:after="0"/>
        <w:jc w:val="left"/>
        <w:rPr>
          <w:sz w:val="22"/>
        </w:rPr>
        <w:sectPr>
          <w:pgSz w:w="11920" w:h="16850"/>
          <w:pgMar w:header="0" w:footer="956" w:top="980" w:bottom="1180" w:left="960" w:right="480"/>
        </w:sectPr>
      </w:pPr>
    </w:p>
    <w:p>
      <w:pPr>
        <w:pStyle w:val="Heading3"/>
        <w:spacing w:before="60"/>
        <w:ind w:left="0" w:right="371"/>
        <w:jc w:val="right"/>
      </w:pPr>
      <w:bookmarkStart w:name="Приложение 13" w:id="473"/>
      <w:bookmarkEnd w:id="473"/>
      <w:r>
        <w:rPr>
          <w:b w:val="0"/>
        </w:rPr>
      </w:r>
      <w:bookmarkStart w:name="_bookmark68" w:id="474"/>
      <w:bookmarkEnd w:id="474"/>
      <w:r>
        <w:rPr>
          <w:b w:val="0"/>
        </w:rPr>
      </w:r>
      <w:r>
        <w:rPr>
          <w:color w:val="1F487C"/>
        </w:rPr>
        <w:t>Приложение 13</w:t>
      </w:r>
    </w:p>
    <w:p>
      <w:pPr>
        <w:spacing w:before="141"/>
        <w:ind w:left="1333" w:right="1524" w:firstLine="0"/>
        <w:jc w:val="center"/>
        <w:rPr>
          <w:b/>
          <w:sz w:val="24"/>
        </w:rPr>
      </w:pPr>
      <w:r>
        <w:rPr>
          <w:b/>
          <w:sz w:val="24"/>
        </w:rPr>
        <w:t>Инструкция</w:t>
      </w:r>
    </w:p>
    <w:p>
      <w:pPr>
        <w:spacing w:line="259" w:lineRule="auto" w:before="22"/>
        <w:ind w:left="2337" w:right="2533" w:firstLine="4"/>
        <w:jc w:val="center"/>
        <w:rPr>
          <w:b/>
          <w:sz w:val="24"/>
        </w:rPr>
      </w:pPr>
      <w:r>
        <w:rPr>
          <w:b/>
          <w:sz w:val="24"/>
        </w:rPr>
        <w:t>по соблюдению мер инфекционной безопасности для выездных бригад скорой медицинской помощи</w:t>
      </w:r>
    </w:p>
    <w:p>
      <w:pPr>
        <w:pStyle w:val="BodyText"/>
        <w:ind w:left="0"/>
        <w:jc w:val="left"/>
        <w:rPr>
          <w:b/>
          <w:sz w:val="20"/>
        </w:rPr>
      </w:pPr>
    </w:p>
    <w:p>
      <w:pPr>
        <w:pStyle w:val="BodyText"/>
        <w:spacing w:before="11"/>
        <w:ind w:left="0"/>
        <w:jc w:val="left"/>
        <w:rPr>
          <w:b/>
          <w:sz w:val="19"/>
        </w:rPr>
      </w:pPr>
    </w:p>
    <w:p>
      <w:pPr>
        <w:pStyle w:val="ListParagraph"/>
        <w:numPr>
          <w:ilvl w:val="0"/>
          <w:numId w:val="70"/>
        </w:numPr>
        <w:tabs>
          <w:tab w:pos="740" w:val="left" w:leader="none"/>
        </w:tabs>
        <w:spacing w:line="259" w:lineRule="auto" w:before="0" w:after="0"/>
        <w:ind w:left="739" w:right="364" w:hanging="425"/>
        <w:jc w:val="both"/>
        <w:rPr>
          <w:sz w:val="22"/>
        </w:rPr>
      </w:pPr>
      <w:r>
        <w:rPr>
          <w:sz w:val="22"/>
        </w:rPr>
        <w:t>Медицинские работники выездной бригады скорой медицинской помощи (СМП), выполняющей вызов к пациенту с подозрением на COVID-19, непосредственно перед выездом надевают СИЗ. Средства индивидуальной защиты меняются после каждого</w:t>
      </w:r>
      <w:r>
        <w:rPr>
          <w:spacing w:val="-6"/>
          <w:sz w:val="22"/>
        </w:rPr>
        <w:t> </w:t>
      </w:r>
      <w:r>
        <w:rPr>
          <w:sz w:val="22"/>
        </w:rPr>
        <w:t>больного.</w:t>
      </w:r>
    </w:p>
    <w:p>
      <w:pPr>
        <w:pStyle w:val="ListParagraph"/>
        <w:numPr>
          <w:ilvl w:val="0"/>
          <w:numId w:val="70"/>
        </w:numPr>
        <w:tabs>
          <w:tab w:pos="739" w:val="left" w:leader="none"/>
        </w:tabs>
        <w:spacing w:line="240" w:lineRule="auto" w:before="1" w:after="0"/>
        <w:ind w:left="739" w:right="0" w:hanging="425"/>
        <w:jc w:val="both"/>
        <w:rPr>
          <w:sz w:val="22"/>
        </w:rPr>
      </w:pPr>
      <w:r>
        <w:rPr>
          <w:sz w:val="22"/>
        </w:rPr>
        <w:t>Водитель выездной бригады СМП также обеспечивается</w:t>
      </w:r>
      <w:r>
        <w:rPr>
          <w:spacing w:val="-6"/>
          <w:sz w:val="22"/>
        </w:rPr>
        <w:t> </w:t>
      </w:r>
      <w:r>
        <w:rPr>
          <w:sz w:val="22"/>
        </w:rPr>
        <w:t>СИЗ.</w:t>
      </w:r>
    </w:p>
    <w:p>
      <w:pPr>
        <w:pStyle w:val="ListParagraph"/>
        <w:numPr>
          <w:ilvl w:val="0"/>
          <w:numId w:val="70"/>
        </w:numPr>
        <w:tabs>
          <w:tab w:pos="739" w:val="left" w:leader="none"/>
        </w:tabs>
        <w:spacing w:line="259" w:lineRule="auto" w:before="18" w:after="0"/>
        <w:ind w:left="738" w:right="365" w:hanging="425"/>
        <w:jc w:val="both"/>
        <w:rPr>
          <w:sz w:val="22"/>
        </w:rPr>
      </w:pPr>
      <w:r>
        <w:rPr>
          <w:sz w:val="22"/>
        </w:rPr>
        <w:t>В процессе медицинской эвакуации пациента с подозрением на COVID-19 дезинфекция воздуха    в салоне автомобиля СМП обеспечивается бактерицидными облучателями и (или) другими устройствами для обеззараживания воздуха и (или) поверхностей. Все перевозимые лица обеспечиваются медицинской</w:t>
      </w:r>
      <w:r>
        <w:rPr>
          <w:spacing w:val="-3"/>
          <w:sz w:val="22"/>
        </w:rPr>
        <w:t> </w:t>
      </w:r>
      <w:r>
        <w:rPr>
          <w:sz w:val="22"/>
        </w:rPr>
        <w:t>маской.</w:t>
      </w:r>
    </w:p>
    <w:p>
      <w:pPr>
        <w:pStyle w:val="ListParagraph"/>
        <w:numPr>
          <w:ilvl w:val="0"/>
          <w:numId w:val="70"/>
        </w:numPr>
        <w:tabs>
          <w:tab w:pos="740" w:val="left" w:leader="none"/>
        </w:tabs>
        <w:spacing w:line="259" w:lineRule="auto" w:before="0" w:after="0"/>
        <w:ind w:left="739" w:right="370" w:hanging="425"/>
        <w:jc w:val="both"/>
        <w:rPr>
          <w:sz w:val="22"/>
        </w:rPr>
      </w:pPr>
      <w:r>
        <w:rPr>
          <w:sz w:val="22"/>
        </w:rPr>
        <w:t>В случае загрязнения салона биологическим материалом от пациента с подозрением COVID-19 места загрязнения незамедлительно подвергают</w:t>
      </w:r>
      <w:r>
        <w:rPr>
          <w:spacing w:val="-3"/>
          <w:sz w:val="22"/>
        </w:rPr>
        <w:t> </w:t>
      </w:r>
      <w:r>
        <w:rPr>
          <w:sz w:val="22"/>
        </w:rPr>
        <w:t>обеззараживанию.</w:t>
      </w:r>
    </w:p>
    <w:p>
      <w:pPr>
        <w:pStyle w:val="ListParagraph"/>
        <w:numPr>
          <w:ilvl w:val="0"/>
          <w:numId w:val="70"/>
        </w:numPr>
        <w:tabs>
          <w:tab w:pos="740" w:val="left" w:leader="none"/>
        </w:tabs>
        <w:spacing w:line="259" w:lineRule="auto" w:before="0" w:after="0"/>
        <w:ind w:left="738" w:right="365" w:hanging="425"/>
        <w:jc w:val="both"/>
        <w:rPr>
          <w:sz w:val="22"/>
        </w:rPr>
      </w:pPr>
      <w:r>
        <w:rPr>
          <w:sz w:val="22"/>
        </w:rPr>
        <w:t>Водитель и медицинские работники выездных бригад СМП обязаны продезинфицировать обувь, СИЗ</w:t>
      </w:r>
      <w:r>
        <w:rPr>
          <w:spacing w:val="-15"/>
          <w:sz w:val="22"/>
        </w:rPr>
        <w:t> </w:t>
      </w:r>
      <w:r>
        <w:rPr>
          <w:sz w:val="22"/>
        </w:rPr>
        <w:t>рук</w:t>
      </w:r>
      <w:r>
        <w:rPr>
          <w:spacing w:val="-15"/>
          <w:sz w:val="22"/>
        </w:rPr>
        <w:t> </w:t>
      </w:r>
      <w:r>
        <w:rPr>
          <w:sz w:val="22"/>
        </w:rPr>
        <w:t>в</w:t>
      </w:r>
      <w:r>
        <w:rPr>
          <w:spacing w:val="-15"/>
          <w:sz w:val="22"/>
        </w:rPr>
        <w:t> </w:t>
      </w:r>
      <w:r>
        <w:rPr>
          <w:sz w:val="22"/>
        </w:rPr>
        <w:t>отведенных</w:t>
      </w:r>
      <w:r>
        <w:rPr>
          <w:spacing w:val="-15"/>
          <w:sz w:val="22"/>
        </w:rPr>
        <w:t> </w:t>
      </w:r>
      <w:r>
        <w:rPr>
          <w:sz w:val="22"/>
        </w:rPr>
        <w:t>местах</w:t>
      </w:r>
      <w:r>
        <w:rPr>
          <w:spacing w:val="-14"/>
          <w:sz w:val="22"/>
        </w:rPr>
        <w:t> </w:t>
      </w:r>
      <w:r>
        <w:rPr>
          <w:sz w:val="22"/>
        </w:rPr>
        <w:t>после</w:t>
      </w:r>
      <w:r>
        <w:rPr>
          <w:spacing w:val="-15"/>
          <w:sz w:val="22"/>
        </w:rPr>
        <w:t> </w:t>
      </w:r>
      <w:r>
        <w:rPr>
          <w:sz w:val="22"/>
        </w:rPr>
        <w:t>передачи</w:t>
      </w:r>
      <w:r>
        <w:rPr>
          <w:spacing w:val="-15"/>
          <w:sz w:val="22"/>
        </w:rPr>
        <w:t> </w:t>
      </w:r>
      <w:r>
        <w:rPr>
          <w:sz w:val="22"/>
        </w:rPr>
        <w:t>пациента</w:t>
      </w:r>
      <w:r>
        <w:rPr>
          <w:spacing w:val="-15"/>
          <w:sz w:val="22"/>
        </w:rPr>
        <w:t> </w:t>
      </w:r>
      <w:r>
        <w:rPr>
          <w:sz w:val="22"/>
        </w:rPr>
        <w:t>в</w:t>
      </w:r>
      <w:r>
        <w:rPr>
          <w:spacing w:val="-15"/>
          <w:sz w:val="22"/>
        </w:rPr>
        <w:t> </w:t>
      </w:r>
      <w:r>
        <w:rPr>
          <w:sz w:val="22"/>
        </w:rPr>
        <w:t>медицинскую</w:t>
      </w:r>
      <w:r>
        <w:rPr>
          <w:spacing w:val="-15"/>
          <w:sz w:val="22"/>
        </w:rPr>
        <w:t> </w:t>
      </w:r>
      <w:r>
        <w:rPr>
          <w:sz w:val="22"/>
        </w:rPr>
        <w:t>организацию,</w:t>
      </w:r>
      <w:r>
        <w:rPr>
          <w:spacing w:val="-14"/>
          <w:sz w:val="22"/>
        </w:rPr>
        <w:t> </w:t>
      </w:r>
      <w:r>
        <w:rPr>
          <w:sz w:val="22"/>
        </w:rPr>
        <w:t>оказывающую медицинскую помощь в стационарных условиях, специально созданную для данного контингента пациентов (далее – специальная медицинская</w:t>
      </w:r>
      <w:r>
        <w:rPr>
          <w:spacing w:val="-7"/>
          <w:sz w:val="22"/>
        </w:rPr>
        <w:t> </w:t>
      </w:r>
      <w:r>
        <w:rPr>
          <w:sz w:val="22"/>
        </w:rPr>
        <w:t>организация).</w:t>
      </w:r>
    </w:p>
    <w:p>
      <w:pPr>
        <w:pStyle w:val="ListParagraph"/>
        <w:numPr>
          <w:ilvl w:val="0"/>
          <w:numId w:val="70"/>
        </w:numPr>
        <w:tabs>
          <w:tab w:pos="740" w:val="left" w:leader="none"/>
        </w:tabs>
        <w:spacing w:line="259" w:lineRule="auto" w:before="0" w:after="0"/>
        <w:ind w:left="739" w:right="364" w:hanging="425"/>
        <w:jc w:val="both"/>
        <w:rPr>
          <w:sz w:val="22"/>
        </w:rPr>
      </w:pPr>
      <w:r>
        <w:rPr>
          <w:sz w:val="22"/>
        </w:rPr>
        <w:t>После завершения медицинской эвакуации пациента с подозрением на COVID-19 в специальную медицинскую организацию автомобиль СМП и предметы, использованные при медицинской эвакуации, обеззараживаются силами дезинфекторов на территории специальной медицинской организации на специально оборудованной площадке со стоком и</w:t>
      </w:r>
      <w:r>
        <w:rPr>
          <w:spacing w:val="-10"/>
          <w:sz w:val="22"/>
        </w:rPr>
        <w:t> </w:t>
      </w:r>
      <w:r>
        <w:rPr>
          <w:sz w:val="22"/>
        </w:rPr>
        <w:t>ямой.</w:t>
      </w:r>
    </w:p>
    <w:p>
      <w:pPr>
        <w:pStyle w:val="ListParagraph"/>
        <w:numPr>
          <w:ilvl w:val="0"/>
          <w:numId w:val="70"/>
        </w:numPr>
        <w:tabs>
          <w:tab w:pos="740" w:val="left" w:leader="none"/>
        </w:tabs>
        <w:spacing w:line="259" w:lineRule="auto" w:before="0" w:after="0"/>
        <w:ind w:left="739" w:right="364" w:hanging="426"/>
        <w:jc w:val="both"/>
        <w:rPr>
          <w:sz w:val="22"/>
        </w:rPr>
      </w:pPr>
      <w:r>
        <w:rPr>
          <w:sz w:val="22"/>
        </w:rPr>
        <w:t>При невозможности проведения дезинфекции салона автомобиля СМП силами дезинфекторов на территории   специальной    медицинской    организации    дезинфекция    проводится    водителем и медицинскими работниками выездной бригады</w:t>
      </w:r>
      <w:r>
        <w:rPr>
          <w:spacing w:val="-8"/>
          <w:sz w:val="22"/>
        </w:rPr>
        <w:t> </w:t>
      </w:r>
      <w:r>
        <w:rPr>
          <w:sz w:val="22"/>
        </w:rPr>
        <w:t>СМП.</w:t>
      </w:r>
    </w:p>
    <w:p>
      <w:pPr>
        <w:pStyle w:val="ListParagraph"/>
        <w:numPr>
          <w:ilvl w:val="0"/>
          <w:numId w:val="70"/>
        </w:numPr>
        <w:tabs>
          <w:tab w:pos="740" w:val="left" w:leader="none"/>
        </w:tabs>
        <w:spacing w:line="259" w:lineRule="auto" w:before="0" w:after="0"/>
        <w:ind w:left="739" w:right="364" w:hanging="425"/>
        <w:jc w:val="both"/>
        <w:rPr>
          <w:sz w:val="22"/>
        </w:rPr>
      </w:pPr>
      <w:r>
        <w:rPr>
          <w:sz w:val="22"/>
        </w:rPr>
        <w:t>Дезинфекции в салоне автомобиля СМП подвергают все поверхности в салоне, в том числе поверхности медицинских</w:t>
      </w:r>
      <w:r>
        <w:rPr>
          <w:spacing w:val="-2"/>
          <w:sz w:val="22"/>
        </w:rPr>
        <w:t> </w:t>
      </w:r>
      <w:r>
        <w:rPr>
          <w:sz w:val="22"/>
        </w:rPr>
        <w:t>изделий.</w:t>
      </w:r>
    </w:p>
    <w:p>
      <w:pPr>
        <w:pStyle w:val="ListParagraph"/>
        <w:numPr>
          <w:ilvl w:val="0"/>
          <w:numId w:val="70"/>
        </w:numPr>
        <w:tabs>
          <w:tab w:pos="740" w:val="left" w:leader="none"/>
        </w:tabs>
        <w:spacing w:line="259" w:lineRule="auto" w:before="0" w:after="0"/>
        <w:ind w:left="739" w:right="364" w:hanging="425"/>
        <w:jc w:val="both"/>
        <w:rPr>
          <w:sz w:val="22"/>
        </w:rPr>
      </w:pPr>
      <w:r>
        <w:rPr>
          <w:sz w:val="22"/>
        </w:rPr>
        <w:t>Обработка поверхностей проводится способом протирания ветошью, смоченной дезинфицирующим раствором, или способом орошения путем распыления дезинфицирующего раствора.</w:t>
      </w:r>
    </w:p>
    <w:p>
      <w:pPr>
        <w:pStyle w:val="ListParagraph"/>
        <w:numPr>
          <w:ilvl w:val="0"/>
          <w:numId w:val="70"/>
        </w:numPr>
        <w:tabs>
          <w:tab w:pos="740" w:val="left" w:leader="none"/>
        </w:tabs>
        <w:spacing w:line="259" w:lineRule="auto" w:before="0" w:after="0"/>
        <w:ind w:left="739" w:right="365" w:hanging="425"/>
        <w:jc w:val="both"/>
        <w:rPr>
          <w:sz w:val="22"/>
        </w:rPr>
      </w:pPr>
      <w:r>
        <w:rPr>
          <w:sz w:val="22"/>
        </w:rPr>
        <w:t>После экспозиции дезинфицирующий раствор смывают чистой водой, протирают сухой ветошью  с последующим проветриванием до исчезновения запаха</w:t>
      </w:r>
      <w:r>
        <w:rPr>
          <w:spacing w:val="-6"/>
          <w:sz w:val="22"/>
        </w:rPr>
        <w:t> </w:t>
      </w:r>
      <w:r>
        <w:rPr>
          <w:sz w:val="22"/>
        </w:rPr>
        <w:t>дезинфектанта.</w:t>
      </w:r>
    </w:p>
    <w:p>
      <w:pPr>
        <w:pStyle w:val="ListParagraph"/>
        <w:numPr>
          <w:ilvl w:val="0"/>
          <w:numId w:val="70"/>
        </w:numPr>
        <w:tabs>
          <w:tab w:pos="740" w:val="left" w:leader="none"/>
        </w:tabs>
        <w:spacing w:line="259" w:lineRule="auto" w:before="0" w:after="0"/>
        <w:ind w:left="739" w:right="363" w:hanging="425"/>
        <w:jc w:val="both"/>
        <w:rPr>
          <w:sz w:val="22"/>
        </w:rPr>
      </w:pPr>
      <w:r>
        <w:rPr>
          <w:sz w:val="22"/>
        </w:rPr>
        <w:t>СИЗ,</w:t>
      </w:r>
      <w:r>
        <w:rPr>
          <w:spacing w:val="-9"/>
          <w:sz w:val="22"/>
        </w:rPr>
        <w:t> </w:t>
      </w:r>
      <w:r>
        <w:rPr>
          <w:sz w:val="22"/>
        </w:rPr>
        <w:t>использовавшиеся</w:t>
      </w:r>
      <w:r>
        <w:rPr>
          <w:spacing w:val="-10"/>
          <w:sz w:val="22"/>
        </w:rPr>
        <w:t> </w:t>
      </w:r>
      <w:r>
        <w:rPr>
          <w:sz w:val="22"/>
        </w:rPr>
        <w:t>при</w:t>
      </w:r>
      <w:r>
        <w:rPr>
          <w:spacing w:val="-10"/>
          <w:sz w:val="22"/>
        </w:rPr>
        <w:t> </w:t>
      </w:r>
      <w:r>
        <w:rPr>
          <w:sz w:val="22"/>
        </w:rPr>
        <w:t>оказании</w:t>
      </w:r>
      <w:r>
        <w:rPr>
          <w:spacing w:val="-10"/>
          <w:sz w:val="22"/>
        </w:rPr>
        <w:t> </w:t>
      </w:r>
      <w:r>
        <w:rPr>
          <w:sz w:val="22"/>
        </w:rPr>
        <w:t>медицинской</w:t>
      </w:r>
      <w:r>
        <w:rPr>
          <w:spacing w:val="-12"/>
          <w:sz w:val="22"/>
        </w:rPr>
        <w:t> </w:t>
      </w:r>
      <w:r>
        <w:rPr>
          <w:sz w:val="22"/>
        </w:rPr>
        <w:t>помощи,</w:t>
      </w:r>
      <w:r>
        <w:rPr>
          <w:spacing w:val="-9"/>
          <w:sz w:val="22"/>
        </w:rPr>
        <w:t> </w:t>
      </w:r>
      <w:r>
        <w:rPr>
          <w:sz w:val="22"/>
        </w:rPr>
        <w:t>уборочную</w:t>
      </w:r>
      <w:r>
        <w:rPr>
          <w:spacing w:val="-9"/>
          <w:sz w:val="22"/>
        </w:rPr>
        <w:t> </w:t>
      </w:r>
      <w:r>
        <w:rPr>
          <w:sz w:val="22"/>
        </w:rPr>
        <w:t>ветошь</w:t>
      </w:r>
      <w:r>
        <w:rPr>
          <w:spacing w:val="-9"/>
          <w:sz w:val="22"/>
        </w:rPr>
        <w:t> </w:t>
      </w:r>
      <w:r>
        <w:rPr>
          <w:sz w:val="22"/>
        </w:rPr>
        <w:t>собирают</w:t>
      </w:r>
      <w:r>
        <w:rPr>
          <w:spacing w:val="-10"/>
          <w:sz w:val="22"/>
        </w:rPr>
        <w:t> </w:t>
      </w:r>
      <w:r>
        <w:rPr>
          <w:sz w:val="22"/>
        </w:rPr>
        <w:t>в</w:t>
      </w:r>
      <w:r>
        <w:rPr>
          <w:spacing w:val="-10"/>
          <w:sz w:val="22"/>
        </w:rPr>
        <w:t> </w:t>
      </w:r>
      <w:r>
        <w:rPr>
          <w:sz w:val="22"/>
        </w:rPr>
        <w:t>пакеты и сбрасывают в специальные контейнеры для отходов класса В на территории специальной медицинской</w:t>
      </w:r>
      <w:r>
        <w:rPr>
          <w:spacing w:val="-4"/>
          <w:sz w:val="22"/>
        </w:rPr>
        <w:t> </w:t>
      </w:r>
      <w:r>
        <w:rPr>
          <w:sz w:val="22"/>
        </w:rPr>
        <w:t>организации.</w:t>
      </w:r>
    </w:p>
    <w:p>
      <w:pPr>
        <w:pStyle w:val="ListParagraph"/>
        <w:numPr>
          <w:ilvl w:val="0"/>
          <w:numId w:val="70"/>
        </w:numPr>
        <w:tabs>
          <w:tab w:pos="740" w:val="left" w:leader="none"/>
        </w:tabs>
        <w:spacing w:line="259" w:lineRule="auto" w:before="0" w:after="0"/>
        <w:ind w:left="739" w:right="364" w:hanging="425"/>
        <w:jc w:val="both"/>
        <w:rPr>
          <w:sz w:val="22"/>
        </w:rPr>
      </w:pPr>
      <w:r>
        <w:rPr>
          <w:sz w:val="22"/>
        </w:rPr>
        <w:t>После проведения дезинфекции в салоне автомобиля СМП при возвращении выездной бригады СМП   на   станцию   (подстанцию,   отделение)   СМП   проводится   обеззараживание    воздуха   и поверхностей салона автомобиля СМП бактерицидными облучателями и (или) другими устройствами для обеззараживания воздуха и (или) поверхностей в течение не менее 20</w:t>
      </w:r>
      <w:r>
        <w:rPr>
          <w:spacing w:val="-23"/>
          <w:sz w:val="22"/>
        </w:rPr>
        <w:t> </w:t>
      </w:r>
      <w:r>
        <w:rPr>
          <w:sz w:val="22"/>
        </w:rPr>
        <w:t>минут.</w:t>
      </w:r>
    </w:p>
    <w:p>
      <w:pPr>
        <w:pStyle w:val="ListParagraph"/>
        <w:numPr>
          <w:ilvl w:val="0"/>
          <w:numId w:val="70"/>
        </w:numPr>
        <w:tabs>
          <w:tab w:pos="740" w:val="left" w:leader="none"/>
        </w:tabs>
        <w:spacing w:line="259" w:lineRule="auto" w:before="0" w:after="0"/>
        <w:ind w:left="739" w:right="362" w:hanging="425"/>
        <w:jc w:val="both"/>
        <w:rPr>
          <w:sz w:val="22"/>
        </w:rPr>
      </w:pPr>
      <w:r>
        <w:rPr>
          <w:sz w:val="22"/>
        </w:rPr>
        <w:t>Водитель и медицинские работники выездной бригады СМП после выполнения вызова обязаны пройти санитарную обработку, включающую протирание открытых участков тела кожным антисептиком.</w:t>
      </w:r>
    </w:p>
    <w:p>
      <w:pPr>
        <w:spacing w:after="0" w:line="259" w:lineRule="auto"/>
        <w:jc w:val="both"/>
        <w:rPr>
          <w:sz w:val="22"/>
        </w:rPr>
        <w:sectPr>
          <w:pgSz w:w="11920" w:h="16850"/>
          <w:pgMar w:header="0" w:footer="956" w:top="980" w:bottom="1180" w:left="960" w:right="480"/>
        </w:sectPr>
      </w:pPr>
    </w:p>
    <w:p>
      <w:pPr>
        <w:pStyle w:val="Heading3"/>
        <w:spacing w:before="60"/>
        <w:ind w:left="8424"/>
        <w:jc w:val="left"/>
      </w:pPr>
      <w:bookmarkStart w:name="Приложение 14" w:id="475"/>
      <w:bookmarkEnd w:id="475"/>
      <w:r>
        <w:rPr>
          <w:b w:val="0"/>
        </w:rPr>
      </w:r>
      <w:bookmarkStart w:name="_bookmark69" w:id="476"/>
      <w:bookmarkEnd w:id="476"/>
      <w:r>
        <w:rPr>
          <w:b w:val="0"/>
        </w:rPr>
      </w:r>
      <w:r>
        <w:rPr>
          <w:color w:val="1F487C"/>
        </w:rPr>
        <w:t>Приложение 14</w:t>
      </w:r>
    </w:p>
    <w:p>
      <w:pPr>
        <w:spacing w:line="276" w:lineRule="auto" w:before="141"/>
        <w:ind w:left="1463" w:right="749" w:hanging="903"/>
        <w:jc w:val="left"/>
        <w:rPr>
          <w:b/>
          <w:sz w:val="24"/>
        </w:rPr>
      </w:pPr>
      <w:r>
        <w:rPr>
          <w:b/>
          <w:sz w:val="24"/>
        </w:rPr>
        <w:t>Алгоритм действий медицинских работников, оказывающих медицинскую помощь в амбулаторных условиях, в том числе на дому, пациентам с ОРВИ</w:t>
      </w:r>
    </w:p>
    <w:p>
      <w:pPr>
        <w:pStyle w:val="BodyText"/>
        <w:spacing w:before="4"/>
        <w:ind w:left="0"/>
        <w:jc w:val="left"/>
        <w:rPr>
          <w:b/>
          <w:sz w:val="23"/>
        </w:rPr>
      </w:pPr>
    </w:p>
    <w:tbl>
      <w:tblPr>
        <w:tblW w:w="0" w:type="auto"/>
        <w:jc w:val="left"/>
        <w:tblInd w:w="1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62"/>
        <w:gridCol w:w="3687"/>
        <w:gridCol w:w="5701"/>
      </w:tblGrid>
      <w:tr>
        <w:trPr>
          <w:trHeight w:val="268" w:hRule="atLeast"/>
        </w:trPr>
        <w:tc>
          <w:tcPr>
            <w:tcW w:w="562" w:type="dxa"/>
            <w:shd w:val="clear" w:color="auto" w:fill="F1F1F1"/>
          </w:tcPr>
          <w:p>
            <w:pPr>
              <w:pStyle w:val="TableParagraph"/>
              <w:rPr>
                <w:sz w:val="18"/>
              </w:rPr>
            </w:pPr>
          </w:p>
        </w:tc>
        <w:tc>
          <w:tcPr>
            <w:tcW w:w="3687" w:type="dxa"/>
            <w:shd w:val="clear" w:color="auto" w:fill="F1F1F1"/>
          </w:tcPr>
          <w:p>
            <w:pPr>
              <w:pStyle w:val="TableParagraph"/>
              <w:spacing w:line="245" w:lineRule="exact" w:before="3"/>
              <w:ind w:left="1038"/>
              <w:rPr>
                <w:b/>
                <w:sz w:val="22"/>
              </w:rPr>
            </w:pPr>
            <w:r>
              <w:rPr>
                <w:b/>
                <w:sz w:val="22"/>
              </w:rPr>
              <w:t>Типовые случаи</w:t>
            </w:r>
          </w:p>
        </w:tc>
        <w:tc>
          <w:tcPr>
            <w:tcW w:w="5701" w:type="dxa"/>
            <w:shd w:val="clear" w:color="auto" w:fill="F1F1F1"/>
          </w:tcPr>
          <w:p>
            <w:pPr>
              <w:pStyle w:val="TableParagraph"/>
              <w:spacing w:line="245" w:lineRule="exact" w:before="3"/>
              <w:ind w:left="1993" w:right="1949"/>
              <w:jc w:val="center"/>
              <w:rPr>
                <w:b/>
                <w:sz w:val="22"/>
              </w:rPr>
            </w:pPr>
            <w:r>
              <w:rPr>
                <w:b/>
                <w:sz w:val="22"/>
              </w:rPr>
              <w:t>Тактика ведения</w:t>
            </w:r>
          </w:p>
        </w:tc>
      </w:tr>
      <w:tr>
        <w:trPr>
          <w:trHeight w:val="2087" w:hRule="atLeast"/>
        </w:trPr>
        <w:tc>
          <w:tcPr>
            <w:tcW w:w="562" w:type="dxa"/>
          </w:tcPr>
          <w:p>
            <w:pPr>
              <w:pStyle w:val="TableParagraph"/>
              <w:rPr>
                <w:b/>
                <w:sz w:val="24"/>
              </w:rPr>
            </w:pPr>
          </w:p>
          <w:p>
            <w:pPr>
              <w:pStyle w:val="TableParagraph"/>
              <w:rPr>
                <w:b/>
                <w:sz w:val="24"/>
              </w:rPr>
            </w:pPr>
          </w:p>
          <w:p>
            <w:pPr>
              <w:pStyle w:val="TableParagraph"/>
              <w:spacing w:before="1"/>
              <w:rPr>
                <w:b/>
                <w:sz w:val="31"/>
              </w:rPr>
            </w:pPr>
          </w:p>
          <w:p>
            <w:pPr>
              <w:pStyle w:val="TableParagraph"/>
              <w:spacing w:before="1"/>
              <w:ind w:right="115"/>
              <w:jc w:val="right"/>
              <w:rPr>
                <w:sz w:val="22"/>
              </w:rPr>
            </w:pPr>
            <w:r>
              <w:rPr>
                <w:sz w:val="22"/>
              </w:rPr>
              <w:t>1.</w:t>
            </w:r>
          </w:p>
        </w:tc>
        <w:tc>
          <w:tcPr>
            <w:tcW w:w="3687" w:type="dxa"/>
          </w:tcPr>
          <w:p>
            <w:pPr>
              <w:pStyle w:val="TableParagraph"/>
              <w:spacing w:before="1"/>
              <w:ind w:left="145"/>
              <w:rPr>
                <w:b/>
                <w:sz w:val="22"/>
              </w:rPr>
            </w:pPr>
            <w:r>
              <w:rPr>
                <w:b/>
                <w:sz w:val="22"/>
              </w:rPr>
              <w:t>Контактный</w:t>
            </w:r>
          </w:p>
          <w:p>
            <w:pPr>
              <w:pStyle w:val="TableParagraph"/>
              <w:spacing w:before="1"/>
              <w:rPr>
                <w:b/>
                <w:sz w:val="24"/>
              </w:rPr>
            </w:pPr>
          </w:p>
          <w:p>
            <w:pPr>
              <w:pStyle w:val="TableParagraph"/>
              <w:ind w:left="145"/>
              <w:rPr>
                <w:sz w:val="22"/>
              </w:rPr>
            </w:pPr>
            <w:r>
              <w:rPr>
                <w:sz w:val="22"/>
              </w:rPr>
              <w:t>Был контакт с пациентом</w:t>
            </w:r>
          </w:p>
          <w:p>
            <w:pPr>
              <w:pStyle w:val="TableParagraph"/>
              <w:spacing w:before="1"/>
              <w:ind w:left="145"/>
              <w:rPr>
                <w:sz w:val="22"/>
              </w:rPr>
            </w:pPr>
            <w:r>
              <w:rPr>
                <w:sz w:val="22"/>
              </w:rPr>
              <w:t>с установленным диагнозом</w:t>
            </w:r>
          </w:p>
          <w:p>
            <w:pPr>
              <w:pStyle w:val="TableParagraph"/>
              <w:spacing w:before="2"/>
              <w:ind w:left="145"/>
              <w:rPr>
                <w:sz w:val="22"/>
              </w:rPr>
            </w:pPr>
            <w:r>
              <w:rPr>
                <w:sz w:val="22"/>
              </w:rPr>
              <w:t>COVID-19.</w:t>
            </w:r>
          </w:p>
          <w:p>
            <w:pPr>
              <w:pStyle w:val="TableParagraph"/>
              <w:spacing w:before="13"/>
              <w:ind w:left="145"/>
              <w:rPr>
                <w:sz w:val="22"/>
              </w:rPr>
            </w:pPr>
            <w:r>
              <w:rPr>
                <w:sz w:val="22"/>
              </w:rPr>
              <w:t>Симптомы ОРВИ отсутствуют.</w:t>
            </w:r>
          </w:p>
        </w:tc>
        <w:tc>
          <w:tcPr>
            <w:tcW w:w="5701" w:type="dxa"/>
          </w:tcPr>
          <w:p>
            <w:pPr>
              <w:pStyle w:val="TableParagraph"/>
              <w:numPr>
                <w:ilvl w:val="0"/>
                <w:numId w:val="71"/>
              </w:numPr>
              <w:tabs>
                <w:tab w:pos="425" w:val="left" w:leader="none"/>
                <w:tab w:pos="426" w:val="left" w:leader="none"/>
              </w:tabs>
              <w:spacing w:line="269" w:lineRule="exact" w:before="0" w:after="0"/>
              <w:ind w:left="426" w:right="0" w:hanging="320"/>
              <w:jc w:val="left"/>
              <w:rPr>
                <w:sz w:val="22"/>
              </w:rPr>
            </w:pPr>
            <w:r>
              <w:rPr>
                <w:sz w:val="22"/>
              </w:rPr>
              <w:t>Оформление листка нетрудоспособности на 14</w:t>
            </w:r>
            <w:r>
              <w:rPr>
                <w:spacing w:val="-9"/>
                <w:sz w:val="22"/>
              </w:rPr>
              <w:t> </w:t>
            </w:r>
            <w:r>
              <w:rPr>
                <w:sz w:val="22"/>
              </w:rPr>
              <w:t>дней;</w:t>
            </w:r>
          </w:p>
          <w:p>
            <w:pPr>
              <w:pStyle w:val="TableParagraph"/>
              <w:numPr>
                <w:ilvl w:val="0"/>
                <w:numId w:val="71"/>
              </w:numPr>
              <w:tabs>
                <w:tab w:pos="425" w:val="left" w:leader="none"/>
                <w:tab w:pos="427" w:val="left" w:leader="none"/>
              </w:tabs>
              <w:spacing w:line="269" w:lineRule="exact" w:before="0" w:after="0"/>
              <w:ind w:left="426" w:right="0" w:hanging="321"/>
              <w:jc w:val="left"/>
              <w:rPr>
                <w:sz w:val="22"/>
              </w:rPr>
            </w:pPr>
            <w:r>
              <w:rPr>
                <w:sz w:val="22"/>
              </w:rPr>
              <w:t>Изоляция на дому на 14</w:t>
            </w:r>
            <w:r>
              <w:rPr>
                <w:spacing w:val="-5"/>
                <w:sz w:val="22"/>
              </w:rPr>
              <w:t> </w:t>
            </w:r>
            <w:r>
              <w:rPr>
                <w:sz w:val="22"/>
              </w:rPr>
              <w:t>дней;</w:t>
            </w:r>
          </w:p>
          <w:p>
            <w:pPr>
              <w:pStyle w:val="TableParagraph"/>
              <w:numPr>
                <w:ilvl w:val="0"/>
                <w:numId w:val="71"/>
              </w:numPr>
              <w:tabs>
                <w:tab w:pos="425" w:val="left" w:leader="none"/>
                <w:tab w:pos="427" w:val="left" w:leader="none"/>
              </w:tabs>
              <w:spacing w:line="240" w:lineRule="auto" w:before="0" w:after="0"/>
              <w:ind w:left="426" w:right="570" w:hanging="320"/>
              <w:jc w:val="left"/>
              <w:rPr>
                <w:sz w:val="22"/>
              </w:rPr>
            </w:pPr>
            <w:r>
              <w:rPr>
                <w:sz w:val="22"/>
              </w:rPr>
              <w:t>В случае появления симптомов ОРВИ или других заболеваний пациент вызывает врача на</w:t>
            </w:r>
            <w:r>
              <w:rPr>
                <w:spacing w:val="-8"/>
                <w:sz w:val="22"/>
              </w:rPr>
              <w:t> </w:t>
            </w:r>
            <w:r>
              <w:rPr>
                <w:sz w:val="22"/>
              </w:rPr>
              <w:t>дом;</w:t>
            </w:r>
          </w:p>
          <w:p>
            <w:pPr>
              <w:pStyle w:val="TableParagraph"/>
              <w:numPr>
                <w:ilvl w:val="0"/>
                <w:numId w:val="71"/>
              </w:numPr>
              <w:tabs>
                <w:tab w:pos="425" w:val="left" w:leader="none"/>
                <w:tab w:pos="427" w:val="left" w:leader="none"/>
              </w:tabs>
              <w:spacing w:line="240" w:lineRule="auto" w:before="0" w:after="0"/>
              <w:ind w:left="426" w:right="300" w:hanging="320"/>
              <w:jc w:val="left"/>
              <w:rPr>
                <w:sz w:val="22"/>
              </w:rPr>
            </w:pPr>
            <w:r>
              <w:rPr>
                <w:sz w:val="22"/>
              </w:rPr>
              <w:t>Забор мазка из носо- и ротоглотки в день обращения с первичным осмотром врача (в кратчайшие сроки), при появлении клинических симптомов ОРВИ</w:t>
            </w:r>
            <w:r>
              <w:rPr>
                <w:spacing w:val="-9"/>
                <w:sz w:val="22"/>
              </w:rPr>
              <w:t> </w:t>
            </w:r>
            <w:r>
              <w:rPr>
                <w:sz w:val="22"/>
              </w:rPr>
              <w:t>–</w:t>
            </w:r>
          </w:p>
          <w:p>
            <w:pPr>
              <w:pStyle w:val="TableParagraph"/>
              <w:spacing w:line="234" w:lineRule="exact"/>
              <w:ind w:left="425"/>
              <w:rPr>
                <w:sz w:val="22"/>
              </w:rPr>
            </w:pPr>
            <w:r>
              <w:rPr>
                <w:sz w:val="22"/>
              </w:rPr>
              <w:t>немедленно.</w:t>
            </w:r>
          </w:p>
        </w:tc>
      </w:tr>
      <w:tr>
        <w:trPr>
          <w:trHeight w:val="3887" w:hRule="atLeast"/>
        </w:trPr>
        <w:tc>
          <w:tcPr>
            <w:tcW w:w="562" w:type="dxa"/>
            <w:shd w:val="clear" w:color="auto" w:fill="F1F1F1"/>
          </w:tcPr>
          <w:p>
            <w:pPr>
              <w:pStyle w:val="TableParagraph"/>
              <w:rPr>
                <w:b/>
                <w:sz w:val="24"/>
              </w:rPr>
            </w:pPr>
          </w:p>
          <w:p>
            <w:pPr>
              <w:pStyle w:val="TableParagraph"/>
              <w:rPr>
                <w:b/>
                <w:sz w:val="24"/>
              </w:rPr>
            </w:pPr>
          </w:p>
          <w:p>
            <w:pPr>
              <w:pStyle w:val="TableParagraph"/>
              <w:rPr>
                <w:b/>
                <w:sz w:val="24"/>
              </w:rPr>
            </w:pPr>
          </w:p>
          <w:p>
            <w:pPr>
              <w:pStyle w:val="TableParagraph"/>
              <w:rPr>
                <w:b/>
                <w:sz w:val="24"/>
              </w:rPr>
            </w:pPr>
          </w:p>
          <w:p>
            <w:pPr>
              <w:pStyle w:val="TableParagraph"/>
              <w:rPr>
                <w:b/>
                <w:sz w:val="24"/>
              </w:rPr>
            </w:pPr>
          </w:p>
          <w:p>
            <w:pPr>
              <w:pStyle w:val="TableParagraph"/>
              <w:rPr>
                <w:b/>
                <w:sz w:val="24"/>
              </w:rPr>
            </w:pPr>
          </w:p>
          <w:p>
            <w:pPr>
              <w:pStyle w:val="TableParagraph"/>
              <w:spacing w:before="154"/>
              <w:ind w:right="115"/>
              <w:jc w:val="right"/>
              <w:rPr>
                <w:sz w:val="22"/>
              </w:rPr>
            </w:pPr>
            <w:r>
              <w:rPr>
                <w:sz w:val="22"/>
              </w:rPr>
              <w:t>2.</w:t>
            </w:r>
          </w:p>
        </w:tc>
        <w:tc>
          <w:tcPr>
            <w:tcW w:w="3687" w:type="dxa"/>
            <w:shd w:val="clear" w:color="auto" w:fill="F1F1F1"/>
          </w:tcPr>
          <w:p>
            <w:pPr>
              <w:pStyle w:val="TableParagraph"/>
              <w:spacing w:before="1"/>
              <w:ind w:left="145"/>
              <w:rPr>
                <w:b/>
                <w:sz w:val="22"/>
              </w:rPr>
            </w:pPr>
            <w:r>
              <w:rPr>
                <w:b/>
                <w:sz w:val="22"/>
              </w:rPr>
              <w:t>ОРВИ легкого течения</w:t>
            </w:r>
          </w:p>
          <w:p>
            <w:pPr>
              <w:pStyle w:val="TableParagraph"/>
              <w:spacing w:line="242" w:lineRule="auto" w:before="11"/>
              <w:ind w:left="145" w:right="510"/>
              <w:rPr>
                <w:sz w:val="22"/>
              </w:rPr>
            </w:pPr>
            <w:r>
              <w:rPr>
                <w:sz w:val="22"/>
              </w:rPr>
              <w:t>(за исключением ОРВИ легкого течения у пациента из группы риска).</w:t>
            </w:r>
          </w:p>
          <w:p>
            <w:pPr>
              <w:pStyle w:val="TableParagraph"/>
              <w:spacing w:before="10"/>
              <w:rPr>
                <w:b/>
                <w:sz w:val="23"/>
              </w:rPr>
            </w:pPr>
          </w:p>
          <w:p>
            <w:pPr>
              <w:pStyle w:val="TableParagraph"/>
              <w:ind w:left="145"/>
              <w:rPr>
                <w:sz w:val="22"/>
              </w:rPr>
            </w:pPr>
            <w:r>
              <w:rPr>
                <w:sz w:val="22"/>
              </w:rPr>
              <w:t>Наличие 2-х критериев:</w:t>
            </w:r>
          </w:p>
          <w:p>
            <w:pPr>
              <w:pStyle w:val="TableParagraph"/>
              <w:numPr>
                <w:ilvl w:val="0"/>
                <w:numId w:val="72"/>
              </w:numPr>
              <w:tabs>
                <w:tab w:pos="384" w:val="left" w:leader="none"/>
              </w:tabs>
              <w:spacing w:line="237" w:lineRule="auto" w:before="14" w:after="0"/>
              <w:ind w:left="145" w:right="773" w:firstLine="0"/>
              <w:jc w:val="left"/>
              <w:rPr>
                <w:sz w:val="22"/>
              </w:rPr>
            </w:pPr>
            <w:r>
              <w:rPr>
                <w:position w:val="2"/>
                <w:sz w:val="22"/>
              </w:rPr>
              <w:t>SpO</w:t>
            </w:r>
            <w:r>
              <w:rPr>
                <w:sz w:val="14"/>
              </w:rPr>
              <w:t>2 </w:t>
            </w:r>
            <w:r>
              <w:rPr>
                <w:position w:val="2"/>
                <w:sz w:val="22"/>
              </w:rPr>
              <w:t>≥ 95% (обязательный</w:t>
            </w:r>
            <w:r>
              <w:rPr>
                <w:sz w:val="22"/>
              </w:rPr>
              <w:t> критерий);</w:t>
            </w:r>
          </w:p>
          <w:p>
            <w:pPr>
              <w:pStyle w:val="TableParagraph"/>
              <w:numPr>
                <w:ilvl w:val="0"/>
                <w:numId w:val="72"/>
              </w:numPr>
              <w:tabs>
                <w:tab w:pos="384" w:val="left" w:leader="none"/>
              </w:tabs>
              <w:spacing w:line="269" w:lineRule="exact" w:before="2" w:after="0"/>
              <w:ind w:left="383" w:right="0" w:hanging="239"/>
              <w:jc w:val="left"/>
              <w:rPr>
                <w:sz w:val="22"/>
              </w:rPr>
            </w:pPr>
            <w:r>
              <w:rPr>
                <w:sz w:val="22"/>
              </w:rPr>
              <w:t>T &lt;38 </w:t>
            </w:r>
            <w:r>
              <w:rPr>
                <w:spacing w:val="1"/>
                <w:sz w:val="22"/>
              </w:rPr>
              <w:t> </w:t>
            </w:r>
            <w:r>
              <w:rPr>
                <w:sz w:val="22"/>
                <w:vertAlign w:val="superscript"/>
              </w:rPr>
              <w:t>о</w:t>
            </w:r>
            <w:r>
              <w:rPr>
                <w:sz w:val="22"/>
                <w:vertAlign w:val="baseline"/>
              </w:rPr>
              <w:t>С;</w:t>
            </w:r>
          </w:p>
          <w:p>
            <w:pPr>
              <w:pStyle w:val="TableParagraph"/>
              <w:numPr>
                <w:ilvl w:val="0"/>
                <w:numId w:val="72"/>
              </w:numPr>
              <w:tabs>
                <w:tab w:pos="384" w:val="left" w:leader="none"/>
              </w:tabs>
              <w:spacing w:line="269" w:lineRule="exact" w:before="0" w:after="0"/>
              <w:ind w:left="383" w:right="0" w:hanging="239"/>
              <w:jc w:val="left"/>
              <w:rPr>
                <w:sz w:val="22"/>
              </w:rPr>
            </w:pPr>
            <w:r>
              <w:rPr>
                <w:sz w:val="22"/>
              </w:rPr>
              <w:t>ЧДД ≤</w:t>
            </w:r>
            <w:r>
              <w:rPr>
                <w:spacing w:val="-1"/>
                <w:sz w:val="22"/>
              </w:rPr>
              <w:t> </w:t>
            </w:r>
            <w:r>
              <w:rPr>
                <w:sz w:val="22"/>
              </w:rPr>
              <w:t>22.</w:t>
            </w:r>
          </w:p>
        </w:tc>
        <w:tc>
          <w:tcPr>
            <w:tcW w:w="5701" w:type="dxa"/>
            <w:shd w:val="clear" w:color="auto" w:fill="F1F1F1"/>
          </w:tcPr>
          <w:p>
            <w:pPr>
              <w:pStyle w:val="TableParagraph"/>
              <w:numPr>
                <w:ilvl w:val="0"/>
                <w:numId w:val="73"/>
              </w:numPr>
              <w:tabs>
                <w:tab w:pos="425" w:val="left" w:leader="none"/>
                <w:tab w:pos="426" w:val="left" w:leader="none"/>
              </w:tabs>
              <w:spacing w:line="240" w:lineRule="auto" w:before="0" w:after="0"/>
              <w:ind w:left="425" w:right="301" w:hanging="320"/>
              <w:jc w:val="left"/>
              <w:rPr>
                <w:sz w:val="22"/>
              </w:rPr>
            </w:pPr>
            <w:r>
              <w:rPr>
                <w:sz w:val="22"/>
              </w:rPr>
              <w:t>Забор мазка из носо- и ротоглотки в день обращения с первичным осмотром</w:t>
            </w:r>
            <w:r>
              <w:rPr>
                <w:spacing w:val="-3"/>
                <w:sz w:val="22"/>
              </w:rPr>
              <w:t> </w:t>
            </w:r>
            <w:r>
              <w:rPr>
                <w:sz w:val="22"/>
              </w:rPr>
              <w:t>врача;</w:t>
            </w:r>
          </w:p>
          <w:p>
            <w:pPr>
              <w:pStyle w:val="TableParagraph"/>
              <w:numPr>
                <w:ilvl w:val="0"/>
                <w:numId w:val="73"/>
              </w:numPr>
              <w:tabs>
                <w:tab w:pos="425" w:val="left" w:leader="none"/>
                <w:tab w:pos="427" w:val="left" w:leader="none"/>
              </w:tabs>
              <w:spacing w:line="267" w:lineRule="exact" w:before="0" w:after="0"/>
              <w:ind w:left="426" w:right="0" w:hanging="321"/>
              <w:jc w:val="left"/>
              <w:rPr>
                <w:sz w:val="22"/>
              </w:rPr>
            </w:pPr>
            <w:r>
              <w:rPr>
                <w:sz w:val="22"/>
              </w:rPr>
              <w:t>Оформление листка нетрудоспособности на 14</w:t>
            </w:r>
            <w:r>
              <w:rPr>
                <w:spacing w:val="-9"/>
                <w:sz w:val="22"/>
              </w:rPr>
              <w:t> </w:t>
            </w:r>
            <w:r>
              <w:rPr>
                <w:sz w:val="22"/>
              </w:rPr>
              <w:t>дней.</w:t>
            </w:r>
          </w:p>
          <w:p>
            <w:pPr>
              <w:pStyle w:val="TableParagraph"/>
              <w:numPr>
                <w:ilvl w:val="0"/>
                <w:numId w:val="73"/>
              </w:numPr>
              <w:tabs>
                <w:tab w:pos="425" w:val="left" w:leader="none"/>
                <w:tab w:pos="427" w:val="left" w:leader="none"/>
              </w:tabs>
              <w:spacing w:line="269" w:lineRule="exact" w:before="0" w:after="0"/>
              <w:ind w:left="426" w:right="0" w:hanging="321"/>
              <w:jc w:val="left"/>
              <w:rPr>
                <w:sz w:val="22"/>
              </w:rPr>
            </w:pPr>
            <w:r>
              <w:rPr>
                <w:sz w:val="22"/>
              </w:rPr>
              <w:t>Изоляция на дому на 14</w:t>
            </w:r>
            <w:r>
              <w:rPr>
                <w:spacing w:val="-5"/>
                <w:sz w:val="22"/>
              </w:rPr>
              <w:t> </w:t>
            </w:r>
            <w:r>
              <w:rPr>
                <w:sz w:val="22"/>
              </w:rPr>
              <w:t>дней;</w:t>
            </w:r>
          </w:p>
          <w:p>
            <w:pPr>
              <w:pStyle w:val="TableParagraph"/>
              <w:numPr>
                <w:ilvl w:val="0"/>
                <w:numId w:val="73"/>
              </w:numPr>
              <w:tabs>
                <w:tab w:pos="425" w:val="left" w:leader="none"/>
                <w:tab w:pos="427" w:val="left" w:leader="none"/>
              </w:tabs>
              <w:spacing w:line="240" w:lineRule="auto" w:before="0" w:after="0"/>
              <w:ind w:left="425" w:right="511" w:hanging="320"/>
              <w:jc w:val="left"/>
              <w:rPr>
                <w:sz w:val="22"/>
              </w:rPr>
            </w:pPr>
            <w:r>
              <w:rPr>
                <w:sz w:val="22"/>
              </w:rPr>
              <w:t>Ежедневный аудиоконтроль состояния, повторное посещение врача в случае ухудшения состояния пациента;</w:t>
            </w:r>
          </w:p>
          <w:p>
            <w:pPr>
              <w:pStyle w:val="TableParagraph"/>
              <w:numPr>
                <w:ilvl w:val="0"/>
                <w:numId w:val="73"/>
              </w:numPr>
              <w:tabs>
                <w:tab w:pos="425" w:val="left" w:leader="none"/>
                <w:tab w:pos="427" w:val="left" w:leader="none"/>
              </w:tabs>
              <w:spacing w:line="268" w:lineRule="exact" w:before="0" w:after="0"/>
              <w:ind w:left="426" w:right="0" w:hanging="321"/>
              <w:jc w:val="left"/>
              <w:rPr>
                <w:sz w:val="22"/>
              </w:rPr>
            </w:pPr>
            <w:r>
              <w:rPr>
                <w:sz w:val="22"/>
              </w:rPr>
              <w:t>Забор контрольного мазка из носо- и</w:t>
            </w:r>
            <w:r>
              <w:rPr>
                <w:spacing w:val="45"/>
                <w:sz w:val="22"/>
              </w:rPr>
              <w:t> </w:t>
            </w:r>
            <w:r>
              <w:rPr>
                <w:sz w:val="22"/>
              </w:rPr>
              <w:t>ротоглотки</w:t>
            </w:r>
          </w:p>
          <w:p>
            <w:pPr>
              <w:pStyle w:val="TableParagraph"/>
              <w:spacing w:line="252" w:lineRule="exact"/>
              <w:ind w:left="425"/>
              <w:rPr>
                <w:sz w:val="22"/>
              </w:rPr>
            </w:pPr>
            <w:r>
              <w:rPr>
                <w:sz w:val="22"/>
              </w:rPr>
              <w:t>(с 10 по 14 день дважды – в подтвержденном случае</w:t>
            </w:r>
          </w:p>
          <w:p>
            <w:pPr>
              <w:pStyle w:val="TableParagraph"/>
              <w:spacing w:line="252" w:lineRule="exact"/>
              <w:ind w:left="425"/>
              <w:rPr>
                <w:sz w:val="22"/>
              </w:rPr>
            </w:pPr>
            <w:r>
              <w:rPr>
                <w:sz w:val="22"/>
              </w:rPr>
              <w:t>COVID-19);</w:t>
            </w:r>
          </w:p>
          <w:p>
            <w:pPr>
              <w:pStyle w:val="TableParagraph"/>
              <w:numPr>
                <w:ilvl w:val="0"/>
                <w:numId w:val="73"/>
              </w:numPr>
              <w:tabs>
                <w:tab w:pos="425" w:val="left" w:leader="none"/>
                <w:tab w:pos="427" w:val="left" w:leader="none"/>
              </w:tabs>
              <w:spacing w:line="240" w:lineRule="auto" w:before="1" w:after="0"/>
              <w:ind w:left="425" w:right="124" w:hanging="320"/>
              <w:jc w:val="left"/>
              <w:rPr>
                <w:sz w:val="22"/>
              </w:rPr>
            </w:pPr>
            <w:r>
              <w:rPr>
                <w:sz w:val="22"/>
              </w:rPr>
              <w:t>Выписка в соответствии с порядком выписки (перевода) из медицинской организации и критериями выздоровления пациентов с установленным диагнозом COVID-19 или с</w:t>
            </w:r>
            <w:r>
              <w:rPr>
                <w:spacing w:val="-3"/>
                <w:sz w:val="22"/>
              </w:rPr>
              <w:t> </w:t>
            </w:r>
            <w:r>
              <w:rPr>
                <w:sz w:val="22"/>
              </w:rPr>
              <w:t>подозрением</w:t>
            </w:r>
          </w:p>
          <w:p>
            <w:pPr>
              <w:pStyle w:val="TableParagraph"/>
              <w:spacing w:line="231" w:lineRule="exact"/>
              <w:ind w:left="425"/>
              <w:rPr>
                <w:sz w:val="22"/>
              </w:rPr>
            </w:pPr>
            <w:r>
              <w:rPr>
                <w:sz w:val="22"/>
              </w:rPr>
              <w:t>на COVID-19.</w:t>
            </w:r>
          </w:p>
        </w:tc>
      </w:tr>
      <w:tr>
        <w:trPr>
          <w:trHeight w:val="1026" w:hRule="atLeast"/>
        </w:trPr>
        <w:tc>
          <w:tcPr>
            <w:tcW w:w="562" w:type="dxa"/>
          </w:tcPr>
          <w:p>
            <w:pPr>
              <w:pStyle w:val="TableParagraph"/>
              <w:spacing w:before="2"/>
              <w:rPr>
                <w:b/>
                <w:sz w:val="33"/>
              </w:rPr>
            </w:pPr>
          </w:p>
          <w:p>
            <w:pPr>
              <w:pStyle w:val="TableParagraph"/>
              <w:spacing w:before="1"/>
              <w:ind w:right="115"/>
              <w:jc w:val="right"/>
              <w:rPr>
                <w:sz w:val="22"/>
              </w:rPr>
            </w:pPr>
            <w:r>
              <w:rPr>
                <w:sz w:val="22"/>
              </w:rPr>
              <w:t>3.</w:t>
            </w:r>
          </w:p>
        </w:tc>
        <w:tc>
          <w:tcPr>
            <w:tcW w:w="3687" w:type="dxa"/>
          </w:tcPr>
          <w:p>
            <w:pPr>
              <w:pStyle w:val="TableParagraph"/>
              <w:spacing w:line="251" w:lineRule="exact"/>
              <w:ind w:left="145"/>
              <w:rPr>
                <w:b/>
                <w:sz w:val="22"/>
              </w:rPr>
            </w:pPr>
            <w:r>
              <w:rPr>
                <w:b/>
                <w:sz w:val="22"/>
              </w:rPr>
              <w:t>ОРВИ легкого течения</w:t>
            </w:r>
          </w:p>
          <w:p>
            <w:pPr>
              <w:pStyle w:val="TableParagraph"/>
              <w:spacing w:before="1"/>
              <w:ind w:left="145" w:right="922"/>
              <w:rPr>
                <w:b/>
                <w:sz w:val="22"/>
              </w:rPr>
            </w:pPr>
            <w:r>
              <w:rPr>
                <w:b/>
                <w:sz w:val="22"/>
              </w:rPr>
              <w:t>у пациента, относящегося к группе риска*</w:t>
            </w:r>
          </w:p>
        </w:tc>
        <w:tc>
          <w:tcPr>
            <w:tcW w:w="5701" w:type="dxa"/>
          </w:tcPr>
          <w:p>
            <w:pPr>
              <w:pStyle w:val="TableParagraph"/>
              <w:ind w:left="106" w:right="163"/>
              <w:rPr>
                <w:sz w:val="22"/>
              </w:rPr>
            </w:pPr>
            <w:r>
              <w:rPr>
                <w:sz w:val="22"/>
              </w:rPr>
              <w:t>Госпитализация специализированной выездной бригадой СМП.</w:t>
            </w:r>
          </w:p>
        </w:tc>
      </w:tr>
      <w:tr>
        <w:trPr>
          <w:trHeight w:val="2380" w:hRule="atLeast"/>
        </w:trPr>
        <w:tc>
          <w:tcPr>
            <w:tcW w:w="562" w:type="dxa"/>
            <w:shd w:val="clear" w:color="auto" w:fill="F1F1F1"/>
          </w:tcPr>
          <w:p>
            <w:pPr>
              <w:pStyle w:val="TableParagraph"/>
              <w:rPr>
                <w:b/>
                <w:sz w:val="24"/>
              </w:rPr>
            </w:pPr>
          </w:p>
          <w:p>
            <w:pPr>
              <w:pStyle w:val="TableParagraph"/>
              <w:rPr>
                <w:b/>
                <w:sz w:val="24"/>
              </w:rPr>
            </w:pPr>
          </w:p>
          <w:p>
            <w:pPr>
              <w:pStyle w:val="TableParagraph"/>
              <w:rPr>
                <w:b/>
                <w:sz w:val="24"/>
              </w:rPr>
            </w:pPr>
          </w:p>
          <w:p>
            <w:pPr>
              <w:pStyle w:val="TableParagraph"/>
              <w:spacing w:before="10"/>
              <w:rPr>
                <w:b/>
                <w:sz w:val="19"/>
              </w:rPr>
            </w:pPr>
          </w:p>
          <w:p>
            <w:pPr>
              <w:pStyle w:val="TableParagraph"/>
              <w:ind w:right="115"/>
              <w:jc w:val="right"/>
              <w:rPr>
                <w:sz w:val="22"/>
              </w:rPr>
            </w:pPr>
            <w:r>
              <w:rPr>
                <w:sz w:val="22"/>
              </w:rPr>
              <w:t>4.</w:t>
            </w:r>
          </w:p>
        </w:tc>
        <w:tc>
          <w:tcPr>
            <w:tcW w:w="3687" w:type="dxa"/>
            <w:shd w:val="clear" w:color="auto" w:fill="F1F1F1"/>
          </w:tcPr>
          <w:p>
            <w:pPr>
              <w:pStyle w:val="TableParagraph"/>
              <w:spacing w:line="244" w:lineRule="auto"/>
              <w:ind w:left="145" w:right="1252"/>
              <w:rPr>
                <w:b/>
                <w:sz w:val="22"/>
              </w:rPr>
            </w:pPr>
            <w:r>
              <w:rPr>
                <w:b/>
                <w:sz w:val="22"/>
              </w:rPr>
              <w:t>ОРВИ среднетяжелого или тяжелого</w:t>
            </w:r>
            <w:r>
              <w:rPr>
                <w:b/>
                <w:spacing w:val="-7"/>
                <w:sz w:val="22"/>
              </w:rPr>
              <w:t> </w:t>
            </w:r>
            <w:r>
              <w:rPr>
                <w:b/>
                <w:sz w:val="22"/>
              </w:rPr>
              <w:t>течения</w:t>
            </w:r>
          </w:p>
          <w:p>
            <w:pPr>
              <w:pStyle w:val="TableParagraph"/>
              <w:spacing w:before="7"/>
              <w:rPr>
                <w:b/>
                <w:sz w:val="23"/>
              </w:rPr>
            </w:pPr>
          </w:p>
          <w:p>
            <w:pPr>
              <w:pStyle w:val="TableParagraph"/>
              <w:ind w:left="145"/>
              <w:rPr>
                <w:sz w:val="22"/>
              </w:rPr>
            </w:pPr>
            <w:r>
              <w:rPr>
                <w:sz w:val="22"/>
              </w:rPr>
              <w:t>Наличие 2-х</w:t>
            </w:r>
            <w:r>
              <w:rPr>
                <w:spacing w:val="-8"/>
                <w:sz w:val="22"/>
              </w:rPr>
              <w:t> </w:t>
            </w:r>
            <w:r>
              <w:rPr>
                <w:sz w:val="22"/>
              </w:rPr>
              <w:t>критериев:</w:t>
            </w:r>
          </w:p>
          <w:p>
            <w:pPr>
              <w:pStyle w:val="TableParagraph"/>
              <w:numPr>
                <w:ilvl w:val="0"/>
                <w:numId w:val="74"/>
              </w:numPr>
              <w:tabs>
                <w:tab w:pos="343" w:val="left" w:leader="none"/>
              </w:tabs>
              <w:spacing w:line="237" w:lineRule="auto" w:before="14" w:after="0"/>
              <w:ind w:left="145" w:right="809" w:firstLine="0"/>
              <w:jc w:val="left"/>
              <w:rPr>
                <w:sz w:val="22"/>
              </w:rPr>
            </w:pPr>
            <w:r>
              <w:rPr>
                <w:position w:val="2"/>
                <w:sz w:val="22"/>
              </w:rPr>
              <w:t>SpO</w:t>
            </w:r>
            <w:r>
              <w:rPr>
                <w:sz w:val="14"/>
              </w:rPr>
              <w:t>2 </w:t>
            </w:r>
            <w:r>
              <w:rPr>
                <w:position w:val="2"/>
                <w:sz w:val="22"/>
              </w:rPr>
              <w:t>&lt; 95% (обязательный</w:t>
            </w:r>
            <w:r>
              <w:rPr>
                <w:sz w:val="22"/>
              </w:rPr>
              <w:t> критерий);</w:t>
            </w:r>
          </w:p>
          <w:p>
            <w:pPr>
              <w:pStyle w:val="TableParagraph"/>
              <w:numPr>
                <w:ilvl w:val="0"/>
                <w:numId w:val="74"/>
              </w:numPr>
              <w:tabs>
                <w:tab w:pos="343" w:val="left" w:leader="none"/>
              </w:tabs>
              <w:spacing w:line="269" w:lineRule="exact" w:before="2" w:after="0"/>
              <w:ind w:left="342" w:right="0" w:hanging="198"/>
              <w:jc w:val="left"/>
              <w:rPr>
                <w:sz w:val="22"/>
              </w:rPr>
            </w:pPr>
            <w:r>
              <w:rPr>
                <w:sz w:val="22"/>
              </w:rPr>
              <w:t>T ≥ 38</w:t>
            </w:r>
            <w:r>
              <w:rPr>
                <w:spacing w:val="5"/>
                <w:sz w:val="22"/>
              </w:rPr>
              <w:t> </w:t>
            </w:r>
            <w:r>
              <w:rPr>
                <w:spacing w:val="-3"/>
                <w:sz w:val="22"/>
                <w:vertAlign w:val="superscript"/>
              </w:rPr>
              <w:t>о</w:t>
            </w:r>
            <w:r>
              <w:rPr>
                <w:spacing w:val="-3"/>
                <w:sz w:val="22"/>
                <w:vertAlign w:val="baseline"/>
              </w:rPr>
              <w:t>С;</w:t>
            </w:r>
          </w:p>
          <w:p>
            <w:pPr>
              <w:pStyle w:val="TableParagraph"/>
              <w:numPr>
                <w:ilvl w:val="0"/>
                <w:numId w:val="74"/>
              </w:numPr>
              <w:tabs>
                <w:tab w:pos="343" w:val="left" w:leader="none"/>
              </w:tabs>
              <w:spacing w:line="269" w:lineRule="exact" w:before="0" w:after="0"/>
              <w:ind w:left="342" w:right="0" w:hanging="198"/>
              <w:jc w:val="left"/>
              <w:rPr>
                <w:sz w:val="22"/>
              </w:rPr>
            </w:pPr>
            <w:r>
              <w:rPr>
                <w:sz w:val="22"/>
              </w:rPr>
              <w:t>ЧДД &gt;</w:t>
            </w:r>
            <w:r>
              <w:rPr>
                <w:spacing w:val="1"/>
                <w:sz w:val="22"/>
              </w:rPr>
              <w:t> </w:t>
            </w:r>
            <w:r>
              <w:rPr>
                <w:sz w:val="22"/>
              </w:rPr>
              <w:t>22.</w:t>
            </w:r>
          </w:p>
        </w:tc>
        <w:tc>
          <w:tcPr>
            <w:tcW w:w="5701" w:type="dxa"/>
            <w:shd w:val="clear" w:color="auto" w:fill="F1F1F1"/>
          </w:tcPr>
          <w:p>
            <w:pPr>
              <w:pStyle w:val="TableParagraph"/>
              <w:ind w:left="106" w:right="163"/>
              <w:rPr>
                <w:sz w:val="22"/>
              </w:rPr>
            </w:pPr>
            <w:r>
              <w:rPr>
                <w:sz w:val="22"/>
              </w:rPr>
              <w:t>Госпитализация специализированной выездной бригадой СМП.</w:t>
            </w:r>
          </w:p>
          <w:p>
            <w:pPr>
              <w:pStyle w:val="TableParagraph"/>
              <w:ind w:left="106"/>
              <w:rPr>
                <w:sz w:val="22"/>
              </w:rPr>
            </w:pPr>
            <w:r>
              <w:rPr>
                <w:sz w:val="22"/>
              </w:rPr>
              <w:t>Допускается лечение пациентов с ОРВИ среднетяжелого течения на дому при наличии условий.</w:t>
            </w:r>
          </w:p>
        </w:tc>
      </w:tr>
    </w:tbl>
    <w:p>
      <w:pPr>
        <w:pStyle w:val="BodyText"/>
        <w:spacing w:before="11"/>
        <w:ind w:left="0"/>
        <w:jc w:val="left"/>
        <w:rPr>
          <w:b/>
          <w:sz w:val="21"/>
        </w:rPr>
      </w:pPr>
    </w:p>
    <w:p>
      <w:pPr>
        <w:spacing w:before="0"/>
        <w:ind w:left="210" w:right="367" w:firstLine="0"/>
        <w:jc w:val="both"/>
        <w:rPr>
          <w:sz w:val="20"/>
        </w:rPr>
      </w:pPr>
      <w:r>
        <w:rPr>
          <w:sz w:val="20"/>
        </w:rPr>
        <w:t>*Лица старше 65 лет; лица с наличием хронических заболеваний бронхолегочной, сердечно-сосудистой, эндокринной системы; системными заболеваниями соединительной ткани; хронической болезнью почек; онкологическими заболеваниями; иммунодефицитами; болезнями двигательного нейрона; циррозом печени; хроническими воспалительными заболеваниями кишечника.</w:t>
      </w:r>
    </w:p>
    <w:p>
      <w:pPr>
        <w:spacing w:after="0"/>
        <w:jc w:val="both"/>
        <w:rPr>
          <w:sz w:val="20"/>
        </w:rPr>
        <w:sectPr>
          <w:pgSz w:w="11920" w:h="16850"/>
          <w:pgMar w:header="0" w:footer="956" w:top="980" w:bottom="1180" w:left="960" w:right="480"/>
        </w:sectPr>
      </w:pPr>
    </w:p>
    <w:p>
      <w:pPr>
        <w:pStyle w:val="Heading3"/>
        <w:spacing w:before="60"/>
        <w:ind w:left="0" w:right="370"/>
        <w:jc w:val="right"/>
      </w:pPr>
      <w:bookmarkStart w:name="Приложение 15" w:id="477"/>
      <w:bookmarkEnd w:id="477"/>
      <w:r>
        <w:rPr>
          <w:b w:val="0"/>
        </w:rPr>
      </w:r>
      <w:bookmarkStart w:name="_bookmark70" w:id="478"/>
      <w:bookmarkEnd w:id="478"/>
      <w:r>
        <w:rPr>
          <w:b w:val="0"/>
        </w:rPr>
      </w:r>
      <w:r>
        <w:rPr>
          <w:color w:val="1F487C"/>
        </w:rPr>
        <w:t>Приложение 15</w:t>
      </w:r>
    </w:p>
    <w:p>
      <w:pPr>
        <w:spacing w:before="141"/>
        <w:ind w:left="1333" w:right="1529" w:firstLine="0"/>
        <w:jc w:val="center"/>
        <w:rPr>
          <w:b/>
          <w:sz w:val="24"/>
        </w:rPr>
      </w:pPr>
      <w:r>
        <w:rPr>
          <w:b/>
          <w:sz w:val="24"/>
        </w:rPr>
        <w:t>Список временных методических рекомендаций для врачей</w:t>
      </w:r>
    </w:p>
    <w:p>
      <w:pPr>
        <w:pStyle w:val="BodyText"/>
        <w:spacing w:before="6"/>
        <w:ind w:left="0"/>
        <w:jc w:val="left"/>
        <w:rPr>
          <w:b/>
          <w:sz w:val="23"/>
        </w:rPr>
      </w:pPr>
    </w:p>
    <w:p>
      <w:pPr>
        <w:pStyle w:val="ListParagraph"/>
        <w:numPr>
          <w:ilvl w:val="0"/>
          <w:numId w:val="75"/>
        </w:numPr>
        <w:tabs>
          <w:tab w:pos="599" w:val="left" w:leader="none"/>
          <w:tab w:pos="600" w:val="left" w:leader="none"/>
          <w:tab w:pos="2171" w:val="left" w:leader="none"/>
          <w:tab w:pos="3717" w:val="left" w:leader="none"/>
          <w:tab w:pos="5145" w:val="left" w:leader="none"/>
          <w:tab w:pos="5498" w:val="left" w:leader="none"/>
          <w:tab w:pos="6544" w:val="left" w:leader="none"/>
          <w:tab w:pos="8085" w:val="left" w:leader="none"/>
          <w:tab w:pos="9494" w:val="left" w:leader="none"/>
        </w:tabs>
        <w:spacing w:line="360" w:lineRule="auto" w:before="90" w:after="0"/>
        <w:ind w:left="600" w:right="363" w:hanging="428"/>
        <w:jc w:val="left"/>
        <w:rPr>
          <w:sz w:val="24"/>
        </w:rPr>
      </w:pPr>
      <w:hyperlink r:id="rId108">
        <w:r>
          <w:rPr>
            <w:color w:val="0562C1"/>
            <w:sz w:val="24"/>
            <w:u w:val="single" w:color="0562C1"/>
          </w:rPr>
          <w:t>Особенности</w:t>
          <w:tab/>
          <w:t>клинических</w:t>
          <w:tab/>
          <w:t>проявлений</w:t>
          <w:tab/>
          <w:t>и</w:t>
          <w:tab/>
          <w:t>лечения</w:t>
          <w:tab/>
          <w:t>заболевания,</w:t>
          <w:tab/>
          <w:t>вызванного</w:t>
          <w:tab/>
        </w:r>
        <w:r>
          <w:rPr>
            <w:color w:val="0562C1"/>
            <w:spacing w:val="-4"/>
            <w:sz w:val="24"/>
            <w:u w:val="single" w:color="0562C1"/>
          </w:rPr>
          <w:t>новой</w:t>
        </w:r>
      </w:hyperlink>
      <w:hyperlink r:id="rId108">
        <w:r>
          <w:rPr>
            <w:color w:val="0562C1"/>
            <w:spacing w:val="-4"/>
            <w:sz w:val="24"/>
            <w:u w:val="single" w:color="0562C1"/>
          </w:rPr>
          <w:t> </w:t>
        </w:r>
        <w:r>
          <w:rPr>
            <w:color w:val="0562C1"/>
            <w:sz w:val="24"/>
            <w:u w:val="single" w:color="0562C1"/>
          </w:rPr>
          <w:t>коронавирусной инфекцией (COVID-19) у детей</w:t>
        </w:r>
      </w:hyperlink>
    </w:p>
    <w:p>
      <w:pPr>
        <w:pStyle w:val="ListParagraph"/>
        <w:numPr>
          <w:ilvl w:val="0"/>
          <w:numId w:val="75"/>
        </w:numPr>
        <w:tabs>
          <w:tab w:pos="599" w:val="left" w:leader="none"/>
          <w:tab w:pos="600" w:val="left" w:leader="none"/>
        </w:tabs>
        <w:spacing w:line="360" w:lineRule="auto" w:before="0" w:after="0"/>
        <w:ind w:left="600" w:right="364" w:hanging="428"/>
        <w:jc w:val="left"/>
        <w:rPr>
          <w:sz w:val="24"/>
        </w:rPr>
      </w:pPr>
      <w:hyperlink r:id="rId109">
        <w:r>
          <w:rPr>
            <w:color w:val="0562C1"/>
            <w:sz w:val="24"/>
            <w:u w:val="single" w:color="0562C1"/>
          </w:rPr>
          <w:t>Организация  оказания   медицинской   помощи   беременным,   роженицам,   родильницам</w:t>
        </w:r>
      </w:hyperlink>
      <w:hyperlink r:id="rId109">
        <w:r>
          <w:rPr>
            <w:color w:val="0562C1"/>
            <w:sz w:val="24"/>
            <w:u w:val="single" w:color="0562C1"/>
          </w:rPr>
          <w:t> и новорожденным при новой коронавирусной инфекции</w:t>
        </w:r>
        <w:r>
          <w:rPr>
            <w:color w:val="0562C1"/>
            <w:spacing w:val="-2"/>
            <w:sz w:val="24"/>
            <w:u w:val="single" w:color="0562C1"/>
          </w:rPr>
          <w:t> </w:t>
        </w:r>
        <w:r>
          <w:rPr>
            <w:color w:val="0562C1"/>
            <w:sz w:val="24"/>
            <w:u w:val="single" w:color="0562C1"/>
          </w:rPr>
          <w:t>COVID-19</w:t>
        </w:r>
      </w:hyperlink>
    </w:p>
    <w:p>
      <w:pPr>
        <w:pStyle w:val="ListParagraph"/>
        <w:numPr>
          <w:ilvl w:val="0"/>
          <w:numId w:val="75"/>
        </w:numPr>
        <w:tabs>
          <w:tab w:pos="599" w:val="left" w:leader="none"/>
          <w:tab w:pos="600" w:val="left" w:leader="none"/>
        </w:tabs>
        <w:spacing w:line="240" w:lineRule="auto" w:before="0" w:after="0"/>
        <w:ind w:left="600" w:right="0" w:hanging="428"/>
        <w:jc w:val="left"/>
        <w:rPr>
          <w:sz w:val="24"/>
        </w:rPr>
      </w:pPr>
      <w:hyperlink r:id="rId110">
        <w:r>
          <w:rPr>
            <w:color w:val="0562C1"/>
            <w:sz w:val="24"/>
            <w:u w:val="single" w:color="0562C1"/>
          </w:rPr>
          <w:t>Медицинская реабилитация при новой коронавирусной инфекции</w:t>
        </w:r>
        <w:r>
          <w:rPr>
            <w:color w:val="0562C1"/>
            <w:spacing w:val="-3"/>
            <w:sz w:val="24"/>
            <w:u w:val="single" w:color="0562C1"/>
          </w:rPr>
          <w:t> </w:t>
        </w:r>
        <w:r>
          <w:rPr>
            <w:color w:val="0562C1"/>
            <w:sz w:val="24"/>
            <w:u w:val="single" w:color="0562C1"/>
          </w:rPr>
          <w:t>(COVID-19)</w:t>
        </w:r>
      </w:hyperlink>
    </w:p>
    <w:p>
      <w:pPr>
        <w:pStyle w:val="ListParagraph"/>
        <w:numPr>
          <w:ilvl w:val="0"/>
          <w:numId w:val="75"/>
        </w:numPr>
        <w:tabs>
          <w:tab w:pos="600" w:val="left" w:leader="none"/>
        </w:tabs>
        <w:spacing w:line="360" w:lineRule="auto" w:before="137" w:after="0"/>
        <w:ind w:left="600" w:right="365" w:hanging="428"/>
        <w:jc w:val="both"/>
        <w:rPr>
          <w:sz w:val="24"/>
        </w:rPr>
      </w:pPr>
      <w:hyperlink r:id="rId111">
        <w:r>
          <w:rPr>
            <w:color w:val="0562C1"/>
            <w:sz w:val="24"/>
            <w:u w:val="single" w:color="0562C1"/>
          </w:rPr>
          <w:t>Лекарственная терапия острых респираторных вирусных инфекций (ОРВИ) в амбулаторной</w:t>
        </w:r>
      </w:hyperlink>
      <w:hyperlink r:id="rId111">
        <w:r>
          <w:rPr>
            <w:color w:val="0562C1"/>
            <w:sz w:val="24"/>
            <w:u w:val="single" w:color="0562C1"/>
          </w:rPr>
          <w:t> практике в период эпидемии</w:t>
        </w:r>
        <w:r>
          <w:rPr>
            <w:color w:val="0562C1"/>
            <w:spacing w:val="-2"/>
            <w:sz w:val="24"/>
            <w:u w:val="single" w:color="0562C1"/>
          </w:rPr>
          <w:t> </w:t>
        </w:r>
        <w:r>
          <w:rPr>
            <w:color w:val="0562C1"/>
            <w:sz w:val="24"/>
            <w:u w:val="single" w:color="0562C1"/>
          </w:rPr>
          <w:t>COVID-19</w:t>
        </w:r>
      </w:hyperlink>
    </w:p>
    <w:p>
      <w:pPr>
        <w:pStyle w:val="ListParagraph"/>
        <w:numPr>
          <w:ilvl w:val="0"/>
          <w:numId w:val="75"/>
        </w:numPr>
        <w:tabs>
          <w:tab w:pos="600" w:val="left" w:leader="none"/>
        </w:tabs>
        <w:spacing w:line="360" w:lineRule="auto" w:before="0" w:after="0"/>
        <w:ind w:left="600" w:right="366" w:hanging="428"/>
        <w:jc w:val="both"/>
        <w:rPr>
          <w:sz w:val="24"/>
        </w:rPr>
      </w:pPr>
      <w:hyperlink r:id="rId112">
        <w:r>
          <w:rPr>
            <w:color w:val="0562C1"/>
            <w:sz w:val="24"/>
            <w:u w:val="single" w:color="0562C1"/>
          </w:rPr>
          <w:t>Методические рекомендации по организации проведения профилактических медицинских</w:t>
        </w:r>
      </w:hyperlink>
      <w:hyperlink r:id="rId112">
        <w:r>
          <w:rPr>
            <w:color w:val="0562C1"/>
            <w:sz w:val="24"/>
            <w:u w:val="single" w:color="0562C1"/>
          </w:rPr>
          <w:t> осмотров и диспансеризации в условиях сохранения рисков распространения новой</w:t>
        </w:r>
      </w:hyperlink>
      <w:hyperlink r:id="rId112">
        <w:r>
          <w:rPr>
            <w:color w:val="0562C1"/>
            <w:sz w:val="24"/>
            <w:u w:val="single" w:color="0562C1"/>
          </w:rPr>
          <w:t> коронавирусной инфекции</w:t>
        </w:r>
        <w:r>
          <w:rPr>
            <w:color w:val="0562C1"/>
            <w:spacing w:val="1"/>
            <w:sz w:val="24"/>
            <w:u w:val="single" w:color="0562C1"/>
          </w:rPr>
          <w:t> </w:t>
        </w:r>
        <w:r>
          <w:rPr>
            <w:color w:val="0562C1"/>
            <w:sz w:val="24"/>
            <w:u w:val="single" w:color="0562C1"/>
          </w:rPr>
          <w:t>(COVID-19)</w:t>
        </w:r>
      </w:hyperlink>
    </w:p>
    <w:p>
      <w:pPr>
        <w:pStyle w:val="ListParagraph"/>
        <w:numPr>
          <w:ilvl w:val="0"/>
          <w:numId w:val="75"/>
        </w:numPr>
        <w:tabs>
          <w:tab w:pos="600" w:val="left" w:leader="none"/>
        </w:tabs>
        <w:spacing w:line="360" w:lineRule="auto" w:before="1" w:after="0"/>
        <w:ind w:left="600" w:right="364" w:hanging="428"/>
        <w:jc w:val="both"/>
        <w:rPr>
          <w:sz w:val="24"/>
        </w:rPr>
      </w:pPr>
      <w:hyperlink r:id="rId113">
        <w:r>
          <w:rPr>
            <w:color w:val="0562C1"/>
            <w:sz w:val="24"/>
            <w:u w:val="single" w:color="0562C1"/>
          </w:rPr>
          <w:t>Методические рекомендации по кодированию и выбору основного состояния в статистике</w:t>
        </w:r>
      </w:hyperlink>
      <w:hyperlink r:id="rId113">
        <w:r>
          <w:rPr>
            <w:color w:val="0562C1"/>
            <w:sz w:val="24"/>
            <w:u w:val="single" w:color="0562C1"/>
          </w:rPr>
          <w:t> заболеваемости</w:t>
        </w:r>
        <w:r>
          <w:rPr>
            <w:color w:val="0562C1"/>
            <w:spacing w:val="-10"/>
            <w:sz w:val="24"/>
            <w:u w:val="single" w:color="0562C1"/>
          </w:rPr>
          <w:t> </w:t>
        </w:r>
        <w:r>
          <w:rPr>
            <w:color w:val="0562C1"/>
            <w:sz w:val="24"/>
            <w:u w:val="single" w:color="0562C1"/>
          </w:rPr>
          <w:t>и</w:t>
        </w:r>
        <w:r>
          <w:rPr>
            <w:color w:val="0562C1"/>
            <w:spacing w:val="-10"/>
            <w:sz w:val="24"/>
            <w:u w:val="single" w:color="0562C1"/>
          </w:rPr>
          <w:t> </w:t>
        </w:r>
        <w:r>
          <w:rPr>
            <w:color w:val="0562C1"/>
            <w:sz w:val="24"/>
            <w:u w:val="single" w:color="0562C1"/>
          </w:rPr>
          <w:t>первоначальной</w:t>
        </w:r>
        <w:r>
          <w:rPr>
            <w:color w:val="0562C1"/>
            <w:spacing w:val="-9"/>
            <w:sz w:val="24"/>
            <w:u w:val="single" w:color="0562C1"/>
          </w:rPr>
          <w:t> </w:t>
        </w:r>
        <w:r>
          <w:rPr>
            <w:color w:val="0562C1"/>
            <w:sz w:val="24"/>
            <w:u w:val="single" w:color="0562C1"/>
          </w:rPr>
          <w:t>причины</w:t>
        </w:r>
        <w:r>
          <w:rPr>
            <w:color w:val="0562C1"/>
            <w:spacing w:val="-11"/>
            <w:sz w:val="24"/>
            <w:u w:val="single" w:color="0562C1"/>
          </w:rPr>
          <w:t> </w:t>
        </w:r>
        <w:r>
          <w:rPr>
            <w:color w:val="0562C1"/>
            <w:sz w:val="24"/>
            <w:u w:val="single" w:color="0562C1"/>
          </w:rPr>
          <w:t>в</w:t>
        </w:r>
        <w:r>
          <w:rPr>
            <w:color w:val="0562C1"/>
            <w:spacing w:val="-10"/>
            <w:sz w:val="24"/>
            <w:u w:val="single" w:color="0562C1"/>
          </w:rPr>
          <w:t> </w:t>
        </w:r>
        <w:r>
          <w:rPr>
            <w:color w:val="0562C1"/>
            <w:sz w:val="24"/>
            <w:u w:val="single" w:color="0562C1"/>
          </w:rPr>
          <w:t>статистике</w:t>
        </w:r>
        <w:r>
          <w:rPr>
            <w:color w:val="0562C1"/>
            <w:spacing w:val="-12"/>
            <w:sz w:val="24"/>
            <w:u w:val="single" w:color="0562C1"/>
          </w:rPr>
          <w:t> </w:t>
        </w:r>
        <w:r>
          <w:rPr>
            <w:color w:val="0562C1"/>
            <w:sz w:val="24"/>
            <w:u w:val="single" w:color="0562C1"/>
          </w:rPr>
          <w:t>смертности,</w:t>
        </w:r>
        <w:r>
          <w:rPr>
            <w:color w:val="0562C1"/>
            <w:spacing w:val="-12"/>
            <w:sz w:val="24"/>
            <w:u w:val="single" w:color="0562C1"/>
          </w:rPr>
          <w:t> </w:t>
        </w:r>
        <w:r>
          <w:rPr>
            <w:color w:val="0562C1"/>
            <w:sz w:val="24"/>
            <w:u w:val="single" w:color="0562C1"/>
          </w:rPr>
          <w:t>связанных</w:t>
        </w:r>
        <w:r>
          <w:rPr>
            <w:color w:val="0562C1"/>
            <w:spacing w:val="-8"/>
            <w:sz w:val="24"/>
            <w:u w:val="single" w:color="0562C1"/>
          </w:rPr>
          <w:t> </w:t>
        </w:r>
        <w:r>
          <w:rPr>
            <w:color w:val="0562C1"/>
            <w:sz w:val="24"/>
            <w:u w:val="single" w:color="0562C1"/>
          </w:rPr>
          <w:t>с</w:t>
        </w:r>
        <w:r>
          <w:rPr>
            <w:color w:val="0562C1"/>
            <w:spacing w:val="-11"/>
            <w:sz w:val="24"/>
            <w:u w:val="single" w:color="0562C1"/>
          </w:rPr>
          <w:t> </w:t>
        </w:r>
        <w:r>
          <w:rPr>
            <w:color w:val="0562C1"/>
            <w:sz w:val="24"/>
            <w:u w:val="single" w:color="0562C1"/>
          </w:rPr>
          <w:t>COVID-19</w:t>
        </w:r>
      </w:hyperlink>
    </w:p>
    <w:p>
      <w:pPr>
        <w:pStyle w:val="ListParagraph"/>
        <w:numPr>
          <w:ilvl w:val="0"/>
          <w:numId w:val="75"/>
        </w:numPr>
        <w:tabs>
          <w:tab w:pos="600" w:val="left" w:leader="none"/>
        </w:tabs>
        <w:spacing w:line="360" w:lineRule="auto" w:before="0" w:after="0"/>
        <w:ind w:left="600" w:right="364" w:hanging="428"/>
        <w:jc w:val="both"/>
        <w:rPr>
          <w:sz w:val="24"/>
        </w:rPr>
      </w:pPr>
      <w:r>
        <w:rPr>
          <w:sz w:val="24"/>
        </w:rPr>
        <w:t>Клинические рекомендации Федерации анестезиологов-реаниматологов «Применение неинвазивной вентиляции</w:t>
      </w:r>
      <w:r>
        <w:rPr>
          <w:spacing w:val="1"/>
          <w:sz w:val="24"/>
        </w:rPr>
        <w:t> </w:t>
      </w:r>
      <w:r>
        <w:rPr>
          <w:sz w:val="24"/>
        </w:rPr>
        <w:t>легких»</w:t>
      </w:r>
    </w:p>
    <w:p>
      <w:pPr>
        <w:pStyle w:val="ListParagraph"/>
        <w:numPr>
          <w:ilvl w:val="0"/>
          <w:numId w:val="75"/>
        </w:numPr>
        <w:tabs>
          <w:tab w:pos="600" w:val="left" w:leader="none"/>
        </w:tabs>
        <w:spacing w:line="360" w:lineRule="auto" w:before="0" w:after="0"/>
        <w:ind w:left="600" w:right="364" w:hanging="428"/>
        <w:jc w:val="both"/>
        <w:rPr>
          <w:sz w:val="24"/>
        </w:rPr>
      </w:pPr>
      <w:r>
        <w:rPr>
          <w:sz w:val="24"/>
        </w:rPr>
        <w:t>Клинические  рекомендации   Федерации   анестезиологов-реаниматологов   «Диагностика и интенсивная терапия острого респираторного</w:t>
      </w:r>
      <w:r>
        <w:rPr>
          <w:spacing w:val="-3"/>
          <w:sz w:val="24"/>
        </w:rPr>
        <w:t> </w:t>
      </w:r>
      <w:r>
        <w:rPr>
          <w:sz w:val="24"/>
        </w:rPr>
        <w:t>дистресс-синдрома»</w:t>
      </w:r>
    </w:p>
    <w:p>
      <w:pPr>
        <w:pStyle w:val="ListParagraph"/>
        <w:numPr>
          <w:ilvl w:val="0"/>
          <w:numId w:val="75"/>
        </w:numPr>
        <w:tabs>
          <w:tab w:pos="600" w:val="left" w:leader="none"/>
        </w:tabs>
        <w:spacing w:line="360" w:lineRule="auto" w:before="0" w:after="0"/>
        <w:ind w:left="600" w:right="364" w:hanging="428"/>
        <w:jc w:val="both"/>
        <w:rPr>
          <w:sz w:val="24"/>
        </w:rPr>
      </w:pPr>
      <w:hyperlink r:id="rId15">
        <w:r>
          <w:rPr>
            <w:color w:val="0562C1"/>
            <w:sz w:val="24"/>
            <w:u w:val="single" w:color="0562C1"/>
          </w:rPr>
          <w:t>Методические рекомендации Федерации анестезиологов-реаниматологов по анестезиолого-</w:t>
        </w:r>
      </w:hyperlink>
      <w:hyperlink r:id="rId15">
        <w:r>
          <w:rPr>
            <w:color w:val="0562C1"/>
            <w:sz w:val="24"/>
            <w:u w:val="single" w:color="0562C1"/>
          </w:rPr>
          <w:t> реанимационному ведению больных</w:t>
        </w:r>
        <w:r>
          <w:rPr>
            <w:color w:val="0562C1"/>
            <w:spacing w:val="-7"/>
            <w:sz w:val="24"/>
            <w:u w:val="single" w:color="0562C1"/>
          </w:rPr>
          <w:t> </w:t>
        </w:r>
        <w:r>
          <w:rPr>
            <w:color w:val="0562C1"/>
            <w:sz w:val="24"/>
            <w:u w:val="single" w:color="0562C1"/>
          </w:rPr>
          <w:t>COVID-19</w:t>
        </w:r>
      </w:hyperlink>
    </w:p>
    <w:p>
      <w:pPr>
        <w:pStyle w:val="ListParagraph"/>
        <w:numPr>
          <w:ilvl w:val="0"/>
          <w:numId w:val="75"/>
        </w:numPr>
        <w:tabs>
          <w:tab w:pos="600" w:val="left" w:leader="none"/>
        </w:tabs>
        <w:spacing w:line="360" w:lineRule="auto" w:before="0" w:after="0"/>
        <w:ind w:left="600" w:right="364" w:hanging="428"/>
        <w:jc w:val="both"/>
        <w:rPr>
          <w:sz w:val="24"/>
        </w:rPr>
      </w:pPr>
      <w:r>
        <w:rPr>
          <w:sz w:val="24"/>
        </w:rPr>
        <w:t>Рекомендации по психологическому сопровождению деятельности руководителей медицинских организаций и их структурных подразделений в условиях оказания медиицнской помощи пациентам с</w:t>
      </w:r>
      <w:r>
        <w:rPr>
          <w:spacing w:val="-1"/>
          <w:sz w:val="24"/>
        </w:rPr>
        <w:t> </w:t>
      </w:r>
      <w:r>
        <w:rPr>
          <w:sz w:val="24"/>
        </w:rPr>
        <w:t>COVID-19</w:t>
      </w:r>
    </w:p>
    <w:p>
      <w:pPr>
        <w:pStyle w:val="ListParagraph"/>
        <w:numPr>
          <w:ilvl w:val="0"/>
          <w:numId w:val="75"/>
        </w:numPr>
        <w:tabs>
          <w:tab w:pos="600" w:val="left" w:leader="none"/>
        </w:tabs>
        <w:spacing w:line="360" w:lineRule="auto" w:before="0" w:after="0"/>
        <w:ind w:left="600" w:right="367" w:hanging="428"/>
        <w:jc w:val="both"/>
        <w:rPr>
          <w:sz w:val="24"/>
        </w:rPr>
      </w:pPr>
      <w:r>
        <w:rPr>
          <w:sz w:val="24"/>
        </w:rPr>
        <w:t>Рекомендации по предупреждению психологического неблагополучия у медицинских работников в период пандемии</w:t>
      </w:r>
      <w:r>
        <w:rPr>
          <w:spacing w:val="-2"/>
          <w:sz w:val="24"/>
        </w:rPr>
        <w:t> </w:t>
      </w:r>
      <w:r>
        <w:rPr>
          <w:sz w:val="24"/>
        </w:rPr>
        <w:t>COVID-19</w:t>
      </w:r>
    </w:p>
    <w:p>
      <w:pPr>
        <w:pStyle w:val="ListParagraph"/>
        <w:numPr>
          <w:ilvl w:val="0"/>
          <w:numId w:val="75"/>
        </w:numPr>
        <w:tabs>
          <w:tab w:pos="600" w:val="left" w:leader="none"/>
        </w:tabs>
        <w:spacing w:line="360" w:lineRule="auto" w:before="0" w:after="0"/>
        <w:ind w:left="600" w:right="367" w:hanging="428"/>
        <w:jc w:val="both"/>
        <w:rPr>
          <w:sz w:val="24"/>
        </w:rPr>
      </w:pPr>
      <w:r>
        <w:rPr>
          <w:sz w:val="24"/>
        </w:rPr>
        <w:t>Рекомендации для медицинских работников по совладению со стрессом в условиях пандемии COVID-19</w:t>
      </w:r>
    </w:p>
    <w:p>
      <w:pPr>
        <w:spacing w:after="0" w:line="360" w:lineRule="auto"/>
        <w:jc w:val="both"/>
        <w:rPr>
          <w:sz w:val="24"/>
        </w:rPr>
        <w:sectPr>
          <w:pgSz w:w="11920" w:h="16850"/>
          <w:pgMar w:header="0" w:footer="956" w:top="980" w:bottom="1180" w:left="960" w:right="480"/>
        </w:sectPr>
      </w:pPr>
    </w:p>
    <w:p>
      <w:pPr>
        <w:pStyle w:val="Heading2"/>
        <w:spacing w:before="61"/>
        <w:ind w:left="880"/>
      </w:pPr>
      <w:bookmarkStart w:name="СПИСОК ИСПОЛЬЗОВАННЫХ СОКРАЩЕНИЙ" w:id="479"/>
      <w:bookmarkEnd w:id="479"/>
      <w:r>
        <w:rPr>
          <w:b w:val="0"/>
        </w:rPr>
      </w:r>
      <w:bookmarkStart w:name="_bookmark71" w:id="480"/>
      <w:bookmarkEnd w:id="480"/>
      <w:r>
        <w:rPr>
          <w:b w:val="0"/>
        </w:rPr>
      </w:r>
      <w:r>
        <w:rPr>
          <w:color w:val="1F487C"/>
        </w:rPr>
        <w:t>СПИСОК ИСПОЛЬЗОВАННЫХ СОКРАЩЕНИЙ</w:t>
      </w:r>
    </w:p>
    <w:p>
      <w:pPr>
        <w:spacing w:line="314" w:lineRule="auto" w:before="202"/>
        <w:ind w:left="1024" w:right="5154" w:firstLine="0"/>
        <w:jc w:val="left"/>
        <w:rPr>
          <w:sz w:val="22"/>
        </w:rPr>
      </w:pPr>
      <w:r>
        <w:rPr>
          <w:sz w:val="22"/>
        </w:rPr>
        <w:t>АПФ – ангиотензин-превращающий фермент АТФ – аденозинтрифосфат</w:t>
      </w:r>
    </w:p>
    <w:p>
      <w:pPr>
        <w:spacing w:line="314" w:lineRule="auto" w:before="0"/>
        <w:ind w:left="1024" w:right="3639" w:firstLine="0"/>
        <w:jc w:val="left"/>
        <w:rPr>
          <w:sz w:val="22"/>
        </w:rPr>
      </w:pPr>
      <w:r>
        <w:rPr>
          <w:sz w:val="22"/>
        </w:rPr>
        <w:t>АЧТВ - активированное частичное тромбопластиновое время БПВП – базисный противовоспалительный препаратам</w:t>
      </w:r>
    </w:p>
    <w:p>
      <w:pPr>
        <w:spacing w:line="226" w:lineRule="exact" w:before="0"/>
        <w:ind w:left="1024" w:right="0" w:firstLine="0"/>
        <w:jc w:val="left"/>
        <w:rPr>
          <w:sz w:val="22"/>
        </w:rPr>
      </w:pPr>
      <w:r>
        <w:rPr>
          <w:sz w:val="22"/>
        </w:rPr>
        <w:t>в/в – внутривенно</w:t>
      </w:r>
    </w:p>
    <w:p>
      <w:pPr>
        <w:spacing w:before="49"/>
        <w:ind w:left="1024" w:right="0" w:firstLine="0"/>
        <w:jc w:val="left"/>
        <w:rPr>
          <w:sz w:val="22"/>
        </w:rPr>
      </w:pPr>
      <w:r>
        <w:rPr>
          <w:sz w:val="22"/>
        </w:rPr>
        <w:t>ВГН – верхняя граница нормы</w:t>
      </w:r>
    </w:p>
    <w:p>
      <w:pPr>
        <w:spacing w:line="302" w:lineRule="auto" w:before="78"/>
        <w:ind w:left="1024" w:right="4474" w:firstLine="0"/>
        <w:jc w:val="left"/>
        <w:rPr>
          <w:sz w:val="22"/>
        </w:rPr>
      </w:pPr>
      <w:r>
        <w:rPr>
          <w:sz w:val="22"/>
        </w:rPr>
        <w:t>ВОЗ – Всемирная организация здравоохранения ГИБП – генно-инженерный биологический препарат ГК – глюкокортикоиды</w:t>
      </w:r>
    </w:p>
    <w:p>
      <w:pPr>
        <w:spacing w:line="237" w:lineRule="exact" w:before="0"/>
        <w:ind w:left="1024" w:right="0" w:firstLine="0"/>
        <w:jc w:val="left"/>
        <w:rPr>
          <w:sz w:val="22"/>
        </w:rPr>
      </w:pPr>
      <w:r>
        <w:rPr>
          <w:sz w:val="22"/>
        </w:rPr>
        <w:t>ГЛГ – гемофагоцитарный лимфогистоцитоз</w:t>
      </w:r>
    </w:p>
    <w:p>
      <w:pPr>
        <w:spacing w:line="314" w:lineRule="auto" w:before="76"/>
        <w:ind w:left="1024" w:right="5960" w:firstLine="0"/>
        <w:jc w:val="left"/>
        <w:rPr>
          <w:sz w:val="22"/>
        </w:rPr>
      </w:pPr>
      <w:r>
        <w:rPr>
          <w:sz w:val="22"/>
        </w:rPr>
        <w:t>ГЭБ – гематоэнцефалический барьер ДН – дыхательная недостаточность ЖКТ – желудочно-кишечный тракт</w:t>
      </w:r>
    </w:p>
    <w:p>
      <w:pPr>
        <w:spacing w:line="250" w:lineRule="exact" w:before="0"/>
        <w:ind w:left="1024" w:right="0" w:firstLine="0"/>
        <w:jc w:val="left"/>
        <w:rPr>
          <w:sz w:val="22"/>
        </w:rPr>
      </w:pPr>
      <w:r>
        <w:rPr>
          <w:sz w:val="22"/>
        </w:rPr>
        <w:t>ИВЛ – искусственная вентиляция легких</w:t>
      </w:r>
    </w:p>
    <w:p>
      <w:pPr>
        <w:spacing w:line="288" w:lineRule="auto" w:before="78"/>
        <w:ind w:left="1024" w:right="3309" w:firstLine="0"/>
        <w:jc w:val="left"/>
        <w:rPr>
          <w:sz w:val="22"/>
        </w:rPr>
      </w:pPr>
      <w:r>
        <w:rPr>
          <w:sz w:val="22"/>
        </w:rPr>
        <w:t>ИВРЗ – иммуновоспалительные ревматические заболевания ИПМР – индивидуальная программа медицинской реабилитации ИФН – интерферон</w:t>
      </w:r>
    </w:p>
    <w:p>
      <w:pPr>
        <w:spacing w:line="314" w:lineRule="auto" w:before="30"/>
        <w:ind w:left="1023" w:right="4642" w:firstLine="0"/>
        <w:jc w:val="left"/>
        <w:rPr>
          <w:sz w:val="22"/>
        </w:rPr>
      </w:pPr>
      <w:r>
        <w:rPr>
          <w:sz w:val="22"/>
        </w:rPr>
        <w:t>КИЕ – калликреиновые инактивирующие единицы КНР – Китайская Народная Республика</w:t>
      </w:r>
    </w:p>
    <w:p>
      <w:pPr>
        <w:spacing w:line="250" w:lineRule="exact" w:before="0"/>
        <w:ind w:left="1023" w:right="0" w:firstLine="0"/>
        <w:jc w:val="left"/>
        <w:rPr>
          <w:sz w:val="22"/>
        </w:rPr>
      </w:pPr>
      <w:r>
        <w:rPr>
          <w:sz w:val="22"/>
        </w:rPr>
        <w:t>КТ – компьютерная томография</w:t>
      </w:r>
    </w:p>
    <w:p>
      <w:pPr>
        <w:spacing w:line="314" w:lineRule="auto" w:before="78"/>
        <w:ind w:left="1024" w:right="4548" w:firstLine="0"/>
        <w:jc w:val="left"/>
        <w:rPr>
          <w:sz w:val="22"/>
        </w:rPr>
      </w:pPr>
      <w:r>
        <w:rPr>
          <w:sz w:val="22"/>
        </w:rPr>
        <w:t>МАНК – метод амплификации нуклеиновых кислот МЕ – международные единицы измерения</w:t>
      </w:r>
    </w:p>
    <w:p>
      <w:pPr>
        <w:spacing w:line="314" w:lineRule="auto" w:before="0"/>
        <w:ind w:left="1024" w:right="4431" w:firstLine="0"/>
        <w:jc w:val="left"/>
        <w:rPr>
          <w:sz w:val="22"/>
        </w:rPr>
      </w:pPr>
      <w:r>
        <w:rPr>
          <w:sz w:val="22"/>
        </w:rPr>
        <w:t>МНО – международное нормализованное отношение МП – метипреднизолон</w:t>
      </w:r>
    </w:p>
    <w:p>
      <w:pPr>
        <w:spacing w:line="226" w:lineRule="exact" w:before="0"/>
        <w:ind w:left="1024" w:right="0" w:firstLine="0"/>
        <w:jc w:val="left"/>
        <w:rPr>
          <w:sz w:val="22"/>
        </w:rPr>
      </w:pPr>
      <w:r>
        <w:rPr>
          <w:sz w:val="22"/>
        </w:rPr>
        <w:t>НИВЛ – неинвазивная вентиляция легких</w:t>
      </w:r>
    </w:p>
    <w:p>
      <w:pPr>
        <w:spacing w:line="288" w:lineRule="auto" w:before="75"/>
        <w:ind w:left="1023" w:right="3992" w:firstLine="0"/>
        <w:jc w:val="left"/>
        <w:rPr>
          <w:sz w:val="22"/>
        </w:rPr>
      </w:pPr>
      <w:r>
        <w:rPr>
          <w:sz w:val="22"/>
        </w:rPr>
        <w:t>НПВП – нестероидный противовоспалительный препарат НМГ – низкомолекулярный гепарин</w:t>
      </w:r>
    </w:p>
    <w:p>
      <w:pPr>
        <w:spacing w:line="312" w:lineRule="auto" w:before="29"/>
        <w:ind w:left="1023" w:right="5777" w:firstLine="0"/>
        <w:jc w:val="left"/>
        <w:rPr>
          <w:sz w:val="22"/>
        </w:rPr>
      </w:pPr>
      <w:r>
        <w:rPr>
          <w:sz w:val="22"/>
        </w:rPr>
        <w:t>НФГ – нефракционированный гепарин ОГК – органы грудной клетки</w:t>
      </w:r>
    </w:p>
    <w:p>
      <w:pPr>
        <w:spacing w:line="314" w:lineRule="auto" w:before="2"/>
        <w:ind w:left="1023" w:right="5271" w:firstLine="0"/>
        <w:jc w:val="left"/>
        <w:rPr>
          <w:sz w:val="22"/>
        </w:rPr>
      </w:pPr>
      <w:r>
        <w:rPr>
          <w:sz w:val="22"/>
        </w:rPr>
        <w:t>ОДН – острая дыхательная недостаточность ОКС — острый коронарный синдром</w:t>
      </w:r>
    </w:p>
    <w:p>
      <w:pPr>
        <w:spacing w:line="314" w:lineRule="auto" w:before="0"/>
        <w:ind w:left="1023" w:right="4696" w:firstLine="0"/>
        <w:jc w:val="left"/>
        <w:rPr>
          <w:sz w:val="22"/>
        </w:rPr>
      </w:pPr>
      <w:r>
        <w:rPr>
          <w:sz w:val="22"/>
        </w:rPr>
        <w:t>ОРВИ – острая респираторная вирусная инфекция ОРИ – острая респираторная инфекция</w:t>
      </w:r>
    </w:p>
    <w:p>
      <w:pPr>
        <w:spacing w:line="312" w:lineRule="auto" w:before="0"/>
        <w:ind w:left="1023" w:right="4251" w:firstLine="0"/>
        <w:jc w:val="left"/>
        <w:rPr>
          <w:sz w:val="22"/>
        </w:rPr>
      </w:pPr>
      <w:r>
        <w:rPr>
          <w:sz w:val="22"/>
        </w:rPr>
        <w:t>ОРДС – острый респираторный дистресс-синдром ОРИТ – отделение реанимации и интенсивной терапии ПЦР – полимеразная цепная реакция</w:t>
      </w:r>
    </w:p>
    <w:p>
      <w:pPr>
        <w:spacing w:line="314" w:lineRule="auto" w:before="2"/>
        <w:ind w:left="1023" w:right="5554" w:firstLine="0"/>
        <w:jc w:val="left"/>
        <w:rPr>
          <w:sz w:val="22"/>
        </w:rPr>
      </w:pPr>
      <w:r>
        <w:rPr>
          <w:sz w:val="22"/>
        </w:rPr>
        <w:t>ПЭП – пероральное энтеральное питание РНК – рибонуклеиновая кислота</w:t>
      </w:r>
    </w:p>
    <w:p>
      <w:pPr>
        <w:spacing w:line="314" w:lineRule="auto" w:before="0"/>
        <w:ind w:left="1023" w:right="5395" w:firstLine="0"/>
        <w:jc w:val="left"/>
        <w:rPr>
          <w:sz w:val="22"/>
        </w:rPr>
      </w:pPr>
      <w:r>
        <w:rPr>
          <w:sz w:val="22"/>
        </w:rPr>
        <w:t>САМ – синдром активации макрофагов СЗП – свежезамороженна донорска плазма СИЗ – средства индивидуальной защиты</w:t>
      </w:r>
    </w:p>
    <w:p>
      <w:pPr>
        <w:spacing w:line="312" w:lineRule="auto" w:before="0"/>
        <w:ind w:left="1023" w:right="3638" w:firstLine="0"/>
        <w:jc w:val="left"/>
        <w:rPr>
          <w:sz w:val="22"/>
        </w:rPr>
      </w:pPr>
      <w:r>
        <w:rPr>
          <w:sz w:val="22"/>
        </w:rPr>
        <w:t>СИЗОД – средства индивидуальной защиты органов дыхания СКФ – скорость клубочковой фильтрации</w:t>
      </w:r>
    </w:p>
    <w:p>
      <w:pPr>
        <w:spacing w:after="0" w:line="312" w:lineRule="auto"/>
        <w:jc w:val="left"/>
        <w:rPr>
          <w:sz w:val="22"/>
        </w:rPr>
        <w:sectPr>
          <w:pgSz w:w="11920" w:h="16850"/>
          <w:pgMar w:header="0" w:footer="956" w:top="980" w:bottom="1180" w:left="960" w:right="480"/>
        </w:sectPr>
      </w:pPr>
    </w:p>
    <w:p>
      <w:pPr>
        <w:spacing w:line="314" w:lineRule="auto" w:before="62"/>
        <w:ind w:left="1024" w:right="5791" w:firstLine="0"/>
        <w:jc w:val="left"/>
        <w:rPr>
          <w:sz w:val="22"/>
        </w:rPr>
      </w:pPr>
      <w:r>
        <w:rPr>
          <w:sz w:val="22"/>
        </w:rPr>
        <w:t>СМП – скорая медицинская помощь СОЭ – скорость оседания эритроцитов СРБ – С-реактивный белок</w:t>
      </w:r>
    </w:p>
    <w:p>
      <w:pPr>
        <w:spacing w:line="250" w:lineRule="exact" w:before="0"/>
        <w:ind w:left="1024" w:right="0" w:firstLine="0"/>
        <w:jc w:val="left"/>
        <w:rPr>
          <w:sz w:val="22"/>
        </w:rPr>
      </w:pPr>
      <w:r>
        <w:rPr>
          <w:sz w:val="22"/>
        </w:rPr>
        <w:t>СШ – септический шок</w:t>
      </w:r>
    </w:p>
    <w:p>
      <w:pPr>
        <w:spacing w:before="78"/>
        <w:ind w:left="1024" w:right="0" w:firstLine="0"/>
        <w:jc w:val="left"/>
        <w:rPr>
          <w:sz w:val="22"/>
        </w:rPr>
      </w:pPr>
      <w:r>
        <w:rPr>
          <w:sz w:val="22"/>
        </w:rPr>
        <w:t>ТГВ – тромбоз глубоких вен</w:t>
      </w:r>
    </w:p>
    <w:p>
      <w:pPr>
        <w:spacing w:line="312" w:lineRule="auto" w:before="78"/>
        <w:ind w:left="1024" w:right="4807" w:firstLine="0"/>
        <w:jc w:val="left"/>
        <w:rPr>
          <w:sz w:val="22"/>
        </w:rPr>
      </w:pPr>
      <w:r>
        <w:rPr>
          <w:sz w:val="22"/>
        </w:rPr>
        <w:t>ТИБ – транспортировочный изолирующий бокс ТОРИ – тяжелая острая респираторная инфекция</w:t>
      </w:r>
    </w:p>
    <w:p>
      <w:pPr>
        <w:spacing w:line="314" w:lineRule="auto" w:before="2"/>
        <w:ind w:left="1024" w:right="3983" w:firstLine="0"/>
        <w:jc w:val="left"/>
        <w:rPr>
          <w:sz w:val="22"/>
        </w:rPr>
      </w:pPr>
      <w:r>
        <w:rPr>
          <w:sz w:val="22"/>
        </w:rPr>
        <w:t>ТОРС (SARS) – тяжелый острый респираторный синдром ТЭЛА – тромбоэмболия легочной артерии</w:t>
      </w:r>
    </w:p>
    <w:p>
      <w:pPr>
        <w:spacing w:line="312" w:lineRule="auto" w:before="0"/>
        <w:ind w:left="1024" w:right="4395" w:firstLine="0"/>
        <w:jc w:val="left"/>
        <w:rPr>
          <w:sz w:val="22"/>
        </w:rPr>
      </w:pPr>
      <w:r>
        <w:rPr>
          <w:sz w:val="22"/>
        </w:rPr>
        <w:t>УФБИ – ультрафиолетовое бактерицидное излучение ФБС – фибробронхоскопия</w:t>
      </w:r>
    </w:p>
    <w:p>
      <w:pPr>
        <w:spacing w:before="2"/>
        <w:ind w:left="1024" w:right="0" w:firstLine="0"/>
        <w:jc w:val="left"/>
        <w:rPr>
          <w:sz w:val="22"/>
        </w:rPr>
      </w:pPr>
      <w:r>
        <w:rPr>
          <w:sz w:val="22"/>
        </w:rPr>
        <w:t>ФНО-α – фактор некроза опухолей альфа</w:t>
      </w:r>
    </w:p>
    <w:p>
      <w:pPr>
        <w:spacing w:line="314" w:lineRule="auto" w:before="52"/>
        <w:ind w:left="1024" w:right="4537" w:firstLine="0"/>
        <w:jc w:val="left"/>
        <w:rPr>
          <w:sz w:val="22"/>
        </w:rPr>
      </w:pPr>
      <w:r>
        <w:rPr>
          <w:sz w:val="22"/>
        </w:rPr>
        <w:t>ХОБЛ – хроническая обструктивная болезнь легких ЭКГ – электрокардиография</w:t>
      </w:r>
    </w:p>
    <w:p>
      <w:pPr>
        <w:spacing w:line="314" w:lineRule="auto" w:before="0"/>
        <w:ind w:left="1024" w:right="4265" w:firstLine="0"/>
        <w:jc w:val="left"/>
        <w:rPr>
          <w:sz w:val="22"/>
        </w:rPr>
      </w:pPr>
      <w:r>
        <w:rPr>
          <w:sz w:val="22"/>
        </w:rPr>
        <w:t>ЭКМО – экстракорпоральная мембранная оксигенация ЭП – энтеральное питание</w:t>
      </w:r>
    </w:p>
    <w:p>
      <w:pPr>
        <w:spacing w:line="253" w:lineRule="exact" w:before="0"/>
        <w:ind w:left="1023" w:right="0" w:firstLine="0"/>
        <w:jc w:val="left"/>
        <w:rPr>
          <w:sz w:val="22"/>
        </w:rPr>
      </w:pPr>
      <w:r>
        <w:rPr>
          <w:sz w:val="22"/>
        </w:rPr>
        <w:t>COVID-19 – инфекция, вызванная новым коронавирусом SARS-CoV-2</w:t>
      </w:r>
    </w:p>
    <w:p>
      <w:pPr>
        <w:spacing w:line="290" w:lineRule="auto" w:before="73"/>
        <w:ind w:left="1024" w:right="928" w:hanging="2"/>
        <w:jc w:val="left"/>
        <w:rPr>
          <w:sz w:val="22"/>
        </w:rPr>
      </w:pPr>
      <w:r>
        <w:rPr>
          <w:sz w:val="22"/>
        </w:rPr>
        <w:t>СРАР – режим искусственной вентиляции легких постоянным положительным давлением </w:t>
      </w:r>
      <w:r>
        <w:rPr>
          <w:position w:val="2"/>
          <w:sz w:val="22"/>
        </w:rPr>
        <w:t>FiO</w:t>
      </w:r>
      <w:r>
        <w:rPr>
          <w:sz w:val="14"/>
        </w:rPr>
        <w:t>2 </w:t>
      </w:r>
      <w:r>
        <w:rPr>
          <w:position w:val="2"/>
          <w:sz w:val="22"/>
        </w:rPr>
        <w:t>– концентрация кислорода в дыхательной смеси</w:t>
      </w:r>
    </w:p>
    <w:p>
      <w:pPr>
        <w:spacing w:line="288" w:lineRule="auto" w:before="0"/>
        <w:ind w:left="1025" w:right="6165" w:hanging="1"/>
        <w:jc w:val="left"/>
        <w:rPr>
          <w:sz w:val="22"/>
        </w:rPr>
      </w:pPr>
      <w:r>
        <w:rPr>
          <w:sz w:val="22"/>
        </w:rPr>
        <w:t>IgM – иммуноглобулины класса М IgG – иммуноглобулины класса G IgА – иммуноглобулины класса A</w:t>
      </w:r>
    </w:p>
    <w:p>
      <w:pPr>
        <w:spacing w:line="290" w:lineRule="auto" w:before="0"/>
        <w:ind w:left="1024" w:right="4521" w:firstLine="0"/>
        <w:jc w:val="left"/>
        <w:rPr>
          <w:sz w:val="22"/>
        </w:rPr>
      </w:pPr>
      <w:r>
        <w:rPr>
          <w:sz w:val="22"/>
        </w:rPr>
        <w:t>MDR – штаммы с множественной резистентностью MERS – Ближневосточный респираторный синдром</w:t>
      </w:r>
    </w:p>
    <w:p>
      <w:pPr>
        <w:spacing w:line="312" w:lineRule="auto" w:before="24"/>
        <w:ind w:left="1024" w:right="532" w:firstLine="0"/>
        <w:jc w:val="left"/>
        <w:rPr>
          <w:sz w:val="22"/>
        </w:rPr>
      </w:pPr>
      <w:r>
        <w:rPr>
          <w:sz w:val="22"/>
        </w:rPr>
        <w:t>MERS-CoV – коронавирус, вызвавший вспышку Ближневосточного респираторного синдрома MRSA – метициллин-резистентный золотистый стафилококк</w:t>
      </w:r>
    </w:p>
    <w:p>
      <w:pPr>
        <w:spacing w:line="288" w:lineRule="auto" w:before="3"/>
        <w:ind w:left="1024" w:right="4142" w:hanging="1"/>
        <w:jc w:val="left"/>
        <w:rPr>
          <w:sz w:val="22"/>
        </w:rPr>
      </w:pPr>
      <w:r>
        <w:rPr>
          <w:sz w:val="22"/>
        </w:rPr>
        <w:t>NT- proBNP – мозговой натрий-уретический пептид </w:t>
      </w:r>
      <w:r>
        <w:rPr>
          <w:position w:val="2"/>
          <w:sz w:val="22"/>
        </w:rPr>
        <w:t>PaCO</w:t>
      </w:r>
      <w:r>
        <w:rPr>
          <w:sz w:val="14"/>
        </w:rPr>
        <w:t>2 </w:t>
      </w:r>
      <w:r>
        <w:rPr>
          <w:position w:val="2"/>
          <w:sz w:val="22"/>
        </w:rPr>
        <w:t>– парциальное давление в крови углекислого газа PaO</w:t>
      </w:r>
      <w:r>
        <w:rPr>
          <w:sz w:val="14"/>
        </w:rPr>
        <w:t>2 </w:t>
      </w:r>
      <w:r>
        <w:rPr>
          <w:position w:val="2"/>
          <w:sz w:val="22"/>
        </w:rPr>
        <w:t>– парциальное давление в крови кислорода</w:t>
      </w:r>
    </w:p>
    <w:p>
      <w:pPr>
        <w:spacing w:line="242" w:lineRule="auto" w:before="0"/>
        <w:ind w:left="1024" w:right="640" w:firstLine="0"/>
        <w:jc w:val="left"/>
        <w:rPr>
          <w:sz w:val="22"/>
        </w:rPr>
      </w:pPr>
      <w:r>
        <w:rPr>
          <w:sz w:val="22"/>
        </w:rPr>
        <w:t>PEEP – постоянно положительное давление в дыхательных путях </w:t>
      </w:r>
      <w:hyperlink r:id="rId114">
        <w:r>
          <w:rPr>
            <w:sz w:val="22"/>
          </w:rPr>
          <w:t>(Positive End Expiratory</w:t>
        </w:r>
      </w:hyperlink>
      <w:r>
        <w:rPr>
          <w:sz w:val="22"/>
        </w:rPr>
        <w:t> </w:t>
      </w:r>
      <w:hyperlink r:id="rId114">
        <w:r>
          <w:rPr>
            <w:sz w:val="22"/>
          </w:rPr>
          <w:t>Pressure</w:t>
        </w:r>
      </w:hyperlink>
      <w:r>
        <w:rPr>
          <w:sz w:val="22"/>
        </w:rPr>
        <w:t>)</w:t>
      </w:r>
    </w:p>
    <w:p>
      <w:pPr>
        <w:spacing w:before="7"/>
        <w:ind w:left="1024" w:right="0" w:firstLine="0"/>
        <w:jc w:val="left"/>
        <w:rPr>
          <w:sz w:val="22"/>
        </w:rPr>
      </w:pPr>
      <w:r>
        <w:rPr>
          <w:position w:val="2"/>
          <w:sz w:val="22"/>
        </w:rPr>
        <w:t>PvO</w:t>
      </w:r>
      <w:r>
        <w:rPr>
          <w:sz w:val="14"/>
        </w:rPr>
        <w:t>2 </w:t>
      </w:r>
      <w:r>
        <w:rPr>
          <w:position w:val="2"/>
          <w:sz w:val="22"/>
        </w:rPr>
        <w:t>– напряжение кислорода в венозной крови</w:t>
      </w:r>
    </w:p>
    <w:p>
      <w:pPr>
        <w:spacing w:before="50"/>
        <w:ind w:left="1024" w:right="0" w:firstLine="0"/>
        <w:jc w:val="left"/>
        <w:rPr>
          <w:sz w:val="22"/>
        </w:rPr>
      </w:pPr>
      <w:r>
        <w:rPr>
          <w:sz w:val="22"/>
        </w:rPr>
        <w:t>SARS (ТОРС) – тяжелый острый респираторный синдром</w:t>
      </w:r>
    </w:p>
    <w:p>
      <w:pPr>
        <w:spacing w:before="76"/>
        <w:ind w:left="1024" w:right="0" w:firstLine="0"/>
        <w:jc w:val="left"/>
        <w:rPr>
          <w:sz w:val="22"/>
        </w:rPr>
      </w:pPr>
      <w:r>
        <w:rPr>
          <w:sz w:val="22"/>
        </w:rPr>
        <w:t>SARS-CoV – коронавирус, вызвавший вспышку тяжелого острого респираторного синдрома</w:t>
      </w:r>
    </w:p>
    <w:p>
      <w:pPr>
        <w:spacing w:before="78"/>
        <w:ind w:left="1024" w:right="0" w:firstLine="0"/>
        <w:jc w:val="left"/>
        <w:rPr>
          <w:sz w:val="22"/>
        </w:rPr>
      </w:pPr>
      <w:r>
        <w:rPr>
          <w:sz w:val="22"/>
        </w:rPr>
        <w:t>SARS-CoV-2 – новый коронавирус, вызвавший вспышку инфекции в 2019-2020 гг.</w:t>
      </w:r>
    </w:p>
    <w:p>
      <w:pPr>
        <w:tabs>
          <w:tab w:pos="1903" w:val="left" w:leader="none"/>
          <w:tab w:pos="2330" w:val="left" w:leader="none"/>
          <w:tab w:pos="3228" w:val="left" w:leader="none"/>
          <w:tab w:pos="7612" w:val="left" w:leader="none"/>
          <w:tab w:pos="8250" w:val="left" w:leader="none"/>
          <w:tab w:pos="9235" w:val="left" w:leader="none"/>
        </w:tabs>
        <w:spacing w:line="244" w:lineRule="auto" w:before="49"/>
        <w:ind w:left="1024" w:right="364" w:firstLine="0"/>
        <w:jc w:val="left"/>
        <w:rPr>
          <w:sz w:val="22"/>
        </w:rPr>
      </w:pPr>
      <w:r>
        <w:rPr>
          <w:sz w:val="22"/>
        </w:rPr>
        <w:t>SOFA</w:t>
        <w:tab/>
        <w:t>–</w:t>
        <w:tab/>
        <w:t>шкала</w:t>
        <w:tab/>
        <w:t>SOFA (</w:t>
      </w:r>
      <w:r>
        <w:rPr>
          <w:b/>
          <w:sz w:val="22"/>
        </w:rPr>
        <w:t>S</w:t>
      </w:r>
      <w:r>
        <w:rPr>
          <w:sz w:val="22"/>
        </w:rPr>
        <w:t>equential Organ</w:t>
      </w:r>
      <w:r>
        <w:rPr>
          <w:spacing w:val="-9"/>
          <w:sz w:val="22"/>
        </w:rPr>
        <w:t> </w:t>
      </w:r>
      <w:r>
        <w:rPr>
          <w:sz w:val="22"/>
        </w:rPr>
        <w:t>Failure</w:t>
      </w:r>
      <w:r>
        <w:rPr>
          <w:spacing w:val="-4"/>
          <w:sz w:val="22"/>
        </w:rPr>
        <w:t> </w:t>
      </w:r>
      <w:r>
        <w:rPr>
          <w:sz w:val="22"/>
        </w:rPr>
        <w:t>Assessment)</w:t>
        <w:tab/>
        <w:t>для</w:t>
        <w:tab/>
        <w:t>оценки</w:t>
        <w:tab/>
      </w:r>
      <w:r>
        <w:rPr>
          <w:spacing w:val="-3"/>
          <w:sz w:val="22"/>
        </w:rPr>
        <w:t>органной </w:t>
      </w:r>
      <w:r>
        <w:rPr>
          <w:sz w:val="22"/>
        </w:rPr>
        <w:t>недостаточности, риска смертности и</w:t>
      </w:r>
      <w:r>
        <w:rPr>
          <w:spacing w:val="-3"/>
          <w:sz w:val="22"/>
        </w:rPr>
        <w:t> </w:t>
      </w:r>
      <w:r>
        <w:rPr>
          <w:sz w:val="22"/>
        </w:rPr>
        <w:t>сепсиса</w:t>
      </w:r>
    </w:p>
    <w:p>
      <w:pPr>
        <w:spacing w:line="288" w:lineRule="auto" w:before="7"/>
        <w:ind w:left="1024" w:right="3656" w:firstLine="0"/>
        <w:jc w:val="left"/>
        <w:rPr>
          <w:sz w:val="22"/>
        </w:rPr>
      </w:pPr>
      <w:r>
        <w:rPr>
          <w:position w:val="2"/>
          <w:sz w:val="22"/>
        </w:rPr>
        <w:t>SpO</w:t>
      </w:r>
      <w:r>
        <w:rPr>
          <w:sz w:val="14"/>
        </w:rPr>
        <w:t>2 </w:t>
      </w:r>
      <w:r>
        <w:rPr>
          <w:position w:val="2"/>
          <w:sz w:val="22"/>
        </w:rPr>
        <w:t>– уровень насыщенности крови кислородом (сатурация) </w:t>
      </w:r>
      <w:r>
        <w:rPr>
          <w:sz w:val="22"/>
        </w:rPr>
        <w:t>T – температура тела</w:t>
      </w:r>
    </w:p>
    <w:p>
      <w:pPr>
        <w:spacing w:line="288" w:lineRule="auto" w:before="0"/>
        <w:ind w:left="1025" w:right="4301" w:firstLine="0"/>
        <w:jc w:val="left"/>
        <w:rPr>
          <w:sz w:val="22"/>
        </w:rPr>
      </w:pPr>
      <w:r>
        <w:rPr>
          <w:sz w:val="22"/>
        </w:rPr>
        <w:t>Vt – дыхательный объем (мл)/масса тела (кг) пациента XDR – штаммы с экстремальной резистентностью</w:t>
      </w:r>
    </w:p>
    <w:p>
      <w:pPr>
        <w:spacing w:after="0" w:line="288" w:lineRule="auto"/>
        <w:jc w:val="left"/>
        <w:rPr>
          <w:sz w:val="22"/>
        </w:rPr>
        <w:sectPr>
          <w:pgSz w:w="11920" w:h="16850"/>
          <w:pgMar w:header="0" w:footer="956" w:top="980" w:bottom="1180" w:left="960" w:right="480"/>
        </w:sectPr>
      </w:pPr>
    </w:p>
    <w:p>
      <w:pPr>
        <w:pStyle w:val="Heading2"/>
        <w:spacing w:before="61"/>
        <w:ind w:left="880"/>
      </w:pPr>
      <w:bookmarkStart w:name="АВТОРСКИЙ КОЛЛЕКТИВ" w:id="481"/>
      <w:bookmarkEnd w:id="481"/>
      <w:r>
        <w:rPr>
          <w:b w:val="0"/>
        </w:rPr>
      </w:r>
      <w:bookmarkStart w:name="_bookmark72" w:id="482"/>
      <w:bookmarkEnd w:id="482"/>
      <w:r>
        <w:rPr>
          <w:b w:val="0"/>
        </w:rPr>
      </w:r>
      <w:r>
        <w:rPr>
          <w:color w:val="1F487C"/>
        </w:rPr>
        <w:t>АВТОРСКИЙ КОЛЛЕКТИВ</w:t>
      </w:r>
    </w:p>
    <w:p>
      <w:pPr>
        <w:spacing w:line="276" w:lineRule="auto" w:before="202"/>
        <w:ind w:left="261" w:right="363" w:firstLine="705"/>
        <w:jc w:val="both"/>
        <w:rPr>
          <w:sz w:val="22"/>
        </w:rPr>
      </w:pPr>
      <w:r>
        <w:rPr>
          <w:b/>
          <w:i/>
          <w:sz w:val="22"/>
        </w:rPr>
        <w:t>Авдеев Сергей Николаевич </w:t>
      </w:r>
      <w:r>
        <w:rPr>
          <w:b/>
          <w:sz w:val="22"/>
        </w:rPr>
        <w:t>– </w:t>
      </w:r>
      <w:r>
        <w:rPr>
          <w:sz w:val="22"/>
        </w:rPr>
        <w:t>главный внештатный специалист пульмонолог, заведующий кафедрой пульмонологии федерального государственного автономного образовательного учреждения высшего образования Первый Московский государственный медицинский университет имени И.М. Сеченова Минздрава России (Сеченовский Университет), заместитель директора Федерального государственного бюджетного учреждения «Научно-исследовательский институт пульмонологии Федерального медико-биологического агентства»</w:t>
      </w:r>
    </w:p>
    <w:p>
      <w:pPr>
        <w:spacing w:line="276" w:lineRule="auto" w:before="0"/>
        <w:ind w:left="261" w:right="363" w:firstLine="705"/>
        <w:jc w:val="both"/>
        <w:rPr>
          <w:sz w:val="22"/>
        </w:rPr>
      </w:pPr>
      <w:r>
        <w:rPr>
          <w:b/>
          <w:i/>
          <w:sz w:val="22"/>
        </w:rPr>
        <w:t>Адамян Лейла Владимировна </w:t>
      </w:r>
      <w:r>
        <w:rPr>
          <w:b/>
          <w:sz w:val="22"/>
        </w:rPr>
        <w:t>– </w:t>
      </w:r>
      <w:r>
        <w:rPr>
          <w:sz w:val="22"/>
        </w:rPr>
        <w:t>главный внештатный специалист по акушерству и гинекологии, заместитель директора по научной работе Федерального государственного бюджетного учреждения</w:t>
      </w:r>
    </w:p>
    <w:p>
      <w:pPr>
        <w:spacing w:line="276" w:lineRule="auto" w:before="0"/>
        <w:ind w:left="261" w:right="364" w:firstLine="0"/>
        <w:jc w:val="both"/>
        <w:rPr>
          <w:sz w:val="22"/>
        </w:rPr>
      </w:pPr>
      <w:r>
        <w:rPr>
          <w:sz w:val="22"/>
        </w:rPr>
        <w:t>«Национальный медицинский исследовательский центр акушерства, гинекологии и перинатологии имени академика В.И. Кулакова» Минздрава России</w:t>
      </w:r>
    </w:p>
    <w:p>
      <w:pPr>
        <w:spacing w:line="276" w:lineRule="auto" w:before="0"/>
        <w:ind w:left="270" w:right="362" w:firstLine="705"/>
        <w:jc w:val="both"/>
        <w:rPr>
          <w:sz w:val="22"/>
        </w:rPr>
      </w:pPr>
      <w:r>
        <w:rPr>
          <w:b/>
          <w:i/>
          <w:sz w:val="22"/>
        </w:rPr>
        <w:t>Алексеева Екатерина Иосифовна – </w:t>
      </w:r>
      <w:r>
        <w:rPr>
          <w:sz w:val="22"/>
        </w:rPr>
        <w:t>главный внештатный детский специалист ревматолог, заведующая ревматологическим отделением ФГАУ «НМИЦ здоровья детей» Минздрава России, директор</w:t>
      </w:r>
      <w:r>
        <w:rPr>
          <w:spacing w:val="-15"/>
          <w:sz w:val="22"/>
        </w:rPr>
        <w:t> </w:t>
      </w:r>
      <w:r>
        <w:rPr>
          <w:sz w:val="22"/>
        </w:rPr>
        <w:t>Клинического</w:t>
      </w:r>
      <w:r>
        <w:rPr>
          <w:spacing w:val="-13"/>
          <w:sz w:val="22"/>
        </w:rPr>
        <w:t> </w:t>
      </w:r>
      <w:r>
        <w:rPr>
          <w:sz w:val="22"/>
        </w:rPr>
        <w:t>института</w:t>
      </w:r>
      <w:r>
        <w:rPr>
          <w:spacing w:val="-11"/>
          <w:sz w:val="22"/>
        </w:rPr>
        <w:t> </w:t>
      </w:r>
      <w:r>
        <w:rPr>
          <w:sz w:val="22"/>
        </w:rPr>
        <w:t>детского</w:t>
      </w:r>
      <w:r>
        <w:rPr>
          <w:spacing w:val="-13"/>
          <w:sz w:val="22"/>
        </w:rPr>
        <w:t> </w:t>
      </w:r>
      <w:r>
        <w:rPr>
          <w:sz w:val="22"/>
        </w:rPr>
        <w:t>здоровья</w:t>
      </w:r>
      <w:r>
        <w:rPr>
          <w:spacing w:val="-14"/>
          <w:sz w:val="22"/>
        </w:rPr>
        <w:t> </w:t>
      </w:r>
      <w:r>
        <w:rPr>
          <w:sz w:val="22"/>
        </w:rPr>
        <w:t>им.</w:t>
      </w:r>
      <w:r>
        <w:rPr>
          <w:spacing w:val="-12"/>
          <w:sz w:val="22"/>
        </w:rPr>
        <w:t> </w:t>
      </w:r>
      <w:r>
        <w:rPr>
          <w:sz w:val="22"/>
        </w:rPr>
        <w:t>Н.Ф.</w:t>
      </w:r>
      <w:r>
        <w:rPr>
          <w:spacing w:val="-13"/>
          <w:sz w:val="22"/>
        </w:rPr>
        <w:t> </w:t>
      </w:r>
      <w:r>
        <w:rPr>
          <w:sz w:val="22"/>
        </w:rPr>
        <w:t>Филатова</w:t>
      </w:r>
      <w:r>
        <w:rPr>
          <w:spacing w:val="-12"/>
          <w:sz w:val="22"/>
        </w:rPr>
        <w:t> </w:t>
      </w:r>
      <w:r>
        <w:rPr>
          <w:sz w:val="22"/>
        </w:rPr>
        <w:t>федерального</w:t>
      </w:r>
      <w:r>
        <w:rPr>
          <w:spacing w:val="-12"/>
          <w:sz w:val="22"/>
        </w:rPr>
        <w:t> </w:t>
      </w:r>
      <w:r>
        <w:rPr>
          <w:sz w:val="22"/>
        </w:rPr>
        <w:t>государственного автономного</w:t>
      </w:r>
      <w:r>
        <w:rPr>
          <w:spacing w:val="-11"/>
          <w:sz w:val="22"/>
        </w:rPr>
        <w:t> </w:t>
      </w:r>
      <w:r>
        <w:rPr>
          <w:sz w:val="22"/>
        </w:rPr>
        <w:t>образовательного</w:t>
      </w:r>
      <w:r>
        <w:rPr>
          <w:spacing w:val="-10"/>
          <w:sz w:val="22"/>
        </w:rPr>
        <w:t> </w:t>
      </w:r>
      <w:r>
        <w:rPr>
          <w:sz w:val="22"/>
        </w:rPr>
        <w:t>учреждения</w:t>
      </w:r>
      <w:r>
        <w:rPr>
          <w:spacing w:val="-11"/>
          <w:sz w:val="22"/>
        </w:rPr>
        <w:t> </w:t>
      </w:r>
      <w:r>
        <w:rPr>
          <w:sz w:val="22"/>
        </w:rPr>
        <w:t>высшего</w:t>
      </w:r>
      <w:r>
        <w:rPr>
          <w:spacing w:val="-10"/>
          <w:sz w:val="22"/>
        </w:rPr>
        <w:t> </w:t>
      </w:r>
      <w:r>
        <w:rPr>
          <w:sz w:val="22"/>
        </w:rPr>
        <w:t>образования</w:t>
      </w:r>
      <w:r>
        <w:rPr>
          <w:spacing w:val="-11"/>
          <w:sz w:val="22"/>
        </w:rPr>
        <w:t> </w:t>
      </w:r>
      <w:r>
        <w:rPr>
          <w:sz w:val="22"/>
        </w:rPr>
        <w:t>Первый</w:t>
      </w:r>
      <w:r>
        <w:rPr>
          <w:spacing w:val="-12"/>
          <w:sz w:val="22"/>
        </w:rPr>
        <w:t> </w:t>
      </w:r>
      <w:r>
        <w:rPr>
          <w:sz w:val="22"/>
        </w:rPr>
        <w:t>Московский</w:t>
      </w:r>
      <w:r>
        <w:rPr>
          <w:spacing w:val="-11"/>
          <w:sz w:val="22"/>
        </w:rPr>
        <w:t> </w:t>
      </w:r>
      <w:r>
        <w:rPr>
          <w:sz w:val="22"/>
        </w:rPr>
        <w:t>государственный медицинский университет имени И.М. Сеченова Минздрава России (Сеченовский</w:t>
      </w:r>
      <w:r>
        <w:rPr>
          <w:spacing w:val="-18"/>
          <w:sz w:val="22"/>
        </w:rPr>
        <w:t> </w:t>
      </w:r>
      <w:r>
        <w:rPr>
          <w:sz w:val="22"/>
        </w:rPr>
        <w:t>Университет)</w:t>
      </w:r>
    </w:p>
    <w:p>
      <w:pPr>
        <w:spacing w:line="276" w:lineRule="auto" w:before="0"/>
        <w:ind w:left="260" w:right="363" w:firstLine="705"/>
        <w:jc w:val="both"/>
        <w:rPr>
          <w:sz w:val="22"/>
        </w:rPr>
      </w:pPr>
      <w:r>
        <w:rPr>
          <w:b/>
          <w:i/>
          <w:sz w:val="22"/>
        </w:rPr>
        <w:t>Багненко Сергей Федорович – </w:t>
      </w:r>
      <w:r>
        <w:rPr>
          <w:sz w:val="22"/>
        </w:rPr>
        <w:t>ректор федерального государственного бюджетного образовательного учреждения высшего образования «Первый Санкт-Петербургский государственный медицинский университет имени академика И.П. Павлова» Минздрава России, главный внештатный специалист по скорой медицинской помощи Минздрава России</w:t>
      </w:r>
    </w:p>
    <w:p>
      <w:pPr>
        <w:spacing w:line="276" w:lineRule="auto" w:before="0"/>
        <w:ind w:left="260" w:right="364" w:firstLine="705"/>
        <w:jc w:val="both"/>
        <w:rPr>
          <w:sz w:val="22"/>
        </w:rPr>
      </w:pPr>
      <w:r>
        <w:rPr>
          <w:b/>
          <w:i/>
          <w:sz w:val="22"/>
        </w:rPr>
        <w:t>Баранов Александр Александрович </w:t>
      </w:r>
      <w:r>
        <w:rPr>
          <w:b/>
          <w:sz w:val="22"/>
        </w:rPr>
        <w:t>– </w:t>
      </w:r>
      <w:r>
        <w:rPr>
          <w:sz w:val="22"/>
        </w:rPr>
        <w:t>главный внештатный специалист педиатр, научный руководитель Федерального государственного автономного научного учреждения «Национальный медицинский исследовательский центр здоровья детей» Минздрава России</w:t>
      </w:r>
    </w:p>
    <w:p>
      <w:pPr>
        <w:spacing w:line="276" w:lineRule="auto" w:before="0"/>
        <w:ind w:left="260" w:right="364" w:firstLine="705"/>
        <w:jc w:val="both"/>
        <w:rPr>
          <w:sz w:val="22"/>
        </w:rPr>
      </w:pPr>
      <w:r>
        <w:rPr>
          <w:b/>
          <w:i/>
          <w:sz w:val="22"/>
        </w:rPr>
        <w:t>Баранова Наталья Николаевна – </w:t>
      </w:r>
      <w:r>
        <w:rPr>
          <w:sz w:val="22"/>
        </w:rPr>
        <w:t>главный врач Центра медицинской эвакуации и экстренной медицинской помощи Федерального государственного бюджетного учреждения «Всероссийский центр медицины катастроф «Защита»» ФМБА России</w:t>
      </w:r>
    </w:p>
    <w:p>
      <w:pPr>
        <w:spacing w:line="276" w:lineRule="auto" w:before="0"/>
        <w:ind w:left="171" w:right="365" w:firstLine="705"/>
        <w:jc w:val="both"/>
        <w:rPr>
          <w:sz w:val="22"/>
        </w:rPr>
      </w:pPr>
      <w:r>
        <w:rPr>
          <w:b/>
          <w:i/>
          <w:sz w:val="22"/>
        </w:rPr>
        <w:t>Белевский Андрей Станиславович </w:t>
      </w:r>
      <w:r>
        <w:rPr>
          <w:sz w:val="22"/>
        </w:rPr>
        <w:t>– заведующий кафедрой пульмонологии Федерального государственного автономного образовательного учреждения высшего образования «Российский национальный исследовательский медицинский университет имени Н.И. Пирогова» Минздрава России, главный внештатный специалист пульмонолог Департамента здравоохранения Москвы</w:t>
      </w:r>
    </w:p>
    <w:p>
      <w:pPr>
        <w:spacing w:line="276" w:lineRule="auto" w:before="0"/>
        <w:ind w:left="172" w:right="364" w:firstLine="705"/>
        <w:jc w:val="both"/>
        <w:rPr>
          <w:sz w:val="22"/>
        </w:rPr>
      </w:pPr>
      <w:r>
        <w:rPr>
          <w:b/>
          <w:i/>
          <w:sz w:val="22"/>
        </w:rPr>
        <w:t>Белкин Андрей Августович – </w:t>
      </w:r>
      <w:r>
        <w:rPr>
          <w:sz w:val="22"/>
        </w:rPr>
        <w:t>главный внештатный специалист по медицинской реабилитации Минздрава России в Уральском федеральном округе, профессор кафедры физической и реабилитационной</w:t>
      </w:r>
      <w:r>
        <w:rPr>
          <w:spacing w:val="-12"/>
          <w:sz w:val="22"/>
        </w:rPr>
        <w:t> </w:t>
      </w:r>
      <w:r>
        <w:rPr>
          <w:sz w:val="22"/>
        </w:rPr>
        <w:t>медицины</w:t>
      </w:r>
      <w:r>
        <w:rPr>
          <w:spacing w:val="-12"/>
          <w:sz w:val="22"/>
        </w:rPr>
        <w:t> </w:t>
      </w:r>
      <w:r>
        <w:rPr>
          <w:sz w:val="22"/>
        </w:rPr>
        <w:t>федерального</w:t>
      </w:r>
      <w:r>
        <w:rPr>
          <w:spacing w:val="-11"/>
          <w:sz w:val="22"/>
        </w:rPr>
        <w:t> </w:t>
      </w:r>
      <w:r>
        <w:rPr>
          <w:sz w:val="22"/>
        </w:rPr>
        <w:t>государственного</w:t>
      </w:r>
      <w:r>
        <w:rPr>
          <w:spacing w:val="-14"/>
          <w:sz w:val="22"/>
        </w:rPr>
        <w:t> </w:t>
      </w:r>
      <w:r>
        <w:rPr>
          <w:sz w:val="22"/>
        </w:rPr>
        <w:t>бюджетного</w:t>
      </w:r>
      <w:r>
        <w:rPr>
          <w:spacing w:val="-13"/>
          <w:sz w:val="22"/>
        </w:rPr>
        <w:t> </w:t>
      </w:r>
      <w:r>
        <w:rPr>
          <w:sz w:val="22"/>
        </w:rPr>
        <w:t>образовательного</w:t>
      </w:r>
      <w:r>
        <w:rPr>
          <w:spacing w:val="-11"/>
          <w:sz w:val="22"/>
        </w:rPr>
        <w:t> </w:t>
      </w:r>
      <w:r>
        <w:rPr>
          <w:sz w:val="22"/>
        </w:rPr>
        <w:t>учреждения высшего образования «Уральский государственный медицинский университет» Министерства здравоохранения Российской Федерации, директор ООО «Клинический институт</w:t>
      </w:r>
      <w:r>
        <w:rPr>
          <w:spacing w:val="-10"/>
          <w:sz w:val="22"/>
        </w:rPr>
        <w:t> </w:t>
      </w:r>
      <w:r>
        <w:rPr>
          <w:sz w:val="22"/>
        </w:rPr>
        <w:t>мозга»</w:t>
      </w:r>
    </w:p>
    <w:p>
      <w:pPr>
        <w:spacing w:line="276" w:lineRule="auto" w:before="0"/>
        <w:ind w:left="172" w:right="364" w:firstLine="705"/>
        <w:jc w:val="both"/>
        <w:rPr>
          <w:sz w:val="22"/>
        </w:rPr>
      </w:pPr>
      <w:r>
        <w:rPr>
          <w:b/>
          <w:i/>
          <w:sz w:val="22"/>
        </w:rPr>
        <w:t>Белобородов Владимир Борисович </w:t>
      </w:r>
      <w:r>
        <w:rPr>
          <w:sz w:val="22"/>
        </w:rPr>
        <w:t>– заведующий кафедрой инфекционных болезней Федерального государственного бюджетного образовательного учреждения дополнительного профессионального образования «Российская медицинская академия непрерывного профессионального образования» Минздрава России</w:t>
      </w:r>
    </w:p>
    <w:p>
      <w:pPr>
        <w:spacing w:line="276" w:lineRule="auto" w:before="0"/>
        <w:ind w:left="172" w:right="364" w:firstLine="705"/>
        <w:jc w:val="both"/>
        <w:rPr>
          <w:sz w:val="22"/>
        </w:rPr>
      </w:pPr>
      <w:r>
        <w:rPr>
          <w:b/>
          <w:i/>
          <w:sz w:val="22"/>
        </w:rPr>
        <w:t>Бодрова Резеда Ахметовна – </w:t>
      </w:r>
      <w:r>
        <w:rPr>
          <w:sz w:val="22"/>
        </w:rPr>
        <w:t>заведующая кафедрой реабилитологии и спортивной медицины Казанской государственной медицинской академией, филиала Федерального государственного бюджетного образовательного учреждения дополнительного профессионального образования</w:t>
      </w:r>
    </w:p>
    <w:p>
      <w:pPr>
        <w:spacing w:line="276" w:lineRule="auto" w:before="0"/>
        <w:ind w:left="172" w:right="369" w:firstLine="0"/>
        <w:jc w:val="both"/>
        <w:rPr>
          <w:sz w:val="22"/>
        </w:rPr>
      </w:pPr>
      <w:r>
        <w:rPr>
          <w:sz w:val="22"/>
        </w:rPr>
        <w:t>«Российская медицинская академия последипломного образования» Министерства здравоохранения Российской Федерации</w:t>
      </w:r>
    </w:p>
    <w:p>
      <w:pPr>
        <w:spacing w:line="276" w:lineRule="auto" w:before="0"/>
        <w:ind w:left="172" w:right="363" w:firstLine="705"/>
        <w:jc w:val="both"/>
        <w:rPr>
          <w:sz w:val="22"/>
        </w:rPr>
      </w:pPr>
      <w:r>
        <w:rPr>
          <w:b/>
          <w:i/>
          <w:sz w:val="22"/>
        </w:rPr>
        <w:t>Буйлова Татьяна Валентиновна – </w:t>
      </w:r>
      <w:r>
        <w:rPr>
          <w:sz w:val="22"/>
        </w:rPr>
        <w:t>главный внештатный специалист по медицинской реабилитации</w:t>
      </w:r>
      <w:r>
        <w:rPr>
          <w:spacing w:val="-11"/>
          <w:sz w:val="22"/>
        </w:rPr>
        <w:t> </w:t>
      </w:r>
      <w:r>
        <w:rPr>
          <w:sz w:val="22"/>
        </w:rPr>
        <w:t>Минздрава</w:t>
      </w:r>
      <w:r>
        <w:rPr>
          <w:spacing w:val="-12"/>
          <w:sz w:val="22"/>
        </w:rPr>
        <w:t> </w:t>
      </w:r>
      <w:r>
        <w:rPr>
          <w:sz w:val="22"/>
        </w:rPr>
        <w:t>России</w:t>
      </w:r>
      <w:r>
        <w:rPr>
          <w:spacing w:val="-10"/>
          <w:sz w:val="22"/>
        </w:rPr>
        <w:t> </w:t>
      </w:r>
      <w:r>
        <w:rPr>
          <w:sz w:val="22"/>
        </w:rPr>
        <w:t>в</w:t>
      </w:r>
      <w:r>
        <w:rPr>
          <w:spacing w:val="-12"/>
          <w:sz w:val="22"/>
        </w:rPr>
        <w:t> </w:t>
      </w:r>
      <w:r>
        <w:rPr>
          <w:sz w:val="22"/>
        </w:rPr>
        <w:t>Приволжском</w:t>
      </w:r>
      <w:r>
        <w:rPr>
          <w:spacing w:val="-13"/>
          <w:sz w:val="22"/>
        </w:rPr>
        <w:t> </w:t>
      </w:r>
      <w:r>
        <w:rPr>
          <w:sz w:val="22"/>
        </w:rPr>
        <w:t>федеральном</w:t>
      </w:r>
      <w:r>
        <w:rPr>
          <w:spacing w:val="-10"/>
          <w:sz w:val="22"/>
        </w:rPr>
        <w:t> </w:t>
      </w:r>
      <w:r>
        <w:rPr>
          <w:sz w:val="22"/>
        </w:rPr>
        <w:t>округе,</w:t>
      </w:r>
      <w:r>
        <w:rPr>
          <w:spacing w:val="-13"/>
          <w:sz w:val="22"/>
        </w:rPr>
        <w:t> </w:t>
      </w:r>
      <w:r>
        <w:rPr>
          <w:sz w:val="22"/>
        </w:rPr>
        <w:t>директор</w:t>
      </w:r>
      <w:r>
        <w:rPr>
          <w:spacing w:val="-9"/>
          <w:sz w:val="22"/>
        </w:rPr>
        <w:t> </w:t>
      </w:r>
      <w:r>
        <w:rPr>
          <w:sz w:val="22"/>
        </w:rPr>
        <w:t>Института</w:t>
      </w:r>
      <w:r>
        <w:rPr>
          <w:spacing w:val="-10"/>
          <w:sz w:val="22"/>
        </w:rPr>
        <w:t> </w:t>
      </w:r>
      <w:r>
        <w:rPr>
          <w:sz w:val="22"/>
        </w:rPr>
        <w:t>реабилитации и</w:t>
      </w:r>
      <w:r>
        <w:rPr>
          <w:spacing w:val="-16"/>
          <w:sz w:val="22"/>
        </w:rPr>
        <w:t> </w:t>
      </w:r>
      <w:r>
        <w:rPr>
          <w:sz w:val="22"/>
        </w:rPr>
        <w:t>здоровья</w:t>
      </w:r>
      <w:r>
        <w:rPr>
          <w:spacing w:val="-16"/>
          <w:sz w:val="22"/>
        </w:rPr>
        <w:t> </w:t>
      </w:r>
      <w:r>
        <w:rPr>
          <w:sz w:val="22"/>
        </w:rPr>
        <w:t>человека</w:t>
      </w:r>
      <w:r>
        <w:rPr>
          <w:spacing w:val="-17"/>
          <w:sz w:val="22"/>
        </w:rPr>
        <w:t> </w:t>
      </w:r>
      <w:r>
        <w:rPr>
          <w:sz w:val="22"/>
        </w:rPr>
        <w:t>Федерального</w:t>
      </w:r>
      <w:r>
        <w:rPr>
          <w:spacing w:val="-15"/>
          <w:sz w:val="22"/>
        </w:rPr>
        <w:t> </w:t>
      </w:r>
      <w:r>
        <w:rPr>
          <w:sz w:val="22"/>
        </w:rPr>
        <w:t>государственного</w:t>
      </w:r>
      <w:r>
        <w:rPr>
          <w:spacing w:val="-15"/>
          <w:sz w:val="22"/>
        </w:rPr>
        <w:t> </w:t>
      </w:r>
      <w:r>
        <w:rPr>
          <w:sz w:val="22"/>
        </w:rPr>
        <w:t>автономного</w:t>
      </w:r>
      <w:r>
        <w:rPr>
          <w:spacing w:val="-18"/>
          <w:sz w:val="22"/>
        </w:rPr>
        <w:t> </w:t>
      </w:r>
      <w:r>
        <w:rPr>
          <w:sz w:val="22"/>
        </w:rPr>
        <w:t>образовательного</w:t>
      </w:r>
      <w:r>
        <w:rPr>
          <w:spacing w:val="-14"/>
          <w:sz w:val="22"/>
        </w:rPr>
        <w:t> </w:t>
      </w:r>
      <w:r>
        <w:rPr>
          <w:sz w:val="22"/>
        </w:rPr>
        <w:t>учреждения</w:t>
      </w:r>
      <w:r>
        <w:rPr>
          <w:spacing w:val="-16"/>
          <w:sz w:val="22"/>
        </w:rPr>
        <w:t> </w:t>
      </w:r>
      <w:r>
        <w:rPr>
          <w:sz w:val="22"/>
        </w:rPr>
        <w:t>высшего образования "Национальный исследовательский Нижегородский государственный университет им. Н.И. Лобачевского"</w:t>
      </w:r>
    </w:p>
    <w:p>
      <w:pPr>
        <w:spacing w:after="0" w:line="276" w:lineRule="auto"/>
        <w:jc w:val="both"/>
        <w:rPr>
          <w:sz w:val="22"/>
        </w:rPr>
        <w:sectPr>
          <w:pgSz w:w="11920" w:h="16850"/>
          <w:pgMar w:header="0" w:footer="956" w:top="980" w:bottom="1180" w:left="960" w:right="480"/>
        </w:sectPr>
      </w:pPr>
    </w:p>
    <w:p>
      <w:pPr>
        <w:spacing w:line="276" w:lineRule="auto" w:before="62"/>
        <w:ind w:left="172" w:right="364" w:firstLine="705"/>
        <w:jc w:val="both"/>
        <w:rPr>
          <w:sz w:val="22"/>
        </w:rPr>
      </w:pPr>
      <w:r>
        <w:rPr>
          <w:b/>
          <w:i/>
          <w:sz w:val="22"/>
        </w:rPr>
        <w:t>Бойко Елена Алексеевна – </w:t>
      </w:r>
      <w:r>
        <w:rPr>
          <w:sz w:val="22"/>
        </w:rPr>
        <w:t>начальник отдела координационно-аналитического центра по обеспечению химической и биологической безопасности Федерального государственного бюджетного учреждения «Центр стратегического планирования и управления медико-биологическими рисками здоровью» Минздрава России</w:t>
      </w:r>
    </w:p>
    <w:p>
      <w:pPr>
        <w:spacing w:line="276" w:lineRule="auto" w:before="0"/>
        <w:ind w:left="173" w:right="362" w:firstLine="705"/>
        <w:jc w:val="both"/>
        <w:rPr>
          <w:sz w:val="22"/>
        </w:rPr>
      </w:pPr>
      <w:r>
        <w:rPr>
          <w:b/>
          <w:i/>
          <w:sz w:val="22"/>
        </w:rPr>
        <w:t>Брико Николай Иванович – </w:t>
      </w:r>
      <w:r>
        <w:rPr>
          <w:sz w:val="22"/>
        </w:rPr>
        <w:t>главный внештатный специалист эпидемиолог, заведующий кафедрой эпидемиологии и доказательной медицины Федерального государственного автономного образовательного учреждения высшего образования Первый Московский государственный медицинский университет имени И.М. Сеченова Минздрава России (Сеченовский Университет)</w:t>
      </w:r>
    </w:p>
    <w:p>
      <w:pPr>
        <w:spacing w:line="276" w:lineRule="auto" w:before="0"/>
        <w:ind w:left="261" w:right="363" w:firstLine="705"/>
        <w:jc w:val="both"/>
        <w:rPr>
          <w:sz w:val="22"/>
        </w:rPr>
      </w:pPr>
      <w:r>
        <w:rPr>
          <w:b/>
          <w:i/>
          <w:sz w:val="22"/>
        </w:rPr>
        <w:t>Вавилова Татьяна Владимировна – </w:t>
      </w:r>
      <w:r>
        <w:rPr>
          <w:sz w:val="22"/>
        </w:rPr>
        <w:t>главный внештатный специалист по клинической лабораторной диагностике Минздрава России, заведующая кафедрой лабораторной медицины и генетики института медицинского образования Федерального государственного бюджетного учреждения «Национальный медицинский исследовательский центр имени В.А. Алмазова» Минздрава России</w:t>
      </w:r>
    </w:p>
    <w:p>
      <w:pPr>
        <w:spacing w:line="276" w:lineRule="auto" w:before="0"/>
        <w:ind w:left="261" w:right="365" w:firstLine="705"/>
        <w:jc w:val="both"/>
        <w:rPr>
          <w:sz w:val="22"/>
        </w:rPr>
      </w:pPr>
      <w:r>
        <w:rPr>
          <w:b/>
          <w:i/>
          <w:sz w:val="22"/>
        </w:rPr>
        <w:t>Васильева Елена Юрьевна </w:t>
      </w:r>
      <w:r>
        <w:rPr>
          <w:sz w:val="22"/>
        </w:rPr>
        <w:t>– главный врач государственного бюджетного учреждения здравоохранения г. Москвы «Городская клиническая больница имени И.В. Давыдовского Департамента здравоохранения города Москвы», главный внештатный кардиолог города Москвы</w:t>
      </w:r>
    </w:p>
    <w:p>
      <w:pPr>
        <w:spacing w:line="276" w:lineRule="auto" w:before="0"/>
        <w:ind w:left="261" w:right="362" w:firstLine="705"/>
        <w:jc w:val="both"/>
        <w:rPr>
          <w:sz w:val="22"/>
        </w:rPr>
      </w:pPr>
      <w:r>
        <w:rPr>
          <w:b/>
          <w:i/>
          <w:sz w:val="22"/>
        </w:rPr>
        <w:t>Васильева</w:t>
      </w:r>
      <w:r>
        <w:rPr>
          <w:b/>
          <w:i/>
          <w:spacing w:val="-9"/>
          <w:sz w:val="22"/>
        </w:rPr>
        <w:t> </w:t>
      </w:r>
      <w:r>
        <w:rPr>
          <w:b/>
          <w:i/>
          <w:sz w:val="22"/>
        </w:rPr>
        <w:t>Ирина</w:t>
      </w:r>
      <w:r>
        <w:rPr>
          <w:b/>
          <w:i/>
          <w:spacing w:val="-7"/>
          <w:sz w:val="22"/>
        </w:rPr>
        <w:t> </w:t>
      </w:r>
      <w:r>
        <w:rPr>
          <w:b/>
          <w:i/>
          <w:sz w:val="22"/>
        </w:rPr>
        <w:t>Анатольевна</w:t>
      </w:r>
      <w:r>
        <w:rPr>
          <w:b/>
          <w:i/>
          <w:spacing w:val="-7"/>
          <w:sz w:val="22"/>
        </w:rPr>
        <w:t> </w:t>
      </w:r>
      <w:r>
        <w:rPr>
          <w:b/>
          <w:i/>
          <w:sz w:val="22"/>
        </w:rPr>
        <w:t>–</w:t>
      </w:r>
      <w:r>
        <w:rPr>
          <w:b/>
          <w:i/>
          <w:spacing w:val="-7"/>
          <w:sz w:val="22"/>
        </w:rPr>
        <w:t> </w:t>
      </w:r>
      <w:r>
        <w:rPr>
          <w:sz w:val="22"/>
        </w:rPr>
        <w:t>главный</w:t>
      </w:r>
      <w:r>
        <w:rPr>
          <w:spacing w:val="-8"/>
          <w:sz w:val="22"/>
        </w:rPr>
        <w:t> </w:t>
      </w:r>
      <w:r>
        <w:rPr>
          <w:sz w:val="22"/>
        </w:rPr>
        <w:t>внештатный</w:t>
      </w:r>
      <w:r>
        <w:rPr>
          <w:spacing w:val="-8"/>
          <w:sz w:val="22"/>
        </w:rPr>
        <w:t> </w:t>
      </w:r>
      <w:r>
        <w:rPr>
          <w:sz w:val="22"/>
        </w:rPr>
        <w:t>специалист</w:t>
      </w:r>
      <w:r>
        <w:rPr>
          <w:spacing w:val="-10"/>
          <w:sz w:val="22"/>
        </w:rPr>
        <w:t> </w:t>
      </w:r>
      <w:r>
        <w:rPr>
          <w:sz w:val="22"/>
        </w:rPr>
        <w:t>фтизиатр</w:t>
      </w:r>
      <w:r>
        <w:rPr>
          <w:spacing w:val="-7"/>
          <w:sz w:val="22"/>
        </w:rPr>
        <w:t> </w:t>
      </w:r>
      <w:r>
        <w:rPr>
          <w:sz w:val="22"/>
        </w:rPr>
        <w:t>Минздрава</w:t>
      </w:r>
      <w:r>
        <w:rPr>
          <w:spacing w:val="-7"/>
          <w:sz w:val="22"/>
        </w:rPr>
        <w:t> </w:t>
      </w:r>
      <w:r>
        <w:rPr>
          <w:sz w:val="22"/>
        </w:rPr>
        <w:t>России, директор Федерального государственного бюджетного учреждения «Национальный медицинский исследовательский центр фтизиопульмонологии и инфекционных заболеваний» Минздрава</w:t>
      </w:r>
      <w:r>
        <w:rPr>
          <w:spacing w:val="-20"/>
          <w:sz w:val="22"/>
        </w:rPr>
        <w:t> </w:t>
      </w:r>
      <w:r>
        <w:rPr>
          <w:sz w:val="22"/>
        </w:rPr>
        <w:t>России</w:t>
      </w:r>
    </w:p>
    <w:p>
      <w:pPr>
        <w:spacing w:line="276" w:lineRule="auto" w:before="0"/>
        <w:ind w:left="271" w:right="362" w:firstLine="705"/>
        <w:jc w:val="both"/>
        <w:rPr>
          <w:sz w:val="22"/>
        </w:rPr>
      </w:pPr>
      <w:r>
        <w:rPr>
          <w:b/>
          <w:i/>
          <w:sz w:val="22"/>
        </w:rPr>
        <w:t>Веселова Елена Игоревна </w:t>
      </w:r>
      <w:r>
        <w:rPr>
          <w:sz w:val="22"/>
        </w:rPr>
        <w:t>– научный сотрудник отдела инфекционной патологии Федерального государственного бюджетного учреждения «Национальный медицинский исследовательский центр фтизиопульмонологии и инфекционных заболеваний» Минздрава России</w:t>
      </w:r>
    </w:p>
    <w:p>
      <w:pPr>
        <w:spacing w:line="276" w:lineRule="auto" w:before="0"/>
        <w:ind w:left="271" w:right="362" w:firstLine="705"/>
        <w:jc w:val="both"/>
        <w:rPr>
          <w:sz w:val="22"/>
        </w:rPr>
      </w:pPr>
      <w:r>
        <w:rPr>
          <w:b/>
          <w:i/>
          <w:sz w:val="22"/>
        </w:rPr>
        <w:t>Вишнева Елена Александровна </w:t>
      </w:r>
      <w:r>
        <w:rPr>
          <w:sz w:val="22"/>
        </w:rPr>
        <w:t>– заместитель руководителя по науке Научно- исследовательского института педиатрии и охраны здоровья Федерального государственного бюджетного учреждения здравоохранения Центральной клинической больницы РАН</w:t>
      </w:r>
    </w:p>
    <w:p>
      <w:pPr>
        <w:spacing w:line="276" w:lineRule="auto" w:before="0"/>
        <w:ind w:left="271" w:right="364" w:firstLine="705"/>
        <w:jc w:val="both"/>
        <w:rPr>
          <w:sz w:val="22"/>
        </w:rPr>
      </w:pPr>
      <w:r>
        <w:rPr>
          <w:b/>
          <w:i/>
          <w:sz w:val="22"/>
        </w:rPr>
        <w:t>Волчкова Елена Васильевна </w:t>
      </w:r>
      <w:r>
        <w:rPr>
          <w:sz w:val="22"/>
        </w:rPr>
        <w:t>– заведующая кафедрой инфекционных болезней Федерального государственного</w:t>
      </w:r>
      <w:r>
        <w:rPr>
          <w:spacing w:val="-18"/>
          <w:sz w:val="22"/>
        </w:rPr>
        <w:t> </w:t>
      </w:r>
      <w:r>
        <w:rPr>
          <w:sz w:val="22"/>
        </w:rPr>
        <w:t>автономного</w:t>
      </w:r>
      <w:r>
        <w:rPr>
          <w:spacing w:val="-18"/>
          <w:sz w:val="22"/>
        </w:rPr>
        <w:t> </w:t>
      </w:r>
      <w:r>
        <w:rPr>
          <w:sz w:val="22"/>
        </w:rPr>
        <w:t>образовательного</w:t>
      </w:r>
      <w:r>
        <w:rPr>
          <w:spacing w:val="-18"/>
          <w:sz w:val="22"/>
        </w:rPr>
        <w:t> </w:t>
      </w:r>
      <w:r>
        <w:rPr>
          <w:sz w:val="22"/>
        </w:rPr>
        <w:t>учреждения</w:t>
      </w:r>
      <w:r>
        <w:rPr>
          <w:spacing w:val="-17"/>
          <w:sz w:val="22"/>
        </w:rPr>
        <w:t> </w:t>
      </w:r>
      <w:r>
        <w:rPr>
          <w:sz w:val="22"/>
        </w:rPr>
        <w:t>высшего</w:t>
      </w:r>
      <w:r>
        <w:rPr>
          <w:spacing w:val="-18"/>
          <w:sz w:val="22"/>
        </w:rPr>
        <w:t> </w:t>
      </w:r>
      <w:r>
        <w:rPr>
          <w:sz w:val="22"/>
        </w:rPr>
        <w:t>образования</w:t>
      </w:r>
      <w:r>
        <w:rPr>
          <w:spacing w:val="-18"/>
          <w:sz w:val="22"/>
        </w:rPr>
        <w:t> </w:t>
      </w:r>
      <w:r>
        <w:rPr>
          <w:sz w:val="22"/>
        </w:rPr>
        <w:t>Первый</w:t>
      </w:r>
      <w:r>
        <w:rPr>
          <w:spacing w:val="-17"/>
          <w:sz w:val="22"/>
        </w:rPr>
        <w:t> </w:t>
      </w:r>
      <w:r>
        <w:rPr>
          <w:sz w:val="22"/>
        </w:rPr>
        <w:t>Московский государственный медицинский университет имени И.М. Сеченова Минздрава России (Сеченовский Университет)</w:t>
      </w:r>
    </w:p>
    <w:p>
      <w:pPr>
        <w:spacing w:line="276" w:lineRule="auto" w:before="0"/>
        <w:ind w:left="271" w:right="362" w:firstLine="705"/>
        <w:jc w:val="both"/>
        <w:rPr>
          <w:sz w:val="22"/>
        </w:rPr>
      </w:pPr>
      <w:r>
        <w:rPr>
          <w:b/>
          <w:i/>
          <w:sz w:val="22"/>
        </w:rPr>
        <w:t>Волченков Григорий Васильевич </w:t>
      </w:r>
      <w:r>
        <w:rPr>
          <w:sz w:val="22"/>
        </w:rPr>
        <w:t>– главный врач государственного бюджетного учреждения здравоохранения Владимирской области Центр специализированной фтизиопульмонологической помощи</w:t>
      </w:r>
    </w:p>
    <w:p>
      <w:pPr>
        <w:spacing w:line="276" w:lineRule="auto" w:before="0"/>
        <w:ind w:left="272" w:right="361" w:firstLine="705"/>
        <w:jc w:val="both"/>
        <w:rPr>
          <w:sz w:val="22"/>
        </w:rPr>
      </w:pPr>
      <w:r>
        <w:rPr>
          <w:b/>
          <w:i/>
          <w:sz w:val="22"/>
        </w:rPr>
        <w:t>Гапонова</w:t>
      </w:r>
      <w:r>
        <w:rPr>
          <w:b/>
          <w:i/>
          <w:spacing w:val="-15"/>
          <w:sz w:val="22"/>
        </w:rPr>
        <w:t> </w:t>
      </w:r>
      <w:r>
        <w:rPr>
          <w:b/>
          <w:i/>
          <w:sz w:val="22"/>
        </w:rPr>
        <w:t>Татьяна</w:t>
      </w:r>
      <w:r>
        <w:rPr>
          <w:b/>
          <w:i/>
          <w:spacing w:val="-12"/>
          <w:sz w:val="22"/>
        </w:rPr>
        <w:t> </w:t>
      </w:r>
      <w:r>
        <w:rPr>
          <w:b/>
          <w:i/>
          <w:sz w:val="22"/>
        </w:rPr>
        <w:t>Владимировна</w:t>
      </w:r>
      <w:r>
        <w:rPr>
          <w:b/>
          <w:i/>
          <w:spacing w:val="-12"/>
          <w:sz w:val="22"/>
        </w:rPr>
        <w:t> </w:t>
      </w:r>
      <w:r>
        <w:rPr>
          <w:sz w:val="22"/>
        </w:rPr>
        <w:t>–</w:t>
      </w:r>
      <w:r>
        <w:rPr>
          <w:spacing w:val="-14"/>
          <w:sz w:val="22"/>
        </w:rPr>
        <w:t> </w:t>
      </w:r>
      <w:r>
        <w:rPr>
          <w:sz w:val="22"/>
        </w:rPr>
        <w:t>главный</w:t>
      </w:r>
      <w:r>
        <w:rPr>
          <w:spacing w:val="-13"/>
          <w:sz w:val="22"/>
        </w:rPr>
        <w:t> </w:t>
      </w:r>
      <w:r>
        <w:rPr>
          <w:sz w:val="22"/>
        </w:rPr>
        <w:t>внештатный</w:t>
      </w:r>
      <w:r>
        <w:rPr>
          <w:spacing w:val="-12"/>
          <w:sz w:val="22"/>
        </w:rPr>
        <w:t> </w:t>
      </w:r>
      <w:r>
        <w:rPr>
          <w:sz w:val="22"/>
        </w:rPr>
        <w:t>специалист</w:t>
      </w:r>
      <w:r>
        <w:rPr>
          <w:spacing w:val="-12"/>
          <w:sz w:val="22"/>
        </w:rPr>
        <w:t> </w:t>
      </w:r>
      <w:r>
        <w:rPr>
          <w:sz w:val="22"/>
        </w:rPr>
        <w:t>трансфузиолог</w:t>
      </w:r>
      <w:r>
        <w:rPr>
          <w:spacing w:val="-11"/>
          <w:sz w:val="22"/>
        </w:rPr>
        <w:t> </w:t>
      </w:r>
      <w:r>
        <w:rPr>
          <w:sz w:val="22"/>
        </w:rPr>
        <w:t>Минздрава России, заместитель генерального директора по трансфузиологии Федерального государственного бюджетного учреждения «Национальный медицинский исследовательский центр гематологии» Минздрава</w:t>
      </w:r>
      <w:r>
        <w:rPr>
          <w:spacing w:val="-1"/>
          <w:sz w:val="22"/>
        </w:rPr>
        <w:t> </w:t>
      </w:r>
      <w:r>
        <w:rPr>
          <w:sz w:val="22"/>
        </w:rPr>
        <w:t>России</w:t>
      </w:r>
    </w:p>
    <w:p>
      <w:pPr>
        <w:spacing w:line="276" w:lineRule="auto" w:before="0"/>
        <w:ind w:left="262" w:right="362" w:firstLine="705"/>
        <w:jc w:val="both"/>
        <w:rPr>
          <w:sz w:val="22"/>
        </w:rPr>
      </w:pPr>
      <w:r>
        <w:rPr>
          <w:b/>
          <w:i/>
          <w:sz w:val="22"/>
        </w:rPr>
        <w:t>Годков Михаил Андреевич – </w:t>
      </w:r>
      <w:r>
        <w:rPr>
          <w:sz w:val="22"/>
        </w:rPr>
        <w:t>заведующий отделом лабораторной диагностики государственного бюджетного учреждения здравоохранения «Научно-исследовательский институт скорой помощи имени Н.В. Склифосовского» Департамента здравоохранения города Москвы</w:t>
      </w:r>
    </w:p>
    <w:p>
      <w:pPr>
        <w:spacing w:line="276" w:lineRule="auto" w:before="0"/>
        <w:ind w:left="263" w:right="363" w:firstLine="705"/>
        <w:jc w:val="both"/>
        <w:rPr>
          <w:sz w:val="22"/>
        </w:rPr>
      </w:pPr>
      <w:r>
        <w:rPr>
          <w:b/>
          <w:i/>
          <w:sz w:val="22"/>
        </w:rPr>
        <w:t>Гончаров Сергей Федорович </w:t>
      </w:r>
      <w:r>
        <w:rPr>
          <w:b/>
          <w:sz w:val="22"/>
        </w:rPr>
        <w:t>– </w:t>
      </w:r>
      <w:r>
        <w:rPr>
          <w:sz w:val="22"/>
        </w:rPr>
        <w:t>главный внештатный специалист по медицине катастроф Минздрава России, директор Федерального государственного бюджетного учреждения «Всероссийский центр медицины катастроф «Защита»» ФМБА России</w:t>
      </w:r>
    </w:p>
    <w:p>
      <w:pPr>
        <w:spacing w:line="276" w:lineRule="auto" w:before="0"/>
        <w:ind w:left="262" w:right="362" w:firstLine="705"/>
        <w:jc w:val="both"/>
        <w:rPr>
          <w:sz w:val="22"/>
        </w:rPr>
      </w:pPr>
      <w:r>
        <w:rPr>
          <w:b/>
          <w:i/>
          <w:sz w:val="22"/>
        </w:rPr>
        <w:t>Готье Сергей Владимирович – </w:t>
      </w:r>
      <w:r>
        <w:rPr>
          <w:sz w:val="22"/>
        </w:rPr>
        <w:t>главный внештатный трансплантолог Минздрава России, директор ФГБУ «НМИЦ ТИО им. ак. В.И. Шумакова» Минздрава России, заведующий кафедрой трансплантологии и искусственных органов Первого Московского государственного медицинского университета им. И.М. Сеченова</w:t>
      </w:r>
    </w:p>
    <w:p>
      <w:pPr>
        <w:spacing w:line="276" w:lineRule="auto" w:before="0"/>
        <w:ind w:left="262" w:right="364" w:firstLine="705"/>
        <w:jc w:val="both"/>
        <w:rPr>
          <w:sz w:val="22"/>
        </w:rPr>
      </w:pPr>
      <w:r>
        <w:rPr>
          <w:b/>
          <w:i/>
          <w:sz w:val="22"/>
        </w:rPr>
        <w:t>Гречко</w:t>
      </w:r>
      <w:r>
        <w:rPr>
          <w:b/>
          <w:i/>
          <w:spacing w:val="-6"/>
          <w:sz w:val="22"/>
        </w:rPr>
        <w:t> </w:t>
      </w:r>
      <w:r>
        <w:rPr>
          <w:b/>
          <w:i/>
          <w:sz w:val="22"/>
        </w:rPr>
        <w:t>Андрей</w:t>
      </w:r>
      <w:r>
        <w:rPr>
          <w:b/>
          <w:i/>
          <w:spacing w:val="-6"/>
          <w:sz w:val="22"/>
        </w:rPr>
        <w:t> </w:t>
      </w:r>
      <w:r>
        <w:rPr>
          <w:b/>
          <w:i/>
          <w:sz w:val="22"/>
        </w:rPr>
        <w:t>Вячеславович</w:t>
      </w:r>
      <w:r>
        <w:rPr>
          <w:b/>
          <w:i/>
          <w:spacing w:val="-5"/>
          <w:sz w:val="22"/>
        </w:rPr>
        <w:t> </w:t>
      </w:r>
      <w:r>
        <w:rPr>
          <w:sz w:val="22"/>
        </w:rPr>
        <w:t>–</w:t>
      </w:r>
      <w:r>
        <w:rPr>
          <w:spacing w:val="-6"/>
          <w:sz w:val="22"/>
        </w:rPr>
        <w:t> </w:t>
      </w:r>
      <w:r>
        <w:rPr>
          <w:sz w:val="22"/>
        </w:rPr>
        <w:t>директор</w:t>
      </w:r>
      <w:r>
        <w:rPr>
          <w:spacing w:val="-8"/>
          <w:sz w:val="22"/>
        </w:rPr>
        <w:t> </w:t>
      </w:r>
      <w:r>
        <w:rPr>
          <w:sz w:val="22"/>
        </w:rPr>
        <w:t>Федерального</w:t>
      </w:r>
      <w:r>
        <w:rPr>
          <w:spacing w:val="-5"/>
          <w:sz w:val="22"/>
        </w:rPr>
        <w:t> </w:t>
      </w:r>
      <w:r>
        <w:rPr>
          <w:sz w:val="22"/>
        </w:rPr>
        <w:t>государственного</w:t>
      </w:r>
      <w:r>
        <w:rPr>
          <w:spacing w:val="-6"/>
          <w:sz w:val="22"/>
        </w:rPr>
        <w:t> </w:t>
      </w:r>
      <w:r>
        <w:rPr>
          <w:sz w:val="22"/>
        </w:rPr>
        <w:t>бюджетного</w:t>
      </w:r>
      <w:r>
        <w:rPr>
          <w:spacing w:val="-7"/>
          <w:sz w:val="22"/>
        </w:rPr>
        <w:t> </w:t>
      </w:r>
      <w:r>
        <w:rPr>
          <w:sz w:val="22"/>
        </w:rPr>
        <w:t>научного учреждения «Федеральный научно-клинический центр реаниматологии и</w:t>
      </w:r>
      <w:r>
        <w:rPr>
          <w:spacing w:val="-10"/>
          <w:sz w:val="22"/>
        </w:rPr>
        <w:t> </w:t>
      </w:r>
      <w:r>
        <w:rPr>
          <w:sz w:val="22"/>
        </w:rPr>
        <w:t>реабилитологии»</w:t>
      </w:r>
    </w:p>
    <w:p>
      <w:pPr>
        <w:spacing w:after="0" w:line="276" w:lineRule="auto"/>
        <w:jc w:val="both"/>
        <w:rPr>
          <w:sz w:val="22"/>
        </w:rPr>
        <w:sectPr>
          <w:pgSz w:w="11920" w:h="16850"/>
          <w:pgMar w:header="0" w:footer="956" w:top="980" w:bottom="1180" w:left="960" w:right="480"/>
        </w:sectPr>
      </w:pPr>
    </w:p>
    <w:p>
      <w:pPr>
        <w:spacing w:line="276" w:lineRule="auto" w:before="62"/>
        <w:ind w:left="261" w:right="365" w:firstLine="705"/>
        <w:jc w:val="both"/>
        <w:rPr>
          <w:sz w:val="22"/>
        </w:rPr>
      </w:pPr>
      <w:r>
        <w:rPr>
          <w:b/>
          <w:i/>
          <w:sz w:val="22"/>
        </w:rPr>
        <w:t>Даниленко Дарья Михайловна – </w:t>
      </w:r>
      <w:r>
        <w:rPr>
          <w:sz w:val="22"/>
        </w:rPr>
        <w:t>заместитель директора по научной работе Федерального государственного бюджетного учреждения «Научно-исследовательский институт гриппа им. А.А. Смородинцева» Минздрава России</w:t>
      </w:r>
    </w:p>
    <w:p>
      <w:pPr>
        <w:spacing w:line="276" w:lineRule="auto" w:before="0"/>
        <w:ind w:left="261" w:right="364" w:firstLine="705"/>
        <w:jc w:val="both"/>
        <w:rPr>
          <w:sz w:val="22"/>
        </w:rPr>
      </w:pPr>
      <w:r>
        <w:rPr>
          <w:b/>
          <w:i/>
          <w:sz w:val="22"/>
        </w:rPr>
        <w:t>Дмитриев Александр Сергеевич </w:t>
      </w:r>
      <w:r>
        <w:rPr>
          <w:sz w:val="22"/>
        </w:rPr>
        <w:t>- врач-инфекционист группы анализа оказания медицинской помощи при инфекционных болезнях Федерального государственного бюджетного учреждения</w:t>
      </w:r>
    </w:p>
    <w:p>
      <w:pPr>
        <w:spacing w:line="276" w:lineRule="auto" w:before="0"/>
        <w:ind w:left="261" w:right="365" w:firstLine="0"/>
        <w:jc w:val="both"/>
        <w:rPr>
          <w:sz w:val="22"/>
        </w:rPr>
      </w:pPr>
      <w:r>
        <w:rPr>
          <w:sz w:val="22"/>
        </w:rPr>
        <w:t>«Национальный медицинский исследовательский центр фтизиопульмонологии и инфекционных заболеваний» Минздрава России</w:t>
      </w:r>
    </w:p>
    <w:p>
      <w:pPr>
        <w:spacing w:line="276" w:lineRule="auto" w:before="0"/>
        <w:ind w:left="261" w:right="364" w:firstLine="705"/>
        <w:jc w:val="both"/>
        <w:rPr>
          <w:sz w:val="22"/>
        </w:rPr>
      </w:pPr>
      <w:r>
        <w:rPr>
          <w:b/>
          <w:i/>
          <w:sz w:val="22"/>
        </w:rPr>
        <w:t>Драпкина Оксана Михайловна </w:t>
      </w:r>
      <w:r>
        <w:rPr>
          <w:b/>
          <w:sz w:val="22"/>
        </w:rPr>
        <w:t>– </w:t>
      </w:r>
      <w:r>
        <w:rPr>
          <w:sz w:val="22"/>
        </w:rPr>
        <w:t>главный внештатный специалист по терапии и общей врачебной профилактике, директор Федерального государственного учреждения «Национальный медицинский исследовательский центр профилактической медицины» Минздрава России</w:t>
      </w:r>
    </w:p>
    <w:p>
      <w:pPr>
        <w:spacing w:line="276" w:lineRule="auto" w:before="0"/>
        <w:ind w:left="172" w:right="364" w:firstLine="852"/>
        <w:jc w:val="both"/>
        <w:rPr>
          <w:sz w:val="22"/>
        </w:rPr>
      </w:pPr>
      <w:r>
        <w:rPr>
          <w:b/>
          <w:i/>
          <w:sz w:val="22"/>
        </w:rPr>
        <w:t>Дягтярев Дмитрий Николаевич </w:t>
      </w:r>
      <w:r>
        <w:rPr>
          <w:sz w:val="22"/>
        </w:rPr>
        <w:t>– заместитель директора по научной работе Федерального государственного бюджетного учреждения «Национальный медицинский исследовательский центр акушерства, гинекологии и перинатологии имени академика В.И. Кулакова» Минздрава России</w:t>
      </w:r>
    </w:p>
    <w:p>
      <w:pPr>
        <w:spacing w:line="276" w:lineRule="auto" w:before="0"/>
        <w:ind w:left="172" w:right="364" w:firstLine="852"/>
        <w:jc w:val="both"/>
        <w:rPr>
          <w:sz w:val="22"/>
        </w:rPr>
      </w:pPr>
      <w:r>
        <w:rPr>
          <w:b/>
          <w:i/>
          <w:sz w:val="22"/>
        </w:rPr>
        <w:t>Жукова Ольга Валентиновна </w:t>
      </w:r>
      <w:r>
        <w:rPr>
          <w:sz w:val="22"/>
        </w:rPr>
        <w:t>– главный внештатный специалист по дерматовенерологии и косметологии Минздрава России в Центральном федеральном округе, главный врач Государственного бюджетного</w:t>
      </w:r>
      <w:r>
        <w:rPr>
          <w:spacing w:val="-17"/>
          <w:sz w:val="22"/>
        </w:rPr>
        <w:t> </w:t>
      </w:r>
      <w:r>
        <w:rPr>
          <w:sz w:val="22"/>
        </w:rPr>
        <w:t>учреждение</w:t>
      </w:r>
      <w:r>
        <w:rPr>
          <w:spacing w:val="-20"/>
          <w:sz w:val="22"/>
        </w:rPr>
        <w:t> </w:t>
      </w:r>
      <w:r>
        <w:rPr>
          <w:sz w:val="22"/>
        </w:rPr>
        <w:t>здравоохранения</w:t>
      </w:r>
      <w:r>
        <w:rPr>
          <w:spacing w:val="-17"/>
          <w:sz w:val="22"/>
        </w:rPr>
        <w:t> </w:t>
      </w:r>
      <w:r>
        <w:rPr>
          <w:sz w:val="22"/>
        </w:rPr>
        <w:t>«Московский</w:t>
      </w:r>
      <w:r>
        <w:rPr>
          <w:spacing w:val="-17"/>
          <w:sz w:val="22"/>
        </w:rPr>
        <w:t> </w:t>
      </w:r>
      <w:r>
        <w:rPr>
          <w:sz w:val="22"/>
        </w:rPr>
        <w:t>научно-практический</w:t>
      </w:r>
      <w:r>
        <w:rPr>
          <w:spacing w:val="-17"/>
          <w:sz w:val="22"/>
        </w:rPr>
        <w:t> </w:t>
      </w:r>
      <w:r>
        <w:rPr>
          <w:sz w:val="22"/>
        </w:rPr>
        <w:t>центр</w:t>
      </w:r>
      <w:r>
        <w:rPr>
          <w:spacing w:val="-16"/>
          <w:sz w:val="22"/>
        </w:rPr>
        <w:t> </w:t>
      </w:r>
      <w:r>
        <w:rPr>
          <w:sz w:val="22"/>
        </w:rPr>
        <w:t>дерматовенерологии и косметологии Департамента здравоохранения города Москвы»,, и.о. заведующей кафедрой кожных и венерических болезней Федерального государственного автономного образовательного учреждения высшего образования «Российский университет дружбы народов» Минобрнауки</w:t>
      </w:r>
      <w:r>
        <w:rPr>
          <w:spacing w:val="-13"/>
          <w:sz w:val="22"/>
        </w:rPr>
        <w:t> </w:t>
      </w:r>
      <w:r>
        <w:rPr>
          <w:sz w:val="22"/>
        </w:rPr>
        <w:t>России</w:t>
      </w:r>
    </w:p>
    <w:p>
      <w:pPr>
        <w:spacing w:line="276" w:lineRule="auto" w:before="0"/>
        <w:ind w:left="261" w:right="363" w:firstLine="705"/>
        <w:jc w:val="both"/>
        <w:rPr>
          <w:sz w:val="22"/>
        </w:rPr>
      </w:pPr>
      <w:r>
        <w:rPr>
          <w:b/>
          <w:i/>
          <w:sz w:val="22"/>
        </w:rPr>
        <w:t>Заболотских Игорь Борисович </w:t>
      </w:r>
      <w:r>
        <w:rPr>
          <w:sz w:val="22"/>
        </w:rPr>
        <w:t>– заведующий кафедрой анестезиологии, реаниматологии и трансфузиологии Федерального государственного бюджетного образовательного учреждения высшего образования «Кубанский государственный медицинский университет» Минздрава России</w:t>
      </w:r>
    </w:p>
    <w:p>
      <w:pPr>
        <w:spacing w:line="276" w:lineRule="auto" w:before="0"/>
        <w:ind w:left="261" w:right="363" w:firstLine="705"/>
        <w:jc w:val="both"/>
        <w:rPr>
          <w:sz w:val="22"/>
        </w:rPr>
      </w:pPr>
      <w:r>
        <w:rPr>
          <w:b/>
          <w:i/>
          <w:sz w:val="22"/>
        </w:rPr>
        <w:t>Загребнева Алена Игоревна – </w:t>
      </w:r>
      <w:r>
        <w:rPr>
          <w:sz w:val="22"/>
        </w:rPr>
        <w:t>доцент кафедры общей терапии ФУВ Федерального государственного автономного образовательного учреждения высшего образования «Российский национальный исследовательский медицинский университет имени Н.И. Пирогова» Минздрава России, главный внештатный ревматолог Департамента здравоохранения г. Москвы</w:t>
      </w:r>
    </w:p>
    <w:p>
      <w:pPr>
        <w:spacing w:line="276" w:lineRule="auto" w:before="0"/>
        <w:ind w:left="271" w:right="363" w:firstLine="705"/>
        <w:jc w:val="both"/>
        <w:rPr>
          <w:sz w:val="22"/>
        </w:rPr>
      </w:pPr>
      <w:r>
        <w:rPr>
          <w:b/>
          <w:i/>
          <w:sz w:val="22"/>
        </w:rPr>
        <w:t>Зайратьянц Олег Вадимович – </w:t>
      </w:r>
      <w:r>
        <w:rPr>
          <w:sz w:val="22"/>
        </w:rPr>
        <w:t>главный внештатный специалист патологоанатом Департамента здравоохранения города Москвы, главный внештатный специалист-эксперт патологоанатом Росздравнадзора по Центральному федеральному округу, заведующий кафедрой патологической анатомии Федерального государственного бюджетного научного учреждения «МГМСУ им. А.И. Евдокимова» Минздрава России, вице-президент Российского общества патологоанатомов, председатель Московского общества патологоанатомов</w:t>
      </w:r>
    </w:p>
    <w:p>
      <w:pPr>
        <w:spacing w:line="276" w:lineRule="auto" w:before="0"/>
        <w:ind w:left="261" w:right="364" w:firstLine="705"/>
        <w:jc w:val="both"/>
        <w:rPr>
          <w:sz w:val="22"/>
        </w:rPr>
      </w:pPr>
      <w:r>
        <w:rPr>
          <w:b/>
          <w:i/>
          <w:sz w:val="22"/>
        </w:rPr>
        <w:t>Зайцев Андрей Алексеевич </w:t>
      </w:r>
      <w:r>
        <w:rPr>
          <w:sz w:val="22"/>
        </w:rPr>
        <w:t>– главный пульмонолог Министерства обороны Российской Федерации, главный пульмонолог Федерального государственного бюджетного учреждения «Главный военный клинический госпиталь имени академика Н.Н. Бурденко» Министерства обороны Российской Федерации</w:t>
      </w:r>
    </w:p>
    <w:p>
      <w:pPr>
        <w:spacing w:line="276" w:lineRule="auto" w:before="0"/>
        <w:ind w:left="271" w:right="364" w:firstLine="705"/>
        <w:jc w:val="both"/>
        <w:rPr>
          <w:sz w:val="22"/>
        </w:rPr>
      </w:pPr>
      <w:r>
        <w:rPr>
          <w:b/>
          <w:i/>
          <w:sz w:val="22"/>
        </w:rPr>
        <w:t>Зюзя Юлия Рашидовна </w:t>
      </w:r>
      <w:r>
        <w:rPr>
          <w:sz w:val="22"/>
        </w:rPr>
        <w:t>- врач-патологоанатом Федерального государственного бюджетного учреждения «Национальный медицинский исследовательский центр фтизиопульмонологии и инфекционных заболеваний» Минздрава России</w:t>
      </w:r>
    </w:p>
    <w:p>
      <w:pPr>
        <w:tabs>
          <w:tab w:pos="1631" w:val="left" w:leader="none"/>
          <w:tab w:pos="2430" w:val="left" w:leader="none"/>
          <w:tab w:pos="3066" w:val="left" w:leader="none"/>
          <w:tab w:pos="4281" w:val="left" w:leader="none"/>
          <w:tab w:pos="5531" w:val="left" w:leader="none"/>
          <w:tab w:pos="6460" w:val="left" w:leader="none"/>
          <w:tab w:pos="7806" w:val="left" w:leader="none"/>
          <w:tab w:pos="8841" w:val="left" w:leader="none"/>
        </w:tabs>
        <w:spacing w:line="276" w:lineRule="auto" w:before="0"/>
        <w:ind w:left="261" w:right="363" w:firstLine="705"/>
        <w:jc w:val="right"/>
        <w:rPr>
          <w:sz w:val="22"/>
        </w:rPr>
      </w:pPr>
      <w:r>
        <w:rPr>
          <w:b/>
          <w:i/>
          <w:sz w:val="22"/>
        </w:rPr>
        <w:t>Иванов</w:t>
      </w:r>
      <w:r>
        <w:rPr>
          <w:b/>
          <w:i/>
          <w:spacing w:val="11"/>
          <w:sz w:val="22"/>
        </w:rPr>
        <w:t> </w:t>
      </w:r>
      <w:r>
        <w:rPr>
          <w:b/>
          <w:i/>
          <w:sz w:val="22"/>
        </w:rPr>
        <w:t>Дмитрий</w:t>
      </w:r>
      <w:r>
        <w:rPr>
          <w:b/>
          <w:i/>
          <w:spacing w:val="13"/>
          <w:sz w:val="22"/>
        </w:rPr>
        <w:t> </w:t>
      </w:r>
      <w:r>
        <w:rPr>
          <w:b/>
          <w:i/>
          <w:sz w:val="22"/>
        </w:rPr>
        <w:t>Олегович</w:t>
      </w:r>
      <w:r>
        <w:rPr>
          <w:b/>
          <w:i/>
          <w:spacing w:val="13"/>
          <w:sz w:val="22"/>
        </w:rPr>
        <w:t> </w:t>
      </w:r>
      <w:r>
        <w:rPr>
          <w:sz w:val="22"/>
        </w:rPr>
        <w:t>–</w:t>
      </w:r>
      <w:r>
        <w:rPr>
          <w:spacing w:val="13"/>
          <w:sz w:val="22"/>
        </w:rPr>
        <w:t> </w:t>
      </w:r>
      <w:r>
        <w:rPr>
          <w:sz w:val="22"/>
        </w:rPr>
        <w:t>главный</w:t>
      </w:r>
      <w:r>
        <w:rPr>
          <w:spacing w:val="13"/>
          <w:sz w:val="22"/>
        </w:rPr>
        <w:t> </w:t>
      </w:r>
      <w:r>
        <w:rPr>
          <w:sz w:val="22"/>
        </w:rPr>
        <w:t>внештатный</w:t>
      </w:r>
      <w:r>
        <w:rPr>
          <w:spacing w:val="13"/>
          <w:sz w:val="22"/>
        </w:rPr>
        <w:t> </w:t>
      </w:r>
      <w:r>
        <w:rPr>
          <w:sz w:val="22"/>
        </w:rPr>
        <w:t>специалист</w:t>
      </w:r>
      <w:r>
        <w:rPr>
          <w:spacing w:val="13"/>
          <w:sz w:val="22"/>
        </w:rPr>
        <w:t> </w:t>
      </w:r>
      <w:r>
        <w:rPr>
          <w:sz w:val="22"/>
        </w:rPr>
        <w:t>неонатолог</w:t>
      </w:r>
      <w:r>
        <w:rPr>
          <w:spacing w:val="13"/>
          <w:sz w:val="22"/>
        </w:rPr>
        <w:t> </w:t>
      </w:r>
      <w:r>
        <w:rPr>
          <w:sz w:val="22"/>
        </w:rPr>
        <w:t>Минздрава</w:t>
      </w:r>
      <w:r>
        <w:rPr>
          <w:spacing w:val="14"/>
          <w:sz w:val="22"/>
        </w:rPr>
        <w:t> </w:t>
      </w:r>
      <w:r>
        <w:rPr>
          <w:sz w:val="22"/>
        </w:rPr>
        <w:t>России,</w:t>
      </w:r>
      <w:r>
        <w:rPr>
          <w:w w:val="100"/>
          <w:sz w:val="22"/>
        </w:rPr>
        <w:t> </w:t>
      </w:r>
      <w:r>
        <w:rPr>
          <w:sz w:val="22"/>
        </w:rPr>
        <w:t>ректор</w:t>
      </w:r>
      <w:r>
        <w:rPr>
          <w:spacing w:val="-13"/>
          <w:sz w:val="22"/>
        </w:rPr>
        <w:t> </w:t>
      </w:r>
      <w:r>
        <w:rPr>
          <w:sz w:val="22"/>
        </w:rPr>
        <w:t>ФГБУ</w:t>
      </w:r>
      <w:r>
        <w:rPr>
          <w:spacing w:val="-13"/>
          <w:sz w:val="22"/>
        </w:rPr>
        <w:t> </w:t>
      </w:r>
      <w:r>
        <w:rPr>
          <w:sz w:val="22"/>
        </w:rPr>
        <w:t>ВО</w:t>
      </w:r>
      <w:r>
        <w:rPr>
          <w:spacing w:val="-13"/>
          <w:sz w:val="22"/>
        </w:rPr>
        <w:t> </w:t>
      </w:r>
      <w:r>
        <w:rPr>
          <w:sz w:val="22"/>
        </w:rPr>
        <w:t>Санкт-Петербургского</w:t>
      </w:r>
      <w:r>
        <w:rPr>
          <w:spacing w:val="-13"/>
          <w:sz w:val="22"/>
        </w:rPr>
        <w:t> </w:t>
      </w:r>
      <w:r>
        <w:rPr>
          <w:sz w:val="22"/>
        </w:rPr>
        <w:t>государственного</w:t>
      </w:r>
      <w:r>
        <w:rPr>
          <w:spacing w:val="-10"/>
          <w:sz w:val="22"/>
        </w:rPr>
        <w:t> </w:t>
      </w:r>
      <w:r>
        <w:rPr>
          <w:sz w:val="22"/>
        </w:rPr>
        <w:t>педиатрического</w:t>
      </w:r>
      <w:r>
        <w:rPr>
          <w:spacing w:val="-10"/>
          <w:sz w:val="22"/>
        </w:rPr>
        <w:t> </w:t>
      </w:r>
      <w:r>
        <w:rPr>
          <w:sz w:val="22"/>
        </w:rPr>
        <w:t>медицинского</w:t>
      </w:r>
      <w:r>
        <w:rPr>
          <w:spacing w:val="-13"/>
          <w:sz w:val="22"/>
        </w:rPr>
        <w:t> </w:t>
      </w:r>
      <w:r>
        <w:rPr>
          <w:sz w:val="22"/>
        </w:rPr>
        <w:t>университета</w:t>
      </w:r>
      <w:r>
        <w:rPr>
          <w:w w:val="100"/>
          <w:sz w:val="22"/>
        </w:rPr>
        <w:t> </w:t>
      </w:r>
      <w:r>
        <w:rPr>
          <w:b/>
          <w:i/>
          <w:sz w:val="22"/>
        </w:rPr>
        <w:t>Иванова Галина Евгеньевна – </w:t>
      </w:r>
      <w:r>
        <w:rPr>
          <w:sz w:val="22"/>
        </w:rPr>
        <w:t>главный внештатный специалист по</w:t>
      </w:r>
      <w:r>
        <w:rPr>
          <w:spacing w:val="17"/>
          <w:sz w:val="22"/>
        </w:rPr>
        <w:t> </w:t>
      </w:r>
      <w:r>
        <w:rPr>
          <w:sz w:val="22"/>
        </w:rPr>
        <w:t>медицинской</w:t>
      </w:r>
      <w:r>
        <w:rPr>
          <w:spacing w:val="9"/>
          <w:sz w:val="22"/>
        </w:rPr>
        <w:t> </w:t>
      </w:r>
      <w:r>
        <w:rPr>
          <w:sz w:val="22"/>
        </w:rPr>
        <w:t>реабилитации</w:t>
      </w:r>
      <w:r>
        <w:rPr>
          <w:w w:val="100"/>
          <w:sz w:val="22"/>
        </w:rPr>
        <w:t> </w:t>
      </w:r>
      <w:r>
        <w:rPr>
          <w:sz w:val="22"/>
        </w:rPr>
        <w:t>Минздрава России, заведующая кафедрой медицинской реабилитации</w:t>
      </w:r>
      <w:r>
        <w:rPr>
          <w:spacing w:val="54"/>
          <w:sz w:val="22"/>
        </w:rPr>
        <w:t> </w:t>
      </w:r>
      <w:r>
        <w:rPr>
          <w:sz w:val="22"/>
        </w:rPr>
        <w:t>факультета</w:t>
      </w:r>
      <w:r>
        <w:rPr>
          <w:spacing w:val="52"/>
          <w:sz w:val="22"/>
        </w:rPr>
        <w:t> </w:t>
      </w:r>
      <w:r>
        <w:rPr>
          <w:sz w:val="22"/>
        </w:rPr>
        <w:t>дополнительного</w:t>
      </w:r>
      <w:r>
        <w:rPr>
          <w:w w:val="100"/>
          <w:sz w:val="22"/>
        </w:rPr>
        <w:t> </w:t>
      </w:r>
      <w:r>
        <w:rPr>
          <w:sz w:val="22"/>
        </w:rPr>
        <w:t>профессионального образования Федерального государственного</w:t>
      </w:r>
      <w:r>
        <w:rPr>
          <w:spacing w:val="24"/>
          <w:sz w:val="22"/>
        </w:rPr>
        <w:t> </w:t>
      </w:r>
      <w:r>
        <w:rPr>
          <w:sz w:val="22"/>
        </w:rPr>
        <w:t>автономного</w:t>
      </w:r>
      <w:r>
        <w:rPr>
          <w:spacing w:val="20"/>
          <w:sz w:val="22"/>
        </w:rPr>
        <w:t> </w:t>
      </w:r>
      <w:r>
        <w:rPr>
          <w:sz w:val="22"/>
        </w:rPr>
        <w:t>образовательного</w:t>
      </w:r>
      <w:r>
        <w:rPr>
          <w:w w:val="100"/>
          <w:sz w:val="22"/>
        </w:rPr>
        <w:t> </w:t>
      </w:r>
      <w:r>
        <w:rPr>
          <w:sz w:val="22"/>
        </w:rPr>
        <w:t>учреждения</w:t>
      </w:r>
      <w:r>
        <w:rPr>
          <w:spacing w:val="11"/>
          <w:sz w:val="22"/>
        </w:rPr>
        <w:t> </w:t>
      </w:r>
      <w:r>
        <w:rPr>
          <w:sz w:val="22"/>
        </w:rPr>
        <w:t>высшего</w:t>
      </w:r>
      <w:r>
        <w:rPr>
          <w:spacing w:val="11"/>
          <w:sz w:val="22"/>
        </w:rPr>
        <w:t> </w:t>
      </w:r>
      <w:r>
        <w:rPr>
          <w:sz w:val="22"/>
        </w:rPr>
        <w:t>образования</w:t>
      </w:r>
      <w:r>
        <w:rPr>
          <w:spacing w:val="12"/>
          <w:sz w:val="22"/>
        </w:rPr>
        <w:t> </w:t>
      </w:r>
      <w:r>
        <w:rPr>
          <w:sz w:val="22"/>
        </w:rPr>
        <w:t>«Российский</w:t>
      </w:r>
      <w:r>
        <w:rPr>
          <w:spacing w:val="12"/>
          <w:sz w:val="22"/>
        </w:rPr>
        <w:t> </w:t>
      </w:r>
      <w:r>
        <w:rPr>
          <w:sz w:val="22"/>
        </w:rPr>
        <w:t>национальный</w:t>
      </w:r>
      <w:r>
        <w:rPr>
          <w:spacing w:val="12"/>
          <w:sz w:val="22"/>
        </w:rPr>
        <w:t> </w:t>
      </w:r>
      <w:r>
        <w:rPr>
          <w:sz w:val="22"/>
        </w:rPr>
        <w:t>исследовательский</w:t>
      </w:r>
      <w:r>
        <w:rPr>
          <w:spacing w:val="11"/>
          <w:sz w:val="22"/>
        </w:rPr>
        <w:t> </w:t>
      </w:r>
      <w:r>
        <w:rPr>
          <w:sz w:val="22"/>
        </w:rPr>
        <w:t>медицинский</w:t>
      </w:r>
      <w:r>
        <w:rPr>
          <w:w w:val="100"/>
          <w:sz w:val="22"/>
        </w:rPr>
        <w:t> </w:t>
      </w:r>
      <w:r>
        <w:rPr>
          <w:sz w:val="22"/>
        </w:rPr>
        <w:t>университет</w:t>
        <w:tab/>
        <w:t>имени</w:t>
        <w:tab/>
        <w:t>Н.И.</w:t>
        <w:tab/>
        <w:t>Пирогова»</w:t>
        <w:tab/>
        <w:t>Минздрава</w:t>
        <w:tab/>
        <w:t>России,</w:t>
        <w:tab/>
        <w:t>заведующая</w:t>
        <w:tab/>
        <w:t>Отделом</w:t>
        <w:tab/>
      </w:r>
      <w:r>
        <w:rPr>
          <w:spacing w:val="-1"/>
          <w:sz w:val="22"/>
        </w:rPr>
        <w:t>медицинской</w:t>
      </w:r>
    </w:p>
    <w:p>
      <w:pPr>
        <w:spacing w:line="251" w:lineRule="exact" w:before="0"/>
        <w:ind w:left="270" w:right="0" w:firstLine="0"/>
        <w:jc w:val="both"/>
        <w:rPr>
          <w:sz w:val="22"/>
        </w:rPr>
      </w:pPr>
      <w:r>
        <w:rPr>
          <w:sz w:val="22"/>
        </w:rPr>
        <w:t>реабилитации Федерального государственного бюджетного учреждения ФЦМН ФМБА России</w:t>
      </w:r>
    </w:p>
    <w:p>
      <w:pPr>
        <w:spacing w:line="276" w:lineRule="auto" w:before="38"/>
        <w:ind w:left="261" w:right="364" w:firstLine="705"/>
        <w:jc w:val="both"/>
        <w:rPr>
          <w:sz w:val="22"/>
        </w:rPr>
      </w:pPr>
      <w:r>
        <w:rPr>
          <w:b/>
          <w:i/>
          <w:sz w:val="22"/>
        </w:rPr>
        <w:t>Исаева Ирина Владимировна – </w:t>
      </w:r>
      <w:r>
        <w:rPr>
          <w:sz w:val="22"/>
        </w:rPr>
        <w:t>заместитель начальника Штаба Всероссийской службы медицины катастроф Федерального государственного бюджетного учреждения «Всероссийский центр медицины катастроф «Защита»» ФМБА России</w:t>
      </w:r>
    </w:p>
    <w:p>
      <w:pPr>
        <w:spacing w:after="0" w:line="276" w:lineRule="auto"/>
        <w:jc w:val="both"/>
        <w:rPr>
          <w:sz w:val="22"/>
        </w:rPr>
        <w:sectPr>
          <w:pgSz w:w="11920" w:h="16850"/>
          <w:pgMar w:header="0" w:footer="956" w:top="980" w:bottom="1180" w:left="960" w:right="480"/>
        </w:sectPr>
      </w:pPr>
    </w:p>
    <w:p>
      <w:pPr>
        <w:spacing w:line="276" w:lineRule="auto" w:before="62"/>
        <w:ind w:left="271" w:right="365" w:firstLine="705"/>
        <w:jc w:val="both"/>
        <w:rPr>
          <w:sz w:val="22"/>
        </w:rPr>
      </w:pPr>
      <w:r>
        <w:rPr>
          <w:b/>
          <w:i/>
          <w:sz w:val="22"/>
        </w:rPr>
        <w:t>Каминский Григорий Дмитриевич </w:t>
      </w:r>
      <w:r>
        <w:rPr>
          <w:sz w:val="22"/>
        </w:rPr>
        <w:t>– руководитель отдела инфекционной патологии Федерального государственного бюджетного учреждения «Национальный медицинский исследовательский центр фтизиопульмонологии и инфекционных заболеваний» Минздрава России</w:t>
      </w:r>
    </w:p>
    <w:p>
      <w:pPr>
        <w:spacing w:line="276" w:lineRule="auto" w:before="0"/>
        <w:ind w:left="261" w:right="363" w:firstLine="705"/>
        <w:jc w:val="both"/>
        <w:rPr>
          <w:sz w:val="22"/>
        </w:rPr>
      </w:pPr>
      <w:r>
        <w:rPr>
          <w:b/>
          <w:i/>
          <w:sz w:val="22"/>
        </w:rPr>
        <w:t>Карпов Олег Эдуардович </w:t>
      </w:r>
      <w:r>
        <w:rPr>
          <w:sz w:val="22"/>
        </w:rPr>
        <w:t>– генеральный директор Федерального государственного бюджетного учреждения «Национальный медико-хирургический Центр имени Н.И. Пирогова» Минздрава России</w:t>
      </w:r>
    </w:p>
    <w:p>
      <w:pPr>
        <w:spacing w:line="276" w:lineRule="auto" w:before="0"/>
        <w:ind w:left="261" w:right="363" w:firstLine="705"/>
        <w:jc w:val="both"/>
        <w:rPr>
          <w:sz w:val="22"/>
        </w:rPr>
      </w:pPr>
      <w:r>
        <w:rPr>
          <w:b/>
          <w:i/>
          <w:sz w:val="22"/>
        </w:rPr>
        <w:t>Качанова Наталья Александровна – </w:t>
      </w:r>
      <w:r>
        <w:rPr>
          <w:sz w:val="22"/>
        </w:rPr>
        <w:t>заведующая отделением организационно- методической работы Центра медицинской эвакуации и экстренной медицинской помощи Федерального государственного бюджетного учреждения «Всероссийский центр медицины катастроф «Защита»» ФМБА России</w:t>
      </w:r>
    </w:p>
    <w:p>
      <w:pPr>
        <w:spacing w:line="276" w:lineRule="auto" w:before="0"/>
        <w:ind w:left="261" w:right="365" w:firstLine="705"/>
        <w:jc w:val="both"/>
        <w:rPr>
          <w:sz w:val="22"/>
        </w:rPr>
      </w:pPr>
      <w:r>
        <w:rPr>
          <w:b/>
          <w:i/>
          <w:sz w:val="22"/>
        </w:rPr>
        <w:t>Киров Михаил Юрьевич </w:t>
      </w:r>
      <w:r>
        <w:rPr>
          <w:sz w:val="22"/>
        </w:rPr>
        <w:t>– заведующий кафедрой анестезиологии и реаниматологии Федерального государственного бюджетного образовательного учреждения высшего образования</w:t>
      </w:r>
    </w:p>
    <w:p>
      <w:pPr>
        <w:spacing w:before="0"/>
        <w:ind w:left="261" w:right="0" w:firstLine="0"/>
        <w:jc w:val="both"/>
        <w:rPr>
          <w:sz w:val="22"/>
        </w:rPr>
      </w:pPr>
      <w:r>
        <w:rPr>
          <w:sz w:val="22"/>
        </w:rPr>
        <w:t>«Северный государственный медицинский университет» Минздрава России</w:t>
      </w:r>
    </w:p>
    <w:p>
      <w:pPr>
        <w:spacing w:line="276" w:lineRule="auto" w:before="38"/>
        <w:ind w:left="261" w:right="363" w:firstLine="705"/>
        <w:jc w:val="both"/>
        <w:rPr>
          <w:sz w:val="22"/>
        </w:rPr>
      </w:pPr>
      <w:r>
        <w:rPr>
          <w:b/>
          <w:i/>
          <w:sz w:val="22"/>
        </w:rPr>
        <w:t>Климов Владимир Анатольевич </w:t>
      </w:r>
      <w:r>
        <w:rPr>
          <w:sz w:val="22"/>
        </w:rPr>
        <w:t>– руководитель службы организации медицинской помощи Федерального государственного бюджетного учреждения «Национальный медицинский исследовательский центр акушерства, гинекологии и перинатологии имени академика В.И. Кулакова» Минздрава России</w:t>
      </w:r>
    </w:p>
    <w:p>
      <w:pPr>
        <w:spacing w:line="276" w:lineRule="auto" w:before="0"/>
        <w:ind w:left="261" w:right="365" w:firstLine="705"/>
        <w:jc w:val="both"/>
        <w:rPr>
          <w:sz w:val="22"/>
        </w:rPr>
      </w:pPr>
      <w:r>
        <w:rPr>
          <w:b/>
          <w:i/>
          <w:sz w:val="22"/>
        </w:rPr>
        <w:t>Клюев Олег Игоревич </w:t>
      </w:r>
      <w:r>
        <w:rPr>
          <w:sz w:val="22"/>
        </w:rPr>
        <w:t>– заведующий отделением анестезиологии и реанимации с палатами реанимации и интенсивной терапии Федерального государственного бюджетного учреждения</w:t>
      </w:r>
    </w:p>
    <w:p>
      <w:pPr>
        <w:spacing w:line="276" w:lineRule="auto" w:before="0"/>
        <w:ind w:left="261" w:right="365" w:firstLine="0"/>
        <w:jc w:val="both"/>
        <w:rPr>
          <w:sz w:val="22"/>
        </w:rPr>
      </w:pPr>
      <w:r>
        <w:rPr>
          <w:sz w:val="22"/>
        </w:rPr>
        <w:t>«Национальный медицинский исследовательский центр фтизиопульмонологии и инфекционных заболеваний» Минздрава России</w:t>
      </w:r>
    </w:p>
    <w:p>
      <w:pPr>
        <w:spacing w:line="276" w:lineRule="auto" w:before="0"/>
        <w:ind w:left="261" w:right="364" w:firstLine="705"/>
        <w:jc w:val="both"/>
        <w:rPr>
          <w:sz w:val="22"/>
        </w:rPr>
      </w:pPr>
      <w:r>
        <w:rPr>
          <w:b/>
          <w:i/>
          <w:sz w:val="22"/>
        </w:rPr>
        <w:t>Крылов Владимир Викторович – </w:t>
      </w:r>
      <w:r>
        <w:rPr>
          <w:sz w:val="22"/>
        </w:rPr>
        <w:t>главный внештатный нейрохирург Минздрава, директор Университетской клиники МГМСУ им. А.И. Евдокимова, заведующий кафедрой нейрохирургии и нейрореанимации</w:t>
      </w:r>
      <w:r>
        <w:rPr>
          <w:spacing w:val="-18"/>
          <w:sz w:val="22"/>
        </w:rPr>
        <w:t> </w:t>
      </w:r>
      <w:r>
        <w:rPr>
          <w:sz w:val="22"/>
        </w:rPr>
        <w:t>МГМСУ</w:t>
      </w:r>
      <w:r>
        <w:rPr>
          <w:spacing w:val="-15"/>
          <w:sz w:val="22"/>
        </w:rPr>
        <w:t> </w:t>
      </w:r>
      <w:r>
        <w:rPr>
          <w:sz w:val="22"/>
        </w:rPr>
        <w:t>им.</w:t>
      </w:r>
      <w:r>
        <w:rPr>
          <w:spacing w:val="-15"/>
          <w:sz w:val="22"/>
        </w:rPr>
        <w:t> </w:t>
      </w:r>
      <w:r>
        <w:rPr>
          <w:sz w:val="22"/>
        </w:rPr>
        <w:t>А.</w:t>
      </w:r>
      <w:r>
        <w:rPr>
          <w:spacing w:val="-14"/>
          <w:sz w:val="22"/>
        </w:rPr>
        <w:t> </w:t>
      </w:r>
      <w:r>
        <w:rPr>
          <w:sz w:val="22"/>
        </w:rPr>
        <w:t>И.</w:t>
      </w:r>
      <w:r>
        <w:rPr>
          <w:spacing w:val="-15"/>
          <w:sz w:val="22"/>
        </w:rPr>
        <w:t> </w:t>
      </w:r>
      <w:r>
        <w:rPr>
          <w:sz w:val="22"/>
        </w:rPr>
        <w:t>Евдокимова,</w:t>
      </w:r>
      <w:r>
        <w:rPr>
          <w:spacing w:val="-14"/>
          <w:sz w:val="22"/>
        </w:rPr>
        <w:t> </w:t>
      </w:r>
      <w:r>
        <w:rPr>
          <w:sz w:val="22"/>
        </w:rPr>
        <w:t>главный</w:t>
      </w:r>
      <w:r>
        <w:rPr>
          <w:spacing w:val="-15"/>
          <w:sz w:val="22"/>
        </w:rPr>
        <w:t> </w:t>
      </w:r>
      <w:r>
        <w:rPr>
          <w:sz w:val="22"/>
        </w:rPr>
        <w:t>научный</w:t>
      </w:r>
      <w:r>
        <w:rPr>
          <w:spacing w:val="-16"/>
          <w:sz w:val="22"/>
        </w:rPr>
        <w:t> </w:t>
      </w:r>
      <w:r>
        <w:rPr>
          <w:sz w:val="22"/>
        </w:rPr>
        <w:t>сотрудник</w:t>
      </w:r>
      <w:r>
        <w:rPr>
          <w:spacing w:val="-14"/>
          <w:sz w:val="22"/>
        </w:rPr>
        <w:t> </w:t>
      </w:r>
      <w:r>
        <w:rPr>
          <w:sz w:val="22"/>
        </w:rPr>
        <w:t>отделения</w:t>
      </w:r>
      <w:r>
        <w:rPr>
          <w:spacing w:val="-16"/>
          <w:sz w:val="22"/>
        </w:rPr>
        <w:t> </w:t>
      </w:r>
      <w:r>
        <w:rPr>
          <w:sz w:val="22"/>
        </w:rPr>
        <w:t>нейрохирургии государственного бюджетного учреждения здравоохранения «Научно-исследовательский институт скорой помощи имени Н.В. Склифосовского» Департамента здравоохранения города</w:t>
      </w:r>
      <w:r>
        <w:rPr>
          <w:spacing w:val="-15"/>
          <w:sz w:val="22"/>
        </w:rPr>
        <w:t> </w:t>
      </w:r>
      <w:r>
        <w:rPr>
          <w:sz w:val="22"/>
        </w:rPr>
        <w:t>Москвы</w:t>
      </w:r>
    </w:p>
    <w:p>
      <w:pPr>
        <w:spacing w:line="276" w:lineRule="auto" w:before="0"/>
        <w:ind w:left="260" w:right="363" w:firstLine="705"/>
        <w:jc w:val="both"/>
        <w:rPr>
          <w:sz w:val="22"/>
        </w:rPr>
      </w:pPr>
      <w:r>
        <w:rPr>
          <w:b/>
          <w:i/>
          <w:sz w:val="22"/>
        </w:rPr>
        <w:t>Кузовлев Артем Николаевич </w:t>
      </w:r>
      <w:r>
        <w:rPr>
          <w:sz w:val="22"/>
        </w:rPr>
        <w:t>– заместитель директора–руководитель НИИ общей реаниматологии</w:t>
      </w:r>
      <w:r>
        <w:rPr>
          <w:spacing w:val="-13"/>
          <w:sz w:val="22"/>
        </w:rPr>
        <w:t> </w:t>
      </w:r>
      <w:r>
        <w:rPr>
          <w:sz w:val="22"/>
        </w:rPr>
        <w:t>им.</w:t>
      </w:r>
      <w:r>
        <w:rPr>
          <w:spacing w:val="-13"/>
          <w:sz w:val="22"/>
        </w:rPr>
        <w:t> </w:t>
      </w:r>
      <w:r>
        <w:rPr>
          <w:sz w:val="22"/>
        </w:rPr>
        <w:t>В.А.</w:t>
      </w:r>
      <w:r>
        <w:rPr>
          <w:spacing w:val="-14"/>
          <w:sz w:val="22"/>
        </w:rPr>
        <w:t> </w:t>
      </w:r>
      <w:r>
        <w:rPr>
          <w:sz w:val="22"/>
        </w:rPr>
        <w:t>Неговского</w:t>
      </w:r>
      <w:r>
        <w:rPr>
          <w:spacing w:val="-15"/>
          <w:sz w:val="22"/>
        </w:rPr>
        <w:t> </w:t>
      </w:r>
      <w:r>
        <w:rPr>
          <w:sz w:val="22"/>
        </w:rPr>
        <w:t>Федерального</w:t>
      </w:r>
      <w:r>
        <w:rPr>
          <w:spacing w:val="-14"/>
          <w:sz w:val="22"/>
        </w:rPr>
        <w:t> </w:t>
      </w:r>
      <w:r>
        <w:rPr>
          <w:sz w:val="22"/>
        </w:rPr>
        <w:t>государственного</w:t>
      </w:r>
      <w:r>
        <w:rPr>
          <w:spacing w:val="-15"/>
          <w:sz w:val="22"/>
        </w:rPr>
        <w:t> </w:t>
      </w:r>
      <w:r>
        <w:rPr>
          <w:sz w:val="22"/>
        </w:rPr>
        <w:t>бюджетного</w:t>
      </w:r>
      <w:r>
        <w:rPr>
          <w:spacing w:val="-12"/>
          <w:sz w:val="22"/>
        </w:rPr>
        <w:t> </w:t>
      </w:r>
      <w:r>
        <w:rPr>
          <w:sz w:val="22"/>
        </w:rPr>
        <w:t>научного</w:t>
      </w:r>
      <w:r>
        <w:rPr>
          <w:spacing w:val="-13"/>
          <w:sz w:val="22"/>
        </w:rPr>
        <w:t> </w:t>
      </w:r>
      <w:r>
        <w:rPr>
          <w:sz w:val="22"/>
        </w:rPr>
        <w:t>учреждения</w:t>
      </w:r>
    </w:p>
    <w:p>
      <w:pPr>
        <w:spacing w:line="252" w:lineRule="exact" w:before="0"/>
        <w:ind w:left="260" w:right="0" w:firstLine="0"/>
        <w:jc w:val="both"/>
        <w:rPr>
          <w:sz w:val="22"/>
        </w:rPr>
      </w:pPr>
      <w:r>
        <w:rPr>
          <w:sz w:val="22"/>
        </w:rPr>
        <w:t>«Федеральный научно-клинический центр реаниматологии и реабилитологии»</w:t>
      </w:r>
    </w:p>
    <w:p>
      <w:pPr>
        <w:spacing w:line="276" w:lineRule="auto" w:before="37"/>
        <w:ind w:left="260" w:right="361" w:firstLine="705"/>
        <w:jc w:val="both"/>
        <w:rPr>
          <w:sz w:val="22"/>
        </w:rPr>
      </w:pPr>
      <w:r>
        <w:rPr>
          <w:b/>
          <w:i/>
          <w:sz w:val="22"/>
        </w:rPr>
        <w:t>Лебединский Константин Михайлович </w:t>
      </w:r>
      <w:r>
        <w:rPr>
          <w:sz w:val="22"/>
        </w:rPr>
        <w:t>– заведующий кафедрой анестезиологии и реаниматологии имени В.Л. Ваневского Федерального государственного бюджетного образовательного учреждения высшего образования «Северо-Западный государственный медицинский университет им. И.И. Мечникова» Минздрава России</w:t>
      </w:r>
    </w:p>
    <w:p>
      <w:pPr>
        <w:spacing w:line="276" w:lineRule="auto" w:before="0"/>
        <w:ind w:left="261" w:right="365" w:firstLine="705"/>
        <w:jc w:val="both"/>
        <w:rPr>
          <w:sz w:val="22"/>
        </w:rPr>
      </w:pPr>
      <w:r>
        <w:rPr>
          <w:b/>
          <w:i/>
          <w:sz w:val="22"/>
        </w:rPr>
        <w:t>Лиознов Дмитрий Анатольевич </w:t>
      </w:r>
      <w:r>
        <w:rPr>
          <w:b/>
          <w:sz w:val="22"/>
        </w:rPr>
        <w:t>– </w:t>
      </w:r>
      <w:r>
        <w:rPr>
          <w:sz w:val="22"/>
        </w:rPr>
        <w:t>исполняющий обязанности директора Федерального государственного бюджетного учреждения «Научно-исследовательский институт гриппа им. А.А. Смородинцева» Минздрава России</w:t>
      </w:r>
    </w:p>
    <w:p>
      <w:pPr>
        <w:spacing w:line="276" w:lineRule="auto" w:before="1"/>
        <w:ind w:left="261" w:right="365" w:firstLine="705"/>
        <w:jc w:val="both"/>
        <w:rPr>
          <w:sz w:val="22"/>
        </w:rPr>
      </w:pPr>
      <w:r>
        <w:rPr>
          <w:b/>
          <w:i/>
          <w:sz w:val="22"/>
        </w:rPr>
        <w:t>Лобзин Юрий Владимирович – </w:t>
      </w:r>
      <w:r>
        <w:rPr>
          <w:sz w:val="22"/>
        </w:rPr>
        <w:t>главный внештатный специалист по инфекционным болезням у детей, директор Федерального государственного бюджетного учреждения «Детский научно- клинический центр инфекционных болезней Федерального медико-биологического агентства»</w:t>
      </w:r>
    </w:p>
    <w:p>
      <w:pPr>
        <w:spacing w:line="276" w:lineRule="auto" w:before="1"/>
        <w:ind w:left="261" w:right="362" w:firstLine="705"/>
        <w:jc w:val="both"/>
        <w:rPr>
          <w:sz w:val="22"/>
        </w:rPr>
      </w:pPr>
      <w:r>
        <w:rPr>
          <w:b/>
          <w:i/>
          <w:sz w:val="22"/>
        </w:rPr>
        <w:t>Лукина Галина Викторовна — </w:t>
      </w:r>
      <w:r>
        <w:rPr>
          <w:sz w:val="22"/>
        </w:rPr>
        <w:t>заведующий научно-исследовательским отделом ревматологии, руководитель Московского городского ревматологического центра Государственного бюджетного учреждения здравоохранения «Московский клинический научный центр им. А.С. Логинова» департамента здравоохранения г. Москвы, ведущий научный сотрудник лаборатории изучения коморбидных инфекций и мониторинга безопасности лекарственной терапии Федерального государственного бюджетного научного учреждения «Научно-исследовательский институт ревматологии им. В.А. Насоновой»</w:t>
      </w:r>
    </w:p>
    <w:p>
      <w:pPr>
        <w:spacing w:line="276" w:lineRule="auto" w:before="0"/>
        <w:ind w:left="261" w:right="363" w:firstLine="705"/>
        <w:jc w:val="both"/>
        <w:rPr>
          <w:sz w:val="22"/>
        </w:rPr>
      </w:pPr>
      <w:r>
        <w:rPr>
          <w:b/>
          <w:i/>
          <w:sz w:val="22"/>
        </w:rPr>
        <w:t>Лысенко Марьяна Анатольевна – </w:t>
      </w:r>
      <w:r>
        <w:rPr>
          <w:sz w:val="22"/>
        </w:rPr>
        <w:t>главный врач государственного бюджетного учреждения здравоохранения «Городская клиническая больница №52 Департамента здравоохранения города Москвы»</w:t>
      </w:r>
    </w:p>
    <w:p>
      <w:pPr>
        <w:spacing w:line="276" w:lineRule="auto" w:before="0"/>
        <w:ind w:left="261" w:right="363" w:firstLine="705"/>
        <w:jc w:val="both"/>
        <w:rPr>
          <w:sz w:val="22"/>
        </w:rPr>
      </w:pPr>
      <w:r>
        <w:rPr>
          <w:b/>
          <w:i/>
          <w:sz w:val="22"/>
        </w:rPr>
        <w:t>Мазус Алексей Израилевич </w:t>
      </w:r>
      <w:r>
        <w:rPr>
          <w:sz w:val="22"/>
        </w:rPr>
        <w:t>– главный внештатный специалист по проблемам диагностики и лечения ВИЧ-инфекции Минздрава России и Департамента здравоохранения города Москвы,</w:t>
      </w:r>
    </w:p>
    <w:p>
      <w:pPr>
        <w:spacing w:after="0" w:line="276" w:lineRule="auto"/>
        <w:jc w:val="both"/>
        <w:rPr>
          <w:sz w:val="22"/>
        </w:rPr>
        <w:sectPr>
          <w:pgSz w:w="11920" w:h="16850"/>
          <w:pgMar w:header="0" w:footer="956" w:top="980" w:bottom="1180" w:left="960" w:right="480"/>
        </w:sectPr>
      </w:pPr>
    </w:p>
    <w:p>
      <w:pPr>
        <w:spacing w:line="276" w:lineRule="auto" w:before="62"/>
        <w:ind w:left="261" w:right="366" w:firstLine="0"/>
        <w:jc w:val="both"/>
        <w:rPr>
          <w:sz w:val="22"/>
        </w:rPr>
      </w:pPr>
      <w:r>
        <w:rPr>
          <w:sz w:val="22"/>
        </w:rPr>
        <w:t>руководитель Московского городского центра профилактики и борьбы со СПИДом Департамента здравоохранения города Москвы</w:t>
      </w:r>
    </w:p>
    <w:p>
      <w:pPr>
        <w:spacing w:line="276" w:lineRule="auto" w:before="1"/>
        <w:ind w:left="261" w:right="364" w:firstLine="705"/>
        <w:jc w:val="both"/>
        <w:rPr>
          <w:sz w:val="22"/>
        </w:rPr>
      </w:pPr>
      <w:r>
        <w:rPr>
          <w:b/>
          <w:i/>
          <w:sz w:val="22"/>
        </w:rPr>
        <w:t>Малеев</w:t>
      </w:r>
      <w:r>
        <w:rPr>
          <w:b/>
          <w:i/>
          <w:spacing w:val="-10"/>
          <w:sz w:val="22"/>
        </w:rPr>
        <w:t> </w:t>
      </w:r>
      <w:r>
        <w:rPr>
          <w:b/>
          <w:i/>
          <w:sz w:val="22"/>
        </w:rPr>
        <w:t>Виктор</w:t>
      </w:r>
      <w:r>
        <w:rPr>
          <w:b/>
          <w:i/>
          <w:spacing w:val="-8"/>
          <w:sz w:val="22"/>
        </w:rPr>
        <w:t> </w:t>
      </w:r>
      <w:r>
        <w:rPr>
          <w:b/>
          <w:i/>
          <w:sz w:val="22"/>
        </w:rPr>
        <w:t>Васильевич</w:t>
      </w:r>
      <w:r>
        <w:rPr>
          <w:b/>
          <w:i/>
          <w:spacing w:val="-9"/>
          <w:sz w:val="22"/>
        </w:rPr>
        <w:t> </w:t>
      </w:r>
      <w:r>
        <w:rPr>
          <w:b/>
          <w:sz w:val="22"/>
        </w:rPr>
        <w:t>–</w:t>
      </w:r>
      <w:r>
        <w:rPr>
          <w:b/>
          <w:spacing w:val="-9"/>
          <w:sz w:val="22"/>
        </w:rPr>
        <w:t> </w:t>
      </w:r>
      <w:r>
        <w:rPr>
          <w:sz w:val="22"/>
        </w:rPr>
        <w:t>советник</w:t>
      </w:r>
      <w:r>
        <w:rPr>
          <w:spacing w:val="-9"/>
          <w:sz w:val="22"/>
        </w:rPr>
        <w:t> </w:t>
      </w:r>
      <w:r>
        <w:rPr>
          <w:sz w:val="22"/>
        </w:rPr>
        <w:t>директора</w:t>
      </w:r>
      <w:r>
        <w:rPr>
          <w:spacing w:val="-8"/>
          <w:sz w:val="22"/>
        </w:rPr>
        <w:t> </w:t>
      </w:r>
      <w:r>
        <w:rPr>
          <w:sz w:val="22"/>
        </w:rPr>
        <w:t>по</w:t>
      </w:r>
      <w:r>
        <w:rPr>
          <w:spacing w:val="-8"/>
          <w:sz w:val="22"/>
        </w:rPr>
        <w:t> </w:t>
      </w:r>
      <w:r>
        <w:rPr>
          <w:sz w:val="22"/>
        </w:rPr>
        <w:t>научной</w:t>
      </w:r>
      <w:r>
        <w:rPr>
          <w:spacing w:val="-9"/>
          <w:sz w:val="22"/>
        </w:rPr>
        <w:t> </w:t>
      </w:r>
      <w:r>
        <w:rPr>
          <w:sz w:val="22"/>
        </w:rPr>
        <w:t>работе</w:t>
      </w:r>
      <w:r>
        <w:rPr>
          <w:spacing w:val="-9"/>
          <w:sz w:val="22"/>
        </w:rPr>
        <w:t> </w:t>
      </w:r>
      <w:r>
        <w:rPr>
          <w:sz w:val="22"/>
        </w:rPr>
        <w:t>Федерального</w:t>
      </w:r>
      <w:r>
        <w:rPr>
          <w:spacing w:val="-8"/>
          <w:sz w:val="22"/>
        </w:rPr>
        <w:t> </w:t>
      </w:r>
      <w:r>
        <w:rPr>
          <w:sz w:val="22"/>
        </w:rPr>
        <w:t>бюджетного учреждения науки Центральный научно-исследовательский институт эпидемиологии Федеральной службы по надзору в сфере защиты прав потребителей и благополучия</w:t>
      </w:r>
      <w:r>
        <w:rPr>
          <w:spacing w:val="-10"/>
          <w:sz w:val="22"/>
        </w:rPr>
        <w:t> </w:t>
      </w:r>
      <w:r>
        <w:rPr>
          <w:sz w:val="22"/>
        </w:rPr>
        <w:t>человека</w:t>
      </w:r>
    </w:p>
    <w:p>
      <w:pPr>
        <w:spacing w:line="276" w:lineRule="auto" w:before="0"/>
        <w:ind w:left="260" w:right="361" w:firstLine="705"/>
        <w:jc w:val="both"/>
        <w:rPr>
          <w:sz w:val="22"/>
        </w:rPr>
      </w:pPr>
      <w:r>
        <w:rPr>
          <w:b/>
          <w:i/>
          <w:sz w:val="22"/>
        </w:rPr>
        <w:t>Малинникова Елена Юрьевна – </w:t>
      </w:r>
      <w:r>
        <w:rPr>
          <w:sz w:val="22"/>
        </w:rPr>
        <w:t>заведующая кафедрой вирусологии Федерального государственного бюджетного образовательного учреждения дополнительного профессионального образования «Российская медицинская академия непрерывного профессионального образования» Минздрава России</w:t>
      </w:r>
    </w:p>
    <w:p>
      <w:pPr>
        <w:spacing w:line="276" w:lineRule="auto" w:before="0"/>
        <w:ind w:left="260" w:right="365" w:firstLine="705"/>
        <w:jc w:val="both"/>
        <w:rPr>
          <w:sz w:val="22"/>
        </w:rPr>
      </w:pPr>
      <w:r>
        <w:rPr>
          <w:b/>
          <w:i/>
          <w:sz w:val="22"/>
        </w:rPr>
        <w:t>Мамонова Нина Алексеевна – </w:t>
      </w:r>
      <w:r>
        <w:rPr>
          <w:sz w:val="22"/>
        </w:rPr>
        <w:t>научный сотрудник лаборатории генетических технологий и трансляционных исследований Федерального государственного бюджетного учреждения</w:t>
      </w:r>
    </w:p>
    <w:p>
      <w:pPr>
        <w:spacing w:line="276" w:lineRule="auto" w:before="0"/>
        <w:ind w:left="260" w:right="365" w:firstLine="0"/>
        <w:jc w:val="both"/>
        <w:rPr>
          <w:sz w:val="22"/>
        </w:rPr>
      </w:pPr>
      <w:r>
        <w:rPr>
          <w:sz w:val="22"/>
        </w:rPr>
        <w:t>«Национальный медицинский исследовательский центр фтизиопульмонологии и инфекционных заболеваний» Минздрава России</w:t>
      </w:r>
    </w:p>
    <w:p>
      <w:pPr>
        <w:spacing w:line="276" w:lineRule="auto" w:before="0"/>
        <w:ind w:left="171" w:right="363" w:firstLine="852"/>
        <w:jc w:val="both"/>
        <w:rPr>
          <w:sz w:val="22"/>
        </w:rPr>
      </w:pPr>
      <w:r>
        <w:rPr>
          <w:b/>
          <w:i/>
          <w:sz w:val="22"/>
        </w:rPr>
        <w:t>Мельникова Елена Валентиновна – </w:t>
      </w:r>
      <w:r>
        <w:rPr>
          <w:sz w:val="22"/>
        </w:rPr>
        <w:t>главный внештатный специалист по медицинской реабилитации Минздрава России в Северо-Западном федеральном округе, заместитель главного врача - руководитель регионального сосудистого центра Санкт-петербургского государственного бюджетного учреждения здравоохранения «Городская больница № 26», профессор кафедры физических методов лечения и спортивной медицины факультета послевузовского образования федерального государственного бюджетного образовательного учреждения высшего образования «Первый Санкт- Петербургский государственный медицинский университет имени академика И.П. Павлова»</w:t>
      </w:r>
    </w:p>
    <w:p>
      <w:pPr>
        <w:spacing w:line="276" w:lineRule="auto" w:before="0"/>
        <w:ind w:left="171" w:right="364" w:firstLine="852"/>
        <w:jc w:val="both"/>
        <w:rPr>
          <w:sz w:val="22"/>
        </w:rPr>
      </w:pPr>
      <w:r>
        <w:rPr>
          <w:b/>
          <w:i/>
          <w:sz w:val="22"/>
        </w:rPr>
        <w:t>Митьков Владимир Вячеславович </w:t>
      </w:r>
      <w:r>
        <w:rPr>
          <w:sz w:val="22"/>
        </w:rPr>
        <w:t>– заведующий кафедрой ультразвуковой диагностики Федерального государственного бюджетного образовательного учреждения дополнительного профессионального образования «Российская медицинская академия непрерывного профессионального образования» Минздрава России</w:t>
      </w:r>
    </w:p>
    <w:p>
      <w:pPr>
        <w:spacing w:line="276" w:lineRule="auto" w:before="0"/>
        <w:ind w:left="260" w:right="365" w:firstLine="705"/>
        <w:jc w:val="both"/>
        <w:rPr>
          <w:sz w:val="22"/>
        </w:rPr>
      </w:pPr>
      <w:r>
        <w:rPr>
          <w:b/>
          <w:i/>
          <w:sz w:val="22"/>
        </w:rPr>
        <w:t>Мишина Ирина Евгеньевна – </w:t>
      </w:r>
      <w:r>
        <w:rPr>
          <w:sz w:val="22"/>
        </w:rPr>
        <w:t>проректор по учебной работе, заведующая кафедрой терапии Федерального государственного бюджетного учреждения здравоохранения «Ивановская государственная медицинская академия» Минздрава России</w:t>
      </w:r>
    </w:p>
    <w:p>
      <w:pPr>
        <w:spacing w:line="276" w:lineRule="auto" w:before="0"/>
        <w:ind w:left="260" w:right="364" w:firstLine="705"/>
        <w:jc w:val="both"/>
        <w:rPr>
          <w:sz w:val="22"/>
        </w:rPr>
      </w:pPr>
      <w:r>
        <w:rPr>
          <w:b/>
          <w:i/>
          <w:sz w:val="22"/>
        </w:rPr>
        <w:t>Молчанов Игорь Владимирович – </w:t>
      </w:r>
      <w:r>
        <w:rPr>
          <w:sz w:val="22"/>
        </w:rPr>
        <w:t>главный внештатный специалист Минздрава России по анестезиологии-реаниматологии, заведующий кафедрой анестезиологии и реаниматологии Федерального государственного бюджетного образовательного учреждения дополнительного профессионального образования «Российская медицинская академия непрерывного профессионального образования» Минздрава России</w:t>
      </w:r>
    </w:p>
    <w:p>
      <w:pPr>
        <w:spacing w:line="276" w:lineRule="auto" w:before="0"/>
        <w:ind w:left="260" w:right="362" w:firstLine="705"/>
        <w:jc w:val="both"/>
        <w:rPr>
          <w:sz w:val="22"/>
        </w:rPr>
      </w:pPr>
      <w:r>
        <w:rPr>
          <w:b/>
          <w:i/>
          <w:sz w:val="22"/>
        </w:rPr>
        <w:t>Морозов Дмитрий Анатольевич – </w:t>
      </w:r>
      <w:r>
        <w:rPr>
          <w:sz w:val="22"/>
        </w:rPr>
        <w:t>заведующий кафедрой детской хирургии и урологии- андрологии им. профессора Л.П. Александрова Федерального государственного автономного образовательного</w:t>
      </w:r>
      <w:r>
        <w:rPr>
          <w:spacing w:val="-18"/>
          <w:sz w:val="22"/>
        </w:rPr>
        <w:t> </w:t>
      </w:r>
      <w:r>
        <w:rPr>
          <w:sz w:val="22"/>
        </w:rPr>
        <w:t>учреждения</w:t>
      </w:r>
      <w:r>
        <w:rPr>
          <w:spacing w:val="-18"/>
          <w:sz w:val="22"/>
        </w:rPr>
        <w:t> </w:t>
      </w:r>
      <w:r>
        <w:rPr>
          <w:sz w:val="22"/>
        </w:rPr>
        <w:t>высшего</w:t>
      </w:r>
      <w:r>
        <w:rPr>
          <w:spacing w:val="-18"/>
          <w:sz w:val="22"/>
        </w:rPr>
        <w:t> </w:t>
      </w:r>
      <w:r>
        <w:rPr>
          <w:sz w:val="22"/>
        </w:rPr>
        <w:t>образования</w:t>
      </w:r>
      <w:r>
        <w:rPr>
          <w:spacing w:val="-18"/>
          <w:sz w:val="22"/>
        </w:rPr>
        <w:t> </w:t>
      </w:r>
      <w:r>
        <w:rPr>
          <w:sz w:val="22"/>
        </w:rPr>
        <w:t>Первый</w:t>
      </w:r>
      <w:r>
        <w:rPr>
          <w:spacing w:val="-18"/>
          <w:sz w:val="22"/>
        </w:rPr>
        <w:t> </w:t>
      </w:r>
      <w:r>
        <w:rPr>
          <w:sz w:val="22"/>
        </w:rPr>
        <w:t>Московский</w:t>
      </w:r>
      <w:r>
        <w:rPr>
          <w:spacing w:val="-17"/>
          <w:sz w:val="22"/>
        </w:rPr>
        <w:t> </w:t>
      </w:r>
      <w:r>
        <w:rPr>
          <w:sz w:val="22"/>
        </w:rPr>
        <w:t>государственный</w:t>
      </w:r>
      <w:r>
        <w:rPr>
          <w:spacing w:val="-18"/>
          <w:sz w:val="22"/>
        </w:rPr>
        <w:t> </w:t>
      </w:r>
      <w:r>
        <w:rPr>
          <w:sz w:val="22"/>
        </w:rPr>
        <w:t>медицинский университет имени И.М. Сеченова Минздрава России (Сеченовский</w:t>
      </w:r>
      <w:r>
        <w:rPr>
          <w:spacing w:val="-8"/>
          <w:sz w:val="22"/>
        </w:rPr>
        <w:t> </w:t>
      </w:r>
      <w:r>
        <w:rPr>
          <w:sz w:val="22"/>
        </w:rPr>
        <w:t>Университет)</w:t>
      </w:r>
    </w:p>
    <w:p>
      <w:pPr>
        <w:spacing w:line="276" w:lineRule="auto" w:before="0"/>
        <w:ind w:left="261" w:right="364" w:firstLine="705"/>
        <w:jc w:val="both"/>
        <w:rPr>
          <w:sz w:val="22"/>
        </w:rPr>
      </w:pPr>
      <w:r>
        <w:rPr>
          <w:b/>
          <w:i/>
          <w:sz w:val="22"/>
        </w:rPr>
        <w:t>Морозов Сергей Павлович </w:t>
      </w:r>
      <w:r>
        <w:rPr>
          <w:sz w:val="22"/>
        </w:rPr>
        <w:t>– главный внештатный специалист по лучевой и инструментальной диагностике Минздрава России по Центральному Федеральному округу Российской Федерации, директор государственного бюджетного учреждения здравоохранения «Научно-практический клинический центр диагностики и телемедицинских технологий Департамента здравоохранения Москвы»</w:t>
      </w:r>
    </w:p>
    <w:p>
      <w:pPr>
        <w:spacing w:line="276" w:lineRule="auto" w:before="0"/>
        <w:ind w:left="261" w:right="365" w:firstLine="705"/>
        <w:jc w:val="both"/>
        <w:rPr>
          <w:sz w:val="22"/>
        </w:rPr>
      </w:pPr>
      <w:r>
        <w:rPr>
          <w:b/>
          <w:i/>
          <w:sz w:val="22"/>
        </w:rPr>
        <w:t>Насонов</w:t>
      </w:r>
      <w:r>
        <w:rPr>
          <w:b/>
          <w:i/>
          <w:spacing w:val="-15"/>
          <w:sz w:val="22"/>
        </w:rPr>
        <w:t> </w:t>
      </w:r>
      <w:r>
        <w:rPr>
          <w:b/>
          <w:i/>
          <w:sz w:val="22"/>
        </w:rPr>
        <w:t>Евгений</w:t>
      </w:r>
      <w:r>
        <w:rPr>
          <w:b/>
          <w:i/>
          <w:spacing w:val="-16"/>
          <w:sz w:val="22"/>
        </w:rPr>
        <w:t> </w:t>
      </w:r>
      <w:r>
        <w:rPr>
          <w:b/>
          <w:i/>
          <w:sz w:val="22"/>
        </w:rPr>
        <w:t>Львович</w:t>
      </w:r>
      <w:r>
        <w:rPr>
          <w:b/>
          <w:i/>
          <w:spacing w:val="-16"/>
          <w:sz w:val="22"/>
        </w:rPr>
        <w:t> </w:t>
      </w:r>
      <w:r>
        <w:rPr>
          <w:b/>
          <w:i/>
          <w:sz w:val="22"/>
        </w:rPr>
        <w:t>–</w:t>
      </w:r>
      <w:r>
        <w:rPr>
          <w:b/>
          <w:i/>
          <w:spacing w:val="-15"/>
          <w:sz w:val="22"/>
        </w:rPr>
        <w:t> </w:t>
      </w:r>
      <w:r>
        <w:rPr>
          <w:sz w:val="22"/>
        </w:rPr>
        <w:t>главный</w:t>
      </w:r>
      <w:r>
        <w:rPr>
          <w:spacing w:val="-16"/>
          <w:sz w:val="22"/>
        </w:rPr>
        <w:t> </w:t>
      </w:r>
      <w:r>
        <w:rPr>
          <w:sz w:val="22"/>
        </w:rPr>
        <w:t>внештатный</w:t>
      </w:r>
      <w:r>
        <w:rPr>
          <w:spacing w:val="-17"/>
          <w:sz w:val="22"/>
        </w:rPr>
        <w:t> </w:t>
      </w:r>
      <w:r>
        <w:rPr>
          <w:sz w:val="22"/>
        </w:rPr>
        <w:t>специалист</w:t>
      </w:r>
      <w:r>
        <w:rPr>
          <w:spacing w:val="-16"/>
          <w:sz w:val="22"/>
        </w:rPr>
        <w:t> </w:t>
      </w:r>
      <w:r>
        <w:rPr>
          <w:sz w:val="22"/>
        </w:rPr>
        <w:t>ревматолог,</w:t>
      </w:r>
      <w:r>
        <w:rPr>
          <w:spacing w:val="-15"/>
          <w:sz w:val="22"/>
        </w:rPr>
        <w:t> </w:t>
      </w:r>
      <w:r>
        <w:rPr>
          <w:sz w:val="22"/>
        </w:rPr>
        <w:t>научный</w:t>
      </w:r>
      <w:r>
        <w:rPr>
          <w:spacing w:val="-16"/>
          <w:sz w:val="22"/>
        </w:rPr>
        <w:t> </w:t>
      </w:r>
      <w:r>
        <w:rPr>
          <w:sz w:val="22"/>
        </w:rPr>
        <w:t>руководитель Федерального государственного бюджетного научного учреждения «Научно-исследовательский институт ревматологии им. В.А. Насоновой» Минздрава</w:t>
      </w:r>
      <w:r>
        <w:rPr>
          <w:spacing w:val="-8"/>
          <w:sz w:val="22"/>
        </w:rPr>
        <w:t> </w:t>
      </w:r>
      <w:r>
        <w:rPr>
          <w:sz w:val="22"/>
        </w:rPr>
        <w:t>России</w:t>
      </w:r>
    </w:p>
    <w:p>
      <w:pPr>
        <w:spacing w:line="276" w:lineRule="auto" w:before="0"/>
        <w:ind w:left="261" w:right="363" w:firstLine="705"/>
        <w:jc w:val="both"/>
        <w:rPr>
          <w:sz w:val="22"/>
        </w:rPr>
      </w:pPr>
      <w:r>
        <w:rPr>
          <w:b/>
          <w:i/>
          <w:sz w:val="22"/>
        </w:rPr>
        <w:t>Никитин Игорь Геннадиевич – </w:t>
      </w:r>
      <w:r>
        <w:rPr>
          <w:sz w:val="22"/>
        </w:rPr>
        <w:t>заведующий кафедрой госпитальной терапии №2 лечебного факультета Федерального государственного автономного образовательного учреждения высшего образования  «Российский  национальный   исследовательский   медицинский   университет   имени Н.И. Пирогова», директор Федерального государственного автономного учреждения «Лечебно- реабилитационный центр» Минздрава</w:t>
      </w:r>
      <w:r>
        <w:rPr>
          <w:spacing w:val="-5"/>
          <w:sz w:val="22"/>
        </w:rPr>
        <w:t> </w:t>
      </w:r>
      <w:r>
        <w:rPr>
          <w:sz w:val="22"/>
        </w:rPr>
        <w:t>России</w:t>
      </w:r>
    </w:p>
    <w:p>
      <w:pPr>
        <w:spacing w:after="0" w:line="276" w:lineRule="auto"/>
        <w:jc w:val="both"/>
        <w:rPr>
          <w:sz w:val="22"/>
        </w:rPr>
        <w:sectPr>
          <w:pgSz w:w="11920" w:h="16850"/>
          <w:pgMar w:header="0" w:footer="956" w:top="980" w:bottom="1180" w:left="960" w:right="480"/>
        </w:sectPr>
      </w:pPr>
    </w:p>
    <w:p>
      <w:pPr>
        <w:spacing w:line="276" w:lineRule="auto" w:before="62"/>
        <w:ind w:left="261" w:right="363" w:firstLine="705"/>
        <w:jc w:val="both"/>
        <w:rPr>
          <w:sz w:val="22"/>
        </w:rPr>
      </w:pPr>
      <w:r>
        <w:rPr>
          <w:b/>
          <w:i/>
          <w:sz w:val="22"/>
        </w:rPr>
        <w:t>Никифоров Владимир Владимирович – </w:t>
      </w:r>
      <w:r>
        <w:rPr>
          <w:sz w:val="22"/>
        </w:rPr>
        <w:t>заведующий кафедрой инфекционных болезней и эпидемиологии Федерального государственного автономного образовательного учреждения высшего образования  «Российский  национальный   исследовательский   медицинский   университет   имени Н.И. Пирогова» Минздрава</w:t>
      </w:r>
      <w:r>
        <w:rPr>
          <w:spacing w:val="-6"/>
          <w:sz w:val="22"/>
        </w:rPr>
        <w:t> </w:t>
      </w:r>
      <w:r>
        <w:rPr>
          <w:sz w:val="22"/>
        </w:rPr>
        <w:t>России</w:t>
      </w:r>
    </w:p>
    <w:p>
      <w:pPr>
        <w:spacing w:line="276" w:lineRule="auto" w:before="0"/>
        <w:ind w:left="261" w:right="363" w:firstLine="705"/>
        <w:jc w:val="both"/>
        <w:rPr>
          <w:sz w:val="22"/>
        </w:rPr>
      </w:pPr>
      <w:r>
        <w:rPr>
          <w:b/>
          <w:i/>
          <w:sz w:val="22"/>
        </w:rPr>
        <w:t>Николаева Анастасия Владимировна </w:t>
      </w:r>
      <w:r>
        <w:rPr>
          <w:sz w:val="22"/>
        </w:rPr>
        <w:t>– главный врач Федерального государственного бюджетного учреждения «Национальный медицинский исследовательский центр акушерства, гинекологии и перинатологии имени академика В.И. Кулакова» Минздрава России</w:t>
      </w:r>
    </w:p>
    <w:p>
      <w:pPr>
        <w:spacing w:line="276" w:lineRule="auto" w:before="0"/>
        <w:ind w:left="261" w:right="364" w:firstLine="705"/>
        <w:jc w:val="both"/>
        <w:rPr>
          <w:sz w:val="22"/>
        </w:rPr>
      </w:pPr>
      <w:r>
        <w:rPr>
          <w:b/>
          <w:i/>
          <w:sz w:val="22"/>
        </w:rPr>
        <w:t>Омельяновский Виталий Владимирович </w:t>
      </w:r>
      <w:r>
        <w:rPr>
          <w:sz w:val="22"/>
        </w:rPr>
        <w:t>– генеральный директор Федерального государственного бюджетного учреждения «Центр экспертизы и контроля качества медицинской помощи» Минздрава России</w:t>
      </w:r>
    </w:p>
    <w:p>
      <w:pPr>
        <w:spacing w:line="278" w:lineRule="auto" w:before="0"/>
        <w:ind w:left="261" w:right="364" w:firstLine="760"/>
        <w:jc w:val="both"/>
        <w:rPr>
          <w:sz w:val="22"/>
        </w:rPr>
      </w:pPr>
      <w:r>
        <w:rPr>
          <w:b/>
          <w:i/>
          <w:sz w:val="22"/>
        </w:rPr>
        <w:t>Панченко Елизавета Павловна – </w:t>
      </w:r>
      <w:r>
        <w:rPr>
          <w:sz w:val="22"/>
        </w:rPr>
        <w:t>руководитель отдела клинических проблем атеротромбоза Института кардиологии им. А.Л. Мясникова Федерального государственного бюджетного учреждения</w:t>
      </w:r>
    </w:p>
    <w:p>
      <w:pPr>
        <w:spacing w:line="249" w:lineRule="exact" w:before="0"/>
        <w:ind w:left="261" w:right="0" w:firstLine="0"/>
        <w:jc w:val="both"/>
        <w:rPr>
          <w:sz w:val="22"/>
        </w:rPr>
      </w:pPr>
      <w:r>
        <w:rPr>
          <w:sz w:val="22"/>
        </w:rPr>
        <w:t>«Национальный медицинский исследовательский центр кардиологии» Минздрава России</w:t>
      </w:r>
    </w:p>
    <w:p>
      <w:pPr>
        <w:spacing w:line="276" w:lineRule="auto" w:before="36"/>
        <w:ind w:left="261" w:right="364" w:firstLine="705"/>
        <w:jc w:val="both"/>
        <w:rPr>
          <w:sz w:val="22"/>
        </w:rPr>
      </w:pPr>
      <w:r>
        <w:rPr>
          <w:b/>
          <w:i/>
          <w:sz w:val="22"/>
        </w:rPr>
        <w:t>Панова Анна Евгеньенва </w:t>
      </w:r>
      <w:r>
        <w:rPr>
          <w:sz w:val="22"/>
        </w:rPr>
        <w:t>– заведующая отделением лабораторной диагностикии Федерального государственного бюджетного учреждения «Национальный медицинский исследовательский центр фтизиопульмонологии и инфекционных заболеваний» Минздрава России</w:t>
      </w:r>
    </w:p>
    <w:p>
      <w:pPr>
        <w:spacing w:line="276" w:lineRule="auto" w:before="1"/>
        <w:ind w:left="261" w:right="363" w:firstLine="705"/>
        <w:jc w:val="both"/>
        <w:rPr>
          <w:sz w:val="22"/>
        </w:rPr>
      </w:pPr>
      <w:r>
        <w:rPr>
          <w:b/>
          <w:i/>
          <w:sz w:val="22"/>
        </w:rPr>
        <w:t>Пырегов Алексей Викторович </w:t>
      </w:r>
      <w:r>
        <w:rPr>
          <w:sz w:val="22"/>
        </w:rPr>
        <w:t>– заведующий отделением анестезиологии и реаниматологии Федерального государственного бюджетного учреждения «Национальный медицинский исследовательский центр акушерства, гинекологии и перинатологии имени академика В.И. Кулакова» Минздрава России</w:t>
      </w:r>
    </w:p>
    <w:p>
      <w:pPr>
        <w:spacing w:line="276" w:lineRule="auto" w:before="0"/>
        <w:ind w:left="261" w:right="364" w:firstLine="705"/>
        <w:jc w:val="both"/>
        <w:rPr>
          <w:sz w:val="22"/>
        </w:rPr>
      </w:pPr>
      <w:r>
        <w:rPr>
          <w:b/>
          <w:i/>
          <w:sz w:val="22"/>
        </w:rPr>
        <w:t>Петрова Марина Владимировна </w:t>
      </w:r>
      <w:r>
        <w:rPr>
          <w:sz w:val="22"/>
        </w:rPr>
        <w:t>– заместитель директора по научно-клинической деятельности Федерального государственного бюджетного научного учреждения «Федеральный научно-клинический центр реаниматологии и реабилитологии»</w:t>
      </w:r>
    </w:p>
    <w:p>
      <w:pPr>
        <w:spacing w:line="276" w:lineRule="auto" w:before="0"/>
        <w:ind w:left="261" w:right="361" w:firstLine="705"/>
        <w:jc w:val="both"/>
        <w:rPr>
          <w:sz w:val="22"/>
        </w:rPr>
      </w:pPr>
      <w:r>
        <w:rPr>
          <w:b/>
          <w:i/>
          <w:sz w:val="22"/>
        </w:rPr>
        <w:t>Пименов Николай Николаевич – </w:t>
      </w:r>
      <w:r>
        <w:rPr>
          <w:sz w:val="22"/>
        </w:rPr>
        <w:t>заведующий лабораторией эпидемиологии инфекционных болезней Федерального государственного бюджетного учреждения «Национальный медицинский исследовательский центр фтизиопульмонологии и инфекционных заболеваний» Минздрава России</w:t>
      </w:r>
    </w:p>
    <w:p>
      <w:pPr>
        <w:spacing w:line="276" w:lineRule="auto" w:before="0"/>
        <w:ind w:left="261" w:right="365" w:firstLine="705"/>
        <w:jc w:val="both"/>
        <w:rPr>
          <w:sz w:val="22"/>
        </w:rPr>
      </w:pPr>
      <w:r>
        <w:rPr>
          <w:b/>
          <w:i/>
          <w:sz w:val="22"/>
        </w:rPr>
        <w:t>Плоскирева Антонина Александровна </w:t>
      </w:r>
      <w:r>
        <w:rPr>
          <w:sz w:val="22"/>
        </w:rPr>
        <w:t>– заместитель директора по клинической работе Федерального бюджетного учреждения науки Центральный научно- исследовательский институт эпидемиологии Федеральной службы по надзору в сфере защиты прав потребителей и благополучия человека</w:t>
      </w:r>
    </w:p>
    <w:p>
      <w:pPr>
        <w:spacing w:line="276" w:lineRule="auto" w:before="0"/>
        <w:ind w:left="261" w:right="362" w:firstLine="705"/>
        <w:jc w:val="both"/>
        <w:rPr>
          <w:sz w:val="22"/>
        </w:rPr>
      </w:pPr>
      <w:r>
        <w:rPr>
          <w:b/>
          <w:i/>
          <w:sz w:val="22"/>
        </w:rPr>
        <w:t>Потекаев Николай Николаевич – </w:t>
      </w:r>
      <w:r>
        <w:rPr>
          <w:sz w:val="22"/>
        </w:rPr>
        <w:t>главный внештатный специалист по дерматовенерологии      и косметологии Минздрава России и Департамента здравоохранения Москвы, директор Государственного бюджетного учреждение здравоохранения «Московский научно-практический центр дерматовенерологии и косметологии Департамента здравоохранения города Москвы», заведующий кафедрой кожных болезней и косметологии Факультета дополнительного профессионального образования Федерального государственного автономного образовательного учреждения высшего образования  «Российский  национальный   исследовательский   медицинский   университет   имени Н.И. Пирогова» Минздрава</w:t>
      </w:r>
      <w:r>
        <w:rPr>
          <w:spacing w:val="-6"/>
          <w:sz w:val="22"/>
        </w:rPr>
        <w:t> </w:t>
      </w:r>
      <w:r>
        <w:rPr>
          <w:sz w:val="22"/>
        </w:rPr>
        <w:t>России</w:t>
      </w:r>
    </w:p>
    <w:p>
      <w:pPr>
        <w:spacing w:line="276" w:lineRule="auto" w:before="0"/>
        <w:ind w:left="261" w:right="362" w:firstLine="705"/>
        <w:jc w:val="both"/>
        <w:rPr>
          <w:sz w:val="22"/>
        </w:rPr>
      </w:pPr>
      <w:r>
        <w:rPr>
          <w:b/>
          <w:i/>
          <w:sz w:val="22"/>
        </w:rPr>
        <w:t>Проценко Денис Николаевич - </w:t>
      </w:r>
      <w:r>
        <w:rPr>
          <w:sz w:val="22"/>
        </w:rPr>
        <w:t>главный внештатный специалист по анестезиологии- реаниматологии Департамента здравоохранения города Москвы, Главный врач ГБУЗ Городская клиническая больница № 40 ДЗМ, доцент кафедры анестезиологии и реаниматологии Федерального государственного автономного образовательного учреждения высшего образования «Российский национальный исследовательский медицинский университет имени Н.И. Пирогова» Минздрава России</w:t>
      </w:r>
    </w:p>
    <w:p>
      <w:pPr>
        <w:spacing w:line="276" w:lineRule="auto" w:before="0"/>
        <w:ind w:left="261" w:right="365" w:firstLine="705"/>
        <w:jc w:val="both"/>
        <w:rPr>
          <w:sz w:val="22"/>
        </w:rPr>
      </w:pPr>
      <w:r>
        <w:rPr>
          <w:b/>
          <w:i/>
          <w:sz w:val="22"/>
        </w:rPr>
        <w:t>Пушкарь Дмитрий Юрьевич – </w:t>
      </w:r>
      <w:r>
        <w:rPr>
          <w:sz w:val="22"/>
        </w:rPr>
        <w:t>главный внештатный уролог Минздрава России, главный уролог Департамента здравоохранения города Москвы, заведующий кафедрой урологии Московского государственного медико-стоматологического университета им. А.И. Евдокимова</w:t>
      </w:r>
    </w:p>
    <w:p>
      <w:pPr>
        <w:spacing w:line="276" w:lineRule="auto" w:before="0"/>
        <w:ind w:left="261" w:right="364" w:firstLine="705"/>
        <w:jc w:val="both"/>
        <w:rPr>
          <w:sz w:val="22"/>
        </w:rPr>
      </w:pPr>
      <w:r>
        <w:rPr>
          <w:b/>
          <w:i/>
          <w:sz w:val="22"/>
        </w:rPr>
        <w:t>Пшеничная Наталья Юрьевна – </w:t>
      </w:r>
      <w:r>
        <w:rPr>
          <w:sz w:val="22"/>
        </w:rPr>
        <w:t>заместитель директора по клинико-аналитической работе Федерального бюджетного учреждения науки Центральный научно- исследовательский институт эпидемиологии Федеральной службы по надзору в сфере защиты прав потребителей и благополучия человека</w:t>
      </w:r>
    </w:p>
    <w:p>
      <w:pPr>
        <w:spacing w:after="0" w:line="276" w:lineRule="auto"/>
        <w:jc w:val="both"/>
        <w:rPr>
          <w:sz w:val="22"/>
        </w:rPr>
        <w:sectPr>
          <w:pgSz w:w="11920" w:h="16850"/>
          <w:pgMar w:header="0" w:footer="956" w:top="980" w:bottom="1180" w:left="960" w:right="480"/>
        </w:sectPr>
      </w:pPr>
    </w:p>
    <w:p>
      <w:pPr>
        <w:spacing w:line="276" w:lineRule="auto" w:before="62"/>
        <w:ind w:left="261" w:right="365" w:firstLine="705"/>
        <w:jc w:val="both"/>
        <w:rPr>
          <w:sz w:val="22"/>
        </w:rPr>
      </w:pPr>
      <w:r>
        <w:rPr>
          <w:b/>
          <w:i/>
          <w:sz w:val="22"/>
        </w:rPr>
        <w:t>Ревишвили Амиран Шотаевич – </w:t>
      </w:r>
      <w:r>
        <w:rPr>
          <w:sz w:val="22"/>
        </w:rPr>
        <w:t>главный внештатный хирург Минздрава России, директор Федерального государственного бюджетного учреждения «Национальный медицинский исследовательский центр хирургии им. А.В. Вишневского» Минздрава России</w:t>
      </w:r>
    </w:p>
    <w:p>
      <w:pPr>
        <w:spacing w:line="276" w:lineRule="auto" w:before="0"/>
        <w:ind w:left="261" w:right="363" w:firstLine="705"/>
        <w:jc w:val="both"/>
        <w:rPr>
          <w:sz w:val="22"/>
        </w:rPr>
      </w:pPr>
      <w:r>
        <w:rPr>
          <w:b/>
          <w:i/>
          <w:sz w:val="22"/>
        </w:rPr>
        <w:t>Родин Александр Анатольевич – </w:t>
      </w:r>
      <w:r>
        <w:rPr>
          <w:sz w:val="22"/>
        </w:rPr>
        <w:t>заведующий отделением лучевой диагностики Федерального государственного бюджетного учреждения «Национальный медицинский исследовательский центр фтизиопульмонологии и инфекционных заболеваний» Минздрава России</w:t>
      </w:r>
    </w:p>
    <w:p>
      <w:pPr>
        <w:spacing w:line="278" w:lineRule="auto" w:before="0"/>
        <w:ind w:left="261" w:right="363" w:firstLine="705"/>
        <w:jc w:val="both"/>
        <w:rPr>
          <w:sz w:val="22"/>
        </w:rPr>
      </w:pPr>
      <w:r>
        <w:rPr>
          <w:b/>
          <w:i/>
          <w:sz w:val="22"/>
        </w:rPr>
        <w:t>Романов Владимир Васильевич </w:t>
      </w:r>
      <w:r>
        <w:rPr>
          <w:b/>
          <w:sz w:val="22"/>
        </w:rPr>
        <w:t>– </w:t>
      </w:r>
      <w:r>
        <w:rPr>
          <w:sz w:val="22"/>
        </w:rPr>
        <w:t>заместитель руководителя Федерального медико- биологического агентства</w:t>
      </w:r>
    </w:p>
    <w:p>
      <w:pPr>
        <w:spacing w:line="276" w:lineRule="auto" w:before="0"/>
        <w:ind w:left="261" w:right="365" w:firstLine="705"/>
        <w:jc w:val="both"/>
        <w:rPr>
          <w:sz w:val="22"/>
        </w:rPr>
      </w:pPr>
      <w:r>
        <w:rPr>
          <w:b/>
          <w:i/>
          <w:sz w:val="22"/>
        </w:rPr>
        <w:t>Рошаль</w:t>
      </w:r>
      <w:r>
        <w:rPr>
          <w:b/>
          <w:i/>
          <w:spacing w:val="-15"/>
          <w:sz w:val="22"/>
        </w:rPr>
        <w:t> </w:t>
      </w:r>
      <w:r>
        <w:rPr>
          <w:b/>
          <w:i/>
          <w:sz w:val="22"/>
        </w:rPr>
        <w:t>Леонид</w:t>
      </w:r>
      <w:r>
        <w:rPr>
          <w:b/>
          <w:i/>
          <w:spacing w:val="-14"/>
          <w:sz w:val="22"/>
        </w:rPr>
        <w:t> </w:t>
      </w:r>
      <w:r>
        <w:rPr>
          <w:b/>
          <w:i/>
          <w:sz w:val="22"/>
        </w:rPr>
        <w:t>Михайлович</w:t>
      </w:r>
      <w:r>
        <w:rPr>
          <w:b/>
          <w:i/>
          <w:spacing w:val="-16"/>
          <w:sz w:val="22"/>
        </w:rPr>
        <w:t> </w:t>
      </w:r>
      <w:r>
        <w:rPr>
          <w:b/>
          <w:i/>
          <w:sz w:val="22"/>
        </w:rPr>
        <w:t>–</w:t>
      </w:r>
      <w:r>
        <w:rPr>
          <w:b/>
          <w:i/>
          <w:spacing w:val="-14"/>
          <w:sz w:val="22"/>
        </w:rPr>
        <w:t> </w:t>
      </w:r>
      <w:r>
        <w:rPr>
          <w:sz w:val="22"/>
        </w:rPr>
        <w:t>Президент</w:t>
      </w:r>
      <w:r>
        <w:rPr>
          <w:spacing w:val="-16"/>
          <w:sz w:val="22"/>
        </w:rPr>
        <w:t> </w:t>
      </w:r>
      <w:r>
        <w:rPr>
          <w:sz w:val="22"/>
        </w:rPr>
        <w:t>ГБУЗ</w:t>
      </w:r>
      <w:r>
        <w:rPr>
          <w:spacing w:val="-14"/>
          <w:sz w:val="22"/>
        </w:rPr>
        <w:t> </w:t>
      </w:r>
      <w:r>
        <w:rPr>
          <w:sz w:val="22"/>
        </w:rPr>
        <w:t>г.</w:t>
      </w:r>
      <w:r>
        <w:rPr>
          <w:spacing w:val="-15"/>
          <w:sz w:val="22"/>
        </w:rPr>
        <w:t> </w:t>
      </w:r>
      <w:r>
        <w:rPr>
          <w:sz w:val="22"/>
        </w:rPr>
        <w:t>Москвы</w:t>
      </w:r>
      <w:r>
        <w:rPr>
          <w:spacing w:val="-12"/>
          <w:sz w:val="22"/>
        </w:rPr>
        <w:t> </w:t>
      </w:r>
      <w:r>
        <w:rPr>
          <w:sz w:val="22"/>
        </w:rPr>
        <w:t>«Научно-исследовательский</w:t>
      </w:r>
      <w:r>
        <w:rPr>
          <w:spacing w:val="-16"/>
          <w:sz w:val="22"/>
        </w:rPr>
        <w:t> </w:t>
      </w:r>
      <w:r>
        <w:rPr>
          <w:sz w:val="22"/>
        </w:rPr>
        <w:t>институт неотложной детской хирургии и травматологии» Департамента здравоохранения г. Москвы; Президент Национальной медицинской</w:t>
      </w:r>
      <w:r>
        <w:rPr>
          <w:spacing w:val="-3"/>
          <w:sz w:val="22"/>
        </w:rPr>
        <w:t> </w:t>
      </w:r>
      <w:r>
        <w:rPr>
          <w:sz w:val="22"/>
        </w:rPr>
        <w:t>палаты.</w:t>
      </w:r>
    </w:p>
    <w:p>
      <w:pPr>
        <w:spacing w:line="276" w:lineRule="auto" w:before="0"/>
        <w:ind w:left="261" w:right="364" w:firstLine="705"/>
        <w:jc w:val="both"/>
        <w:rPr>
          <w:sz w:val="22"/>
        </w:rPr>
      </w:pPr>
      <w:r>
        <w:rPr>
          <w:b/>
          <w:i/>
          <w:sz w:val="22"/>
        </w:rPr>
        <w:t>Русских Анастасия Евгеньевна </w:t>
      </w:r>
      <w:r>
        <w:rPr>
          <w:sz w:val="22"/>
        </w:rPr>
        <w:t>– научный сотрудник отдела дифференциальной диагностики и лечения туберкулеза и сочетанных инфекций Федерального государственного бюджетного учреждения</w:t>
      </w:r>
    </w:p>
    <w:p>
      <w:pPr>
        <w:spacing w:line="276" w:lineRule="auto" w:before="0"/>
        <w:ind w:left="261" w:right="365" w:firstLine="0"/>
        <w:jc w:val="both"/>
        <w:rPr>
          <w:sz w:val="22"/>
        </w:rPr>
      </w:pPr>
      <w:r>
        <w:rPr>
          <w:sz w:val="22"/>
        </w:rPr>
        <w:t>«Национальный медицинский исследовательский центр фтизиопульмонологии и инфекционных заболеваний» Минздрава России</w:t>
      </w:r>
    </w:p>
    <w:p>
      <w:pPr>
        <w:spacing w:line="276" w:lineRule="auto" w:before="0"/>
        <w:ind w:left="261" w:right="363" w:firstLine="705"/>
        <w:jc w:val="both"/>
        <w:rPr>
          <w:sz w:val="22"/>
        </w:rPr>
      </w:pPr>
      <w:r>
        <w:rPr>
          <w:b/>
          <w:i/>
          <w:sz w:val="22"/>
        </w:rPr>
        <w:t>Савченко</w:t>
      </w:r>
      <w:r>
        <w:rPr>
          <w:b/>
          <w:i/>
          <w:spacing w:val="-18"/>
          <w:sz w:val="22"/>
        </w:rPr>
        <w:t> </w:t>
      </w:r>
      <w:r>
        <w:rPr>
          <w:b/>
          <w:i/>
          <w:sz w:val="22"/>
        </w:rPr>
        <w:t>Валерий</w:t>
      </w:r>
      <w:r>
        <w:rPr>
          <w:b/>
          <w:i/>
          <w:spacing w:val="-17"/>
          <w:sz w:val="22"/>
        </w:rPr>
        <w:t> </w:t>
      </w:r>
      <w:r>
        <w:rPr>
          <w:b/>
          <w:i/>
          <w:sz w:val="22"/>
        </w:rPr>
        <w:t>Григорьевич</w:t>
      </w:r>
      <w:r>
        <w:rPr>
          <w:b/>
          <w:i/>
          <w:spacing w:val="-15"/>
          <w:sz w:val="22"/>
        </w:rPr>
        <w:t> </w:t>
      </w:r>
      <w:r>
        <w:rPr>
          <w:b/>
          <w:i/>
          <w:sz w:val="22"/>
        </w:rPr>
        <w:t>–</w:t>
      </w:r>
      <w:r>
        <w:rPr>
          <w:b/>
          <w:i/>
          <w:spacing w:val="-17"/>
          <w:sz w:val="22"/>
        </w:rPr>
        <w:t> </w:t>
      </w:r>
      <w:r>
        <w:rPr>
          <w:sz w:val="22"/>
        </w:rPr>
        <w:t>главный</w:t>
      </w:r>
      <w:r>
        <w:rPr>
          <w:spacing w:val="-15"/>
          <w:sz w:val="22"/>
        </w:rPr>
        <w:t> </w:t>
      </w:r>
      <w:r>
        <w:rPr>
          <w:sz w:val="22"/>
        </w:rPr>
        <w:t>внештатный</w:t>
      </w:r>
      <w:r>
        <w:rPr>
          <w:spacing w:val="-16"/>
          <w:sz w:val="22"/>
        </w:rPr>
        <w:t> </w:t>
      </w:r>
      <w:r>
        <w:rPr>
          <w:sz w:val="22"/>
        </w:rPr>
        <w:t>специалист</w:t>
      </w:r>
      <w:r>
        <w:rPr>
          <w:spacing w:val="-17"/>
          <w:sz w:val="22"/>
        </w:rPr>
        <w:t> </w:t>
      </w:r>
      <w:r>
        <w:rPr>
          <w:sz w:val="22"/>
        </w:rPr>
        <w:t>гематолог</w:t>
      </w:r>
      <w:r>
        <w:rPr>
          <w:spacing w:val="-14"/>
          <w:sz w:val="22"/>
        </w:rPr>
        <w:t> </w:t>
      </w:r>
      <w:r>
        <w:rPr>
          <w:sz w:val="22"/>
        </w:rPr>
        <w:t>Минздрава</w:t>
      </w:r>
      <w:r>
        <w:rPr>
          <w:spacing w:val="-14"/>
          <w:sz w:val="22"/>
        </w:rPr>
        <w:t> </w:t>
      </w:r>
      <w:r>
        <w:rPr>
          <w:sz w:val="22"/>
        </w:rPr>
        <w:t>России, генеральный директор Федерального государственного бюджетного учреждения «Национальный медицинский исследовательский центр гематологии» Минздрава</w:t>
      </w:r>
      <w:r>
        <w:rPr>
          <w:spacing w:val="-11"/>
          <w:sz w:val="22"/>
        </w:rPr>
        <w:t> </w:t>
      </w:r>
      <w:r>
        <w:rPr>
          <w:sz w:val="22"/>
        </w:rPr>
        <w:t>России</w:t>
      </w:r>
    </w:p>
    <w:p>
      <w:pPr>
        <w:spacing w:line="276" w:lineRule="auto" w:before="0"/>
        <w:ind w:left="261" w:right="364" w:firstLine="705"/>
        <w:jc w:val="both"/>
        <w:rPr>
          <w:sz w:val="22"/>
        </w:rPr>
      </w:pPr>
      <w:r>
        <w:rPr>
          <w:b/>
          <w:i/>
          <w:sz w:val="22"/>
        </w:rPr>
        <w:t>Самойлова Анастасия Геннадьевна </w:t>
      </w:r>
      <w:r>
        <w:rPr>
          <w:sz w:val="22"/>
        </w:rPr>
        <w:t>– первый заместитель директора Федерального государственного бюджетного учреждения «Национальный медицинский исследовательский центр фтизиопульмонологии и инфекционных заболеваний» Минздрава России</w:t>
      </w:r>
    </w:p>
    <w:p>
      <w:pPr>
        <w:spacing w:line="276" w:lineRule="auto" w:before="0"/>
        <w:ind w:left="172" w:right="363" w:firstLine="852"/>
        <w:jc w:val="both"/>
        <w:rPr>
          <w:sz w:val="22"/>
        </w:rPr>
      </w:pPr>
      <w:r>
        <w:rPr>
          <w:b/>
          <w:i/>
          <w:sz w:val="22"/>
        </w:rPr>
        <w:t>Синицын Валентин Евгеньевич </w:t>
      </w:r>
      <w:r>
        <w:rPr>
          <w:sz w:val="22"/>
        </w:rPr>
        <w:t>– заведующий курсом лучевой диагностики и лучевой терапии факультета   фундаментальной   медицины   Московского   государственного   университета   имени М.В. Ломоносова, профессор кафедры рентгенологии и радиологии Федерального государственного бюджетного образовательного учреждения дополнительного профессионального</w:t>
      </w:r>
      <w:r>
        <w:rPr>
          <w:spacing w:val="41"/>
          <w:sz w:val="22"/>
        </w:rPr>
        <w:t> </w:t>
      </w:r>
      <w:r>
        <w:rPr>
          <w:sz w:val="22"/>
        </w:rPr>
        <w:t>образования</w:t>
      </w:r>
    </w:p>
    <w:p>
      <w:pPr>
        <w:spacing w:before="0"/>
        <w:ind w:left="172" w:right="0" w:firstLine="0"/>
        <w:jc w:val="both"/>
        <w:rPr>
          <w:sz w:val="22"/>
        </w:rPr>
      </w:pPr>
      <w:r>
        <w:rPr>
          <w:sz w:val="22"/>
        </w:rPr>
        <w:t>«Российская медицинская академия непрерывного профессионального образования» Минздрава России</w:t>
      </w:r>
    </w:p>
    <w:p>
      <w:pPr>
        <w:spacing w:line="276" w:lineRule="auto" w:before="32"/>
        <w:ind w:left="261" w:right="363" w:firstLine="705"/>
        <w:jc w:val="both"/>
        <w:rPr>
          <w:sz w:val="22"/>
        </w:rPr>
      </w:pPr>
      <w:r>
        <w:rPr>
          <w:b/>
          <w:i/>
          <w:sz w:val="22"/>
        </w:rPr>
        <w:t>Степаненко Сергей Михайлович </w:t>
      </w:r>
      <w:r>
        <w:rPr>
          <w:b/>
          <w:sz w:val="22"/>
        </w:rPr>
        <w:t>– </w:t>
      </w:r>
      <w:r>
        <w:rPr>
          <w:sz w:val="22"/>
        </w:rPr>
        <w:t>главный внештатный детский специалист анестезиолог- реаниматолог, профессор кафедры детской хирургии педиатрического факультета Федерального государственного автономного образовательного учреждения высшего образования «Российский национальный исследовательский медицинский имени Н.И. Пирогова» Минздрава России</w:t>
      </w:r>
    </w:p>
    <w:p>
      <w:pPr>
        <w:spacing w:line="276" w:lineRule="auto" w:before="0"/>
        <w:ind w:left="261" w:right="364" w:firstLine="705"/>
        <w:jc w:val="both"/>
        <w:rPr>
          <w:sz w:val="22"/>
        </w:rPr>
      </w:pPr>
      <w:r>
        <w:rPr>
          <w:b/>
          <w:i/>
          <w:sz w:val="22"/>
        </w:rPr>
        <w:t>Суранова</w:t>
      </w:r>
      <w:r>
        <w:rPr>
          <w:b/>
          <w:i/>
          <w:spacing w:val="-15"/>
          <w:sz w:val="22"/>
        </w:rPr>
        <w:t> </w:t>
      </w:r>
      <w:r>
        <w:rPr>
          <w:b/>
          <w:i/>
          <w:sz w:val="22"/>
        </w:rPr>
        <w:t>Татьяна</w:t>
      </w:r>
      <w:r>
        <w:rPr>
          <w:b/>
          <w:i/>
          <w:spacing w:val="-19"/>
          <w:sz w:val="22"/>
        </w:rPr>
        <w:t> </w:t>
      </w:r>
      <w:r>
        <w:rPr>
          <w:b/>
          <w:i/>
          <w:sz w:val="22"/>
        </w:rPr>
        <w:t>Григорьевна</w:t>
      </w:r>
      <w:r>
        <w:rPr>
          <w:b/>
          <w:i/>
          <w:spacing w:val="-17"/>
          <w:sz w:val="22"/>
        </w:rPr>
        <w:t> </w:t>
      </w:r>
      <w:r>
        <w:rPr>
          <w:sz w:val="22"/>
        </w:rPr>
        <w:t>–</w:t>
      </w:r>
      <w:r>
        <w:rPr>
          <w:spacing w:val="-15"/>
          <w:sz w:val="22"/>
        </w:rPr>
        <w:t> </w:t>
      </w:r>
      <w:r>
        <w:rPr>
          <w:sz w:val="22"/>
        </w:rPr>
        <w:t>заместитель</w:t>
      </w:r>
      <w:r>
        <w:rPr>
          <w:spacing w:val="-17"/>
          <w:sz w:val="22"/>
        </w:rPr>
        <w:t> </w:t>
      </w:r>
      <w:r>
        <w:rPr>
          <w:sz w:val="22"/>
        </w:rPr>
        <w:t>начальника</w:t>
      </w:r>
      <w:r>
        <w:rPr>
          <w:spacing w:val="-16"/>
          <w:sz w:val="22"/>
        </w:rPr>
        <w:t> </w:t>
      </w:r>
      <w:r>
        <w:rPr>
          <w:sz w:val="22"/>
        </w:rPr>
        <w:t>управления</w:t>
      </w:r>
      <w:r>
        <w:rPr>
          <w:spacing w:val="-16"/>
          <w:sz w:val="22"/>
        </w:rPr>
        <w:t> </w:t>
      </w:r>
      <w:r>
        <w:rPr>
          <w:sz w:val="22"/>
        </w:rPr>
        <w:t>организации</w:t>
      </w:r>
      <w:r>
        <w:rPr>
          <w:spacing w:val="-15"/>
          <w:sz w:val="22"/>
        </w:rPr>
        <w:t> </w:t>
      </w:r>
      <w:r>
        <w:rPr>
          <w:sz w:val="22"/>
        </w:rPr>
        <w:t>медицинской защиты населения от экстремальных факторов Штаба ВСМК Федерального государственного бюджетного учреждения «Всероссийский центр медицины катастроф «Защита»» ФМБА</w:t>
      </w:r>
      <w:r>
        <w:rPr>
          <w:spacing w:val="-21"/>
          <w:sz w:val="22"/>
        </w:rPr>
        <w:t> </w:t>
      </w:r>
      <w:r>
        <w:rPr>
          <w:sz w:val="22"/>
        </w:rPr>
        <w:t>России</w:t>
      </w:r>
    </w:p>
    <w:p>
      <w:pPr>
        <w:spacing w:line="276" w:lineRule="auto" w:before="0"/>
        <w:ind w:left="172" w:right="363" w:firstLine="760"/>
        <w:jc w:val="both"/>
        <w:rPr>
          <w:sz w:val="22"/>
        </w:rPr>
      </w:pPr>
      <w:r>
        <w:rPr>
          <w:b/>
          <w:i/>
          <w:sz w:val="22"/>
        </w:rPr>
        <w:t>Сухоруких Ольга Александровна </w:t>
      </w:r>
      <w:r>
        <w:rPr>
          <w:sz w:val="22"/>
        </w:rPr>
        <w:t>– начальник отдела медицинского обеспечения стандартизации Федерального государственного бюджетного учреждения «Центр экспертизы и контроля качества медицинской помощи» Минздрава России</w:t>
      </w:r>
    </w:p>
    <w:p>
      <w:pPr>
        <w:spacing w:line="276" w:lineRule="auto" w:before="0"/>
        <w:ind w:left="261" w:right="363" w:firstLine="705"/>
        <w:jc w:val="both"/>
        <w:rPr>
          <w:sz w:val="22"/>
        </w:rPr>
      </w:pPr>
      <w:r>
        <w:rPr>
          <w:b/>
          <w:i/>
          <w:sz w:val="22"/>
        </w:rPr>
        <w:t>Сычев Дмитрий Алексеевич </w:t>
      </w:r>
      <w:r>
        <w:rPr>
          <w:sz w:val="22"/>
        </w:rPr>
        <w:t>– заведующий кафедрой клинической фармакологии и терапии имени академика Б.Е. Вотчала ФГБОУ ДПО «Российская медицинская академия непрерывного профессионального образования» Минздрава России</w:t>
      </w:r>
    </w:p>
    <w:p>
      <w:pPr>
        <w:spacing w:line="276" w:lineRule="auto" w:before="0"/>
        <w:ind w:left="261" w:right="363" w:firstLine="705"/>
        <w:jc w:val="both"/>
        <w:rPr>
          <w:sz w:val="22"/>
        </w:rPr>
      </w:pPr>
      <w:r>
        <w:rPr>
          <w:b/>
          <w:i/>
          <w:sz w:val="22"/>
        </w:rPr>
        <w:t>Ткачева Ольга Николаевна – </w:t>
      </w:r>
      <w:r>
        <w:rPr>
          <w:sz w:val="22"/>
        </w:rPr>
        <w:t>главный внештатный специалист гериатр Минздрава России, директор обособленного структурного подразделения «Российский геронтологический научно- клинический центр» Федерального государственного автономного образовательного учреждения высшего   образования   «Российский    национальный    исследовательский    медицинский    имени Н.И. Пирогова» Минздрава</w:t>
      </w:r>
      <w:r>
        <w:rPr>
          <w:spacing w:val="-6"/>
          <w:sz w:val="22"/>
        </w:rPr>
        <w:t> </w:t>
      </w:r>
      <w:r>
        <w:rPr>
          <w:sz w:val="22"/>
        </w:rPr>
        <w:t>России</w:t>
      </w:r>
    </w:p>
    <w:p>
      <w:pPr>
        <w:spacing w:line="276" w:lineRule="auto" w:before="0"/>
        <w:ind w:left="261" w:right="365" w:firstLine="705"/>
        <w:jc w:val="both"/>
        <w:rPr>
          <w:sz w:val="22"/>
        </w:rPr>
      </w:pPr>
      <w:r>
        <w:rPr>
          <w:b/>
          <w:i/>
          <w:sz w:val="22"/>
        </w:rPr>
        <w:t>Трагира Ирина Николаевна – </w:t>
      </w:r>
      <w:r>
        <w:rPr>
          <w:sz w:val="22"/>
        </w:rPr>
        <w:t>руководитель центра инфекционных болезней Федерального государственного бюджетного учреждения «Национальный медицинский исследовательский центр фтизиопульмонологии и инфекционных заболеваний» Минздрава России</w:t>
      </w:r>
    </w:p>
    <w:p>
      <w:pPr>
        <w:spacing w:line="278" w:lineRule="auto" w:before="0"/>
        <w:ind w:left="172" w:right="364" w:firstLine="852"/>
        <w:jc w:val="both"/>
        <w:rPr>
          <w:sz w:val="22"/>
        </w:rPr>
      </w:pPr>
      <w:r>
        <w:rPr>
          <w:b/>
          <w:i/>
          <w:sz w:val="22"/>
        </w:rPr>
        <w:t>Тюрин Игорь Евгеньевич </w:t>
      </w:r>
      <w:r>
        <w:rPr>
          <w:sz w:val="22"/>
        </w:rPr>
        <w:t>- главный внештатный специалист по лучевой и инструментальной диагностике, заведующий кафедрой рентгенологии и радиологии Федерального государственного</w:t>
      </w:r>
    </w:p>
    <w:p>
      <w:pPr>
        <w:spacing w:after="0" w:line="278" w:lineRule="auto"/>
        <w:jc w:val="both"/>
        <w:rPr>
          <w:sz w:val="22"/>
        </w:rPr>
        <w:sectPr>
          <w:pgSz w:w="11920" w:h="16850"/>
          <w:pgMar w:header="0" w:footer="956" w:top="980" w:bottom="1180" w:left="960" w:right="480"/>
        </w:sectPr>
      </w:pPr>
    </w:p>
    <w:p>
      <w:pPr>
        <w:spacing w:before="62"/>
        <w:ind w:left="172" w:right="0" w:firstLine="0"/>
        <w:jc w:val="both"/>
        <w:rPr>
          <w:sz w:val="22"/>
        </w:rPr>
      </w:pPr>
      <w:r>
        <w:rPr>
          <w:sz w:val="22"/>
        </w:rPr>
        <w:t>бюджетного образовательного учреждения дополнительного профессионального образования</w:t>
      </w:r>
    </w:p>
    <w:p>
      <w:pPr>
        <w:spacing w:before="37"/>
        <w:ind w:left="172" w:right="0" w:firstLine="0"/>
        <w:jc w:val="both"/>
        <w:rPr>
          <w:sz w:val="22"/>
        </w:rPr>
      </w:pPr>
      <w:r>
        <w:rPr>
          <w:sz w:val="22"/>
        </w:rPr>
        <w:t>«Российская медицинская академия непрерывного профессионального образования» Минздрава России</w:t>
      </w:r>
    </w:p>
    <w:p>
      <w:pPr>
        <w:spacing w:line="276" w:lineRule="auto" w:before="40"/>
        <w:ind w:left="261" w:right="362" w:firstLine="705"/>
        <w:jc w:val="both"/>
        <w:rPr>
          <w:sz w:val="22"/>
        </w:rPr>
      </w:pPr>
      <w:r>
        <w:rPr>
          <w:b/>
          <w:i/>
          <w:sz w:val="22"/>
        </w:rPr>
        <w:t>Уртиков Александр Валерьевич – </w:t>
      </w:r>
      <w:r>
        <w:rPr>
          <w:sz w:val="22"/>
        </w:rPr>
        <w:t>научный сотрудник лаборатории эпидемиологии инфекционных болезней Федерального государственного бюджетного учреждения «Национальный медицинский исследовательский центр фтизиопульмонологии и инфекционных заболеваний» Минздрава России</w:t>
      </w:r>
    </w:p>
    <w:p>
      <w:pPr>
        <w:spacing w:line="278" w:lineRule="auto" w:before="0"/>
        <w:ind w:left="261" w:right="362" w:firstLine="705"/>
        <w:jc w:val="both"/>
        <w:rPr>
          <w:sz w:val="22"/>
        </w:rPr>
      </w:pPr>
      <w:r>
        <w:rPr>
          <w:b/>
          <w:i/>
          <w:sz w:val="22"/>
        </w:rPr>
        <w:t>Усков Александр Николаевич </w:t>
      </w:r>
      <w:r>
        <w:rPr>
          <w:sz w:val="22"/>
        </w:rPr>
        <w:t>– главный внештатный специалист по инфекционным болезням у детей ФМБА России, заместитель директора Федерального государственного бюджетного учреждения</w:t>
      </w:r>
    </w:p>
    <w:p>
      <w:pPr>
        <w:spacing w:line="276" w:lineRule="auto" w:before="0"/>
        <w:ind w:left="261" w:right="367" w:firstLine="0"/>
        <w:jc w:val="both"/>
        <w:rPr>
          <w:sz w:val="22"/>
        </w:rPr>
      </w:pPr>
      <w:r>
        <w:rPr>
          <w:sz w:val="22"/>
        </w:rPr>
        <w:t>«Детский научно-клинический центр инфекционных болезней Федерального медико-биологического агентства»</w:t>
      </w:r>
    </w:p>
    <w:p>
      <w:pPr>
        <w:spacing w:line="276" w:lineRule="auto" w:before="0"/>
        <w:ind w:left="261" w:right="364" w:firstLine="705"/>
        <w:jc w:val="both"/>
        <w:rPr>
          <w:sz w:val="22"/>
        </w:rPr>
      </w:pPr>
      <w:r>
        <w:rPr>
          <w:b/>
          <w:i/>
          <w:sz w:val="22"/>
        </w:rPr>
        <w:t>Фомичева Анастасия Александровна – </w:t>
      </w:r>
      <w:r>
        <w:rPr>
          <w:sz w:val="22"/>
        </w:rPr>
        <w:t>врач-эпидемиолог центра инфекционных болезней, младший научный сотрудник лаборатории эпидемиологии инфекционных болезней Федерального государственного бюджетного учреждения «Национальный медицинский исследовательский центр фтизиопульмонологии и инфекционных заболеваний» Минздрава России</w:t>
      </w:r>
    </w:p>
    <w:p>
      <w:pPr>
        <w:spacing w:line="276" w:lineRule="auto" w:before="0"/>
        <w:ind w:left="261" w:right="365" w:firstLine="705"/>
        <w:jc w:val="both"/>
        <w:rPr>
          <w:sz w:val="22"/>
        </w:rPr>
      </w:pPr>
      <w:r>
        <w:rPr>
          <w:b/>
          <w:i/>
          <w:sz w:val="22"/>
        </w:rPr>
        <w:t>Фомина Дарья Сергеевна </w:t>
      </w:r>
      <w:r>
        <w:rPr>
          <w:sz w:val="22"/>
        </w:rPr>
        <w:t>– главный внештатный аллерголог-иммунолог Департамента здравоохранения города Москвы, руководитель Центра аллергологии и иммунологии Государственного бюджетного учреждения здравоохранения города Москвы «Городская клиническая больница № 52 Департамента здравоохранения города Москвы»</w:t>
      </w:r>
    </w:p>
    <w:p>
      <w:pPr>
        <w:spacing w:line="276" w:lineRule="auto" w:before="0"/>
        <w:ind w:left="261" w:right="363" w:firstLine="705"/>
        <w:jc w:val="both"/>
        <w:rPr>
          <w:sz w:val="22"/>
        </w:rPr>
      </w:pPr>
      <w:r>
        <w:rPr>
          <w:b/>
          <w:i/>
          <w:sz w:val="22"/>
        </w:rPr>
        <w:t>Франк Георгий Авраамович – </w:t>
      </w:r>
      <w:r>
        <w:rPr>
          <w:sz w:val="22"/>
        </w:rPr>
        <w:t>главный патологоанатом Минздрава России, заведующий кафедрой патологической анатомии Федерального государственного бюджетного образовательного учреждения дополнительного профессионального образования «Российская медицинская академия непрерывного профессионального образования» Минздрава России</w:t>
      </w:r>
    </w:p>
    <w:p>
      <w:pPr>
        <w:spacing w:line="276" w:lineRule="auto" w:before="0"/>
        <w:ind w:left="261" w:right="362" w:firstLine="705"/>
        <w:jc w:val="both"/>
        <w:rPr>
          <w:sz w:val="22"/>
        </w:rPr>
      </w:pPr>
      <w:r>
        <w:rPr>
          <w:b/>
          <w:i/>
          <w:sz w:val="22"/>
        </w:rPr>
        <w:t>Царенко Сергей Василевич – </w:t>
      </w:r>
      <w:r>
        <w:rPr>
          <w:sz w:val="22"/>
        </w:rPr>
        <w:t>заместитель главного врача по анестезиологии и реаниматологии Государственного бюджетного учреждения здравоохранения города Москвы «Городская клиническая больница № 52 Департамента здравоохранения города Москвы»</w:t>
      </w:r>
    </w:p>
    <w:p>
      <w:pPr>
        <w:spacing w:line="276" w:lineRule="auto" w:before="0"/>
        <w:ind w:left="261" w:right="364" w:firstLine="705"/>
        <w:jc w:val="both"/>
        <w:rPr>
          <w:sz w:val="22"/>
        </w:rPr>
      </w:pPr>
      <w:r>
        <w:rPr>
          <w:b/>
          <w:i/>
          <w:sz w:val="22"/>
        </w:rPr>
        <w:t>Цинзерлинг Всеволод Александрович - </w:t>
      </w:r>
      <w:r>
        <w:rPr>
          <w:sz w:val="22"/>
        </w:rPr>
        <w:t>заведующий НИО патоморфологии Федерального государственного бюджетного учреждения «Национальный медицинский исследовательский центр имени В.А. Алмазова» Минздрава России</w:t>
      </w:r>
    </w:p>
    <w:p>
      <w:pPr>
        <w:spacing w:line="276" w:lineRule="auto" w:before="0"/>
        <w:ind w:left="271" w:right="362" w:firstLine="705"/>
        <w:jc w:val="both"/>
        <w:rPr>
          <w:sz w:val="22"/>
        </w:rPr>
      </w:pPr>
      <w:r>
        <w:rPr>
          <w:b/>
          <w:i/>
          <w:sz w:val="22"/>
        </w:rPr>
        <w:t>Цыкунов Михаил Борисович – </w:t>
      </w:r>
      <w:r>
        <w:rPr>
          <w:sz w:val="22"/>
        </w:rPr>
        <w:t>заведующий отделением медицинской реабилитации федерального государственного бюджетного учреждения «Национальный медицинский исследовательский центр травматологии и ортопедии имени Н.Н. Приорова» Министерства здравоохранения Российской Федерации, профессор кафедры медицинской реабилитации факультета дополнительного профессионального образования Федерального государственного автономного образовательного учреждения высшего образования «Российский национальный исследовательский медицинский университет имени Н.И. Пирогова» Минздрава России</w:t>
      </w:r>
    </w:p>
    <w:p>
      <w:pPr>
        <w:spacing w:line="276" w:lineRule="auto" w:before="0"/>
        <w:ind w:left="261" w:right="362" w:firstLine="705"/>
        <w:jc w:val="both"/>
        <w:rPr>
          <w:sz w:val="22"/>
        </w:rPr>
      </w:pPr>
      <w:r>
        <w:rPr>
          <w:b/>
          <w:i/>
          <w:sz w:val="22"/>
        </w:rPr>
        <w:t>Ченцов Владимир Борисович </w:t>
      </w:r>
      <w:r>
        <w:rPr>
          <w:b/>
          <w:sz w:val="22"/>
        </w:rPr>
        <w:t>– </w:t>
      </w:r>
      <w:r>
        <w:rPr>
          <w:sz w:val="22"/>
        </w:rPr>
        <w:t>заведующий отделением реанимации и интенсивной терапии государственного бюджетного учреждения здравоохранения города Москвы «Инфекционная клиническая больница № 2 Департамента здравоохранения города Москвы»</w:t>
      </w:r>
    </w:p>
    <w:p>
      <w:pPr>
        <w:spacing w:line="276" w:lineRule="auto" w:before="0"/>
        <w:ind w:left="261" w:right="365" w:firstLine="705"/>
        <w:jc w:val="both"/>
        <w:rPr>
          <w:sz w:val="22"/>
        </w:rPr>
      </w:pPr>
      <w:r>
        <w:rPr>
          <w:b/>
          <w:i/>
          <w:sz w:val="22"/>
        </w:rPr>
        <w:t>Чуланов Владимир Петрович </w:t>
      </w:r>
      <w:r>
        <w:rPr>
          <w:b/>
          <w:sz w:val="22"/>
        </w:rPr>
        <w:t>– </w:t>
      </w:r>
      <w:r>
        <w:rPr>
          <w:sz w:val="22"/>
        </w:rPr>
        <w:t>главный внештатный специалист по инфекционным болезням Минздрава России, заместитель директора по научной работе и инновационному развитию Федерального государственного бюджетного учреждения «Национальный медицинский исследовательский центр фтизиопульмонологии и инфекционных заболеваний» Минздрава России</w:t>
      </w:r>
    </w:p>
    <w:p>
      <w:pPr>
        <w:spacing w:line="276" w:lineRule="auto" w:before="0"/>
        <w:ind w:left="261" w:right="363" w:firstLine="705"/>
        <w:jc w:val="both"/>
        <w:rPr>
          <w:sz w:val="22"/>
        </w:rPr>
      </w:pPr>
      <w:r>
        <w:rPr>
          <w:b/>
          <w:i/>
          <w:sz w:val="22"/>
        </w:rPr>
        <w:t>Шелыгин Юрий Анатольевич – </w:t>
      </w:r>
      <w:r>
        <w:rPr>
          <w:sz w:val="22"/>
        </w:rPr>
        <w:t>главный внештатный колопроктолог Минздрава России, главный колопроктолог Департамента здравоохранения города Москвы, директор Государственного научного центра колопроктологии им. А. Н. Рыжих Минздрава России</w:t>
      </w:r>
    </w:p>
    <w:p>
      <w:pPr>
        <w:spacing w:line="276" w:lineRule="auto" w:before="0"/>
        <w:ind w:left="261" w:right="363" w:firstLine="705"/>
        <w:jc w:val="both"/>
        <w:rPr>
          <w:sz w:val="22"/>
        </w:rPr>
      </w:pPr>
      <w:r>
        <w:rPr>
          <w:b/>
          <w:i/>
          <w:sz w:val="22"/>
        </w:rPr>
        <w:t>Шипулин Герман Александрович </w:t>
      </w:r>
      <w:r>
        <w:rPr>
          <w:b/>
          <w:sz w:val="22"/>
        </w:rPr>
        <w:t>– </w:t>
      </w:r>
      <w:r>
        <w:rPr>
          <w:sz w:val="22"/>
        </w:rPr>
        <w:t>заместитель директора Федерального государственного бюджетного учреждения «Центр стратегического планирования и управления медико-биологическими рисками здоровью» Минздрава России</w:t>
      </w:r>
    </w:p>
    <w:p>
      <w:pPr>
        <w:spacing w:line="276" w:lineRule="auto" w:before="0"/>
        <w:ind w:left="172" w:right="357" w:firstLine="705"/>
        <w:jc w:val="both"/>
        <w:rPr>
          <w:sz w:val="22"/>
        </w:rPr>
      </w:pPr>
      <w:r>
        <w:rPr>
          <w:b/>
          <w:i/>
          <w:sz w:val="22"/>
        </w:rPr>
        <w:t>Шлемская Валерия Вадимовна – </w:t>
      </w:r>
      <w:r>
        <w:rPr>
          <w:sz w:val="22"/>
        </w:rPr>
        <w:t>заместитель директора Федерального государственного бюджетного учреждения «Всероссийский центр медицины катастроф «Защита»» ФМБА России</w:t>
      </w:r>
    </w:p>
    <w:p>
      <w:pPr>
        <w:spacing w:after="0" w:line="276" w:lineRule="auto"/>
        <w:jc w:val="both"/>
        <w:rPr>
          <w:sz w:val="22"/>
        </w:rPr>
        <w:sectPr>
          <w:pgSz w:w="11920" w:h="16850"/>
          <w:pgMar w:header="0" w:footer="956" w:top="980" w:bottom="1180" w:left="960" w:right="480"/>
        </w:sectPr>
      </w:pPr>
    </w:p>
    <w:p>
      <w:pPr>
        <w:spacing w:line="276" w:lineRule="auto" w:before="62"/>
        <w:ind w:left="271" w:right="367" w:firstLine="705"/>
        <w:jc w:val="both"/>
        <w:rPr>
          <w:sz w:val="22"/>
        </w:rPr>
      </w:pPr>
      <w:r>
        <w:rPr>
          <w:b/>
          <w:i/>
          <w:sz w:val="22"/>
        </w:rPr>
        <w:t>Шульгина Марина Владимировна </w:t>
      </w:r>
      <w:r>
        <w:rPr>
          <w:sz w:val="22"/>
        </w:rPr>
        <w:t>– советник директора по науке Федерального государственного бюджетного учреждения «Национальный медицинский исследовательский центр фтизиопульмонологии и инфекционных заболеваний» Минздрава России</w:t>
      </w:r>
    </w:p>
    <w:p>
      <w:pPr>
        <w:spacing w:line="276" w:lineRule="auto" w:before="0"/>
        <w:ind w:left="271" w:right="363" w:firstLine="705"/>
        <w:jc w:val="both"/>
        <w:rPr>
          <w:sz w:val="22"/>
        </w:rPr>
      </w:pPr>
      <w:r>
        <w:rPr>
          <w:b/>
          <w:i/>
          <w:sz w:val="22"/>
        </w:rPr>
        <w:t>Явелов Игорь Семенович – </w:t>
      </w:r>
      <w:r>
        <w:rPr>
          <w:sz w:val="22"/>
        </w:rPr>
        <w:t>руководитель отдела фундаментальных и клинических проблем тромбоза при неинфекционных заболеваниях ФГБУ «Национальный медицинский исследовательский центр терапии и профилактической медицины» Минздрава России</w:t>
      </w:r>
    </w:p>
    <w:p>
      <w:pPr>
        <w:spacing w:line="276" w:lineRule="auto" w:before="0"/>
        <w:ind w:left="271" w:right="363" w:firstLine="705"/>
        <w:jc w:val="both"/>
        <w:rPr>
          <w:sz w:val="22"/>
        </w:rPr>
      </w:pPr>
      <w:r>
        <w:rPr>
          <w:b/>
          <w:i/>
          <w:sz w:val="22"/>
        </w:rPr>
        <w:t>Ярошецкий Андрей Игоревич </w:t>
      </w:r>
      <w:r>
        <w:rPr>
          <w:sz w:val="22"/>
        </w:rPr>
        <w:t>– профессор кафедры пульмонологии ФГАОУ ВО «Первый МГМУ</w:t>
      </w:r>
      <w:r>
        <w:rPr>
          <w:spacing w:val="-7"/>
          <w:sz w:val="22"/>
        </w:rPr>
        <w:t> </w:t>
      </w:r>
      <w:r>
        <w:rPr>
          <w:sz w:val="22"/>
        </w:rPr>
        <w:t>им.</w:t>
      </w:r>
      <w:r>
        <w:rPr>
          <w:spacing w:val="-5"/>
          <w:sz w:val="22"/>
        </w:rPr>
        <w:t> </w:t>
      </w:r>
      <w:r>
        <w:rPr>
          <w:sz w:val="22"/>
        </w:rPr>
        <w:t>И.М.</w:t>
      </w:r>
      <w:r>
        <w:rPr>
          <w:spacing w:val="-5"/>
          <w:sz w:val="22"/>
        </w:rPr>
        <w:t> </w:t>
      </w:r>
      <w:r>
        <w:rPr>
          <w:sz w:val="22"/>
        </w:rPr>
        <w:t>Сеченова»</w:t>
      </w:r>
      <w:r>
        <w:rPr>
          <w:spacing w:val="-9"/>
          <w:sz w:val="22"/>
        </w:rPr>
        <w:t> </w:t>
      </w:r>
      <w:r>
        <w:rPr>
          <w:sz w:val="22"/>
        </w:rPr>
        <w:t>(Сеченовский</w:t>
      </w:r>
      <w:r>
        <w:rPr>
          <w:spacing w:val="-8"/>
          <w:sz w:val="22"/>
        </w:rPr>
        <w:t> </w:t>
      </w:r>
      <w:r>
        <w:rPr>
          <w:sz w:val="22"/>
        </w:rPr>
        <w:t>университет)</w:t>
      </w:r>
      <w:r>
        <w:rPr>
          <w:spacing w:val="-6"/>
          <w:sz w:val="22"/>
        </w:rPr>
        <w:t> </w:t>
      </w:r>
      <w:r>
        <w:rPr>
          <w:sz w:val="22"/>
        </w:rPr>
        <w:t>Минздрава</w:t>
      </w:r>
      <w:r>
        <w:rPr>
          <w:spacing w:val="-7"/>
          <w:sz w:val="22"/>
        </w:rPr>
        <w:t> </w:t>
      </w:r>
      <w:r>
        <w:rPr>
          <w:sz w:val="22"/>
        </w:rPr>
        <w:t>России,</w:t>
      </w:r>
      <w:r>
        <w:rPr>
          <w:spacing w:val="-7"/>
          <w:sz w:val="22"/>
        </w:rPr>
        <w:t> </w:t>
      </w:r>
      <w:r>
        <w:rPr>
          <w:sz w:val="22"/>
        </w:rPr>
        <w:t>зав.</w:t>
      </w:r>
      <w:r>
        <w:rPr>
          <w:spacing w:val="-5"/>
          <w:sz w:val="22"/>
        </w:rPr>
        <w:t> </w:t>
      </w:r>
      <w:r>
        <w:rPr>
          <w:sz w:val="22"/>
        </w:rPr>
        <w:t>отделом</w:t>
      </w:r>
      <w:r>
        <w:rPr>
          <w:spacing w:val="-8"/>
          <w:sz w:val="22"/>
        </w:rPr>
        <w:t> </w:t>
      </w:r>
      <w:r>
        <w:rPr>
          <w:sz w:val="22"/>
        </w:rPr>
        <w:t>анестезиологии и реаниматологии НИИ Клинической хирургии ФГАОУ ВО «Российский национальный исследовательский медицинский университет им. Н.И. Пирогова» Минздрава России, Председатель Комитета</w:t>
      </w:r>
      <w:r>
        <w:rPr>
          <w:spacing w:val="-9"/>
          <w:sz w:val="22"/>
        </w:rPr>
        <w:t> </w:t>
      </w:r>
      <w:r>
        <w:rPr>
          <w:sz w:val="22"/>
        </w:rPr>
        <w:t>Федерации</w:t>
      </w:r>
      <w:r>
        <w:rPr>
          <w:spacing w:val="-9"/>
          <w:sz w:val="22"/>
        </w:rPr>
        <w:t> </w:t>
      </w:r>
      <w:r>
        <w:rPr>
          <w:sz w:val="22"/>
        </w:rPr>
        <w:t>Анестезиологов</w:t>
      </w:r>
      <w:r>
        <w:rPr>
          <w:spacing w:val="-10"/>
          <w:sz w:val="22"/>
        </w:rPr>
        <w:t> </w:t>
      </w:r>
      <w:r>
        <w:rPr>
          <w:sz w:val="22"/>
        </w:rPr>
        <w:t>и</w:t>
      </w:r>
      <w:r>
        <w:rPr>
          <w:spacing w:val="-9"/>
          <w:sz w:val="22"/>
        </w:rPr>
        <w:t> </w:t>
      </w:r>
      <w:r>
        <w:rPr>
          <w:sz w:val="22"/>
        </w:rPr>
        <w:t>Реаниматологов</w:t>
      </w:r>
      <w:r>
        <w:rPr>
          <w:spacing w:val="-10"/>
          <w:sz w:val="22"/>
        </w:rPr>
        <w:t> </w:t>
      </w:r>
      <w:r>
        <w:rPr>
          <w:sz w:val="22"/>
        </w:rPr>
        <w:t>по</w:t>
      </w:r>
      <w:r>
        <w:rPr>
          <w:spacing w:val="-9"/>
          <w:sz w:val="22"/>
        </w:rPr>
        <w:t> </w:t>
      </w:r>
      <w:r>
        <w:rPr>
          <w:sz w:val="22"/>
        </w:rPr>
        <w:t>Респираторной</w:t>
      </w:r>
      <w:r>
        <w:rPr>
          <w:spacing w:val="-9"/>
          <w:sz w:val="22"/>
        </w:rPr>
        <w:t> </w:t>
      </w:r>
      <w:r>
        <w:rPr>
          <w:sz w:val="22"/>
        </w:rPr>
        <w:t>и</w:t>
      </w:r>
      <w:r>
        <w:rPr>
          <w:spacing w:val="-9"/>
          <w:sz w:val="22"/>
        </w:rPr>
        <w:t> </w:t>
      </w:r>
      <w:r>
        <w:rPr>
          <w:sz w:val="22"/>
        </w:rPr>
        <w:t>метаболической</w:t>
      </w:r>
      <w:r>
        <w:rPr>
          <w:spacing w:val="-9"/>
          <w:sz w:val="22"/>
        </w:rPr>
        <w:t> </w:t>
      </w:r>
      <w:r>
        <w:rPr>
          <w:sz w:val="22"/>
        </w:rPr>
        <w:t>поддержке</w:t>
      </w:r>
    </w:p>
    <w:p>
      <w:pPr>
        <w:spacing w:after="0" w:line="276" w:lineRule="auto"/>
        <w:jc w:val="both"/>
        <w:rPr>
          <w:sz w:val="22"/>
        </w:rPr>
        <w:sectPr>
          <w:pgSz w:w="11920" w:h="16850"/>
          <w:pgMar w:header="0" w:footer="956" w:top="980" w:bottom="1180" w:left="960" w:right="480"/>
        </w:sectPr>
      </w:pPr>
    </w:p>
    <w:p>
      <w:pPr>
        <w:pStyle w:val="BodyText"/>
        <w:ind w:left="0"/>
        <w:jc w:val="left"/>
        <w:rPr>
          <w:sz w:val="20"/>
        </w:rPr>
      </w:pPr>
      <w:r>
        <w:rPr/>
        <w:pict>
          <v:shape style="position:absolute;margin-left:296.519989pt;margin-top:782.399963pt;width:256.55pt;height:22.8pt;mso-position-horizontal-relative:page;mso-position-vertical-relative:page;z-index:-22257152" type="#_x0000_t202" filled="false" stroked="false">
            <v:textbox inset="0,0,0,0">
              <w:txbxContent>
                <w:p>
                  <w:pPr>
                    <w:spacing w:line="225" w:lineRule="exact" w:before="0"/>
                    <w:ind w:left="0" w:right="0" w:firstLine="0"/>
                    <w:jc w:val="left"/>
                    <w:rPr>
                      <w:rFonts w:ascii="Calibri"/>
                      <w:sz w:val="22"/>
                    </w:rPr>
                  </w:pPr>
                  <w:r>
                    <w:rPr>
                      <w:rFonts w:ascii="Calibri"/>
                      <w:sz w:val="22"/>
                    </w:rPr>
                    <w:t>236</w:t>
                  </w:r>
                </w:p>
                <w:p>
                  <w:pPr>
                    <w:spacing w:before="1"/>
                    <w:ind w:left="3285" w:right="0" w:firstLine="0"/>
                    <w:jc w:val="left"/>
                    <w:rPr>
                      <w:sz w:val="20"/>
                    </w:rPr>
                  </w:pPr>
                  <w:r>
                    <w:rPr>
                      <w:color w:val="FFFFFF"/>
                      <w:sz w:val="20"/>
                    </w:rPr>
                    <w:t>Версия 9 (26.10.2020)</w:t>
                  </w:r>
                </w:p>
              </w:txbxContent>
            </v:textbox>
            <w10:wrap type="none"/>
          </v:shape>
        </w:pict>
      </w:r>
      <w:r>
        <w:rPr/>
        <w:pict>
          <v:group style="position:absolute;margin-left:0pt;margin-top:0pt;width:595.6pt;height:842.05pt;mso-position-horizontal-relative:page;mso-position-vertical-relative:page;z-index:-22256640" coordorigin="0,0" coordsize="11912,16841">
            <v:rect style="position:absolute;left:9216;top:15873;width:1846;height:231" filled="true" fillcolor="#00008a" stroked="false">
              <v:fill type="solid"/>
            </v:rect>
            <v:shape style="position:absolute;left:0;top:0;width:11912;height:16841" type="#_x0000_t75" alt="P5474#y1" stroked="false">
              <v:imagedata r:id="rId116" o:title=""/>
            </v:shape>
            <v:shape style="position:absolute;left:5055;top:14039;width:5043;height:1755" type="#_x0000_t75" alt="P5475#y1" stroked="false">
              <v:imagedata r:id="rId6" o:title=""/>
            </v:shape>
            <w10:wrap type="none"/>
          </v:group>
        </w:pict>
      </w: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ind w:left="0"/>
        <w:jc w:val="left"/>
        <w:rPr>
          <w:sz w:val="20"/>
        </w:rPr>
      </w:pPr>
    </w:p>
    <w:p>
      <w:pPr>
        <w:pStyle w:val="BodyText"/>
        <w:spacing w:before="3"/>
        <w:ind w:left="0"/>
        <w:jc w:val="left"/>
        <w:rPr>
          <w:sz w:val="19"/>
        </w:rPr>
      </w:pPr>
    </w:p>
    <w:p>
      <w:pPr>
        <w:pStyle w:val="Heading1"/>
        <w:ind w:left="5690"/>
      </w:pPr>
      <w:r>
        <w:rPr>
          <w:color w:val="FFFFFF"/>
        </w:rPr>
        <w:t>Версия 9 (26.10.2020)</w:t>
      </w:r>
    </w:p>
    <w:sectPr>
      <w:footerReference w:type="default" r:id="rId115"/>
      <w:pgSz w:w="11920" w:h="16850"/>
      <w:pgMar w:footer="0" w:header="0" w:top="1600" w:bottom="280" w:left="960" w:right="48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Franklin Gothic Book">
    <w:altName w:val="Franklin Gothic Book"/>
    <w:charset w:val="0"/>
    <w:family w:val="swiss"/>
    <w:pitch w:val="variable"/>
  </w:font>
  <w:font w:name="Calibri">
    <w:altName w:val="Calibri"/>
    <w:charset w:val="0"/>
    <w:family w:val="swiss"/>
    <w:pitch w:val="variable"/>
  </w:font>
  <w:font w:name="Courier New">
    <w:altName w:val="Courier New"/>
    <w:charset w:val="0"/>
    <w:family w:val="modern"/>
    <w:pitch w:val="fixed"/>
  </w:font>
  <w:font w:name="MS Gothic">
    <w:altName w:val="MS Gothic"/>
    <w:charset w:val="0"/>
    <w:family w:val="modern"/>
    <w:pitch w:val="fixed"/>
  </w:font>
  <w:font w:name="Symbol">
    <w:altName w:val="Symbol"/>
    <w:charset w:val="2"/>
    <w:family w:val="roman"/>
    <w:pitch w:val="variable"/>
  </w:font>
  <w:font w:name="Cambria Math">
    <w:altName w:val="Cambria Math"/>
    <w:charset w:val="0"/>
    <w:family w:val="roman"/>
    <w:pitch w:val="variabl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ind w:left="0"/>
      <w:jc w:val="left"/>
      <w:rPr>
        <w:sz w:val="20"/>
      </w:rPr>
    </w:pPr>
    <w:r>
      <w:rPr/>
      <w:pict>
        <v:shape style="position:absolute;margin-left:296.880005pt;margin-top:796.042114pt;width:22.6pt;height:14.25pt;mso-position-horizontal-relative:page;mso-position-vertical-relative:page;z-index:-22279680" type="#_x0000_t202" filled="false" stroked="false">
          <v:textbox inset="0,0,0,0">
            <w:txbxContent>
              <w:p>
                <w:pPr>
                  <w:spacing w:before="11"/>
                  <w:ind w:left="60" w:right="0" w:firstLine="0"/>
                  <w:jc w:val="left"/>
                  <w:rPr>
                    <w:sz w:val="22"/>
                  </w:rPr>
                </w:pPr>
                <w:r>
                  <w:rPr/>
                  <w:fldChar w:fldCharType="begin"/>
                </w:r>
                <w:r>
                  <w:rPr>
                    <w:sz w:val="22"/>
                  </w:rPr>
                  <w:instrText> PAGE </w:instrText>
                </w:r>
                <w:r>
                  <w:rPr/>
                  <w:fldChar w:fldCharType="separate"/>
                </w:r>
                <w:r>
                  <w:rPr/>
                  <w:t>164</w:t>
                </w:r>
                <w:r>
                  <w:rPr/>
                  <w:fldChar w:fldCharType="end"/>
                </w:r>
              </w:p>
            </w:txbxContent>
          </v:textbox>
          <w10:wrap type="none"/>
        </v:shape>
      </w:pict>
    </w:r>
    <w:r>
      <w:rPr/>
      <w:pict>
        <v:shape style="position:absolute;margin-left:438.320007pt;margin-top:813.324463pt;width:94.25pt;height:13.05pt;mso-position-horizontal-relative:page;mso-position-vertical-relative:page;z-index:-22279168" type="#_x0000_t202" filled="false" stroked="false">
          <v:textbox inset="0,0,0,0">
            <w:txbxContent>
              <w:p>
                <w:pPr>
                  <w:spacing w:before="10"/>
                  <w:ind w:left="20" w:right="0" w:firstLine="0"/>
                  <w:jc w:val="left"/>
                  <w:rPr>
                    <w:sz w:val="20"/>
                  </w:rPr>
                </w:pPr>
                <w:r>
                  <w:rPr>
                    <w:color w:val="FFFFFF"/>
                    <w:sz w:val="20"/>
                    <w:shd w:fill="00008A" w:color="auto" w:val="clear"/>
                  </w:rPr>
                  <w:t>Версия 9 (26.10.2020)</w:t>
                </w:r>
              </w:p>
            </w:txbxContent>
          </v:textbox>
          <w10:wrap type="non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ind w:left="0"/>
      <w:jc w:val="left"/>
      <w:rPr>
        <w:sz w:val="20"/>
      </w:rPr>
    </w:pPr>
    <w:r>
      <w:rPr/>
      <w:pict>
        <v:shape style="position:absolute;margin-left:419pt;margin-top:549.442078pt;width:18.6pt;height:14.25pt;mso-position-horizontal-relative:page;mso-position-vertical-relative:page;z-index:-22278656" type="#_x0000_t202" filled="false" stroked="false">
          <v:textbox inset="0,0,0,0">
            <w:txbxContent>
              <w:p>
                <w:pPr>
                  <w:spacing w:before="11"/>
                  <w:ind w:left="20" w:right="0" w:firstLine="0"/>
                  <w:jc w:val="left"/>
                  <w:rPr>
                    <w:sz w:val="22"/>
                  </w:rPr>
                </w:pPr>
                <w:r>
                  <w:rPr>
                    <w:sz w:val="22"/>
                  </w:rPr>
                  <w:t>172</w:t>
                </w:r>
              </w:p>
            </w:txbxContent>
          </v:textbox>
          <w10:wrap type="none"/>
        </v:shape>
      </w:pict>
    </w:r>
    <w:r>
      <w:rPr/>
      <w:pict>
        <v:shape style="position:absolute;margin-left:691.76001pt;margin-top:566.724487pt;width:94.25pt;height:13.05pt;mso-position-horizontal-relative:page;mso-position-vertical-relative:page;z-index:-22278144" type="#_x0000_t202" filled="false" stroked="false">
          <v:textbox inset="0,0,0,0">
            <w:txbxContent>
              <w:p>
                <w:pPr>
                  <w:spacing w:before="10"/>
                  <w:ind w:left="20" w:right="0" w:firstLine="0"/>
                  <w:jc w:val="left"/>
                  <w:rPr>
                    <w:sz w:val="20"/>
                  </w:rPr>
                </w:pPr>
                <w:r>
                  <w:rPr>
                    <w:color w:val="FFFFFF"/>
                    <w:sz w:val="20"/>
                    <w:shd w:fill="00008A" w:color="auto" w:val="clear"/>
                  </w:rPr>
                  <w:t>Версия 9 (26.10.2020)</w:t>
                </w:r>
              </w:p>
            </w:txbxContent>
          </v:textbox>
          <w10:wrap type="non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ind w:left="0"/>
      <w:jc w:val="left"/>
      <w:rPr>
        <w:sz w:val="20"/>
      </w:rPr>
    </w:pPr>
    <w:r>
      <w:rPr/>
      <w:pict>
        <v:shape style="position:absolute;margin-left:296.880005pt;margin-top:796.042114pt;width:22.6pt;height:14.25pt;mso-position-horizontal-relative:page;mso-position-vertical-relative:page;z-index:-22277632" type="#_x0000_t202" filled="false" stroked="false">
          <v:textbox inset="0,0,0,0">
            <w:txbxContent>
              <w:p>
                <w:pPr>
                  <w:spacing w:before="11"/>
                  <w:ind w:left="60" w:right="0" w:firstLine="0"/>
                  <w:jc w:val="left"/>
                  <w:rPr>
                    <w:sz w:val="22"/>
                  </w:rPr>
                </w:pPr>
                <w:r>
                  <w:rPr/>
                  <w:fldChar w:fldCharType="begin"/>
                </w:r>
                <w:r>
                  <w:rPr>
                    <w:sz w:val="22"/>
                  </w:rPr>
                  <w:instrText> PAGE </w:instrText>
                </w:r>
                <w:r>
                  <w:rPr/>
                  <w:fldChar w:fldCharType="separate"/>
                </w:r>
                <w:r>
                  <w:rPr/>
                  <w:t>173</w:t>
                </w:r>
                <w:r>
                  <w:rPr/>
                  <w:fldChar w:fldCharType="end"/>
                </w:r>
              </w:p>
            </w:txbxContent>
          </v:textbox>
          <w10:wrap type="none"/>
        </v:shape>
      </w:pict>
    </w:r>
    <w:r>
      <w:rPr/>
      <w:pict>
        <v:shape style="position:absolute;margin-left:438.320007pt;margin-top:813.324463pt;width:94.25pt;height:13.05pt;mso-position-horizontal-relative:page;mso-position-vertical-relative:page;z-index:-22277120" type="#_x0000_t202" filled="false" stroked="false">
          <v:textbox inset="0,0,0,0">
            <w:txbxContent>
              <w:p>
                <w:pPr>
                  <w:spacing w:before="10"/>
                  <w:ind w:left="20" w:right="0" w:firstLine="0"/>
                  <w:jc w:val="left"/>
                  <w:rPr>
                    <w:sz w:val="20"/>
                  </w:rPr>
                </w:pPr>
                <w:r>
                  <w:rPr>
                    <w:color w:val="FFFFFF"/>
                    <w:sz w:val="20"/>
                    <w:shd w:fill="00008A" w:color="auto" w:val="clear"/>
                  </w:rPr>
                  <w:t>Версия 9 (26.10.2020)</w:t>
                </w:r>
              </w:p>
            </w:txbxContent>
          </v:textbox>
          <w10:wrap type="non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ind w:left="0"/>
      <w:jc w:val="left"/>
      <w:rPr>
        <w:sz w:val="20"/>
      </w:rPr>
    </w:pPr>
    <w:r>
      <w:rPr/>
      <w:pict>
        <v:shape style="position:absolute;margin-left:402pt;margin-top:525.082092pt;width:22.6pt;height:14.25pt;mso-position-horizontal-relative:page;mso-position-vertical-relative:page;z-index:-22276608" type="#_x0000_t202" filled="false" stroked="false">
          <v:textbox inset="0,0,0,0">
            <w:txbxContent>
              <w:p>
                <w:pPr>
                  <w:spacing w:before="11"/>
                  <w:ind w:left="60" w:right="0" w:firstLine="0"/>
                  <w:jc w:val="left"/>
                  <w:rPr>
                    <w:sz w:val="22"/>
                  </w:rPr>
                </w:pPr>
                <w:r>
                  <w:rPr/>
                  <w:fldChar w:fldCharType="begin"/>
                </w:r>
                <w:r>
                  <w:rPr>
                    <w:sz w:val="22"/>
                  </w:rPr>
                  <w:instrText> PAGE </w:instrText>
                </w:r>
                <w:r>
                  <w:rPr/>
                  <w:fldChar w:fldCharType="separate"/>
                </w:r>
                <w:r>
                  <w:rPr/>
                  <w:t>183</w:t>
                </w:r>
                <w:r>
                  <w:rPr/>
                  <w:fldChar w:fldCharType="end"/>
                </w:r>
              </w:p>
            </w:txbxContent>
          </v:textbox>
          <w10:wrap type="none"/>
        </v:shape>
      </w:pict>
    </w:r>
    <w:r>
      <w:rPr/>
      <w:pict>
        <v:shape style="position:absolute;margin-left:676.76001pt;margin-top:542.364502pt;width:94.25pt;height:13.05pt;mso-position-horizontal-relative:page;mso-position-vertical-relative:page;z-index:-22276096" type="#_x0000_t202" filled="false" stroked="false">
          <v:textbox inset="0,0,0,0">
            <w:txbxContent>
              <w:p>
                <w:pPr>
                  <w:spacing w:before="10"/>
                  <w:ind w:left="20" w:right="0" w:firstLine="0"/>
                  <w:jc w:val="left"/>
                  <w:rPr>
                    <w:sz w:val="20"/>
                  </w:rPr>
                </w:pPr>
                <w:r>
                  <w:rPr>
                    <w:color w:val="FFFFFF"/>
                    <w:sz w:val="20"/>
                    <w:shd w:fill="00008A" w:color="auto" w:val="clear"/>
                  </w:rPr>
                  <w:t>Версия 9 (26.10.2020)</w:t>
                </w:r>
              </w:p>
            </w:txbxContent>
          </v:textbox>
          <w10:wrap type="non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ind w:left="0"/>
      <w:jc w:val="left"/>
      <w:rPr>
        <w:sz w:val="20"/>
      </w:rPr>
    </w:pPr>
    <w:r>
      <w:rPr/>
      <w:pict>
        <v:shape style="position:absolute;margin-left:409.559998pt;margin-top:525.082092pt;width:22.6pt;height:14.25pt;mso-position-horizontal-relative:page;mso-position-vertical-relative:page;z-index:-22275584" type="#_x0000_t202" filled="false" stroked="false">
          <v:textbox inset="0,0,0,0">
            <w:txbxContent>
              <w:p>
                <w:pPr>
                  <w:spacing w:before="11"/>
                  <w:ind w:left="60" w:right="0" w:firstLine="0"/>
                  <w:jc w:val="left"/>
                  <w:rPr>
                    <w:sz w:val="22"/>
                  </w:rPr>
                </w:pPr>
                <w:r>
                  <w:rPr/>
                  <w:fldChar w:fldCharType="begin"/>
                </w:r>
                <w:r>
                  <w:rPr>
                    <w:sz w:val="22"/>
                  </w:rPr>
                  <w:instrText> PAGE </w:instrText>
                </w:r>
                <w:r>
                  <w:rPr/>
                  <w:fldChar w:fldCharType="separate"/>
                </w:r>
                <w:r>
                  <w:rPr/>
                  <w:t>202</w:t>
                </w:r>
                <w:r>
                  <w:rPr/>
                  <w:fldChar w:fldCharType="end"/>
                </w:r>
              </w:p>
            </w:txbxContent>
          </v:textbox>
          <w10:wrap type="none"/>
        </v:shape>
      </w:pict>
    </w:r>
    <w:r>
      <w:rPr/>
      <w:pict>
        <v:shape style="position:absolute;margin-left:712.76001pt;margin-top:542.364502pt;width:94.25pt;height:13.05pt;mso-position-horizontal-relative:page;mso-position-vertical-relative:page;z-index:-22275072" type="#_x0000_t202" filled="false" stroked="false">
          <v:textbox inset="0,0,0,0">
            <w:txbxContent>
              <w:p>
                <w:pPr>
                  <w:spacing w:before="10"/>
                  <w:ind w:left="20" w:right="0" w:firstLine="0"/>
                  <w:jc w:val="left"/>
                  <w:rPr>
                    <w:sz w:val="20"/>
                  </w:rPr>
                </w:pPr>
                <w:r>
                  <w:rPr>
                    <w:color w:val="FFFFFF"/>
                    <w:sz w:val="20"/>
                    <w:shd w:fill="00008A" w:color="auto" w:val="clear"/>
                  </w:rPr>
                  <w:t>Версия 9 (26.10.2020)</w:t>
                </w:r>
              </w:p>
            </w:txbxContent>
          </v:textbox>
          <w10:wrap type="non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ind w:left="0"/>
      <w:jc w:val="left"/>
      <w:rPr>
        <w:sz w:val="20"/>
      </w:rPr>
    </w:pPr>
    <w:r>
      <w:rPr/>
      <w:pict>
        <v:shape style="position:absolute;margin-left:416.76001pt;margin-top:545.602112pt;width:22.6pt;height:14.25pt;mso-position-horizontal-relative:page;mso-position-vertical-relative:page;z-index:-22274560" type="#_x0000_t202" filled="false" stroked="false">
          <v:textbox inset="0,0,0,0">
            <w:txbxContent>
              <w:p>
                <w:pPr>
                  <w:spacing w:before="11"/>
                  <w:ind w:left="60" w:right="0" w:firstLine="0"/>
                  <w:jc w:val="left"/>
                  <w:rPr>
                    <w:sz w:val="22"/>
                  </w:rPr>
                </w:pPr>
                <w:r>
                  <w:rPr/>
                  <w:fldChar w:fldCharType="begin"/>
                </w:r>
                <w:r>
                  <w:rPr>
                    <w:sz w:val="22"/>
                  </w:rPr>
                  <w:instrText> PAGE </w:instrText>
                </w:r>
                <w:r>
                  <w:rPr/>
                  <w:fldChar w:fldCharType="separate"/>
                </w:r>
                <w:r>
                  <w:rPr/>
                  <w:t>203</w:t>
                </w:r>
                <w:r>
                  <w:rPr/>
                  <w:fldChar w:fldCharType="end"/>
                </w:r>
              </w:p>
            </w:txbxContent>
          </v:textbox>
          <w10:wrap type="none"/>
        </v:shape>
      </w:pict>
    </w:r>
    <w:r>
      <w:rPr/>
      <w:pict>
        <v:shape style="position:absolute;margin-left:709.280029pt;margin-top:562.884521pt;width:94.25pt;height:13.05pt;mso-position-horizontal-relative:page;mso-position-vertical-relative:page;z-index:-22274048" type="#_x0000_t202" filled="false" stroked="false">
          <v:textbox inset="0,0,0,0">
            <w:txbxContent>
              <w:p>
                <w:pPr>
                  <w:spacing w:before="10"/>
                  <w:ind w:left="20" w:right="0" w:firstLine="0"/>
                  <w:jc w:val="left"/>
                  <w:rPr>
                    <w:sz w:val="20"/>
                  </w:rPr>
                </w:pPr>
                <w:r>
                  <w:rPr>
                    <w:color w:val="FFFFFF"/>
                    <w:sz w:val="20"/>
                    <w:shd w:fill="00008A" w:color="auto" w:val="clear"/>
                  </w:rPr>
                  <w:t>Версия 9 (26.10.2020)</w:t>
                </w:r>
              </w:p>
            </w:txbxContent>
          </v:textbox>
          <w10:wrap type="non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ind w:left="0"/>
      <w:jc w:val="left"/>
      <w:rPr>
        <w:sz w:val="20"/>
      </w:rPr>
    </w:pPr>
    <w:r>
      <w:rPr/>
      <w:pict>
        <v:shape style="position:absolute;margin-left:293.519989pt;margin-top:781.399963pt;width:22.7pt;height:13.05pt;mso-position-horizontal-relative:page;mso-position-vertical-relative:page;z-index:-22273536" type="#_x0000_t202" filled="false" stroked="false">
          <v:textbox inset="0,0,0,0">
            <w:txbxContent>
              <w:p>
                <w:pPr>
                  <w:spacing w:line="245" w:lineRule="exact" w:before="0"/>
                  <w:ind w:left="60" w:right="0" w:firstLine="0"/>
                  <w:jc w:val="left"/>
                  <w:rPr>
                    <w:rFonts w:ascii="Calibri"/>
                    <w:sz w:val="22"/>
                  </w:rPr>
                </w:pPr>
                <w:r>
                  <w:rPr/>
                  <w:fldChar w:fldCharType="begin"/>
                </w:r>
                <w:r>
                  <w:rPr>
                    <w:rFonts w:ascii="Calibri"/>
                    <w:sz w:val="22"/>
                  </w:rPr>
                  <w:instrText> PAGE </w:instrText>
                </w:r>
                <w:r>
                  <w:rPr/>
                  <w:fldChar w:fldCharType="separate"/>
                </w:r>
                <w:r>
                  <w:rPr/>
                  <w:t>220</w:t>
                </w:r>
                <w:r>
                  <w:rPr/>
                  <w:fldChar w:fldCharType="end"/>
                </w:r>
              </w:p>
            </w:txbxContent>
          </v:textbox>
          <w10:wrap type="none"/>
        </v:shape>
      </w:pict>
    </w:r>
    <w:r>
      <w:rPr/>
      <w:pict>
        <v:shape style="position:absolute;margin-left:459.799988pt;margin-top:793.16449pt;width:94.25pt;height:13.05pt;mso-position-horizontal-relative:page;mso-position-vertical-relative:page;z-index:-22273024" type="#_x0000_t202" filled="false" stroked="false">
          <v:textbox inset="0,0,0,0">
            <w:txbxContent>
              <w:p>
                <w:pPr>
                  <w:spacing w:before="10"/>
                  <w:ind w:left="20" w:right="0" w:firstLine="0"/>
                  <w:jc w:val="left"/>
                  <w:rPr>
                    <w:sz w:val="20"/>
                  </w:rPr>
                </w:pPr>
                <w:r>
                  <w:rPr>
                    <w:color w:val="FFFFFF"/>
                    <w:sz w:val="20"/>
                    <w:shd w:fill="00008A" w:color="auto" w:val="clear"/>
                  </w:rPr>
                  <w:t>Версия 9 (26.10.2020)</w:t>
                </w:r>
              </w:p>
            </w:txbxContent>
          </v:textbox>
          <w10:wrap type="none"/>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ind w:left="0"/>
      <w:jc w:val="left"/>
      <w:rPr>
        <w:sz w:val="2"/>
      </w:rPr>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37">
    <w:multiLevelType w:val="hybridMultilevel"/>
    <w:lvl w:ilvl="0">
      <w:start w:val="0"/>
      <w:numFmt w:val="bullet"/>
      <w:lvlText w:val=""/>
      <w:lvlJc w:val="left"/>
      <w:pPr>
        <w:ind w:left="1000" w:hanging="339"/>
      </w:pPr>
      <w:rPr>
        <w:rFonts w:hint="default" w:ascii="Symbol" w:hAnsi="Symbol" w:eastAsia="Symbol" w:cs="Symbol"/>
        <w:w w:val="100"/>
        <w:sz w:val="24"/>
        <w:szCs w:val="24"/>
        <w:lang w:val="ru-RU" w:eastAsia="en-US" w:bidi="ar-SA"/>
      </w:rPr>
    </w:lvl>
    <w:lvl w:ilvl="1">
      <w:start w:val="0"/>
      <w:numFmt w:val="bullet"/>
      <w:lvlText w:val="-"/>
      <w:lvlJc w:val="left"/>
      <w:pPr>
        <w:ind w:left="1528" w:hanging="142"/>
      </w:pPr>
      <w:rPr>
        <w:rFonts w:hint="default" w:ascii="Times New Roman" w:hAnsi="Times New Roman" w:eastAsia="Times New Roman" w:cs="Times New Roman"/>
        <w:w w:val="100"/>
        <w:sz w:val="28"/>
        <w:szCs w:val="28"/>
        <w:lang w:val="ru-RU" w:eastAsia="en-US" w:bidi="ar-SA"/>
      </w:rPr>
    </w:lvl>
    <w:lvl w:ilvl="2">
      <w:start w:val="0"/>
      <w:numFmt w:val="bullet"/>
      <w:lvlText w:val="•"/>
      <w:lvlJc w:val="left"/>
      <w:pPr>
        <w:ind w:left="1520" w:hanging="142"/>
      </w:pPr>
      <w:rPr>
        <w:rFonts w:hint="default"/>
        <w:lang w:val="ru-RU" w:eastAsia="en-US" w:bidi="ar-SA"/>
      </w:rPr>
    </w:lvl>
    <w:lvl w:ilvl="3">
      <w:start w:val="0"/>
      <w:numFmt w:val="bullet"/>
      <w:lvlText w:val="•"/>
      <w:lvlJc w:val="left"/>
      <w:pPr>
        <w:ind w:left="2571" w:hanging="142"/>
      </w:pPr>
      <w:rPr>
        <w:rFonts w:hint="default"/>
        <w:lang w:val="ru-RU" w:eastAsia="en-US" w:bidi="ar-SA"/>
      </w:rPr>
    </w:lvl>
    <w:lvl w:ilvl="4">
      <w:start w:val="0"/>
      <w:numFmt w:val="bullet"/>
      <w:lvlText w:val="•"/>
      <w:lvlJc w:val="left"/>
      <w:pPr>
        <w:ind w:left="3622" w:hanging="142"/>
      </w:pPr>
      <w:rPr>
        <w:rFonts w:hint="default"/>
        <w:lang w:val="ru-RU" w:eastAsia="en-US" w:bidi="ar-SA"/>
      </w:rPr>
    </w:lvl>
    <w:lvl w:ilvl="5">
      <w:start w:val="0"/>
      <w:numFmt w:val="bullet"/>
      <w:lvlText w:val="•"/>
      <w:lvlJc w:val="left"/>
      <w:pPr>
        <w:ind w:left="4674" w:hanging="142"/>
      </w:pPr>
      <w:rPr>
        <w:rFonts w:hint="default"/>
        <w:lang w:val="ru-RU" w:eastAsia="en-US" w:bidi="ar-SA"/>
      </w:rPr>
    </w:lvl>
    <w:lvl w:ilvl="6">
      <w:start w:val="0"/>
      <w:numFmt w:val="bullet"/>
      <w:lvlText w:val="•"/>
      <w:lvlJc w:val="left"/>
      <w:pPr>
        <w:ind w:left="5725" w:hanging="142"/>
      </w:pPr>
      <w:rPr>
        <w:rFonts w:hint="default"/>
        <w:lang w:val="ru-RU" w:eastAsia="en-US" w:bidi="ar-SA"/>
      </w:rPr>
    </w:lvl>
    <w:lvl w:ilvl="7">
      <w:start w:val="0"/>
      <w:numFmt w:val="bullet"/>
      <w:lvlText w:val="•"/>
      <w:lvlJc w:val="left"/>
      <w:pPr>
        <w:ind w:left="6777" w:hanging="142"/>
      </w:pPr>
      <w:rPr>
        <w:rFonts w:hint="default"/>
        <w:lang w:val="ru-RU" w:eastAsia="en-US" w:bidi="ar-SA"/>
      </w:rPr>
    </w:lvl>
    <w:lvl w:ilvl="8">
      <w:start w:val="0"/>
      <w:numFmt w:val="bullet"/>
      <w:lvlText w:val="•"/>
      <w:lvlJc w:val="left"/>
      <w:pPr>
        <w:ind w:left="7828" w:hanging="142"/>
      </w:pPr>
      <w:rPr>
        <w:rFonts w:hint="default"/>
        <w:lang w:val="ru-RU" w:eastAsia="en-US" w:bidi="ar-SA"/>
      </w:rPr>
    </w:lvl>
  </w:abstractNum>
  <w:abstractNum w:abstractNumId="29">
    <w:multiLevelType w:val="hybridMultilevel"/>
    <w:lvl w:ilvl="0">
      <w:start w:val="0"/>
      <w:numFmt w:val="bullet"/>
      <w:lvlText w:val=""/>
      <w:lvlJc w:val="left"/>
      <w:pPr>
        <w:ind w:left="1000" w:hanging="339"/>
      </w:pPr>
      <w:rPr>
        <w:rFonts w:hint="default" w:ascii="Symbol" w:hAnsi="Symbol" w:eastAsia="Symbol" w:cs="Symbol"/>
        <w:w w:val="100"/>
        <w:sz w:val="24"/>
        <w:szCs w:val="24"/>
        <w:lang w:val="ru-RU" w:eastAsia="en-US" w:bidi="ar-SA"/>
      </w:rPr>
    </w:lvl>
    <w:lvl w:ilvl="1">
      <w:start w:val="0"/>
      <w:numFmt w:val="bullet"/>
      <w:lvlText w:val="•"/>
      <w:lvlJc w:val="left"/>
      <w:pPr>
        <w:ind w:left="1893" w:hanging="339"/>
      </w:pPr>
      <w:rPr>
        <w:rFonts w:hint="default"/>
        <w:lang w:val="ru-RU" w:eastAsia="en-US" w:bidi="ar-SA"/>
      </w:rPr>
    </w:lvl>
    <w:lvl w:ilvl="2">
      <w:start w:val="0"/>
      <w:numFmt w:val="bullet"/>
      <w:lvlText w:val="•"/>
      <w:lvlJc w:val="left"/>
      <w:pPr>
        <w:ind w:left="2786" w:hanging="339"/>
      </w:pPr>
      <w:rPr>
        <w:rFonts w:hint="default"/>
        <w:lang w:val="ru-RU" w:eastAsia="en-US" w:bidi="ar-SA"/>
      </w:rPr>
    </w:lvl>
    <w:lvl w:ilvl="3">
      <w:start w:val="0"/>
      <w:numFmt w:val="bullet"/>
      <w:lvlText w:val="•"/>
      <w:lvlJc w:val="left"/>
      <w:pPr>
        <w:ind w:left="3679" w:hanging="339"/>
      </w:pPr>
      <w:rPr>
        <w:rFonts w:hint="default"/>
        <w:lang w:val="ru-RU" w:eastAsia="en-US" w:bidi="ar-SA"/>
      </w:rPr>
    </w:lvl>
    <w:lvl w:ilvl="4">
      <w:start w:val="0"/>
      <w:numFmt w:val="bullet"/>
      <w:lvlText w:val="•"/>
      <w:lvlJc w:val="left"/>
      <w:pPr>
        <w:ind w:left="4572" w:hanging="339"/>
      </w:pPr>
      <w:rPr>
        <w:rFonts w:hint="default"/>
        <w:lang w:val="ru-RU" w:eastAsia="en-US" w:bidi="ar-SA"/>
      </w:rPr>
    </w:lvl>
    <w:lvl w:ilvl="5">
      <w:start w:val="0"/>
      <w:numFmt w:val="bullet"/>
      <w:lvlText w:val="•"/>
      <w:lvlJc w:val="left"/>
      <w:pPr>
        <w:ind w:left="5465" w:hanging="339"/>
      </w:pPr>
      <w:rPr>
        <w:rFonts w:hint="default"/>
        <w:lang w:val="ru-RU" w:eastAsia="en-US" w:bidi="ar-SA"/>
      </w:rPr>
    </w:lvl>
    <w:lvl w:ilvl="6">
      <w:start w:val="0"/>
      <w:numFmt w:val="bullet"/>
      <w:lvlText w:val="•"/>
      <w:lvlJc w:val="left"/>
      <w:pPr>
        <w:ind w:left="6358" w:hanging="339"/>
      </w:pPr>
      <w:rPr>
        <w:rFonts w:hint="default"/>
        <w:lang w:val="ru-RU" w:eastAsia="en-US" w:bidi="ar-SA"/>
      </w:rPr>
    </w:lvl>
    <w:lvl w:ilvl="7">
      <w:start w:val="0"/>
      <w:numFmt w:val="bullet"/>
      <w:lvlText w:val="•"/>
      <w:lvlJc w:val="left"/>
      <w:pPr>
        <w:ind w:left="7251" w:hanging="339"/>
      </w:pPr>
      <w:rPr>
        <w:rFonts w:hint="default"/>
        <w:lang w:val="ru-RU" w:eastAsia="en-US" w:bidi="ar-SA"/>
      </w:rPr>
    </w:lvl>
    <w:lvl w:ilvl="8">
      <w:start w:val="0"/>
      <w:numFmt w:val="bullet"/>
      <w:lvlText w:val="•"/>
      <w:lvlJc w:val="left"/>
      <w:pPr>
        <w:ind w:left="8144" w:hanging="339"/>
      </w:pPr>
      <w:rPr>
        <w:rFonts w:hint="default"/>
        <w:lang w:val="ru-RU" w:eastAsia="en-US" w:bidi="ar-SA"/>
      </w:rPr>
    </w:lvl>
  </w:abstractNum>
  <w:abstractNum w:abstractNumId="18">
    <w:multiLevelType w:val="hybridMultilevel"/>
    <w:lvl w:ilvl="0">
      <w:start w:val="0"/>
      <w:numFmt w:val="bullet"/>
      <w:lvlText w:val=""/>
      <w:lvlJc w:val="left"/>
      <w:pPr>
        <w:ind w:left="1000" w:hanging="339"/>
      </w:pPr>
      <w:rPr>
        <w:rFonts w:hint="default" w:ascii="Symbol" w:hAnsi="Symbol" w:eastAsia="Symbol" w:cs="Symbol"/>
        <w:w w:val="100"/>
        <w:sz w:val="24"/>
        <w:szCs w:val="24"/>
        <w:lang w:val="ru-RU" w:eastAsia="en-US" w:bidi="ar-SA"/>
      </w:rPr>
    </w:lvl>
    <w:lvl w:ilvl="1">
      <w:start w:val="0"/>
      <w:numFmt w:val="bullet"/>
      <w:lvlText w:val=""/>
      <w:lvlJc w:val="left"/>
      <w:pPr>
        <w:ind w:left="321" w:hanging="286"/>
      </w:pPr>
      <w:rPr>
        <w:rFonts w:hint="default" w:ascii="Symbol" w:hAnsi="Symbol" w:eastAsia="Symbol" w:cs="Symbol"/>
        <w:w w:val="100"/>
        <w:sz w:val="24"/>
        <w:szCs w:val="24"/>
        <w:lang w:val="ru-RU" w:eastAsia="en-US" w:bidi="ar-SA"/>
      </w:rPr>
    </w:lvl>
    <w:lvl w:ilvl="2">
      <w:start w:val="0"/>
      <w:numFmt w:val="bullet"/>
      <w:lvlText w:val="•"/>
      <w:lvlJc w:val="left"/>
      <w:pPr>
        <w:ind w:left="1992" w:hanging="286"/>
      </w:pPr>
      <w:rPr>
        <w:rFonts w:hint="default"/>
        <w:lang w:val="ru-RU" w:eastAsia="en-US" w:bidi="ar-SA"/>
      </w:rPr>
    </w:lvl>
    <w:lvl w:ilvl="3">
      <w:start w:val="0"/>
      <w:numFmt w:val="bullet"/>
      <w:lvlText w:val="•"/>
      <w:lvlJc w:val="left"/>
      <w:pPr>
        <w:ind w:left="2984" w:hanging="286"/>
      </w:pPr>
      <w:rPr>
        <w:rFonts w:hint="default"/>
        <w:lang w:val="ru-RU" w:eastAsia="en-US" w:bidi="ar-SA"/>
      </w:rPr>
    </w:lvl>
    <w:lvl w:ilvl="4">
      <w:start w:val="0"/>
      <w:numFmt w:val="bullet"/>
      <w:lvlText w:val="•"/>
      <w:lvlJc w:val="left"/>
      <w:pPr>
        <w:ind w:left="3977" w:hanging="286"/>
      </w:pPr>
      <w:rPr>
        <w:rFonts w:hint="default"/>
        <w:lang w:val="ru-RU" w:eastAsia="en-US" w:bidi="ar-SA"/>
      </w:rPr>
    </w:lvl>
    <w:lvl w:ilvl="5">
      <w:start w:val="0"/>
      <w:numFmt w:val="bullet"/>
      <w:lvlText w:val="•"/>
      <w:lvlJc w:val="left"/>
      <w:pPr>
        <w:ind w:left="4969" w:hanging="286"/>
      </w:pPr>
      <w:rPr>
        <w:rFonts w:hint="default"/>
        <w:lang w:val="ru-RU" w:eastAsia="en-US" w:bidi="ar-SA"/>
      </w:rPr>
    </w:lvl>
    <w:lvl w:ilvl="6">
      <w:start w:val="0"/>
      <w:numFmt w:val="bullet"/>
      <w:lvlText w:val="•"/>
      <w:lvlJc w:val="left"/>
      <w:pPr>
        <w:ind w:left="5961" w:hanging="286"/>
      </w:pPr>
      <w:rPr>
        <w:rFonts w:hint="default"/>
        <w:lang w:val="ru-RU" w:eastAsia="en-US" w:bidi="ar-SA"/>
      </w:rPr>
    </w:lvl>
    <w:lvl w:ilvl="7">
      <w:start w:val="0"/>
      <w:numFmt w:val="bullet"/>
      <w:lvlText w:val="•"/>
      <w:lvlJc w:val="left"/>
      <w:pPr>
        <w:ind w:left="6954" w:hanging="286"/>
      </w:pPr>
      <w:rPr>
        <w:rFonts w:hint="default"/>
        <w:lang w:val="ru-RU" w:eastAsia="en-US" w:bidi="ar-SA"/>
      </w:rPr>
    </w:lvl>
    <w:lvl w:ilvl="8">
      <w:start w:val="0"/>
      <w:numFmt w:val="bullet"/>
      <w:lvlText w:val="•"/>
      <w:lvlJc w:val="left"/>
      <w:pPr>
        <w:ind w:left="7946" w:hanging="286"/>
      </w:pPr>
      <w:rPr>
        <w:rFonts w:hint="default"/>
        <w:lang w:val="ru-RU" w:eastAsia="en-US" w:bidi="ar-SA"/>
      </w:rPr>
    </w:lvl>
  </w:abstractNum>
  <w:abstractNum w:abstractNumId="10">
    <w:multiLevelType w:val="hybridMultilevel"/>
    <w:lvl w:ilvl="0">
      <w:start w:val="0"/>
      <w:numFmt w:val="bullet"/>
      <w:lvlText w:val=""/>
      <w:lvlJc w:val="left"/>
      <w:pPr>
        <w:ind w:left="1000" w:hanging="339"/>
      </w:pPr>
      <w:rPr>
        <w:rFonts w:hint="default" w:ascii="Symbol" w:hAnsi="Symbol" w:eastAsia="Symbol" w:cs="Symbol"/>
        <w:w w:val="100"/>
        <w:sz w:val="24"/>
        <w:szCs w:val="24"/>
        <w:lang w:val="ru-RU" w:eastAsia="en-US" w:bidi="ar-SA"/>
      </w:rPr>
    </w:lvl>
    <w:lvl w:ilvl="1">
      <w:start w:val="0"/>
      <w:numFmt w:val="bullet"/>
      <w:lvlText w:val="-"/>
      <w:lvlJc w:val="left"/>
      <w:pPr>
        <w:ind w:left="321" w:hanging="156"/>
      </w:pPr>
      <w:rPr>
        <w:rFonts w:hint="default"/>
        <w:w w:val="100"/>
        <w:lang w:val="ru-RU" w:eastAsia="en-US" w:bidi="ar-SA"/>
      </w:rPr>
    </w:lvl>
    <w:lvl w:ilvl="2">
      <w:start w:val="0"/>
      <w:numFmt w:val="bullet"/>
      <w:lvlText w:val="•"/>
      <w:lvlJc w:val="left"/>
      <w:pPr>
        <w:ind w:left="1992" w:hanging="156"/>
      </w:pPr>
      <w:rPr>
        <w:rFonts w:hint="default"/>
        <w:lang w:val="ru-RU" w:eastAsia="en-US" w:bidi="ar-SA"/>
      </w:rPr>
    </w:lvl>
    <w:lvl w:ilvl="3">
      <w:start w:val="0"/>
      <w:numFmt w:val="bullet"/>
      <w:lvlText w:val="•"/>
      <w:lvlJc w:val="left"/>
      <w:pPr>
        <w:ind w:left="2984" w:hanging="156"/>
      </w:pPr>
      <w:rPr>
        <w:rFonts w:hint="default"/>
        <w:lang w:val="ru-RU" w:eastAsia="en-US" w:bidi="ar-SA"/>
      </w:rPr>
    </w:lvl>
    <w:lvl w:ilvl="4">
      <w:start w:val="0"/>
      <w:numFmt w:val="bullet"/>
      <w:lvlText w:val="•"/>
      <w:lvlJc w:val="left"/>
      <w:pPr>
        <w:ind w:left="3977" w:hanging="156"/>
      </w:pPr>
      <w:rPr>
        <w:rFonts w:hint="default"/>
        <w:lang w:val="ru-RU" w:eastAsia="en-US" w:bidi="ar-SA"/>
      </w:rPr>
    </w:lvl>
    <w:lvl w:ilvl="5">
      <w:start w:val="0"/>
      <w:numFmt w:val="bullet"/>
      <w:lvlText w:val="•"/>
      <w:lvlJc w:val="left"/>
      <w:pPr>
        <w:ind w:left="4969" w:hanging="156"/>
      </w:pPr>
      <w:rPr>
        <w:rFonts w:hint="default"/>
        <w:lang w:val="ru-RU" w:eastAsia="en-US" w:bidi="ar-SA"/>
      </w:rPr>
    </w:lvl>
    <w:lvl w:ilvl="6">
      <w:start w:val="0"/>
      <w:numFmt w:val="bullet"/>
      <w:lvlText w:val="•"/>
      <w:lvlJc w:val="left"/>
      <w:pPr>
        <w:ind w:left="5961" w:hanging="156"/>
      </w:pPr>
      <w:rPr>
        <w:rFonts w:hint="default"/>
        <w:lang w:val="ru-RU" w:eastAsia="en-US" w:bidi="ar-SA"/>
      </w:rPr>
    </w:lvl>
    <w:lvl w:ilvl="7">
      <w:start w:val="0"/>
      <w:numFmt w:val="bullet"/>
      <w:lvlText w:val="•"/>
      <w:lvlJc w:val="left"/>
      <w:pPr>
        <w:ind w:left="6954" w:hanging="156"/>
      </w:pPr>
      <w:rPr>
        <w:rFonts w:hint="default"/>
        <w:lang w:val="ru-RU" w:eastAsia="en-US" w:bidi="ar-SA"/>
      </w:rPr>
    </w:lvl>
    <w:lvl w:ilvl="8">
      <w:start w:val="0"/>
      <w:numFmt w:val="bullet"/>
      <w:lvlText w:val="•"/>
      <w:lvlJc w:val="left"/>
      <w:pPr>
        <w:ind w:left="7946" w:hanging="156"/>
      </w:pPr>
      <w:rPr>
        <w:rFonts w:hint="default"/>
        <w:lang w:val="ru-RU" w:eastAsia="en-US" w:bidi="ar-SA"/>
      </w:rPr>
    </w:lvl>
  </w:abstractNum>
  <w:abstractNum w:abstractNumId="74">
    <w:multiLevelType w:val="hybridMultilevel"/>
    <w:lvl w:ilvl="0">
      <w:start w:val="1"/>
      <w:numFmt w:val="decimal"/>
      <w:lvlText w:val="%1)"/>
      <w:lvlJc w:val="left"/>
      <w:pPr>
        <w:ind w:left="600" w:hanging="428"/>
        <w:jc w:val="left"/>
      </w:pPr>
      <w:rPr>
        <w:rFonts w:hint="default" w:ascii="Times New Roman" w:hAnsi="Times New Roman" w:eastAsia="Times New Roman" w:cs="Times New Roman"/>
        <w:spacing w:val="-6"/>
        <w:w w:val="100"/>
        <w:sz w:val="24"/>
        <w:szCs w:val="24"/>
        <w:lang w:val="ru-RU" w:eastAsia="en-US" w:bidi="ar-SA"/>
      </w:rPr>
    </w:lvl>
    <w:lvl w:ilvl="1">
      <w:start w:val="0"/>
      <w:numFmt w:val="bullet"/>
      <w:lvlText w:val="•"/>
      <w:lvlJc w:val="left"/>
      <w:pPr>
        <w:ind w:left="1587" w:hanging="428"/>
      </w:pPr>
      <w:rPr>
        <w:rFonts w:hint="default"/>
        <w:lang w:val="ru-RU" w:eastAsia="en-US" w:bidi="ar-SA"/>
      </w:rPr>
    </w:lvl>
    <w:lvl w:ilvl="2">
      <w:start w:val="0"/>
      <w:numFmt w:val="bullet"/>
      <w:lvlText w:val="•"/>
      <w:lvlJc w:val="left"/>
      <w:pPr>
        <w:ind w:left="2574" w:hanging="428"/>
      </w:pPr>
      <w:rPr>
        <w:rFonts w:hint="default"/>
        <w:lang w:val="ru-RU" w:eastAsia="en-US" w:bidi="ar-SA"/>
      </w:rPr>
    </w:lvl>
    <w:lvl w:ilvl="3">
      <w:start w:val="0"/>
      <w:numFmt w:val="bullet"/>
      <w:lvlText w:val="•"/>
      <w:lvlJc w:val="left"/>
      <w:pPr>
        <w:ind w:left="3561" w:hanging="428"/>
      </w:pPr>
      <w:rPr>
        <w:rFonts w:hint="default"/>
        <w:lang w:val="ru-RU" w:eastAsia="en-US" w:bidi="ar-SA"/>
      </w:rPr>
    </w:lvl>
    <w:lvl w:ilvl="4">
      <w:start w:val="0"/>
      <w:numFmt w:val="bullet"/>
      <w:lvlText w:val="•"/>
      <w:lvlJc w:val="left"/>
      <w:pPr>
        <w:ind w:left="4548" w:hanging="428"/>
      </w:pPr>
      <w:rPr>
        <w:rFonts w:hint="default"/>
        <w:lang w:val="ru-RU" w:eastAsia="en-US" w:bidi="ar-SA"/>
      </w:rPr>
    </w:lvl>
    <w:lvl w:ilvl="5">
      <w:start w:val="0"/>
      <w:numFmt w:val="bullet"/>
      <w:lvlText w:val="•"/>
      <w:lvlJc w:val="left"/>
      <w:pPr>
        <w:ind w:left="5535" w:hanging="428"/>
      </w:pPr>
      <w:rPr>
        <w:rFonts w:hint="default"/>
        <w:lang w:val="ru-RU" w:eastAsia="en-US" w:bidi="ar-SA"/>
      </w:rPr>
    </w:lvl>
    <w:lvl w:ilvl="6">
      <w:start w:val="0"/>
      <w:numFmt w:val="bullet"/>
      <w:lvlText w:val="•"/>
      <w:lvlJc w:val="left"/>
      <w:pPr>
        <w:ind w:left="6522" w:hanging="428"/>
      </w:pPr>
      <w:rPr>
        <w:rFonts w:hint="default"/>
        <w:lang w:val="ru-RU" w:eastAsia="en-US" w:bidi="ar-SA"/>
      </w:rPr>
    </w:lvl>
    <w:lvl w:ilvl="7">
      <w:start w:val="0"/>
      <w:numFmt w:val="bullet"/>
      <w:lvlText w:val="•"/>
      <w:lvlJc w:val="left"/>
      <w:pPr>
        <w:ind w:left="7509" w:hanging="428"/>
      </w:pPr>
      <w:rPr>
        <w:rFonts w:hint="default"/>
        <w:lang w:val="ru-RU" w:eastAsia="en-US" w:bidi="ar-SA"/>
      </w:rPr>
    </w:lvl>
    <w:lvl w:ilvl="8">
      <w:start w:val="0"/>
      <w:numFmt w:val="bullet"/>
      <w:lvlText w:val="•"/>
      <w:lvlJc w:val="left"/>
      <w:pPr>
        <w:ind w:left="8496" w:hanging="428"/>
      </w:pPr>
      <w:rPr>
        <w:rFonts w:hint="default"/>
        <w:lang w:val="ru-RU" w:eastAsia="en-US" w:bidi="ar-SA"/>
      </w:rPr>
    </w:lvl>
  </w:abstractNum>
  <w:abstractNum w:abstractNumId="73">
    <w:multiLevelType w:val="hybridMultilevel"/>
    <w:lvl w:ilvl="0">
      <w:start w:val="0"/>
      <w:numFmt w:val="bullet"/>
      <w:lvlText w:val=""/>
      <w:lvlJc w:val="left"/>
      <w:pPr>
        <w:ind w:left="145" w:hanging="197"/>
      </w:pPr>
      <w:rPr>
        <w:rFonts w:hint="default" w:ascii="Symbol" w:hAnsi="Symbol" w:eastAsia="Symbol" w:cs="Symbol"/>
        <w:w w:val="100"/>
        <w:position w:val="2"/>
        <w:sz w:val="22"/>
        <w:szCs w:val="22"/>
        <w:lang w:val="ru-RU" w:eastAsia="en-US" w:bidi="ar-SA"/>
      </w:rPr>
    </w:lvl>
    <w:lvl w:ilvl="1">
      <w:start w:val="0"/>
      <w:numFmt w:val="bullet"/>
      <w:lvlText w:val="•"/>
      <w:lvlJc w:val="left"/>
      <w:pPr>
        <w:ind w:left="493" w:hanging="197"/>
      </w:pPr>
      <w:rPr>
        <w:rFonts w:hint="default"/>
        <w:lang w:val="ru-RU" w:eastAsia="en-US" w:bidi="ar-SA"/>
      </w:rPr>
    </w:lvl>
    <w:lvl w:ilvl="2">
      <w:start w:val="0"/>
      <w:numFmt w:val="bullet"/>
      <w:lvlText w:val="•"/>
      <w:lvlJc w:val="left"/>
      <w:pPr>
        <w:ind w:left="847" w:hanging="197"/>
      </w:pPr>
      <w:rPr>
        <w:rFonts w:hint="default"/>
        <w:lang w:val="ru-RU" w:eastAsia="en-US" w:bidi="ar-SA"/>
      </w:rPr>
    </w:lvl>
    <w:lvl w:ilvl="3">
      <w:start w:val="0"/>
      <w:numFmt w:val="bullet"/>
      <w:lvlText w:val="•"/>
      <w:lvlJc w:val="left"/>
      <w:pPr>
        <w:ind w:left="1201" w:hanging="197"/>
      </w:pPr>
      <w:rPr>
        <w:rFonts w:hint="default"/>
        <w:lang w:val="ru-RU" w:eastAsia="en-US" w:bidi="ar-SA"/>
      </w:rPr>
    </w:lvl>
    <w:lvl w:ilvl="4">
      <w:start w:val="0"/>
      <w:numFmt w:val="bullet"/>
      <w:lvlText w:val="•"/>
      <w:lvlJc w:val="left"/>
      <w:pPr>
        <w:ind w:left="1554" w:hanging="197"/>
      </w:pPr>
      <w:rPr>
        <w:rFonts w:hint="default"/>
        <w:lang w:val="ru-RU" w:eastAsia="en-US" w:bidi="ar-SA"/>
      </w:rPr>
    </w:lvl>
    <w:lvl w:ilvl="5">
      <w:start w:val="0"/>
      <w:numFmt w:val="bullet"/>
      <w:lvlText w:val="•"/>
      <w:lvlJc w:val="left"/>
      <w:pPr>
        <w:ind w:left="1908" w:hanging="197"/>
      </w:pPr>
      <w:rPr>
        <w:rFonts w:hint="default"/>
        <w:lang w:val="ru-RU" w:eastAsia="en-US" w:bidi="ar-SA"/>
      </w:rPr>
    </w:lvl>
    <w:lvl w:ilvl="6">
      <w:start w:val="0"/>
      <w:numFmt w:val="bullet"/>
      <w:lvlText w:val="•"/>
      <w:lvlJc w:val="left"/>
      <w:pPr>
        <w:ind w:left="2262" w:hanging="197"/>
      </w:pPr>
      <w:rPr>
        <w:rFonts w:hint="default"/>
        <w:lang w:val="ru-RU" w:eastAsia="en-US" w:bidi="ar-SA"/>
      </w:rPr>
    </w:lvl>
    <w:lvl w:ilvl="7">
      <w:start w:val="0"/>
      <w:numFmt w:val="bullet"/>
      <w:lvlText w:val="•"/>
      <w:lvlJc w:val="left"/>
      <w:pPr>
        <w:ind w:left="2615" w:hanging="197"/>
      </w:pPr>
      <w:rPr>
        <w:rFonts w:hint="default"/>
        <w:lang w:val="ru-RU" w:eastAsia="en-US" w:bidi="ar-SA"/>
      </w:rPr>
    </w:lvl>
    <w:lvl w:ilvl="8">
      <w:start w:val="0"/>
      <w:numFmt w:val="bullet"/>
      <w:lvlText w:val="•"/>
      <w:lvlJc w:val="left"/>
      <w:pPr>
        <w:ind w:left="2969" w:hanging="197"/>
      </w:pPr>
      <w:rPr>
        <w:rFonts w:hint="default"/>
        <w:lang w:val="ru-RU" w:eastAsia="en-US" w:bidi="ar-SA"/>
      </w:rPr>
    </w:lvl>
  </w:abstractNum>
  <w:abstractNum w:abstractNumId="72">
    <w:multiLevelType w:val="hybridMultilevel"/>
    <w:lvl w:ilvl="0">
      <w:start w:val="0"/>
      <w:numFmt w:val="bullet"/>
      <w:lvlText w:val=""/>
      <w:lvlJc w:val="left"/>
      <w:pPr>
        <w:ind w:left="426" w:hanging="320"/>
      </w:pPr>
      <w:rPr>
        <w:rFonts w:hint="default" w:ascii="Symbol" w:hAnsi="Symbol" w:eastAsia="Symbol" w:cs="Symbol"/>
        <w:w w:val="100"/>
        <w:sz w:val="22"/>
        <w:szCs w:val="22"/>
        <w:lang w:val="ru-RU" w:eastAsia="en-US" w:bidi="ar-SA"/>
      </w:rPr>
    </w:lvl>
    <w:lvl w:ilvl="1">
      <w:start w:val="0"/>
      <w:numFmt w:val="bullet"/>
      <w:lvlText w:val="•"/>
      <w:lvlJc w:val="left"/>
      <w:pPr>
        <w:ind w:left="947" w:hanging="320"/>
      </w:pPr>
      <w:rPr>
        <w:rFonts w:hint="default"/>
        <w:lang w:val="ru-RU" w:eastAsia="en-US" w:bidi="ar-SA"/>
      </w:rPr>
    </w:lvl>
    <w:lvl w:ilvl="2">
      <w:start w:val="0"/>
      <w:numFmt w:val="bullet"/>
      <w:lvlText w:val="•"/>
      <w:lvlJc w:val="left"/>
      <w:pPr>
        <w:ind w:left="1474" w:hanging="320"/>
      </w:pPr>
      <w:rPr>
        <w:rFonts w:hint="default"/>
        <w:lang w:val="ru-RU" w:eastAsia="en-US" w:bidi="ar-SA"/>
      </w:rPr>
    </w:lvl>
    <w:lvl w:ilvl="3">
      <w:start w:val="0"/>
      <w:numFmt w:val="bullet"/>
      <w:lvlText w:val="•"/>
      <w:lvlJc w:val="left"/>
      <w:pPr>
        <w:ind w:left="2001" w:hanging="320"/>
      </w:pPr>
      <w:rPr>
        <w:rFonts w:hint="default"/>
        <w:lang w:val="ru-RU" w:eastAsia="en-US" w:bidi="ar-SA"/>
      </w:rPr>
    </w:lvl>
    <w:lvl w:ilvl="4">
      <w:start w:val="0"/>
      <w:numFmt w:val="bullet"/>
      <w:lvlText w:val="•"/>
      <w:lvlJc w:val="left"/>
      <w:pPr>
        <w:ind w:left="2528" w:hanging="320"/>
      </w:pPr>
      <w:rPr>
        <w:rFonts w:hint="default"/>
        <w:lang w:val="ru-RU" w:eastAsia="en-US" w:bidi="ar-SA"/>
      </w:rPr>
    </w:lvl>
    <w:lvl w:ilvl="5">
      <w:start w:val="0"/>
      <w:numFmt w:val="bullet"/>
      <w:lvlText w:val="•"/>
      <w:lvlJc w:val="left"/>
      <w:pPr>
        <w:ind w:left="3055" w:hanging="320"/>
      </w:pPr>
      <w:rPr>
        <w:rFonts w:hint="default"/>
        <w:lang w:val="ru-RU" w:eastAsia="en-US" w:bidi="ar-SA"/>
      </w:rPr>
    </w:lvl>
    <w:lvl w:ilvl="6">
      <w:start w:val="0"/>
      <w:numFmt w:val="bullet"/>
      <w:lvlText w:val="•"/>
      <w:lvlJc w:val="left"/>
      <w:pPr>
        <w:ind w:left="3582" w:hanging="320"/>
      </w:pPr>
      <w:rPr>
        <w:rFonts w:hint="default"/>
        <w:lang w:val="ru-RU" w:eastAsia="en-US" w:bidi="ar-SA"/>
      </w:rPr>
    </w:lvl>
    <w:lvl w:ilvl="7">
      <w:start w:val="0"/>
      <w:numFmt w:val="bullet"/>
      <w:lvlText w:val="•"/>
      <w:lvlJc w:val="left"/>
      <w:pPr>
        <w:ind w:left="4109" w:hanging="320"/>
      </w:pPr>
      <w:rPr>
        <w:rFonts w:hint="default"/>
        <w:lang w:val="ru-RU" w:eastAsia="en-US" w:bidi="ar-SA"/>
      </w:rPr>
    </w:lvl>
    <w:lvl w:ilvl="8">
      <w:start w:val="0"/>
      <w:numFmt w:val="bullet"/>
      <w:lvlText w:val="•"/>
      <w:lvlJc w:val="left"/>
      <w:pPr>
        <w:ind w:left="4636" w:hanging="320"/>
      </w:pPr>
      <w:rPr>
        <w:rFonts w:hint="default"/>
        <w:lang w:val="ru-RU" w:eastAsia="en-US" w:bidi="ar-SA"/>
      </w:rPr>
    </w:lvl>
  </w:abstractNum>
  <w:abstractNum w:abstractNumId="71">
    <w:multiLevelType w:val="hybridMultilevel"/>
    <w:lvl w:ilvl="0">
      <w:start w:val="0"/>
      <w:numFmt w:val="bullet"/>
      <w:lvlText w:val=""/>
      <w:lvlJc w:val="left"/>
      <w:pPr>
        <w:ind w:left="145" w:hanging="238"/>
      </w:pPr>
      <w:rPr>
        <w:rFonts w:hint="default" w:ascii="Symbol" w:hAnsi="Symbol" w:eastAsia="Symbol" w:cs="Symbol"/>
        <w:w w:val="100"/>
        <w:position w:val="2"/>
        <w:sz w:val="22"/>
        <w:szCs w:val="22"/>
        <w:lang w:val="ru-RU" w:eastAsia="en-US" w:bidi="ar-SA"/>
      </w:rPr>
    </w:lvl>
    <w:lvl w:ilvl="1">
      <w:start w:val="0"/>
      <w:numFmt w:val="bullet"/>
      <w:lvlText w:val="•"/>
      <w:lvlJc w:val="left"/>
      <w:pPr>
        <w:ind w:left="493" w:hanging="238"/>
      </w:pPr>
      <w:rPr>
        <w:rFonts w:hint="default"/>
        <w:lang w:val="ru-RU" w:eastAsia="en-US" w:bidi="ar-SA"/>
      </w:rPr>
    </w:lvl>
    <w:lvl w:ilvl="2">
      <w:start w:val="0"/>
      <w:numFmt w:val="bullet"/>
      <w:lvlText w:val="•"/>
      <w:lvlJc w:val="left"/>
      <w:pPr>
        <w:ind w:left="847" w:hanging="238"/>
      </w:pPr>
      <w:rPr>
        <w:rFonts w:hint="default"/>
        <w:lang w:val="ru-RU" w:eastAsia="en-US" w:bidi="ar-SA"/>
      </w:rPr>
    </w:lvl>
    <w:lvl w:ilvl="3">
      <w:start w:val="0"/>
      <w:numFmt w:val="bullet"/>
      <w:lvlText w:val="•"/>
      <w:lvlJc w:val="left"/>
      <w:pPr>
        <w:ind w:left="1201" w:hanging="238"/>
      </w:pPr>
      <w:rPr>
        <w:rFonts w:hint="default"/>
        <w:lang w:val="ru-RU" w:eastAsia="en-US" w:bidi="ar-SA"/>
      </w:rPr>
    </w:lvl>
    <w:lvl w:ilvl="4">
      <w:start w:val="0"/>
      <w:numFmt w:val="bullet"/>
      <w:lvlText w:val="•"/>
      <w:lvlJc w:val="left"/>
      <w:pPr>
        <w:ind w:left="1554" w:hanging="238"/>
      </w:pPr>
      <w:rPr>
        <w:rFonts w:hint="default"/>
        <w:lang w:val="ru-RU" w:eastAsia="en-US" w:bidi="ar-SA"/>
      </w:rPr>
    </w:lvl>
    <w:lvl w:ilvl="5">
      <w:start w:val="0"/>
      <w:numFmt w:val="bullet"/>
      <w:lvlText w:val="•"/>
      <w:lvlJc w:val="left"/>
      <w:pPr>
        <w:ind w:left="1908" w:hanging="238"/>
      </w:pPr>
      <w:rPr>
        <w:rFonts w:hint="default"/>
        <w:lang w:val="ru-RU" w:eastAsia="en-US" w:bidi="ar-SA"/>
      </w:rPr>
    </w:lvl>
    <w:lvl w:ilvl="6">
      <w:start w:val="0"/>
      <w:numFmt w:val="bullet"/>
      <w:lvlText w:val="•"/>
      <w:lvlJc w:val="left"/>
      <w:pPr>
        <w:ind w:left="2262" w:hanging="238"/>
      </w:pPr>
      <w:rPr>
        <w:rFonts w:hint="default"/>
        <w:lang w:val="ru-RU" w:eastAsia="en-US" w:bidi="ar-SA"/>
      </w:rPr>
    </w:lvl>
    <w:lvl w:ilvl="7">
      <w:start w:val="0"/>
      <w:numFmt w:val="bullet"/>
      <w:lvlText w:val="•"/>
      <w:lvlJc w:val="left"/>
      <w:pPr>
        <w:ind w:left="2615" w:hanging="238"/>
      </w:pPr>
      <w:rPr>
        <w:rFonts w:hint="default"/>
        <w:lang w:val="ru-RU" w:eastAsia="en-US" w:bidi="ar-SA"/>
      </w:rPr>
    </w:lvl>
    <w:lvl w:ilvl="8">
      <w:start w:val="0"/>
      <w:numFmt w:val="bullet"/>
      <w:lvlText w:val="•"/>
      <w:lvlJc w:val="left"/>
      <w:pPr>
        <w:ind w:left="2969" w:hanging="238"/>
      </w:pPr>
      <w:rPr>
        <w:rFonts w:hint="default"/>
        <w:lang w:val="ru-RU" w:eastAsia="en-US" w:bidi="ar-SA"/>
      </w:rPr>
    </w:lvl>
  </w:abstractNum>
  <w:abstractNum w:abstractNumId="70">
    <w:multiLevelType w:val="hybridMultilevel"/>
    <w:lvl w:ilvl="0">
      <w:start w:val="0"/>
      <w:numFmt w:val="bullet"/>
      <w:lvlText w:val=""/>
      <w:lvlJc w:val="left"/>
      <w:pPr>
        <w:ind w:left="426" w:hanging="320"/>
      </w:pPr>
      <w:rPr>
        <w:rFonts w:hint="default" w:ascii="Symbol" w:hAnsi="Symbol" w:eastAsia="Symbol" w:cs="Symbol"/>
        <w:w w:val="100"/>
        <w:sz w:val="22"/>
        <w:szCs w:val="22"/>
        <w:lang w:val="ru-RU" w:eastAsia="en-US" w:bidi="ar-SA"/>
      </w:rPr>
    </w:lvl>
    <w:lvl w:ilvl="1">
      <w:start w:val="0"/>
      <w:numFmt w:val="bullet"/>
      <w:lvlText w:val="•"/>
      <w:lvlJc w:val="left"/>
      <w:pPr>
        <w:ind w:left="947" w:hanging="320"/>
      </w:pPr>
      <w:rPr>
        <w:rFonts w:hint="default"/>
        <w:lang w:val="ru-RU" w:eastAsia="en-US" w:bidi="ar-SA"/>
      </w:rPr>
    </w:lvl>
    <w:lvl w:ilvl="2">
      <w:start w:val="0"/>
      <w:numFmt w:val="bullet"/>
      <w:lvlText w:val="•"/>
      <w:lvlJc w:val="left"/>
      <w:pPr>
        <w:ind w:left="1474" w:hanging="320"/>
      </w:pPr>
      <w:rPr>
        <w:rFonts w:hint="default"/>
        <w:lang w:val="ru-RU" w:eastAsia="en-US" w:bidi="ar-SA"/>
      </w:rPr>
    </w:lvl>
    <w:lvl w:ilvl="3">
      <w:start w:val="0"/>
      <w:numFmt w:val="bullet"/>
      <w:lvlText w:val="•"/>
      <w:lvlJc w:val="left"/>
      <w:pPr>
        <w:ind w:left="2001" w:hanging="320"/>
      </w:pPr>
      <w:rPr>
        <w:rFonts w:hint="default"/>
        <w:lang w:val="ru-RU" w:eastAsia="en-US" w:bidi="ar-SA"/>
      </w:rPr>
    </w:lvl>
    <w:lvl w:ilvl="4">
      <w:start w:val="0"/>
      <w:numFmt w:val="bullet"/>
      <w:lvlText w:val="•"/>
      <w:lvlJc w:val="left"/>
      <w:pPr>
        <w:ind w:left="2528" w:hanging="320"/>
      </w:pPr>
      <w:rPr>
        <w:rFonts w:hint="default"/>
        <w:lang w:val="ru-RU" w:eastAsia="en-US" w:bidi="ar-SA"/>
      </w:rPr>
    </w:lvl>
    <w:lvl w:ilvl="5">
      <w:start w:val="0"/>
      <w:numFmt w:val="bullet"/>
      <w:lvlText w:val="•"/>
      <w:lvlJc w:val="left"/>
      <w:pPr>
        <w:ind w:left="3055" w:hanging="320"/>
      </w:pPr>
      <w:rPr>
        <w:rFonts w:hint="default"/>
        <w:lang w:val="ru-RU" w:eastAsia="en-US" w:bidi="ar-SA"/>
      </w:rPr>
    </w:lvl>
    <w:lvl w:ilvl="6">
      <w:start w:val="0"/>
      <w:numFmt w:val="bullet"/>
      <w:lvlText w:val="•"/>
      <w:lvlJc w:val="left"/>
      <w:pPr>
        <w:ind w:left="3582" w:hanging="320"/>
      </w:pPr>
      <w:rPr>
        <w:rFonts w:hint="default"/>
        <w:lang w:val="ru-RU" w:eastAsia="en-US" w:bidi="ar-SA"/>
      </w:rPr>
    </w:lvl>
    <w:lvl w:ilvl="7">
      <w:start w:val="0"/>
      <w:numFmt w:val="bullet"/>
      <w:lvlText w:val="•"/>
      <w:lvlJc w:val="left"/>
      <w:pPr>
        <w:ind w:left="4109" w:hanging="320"/>
      </w:pPr>
      <w:rPr>
        <w:rFonts w:hint="default"/>
        <w:lang w:val="ru-RU" w:eastAsia="en-US" w:bidi="ar-SA"/>
      </w:rPr>
    </w:lvl>
    <w:lvl w:ilvl="8">
      <w:start w:val="0"/>
      <w:numFmt w:val="bullet"/>
      <w:lvlText w:val="•"/>
      <w:lvlJc w:val="left"/>
      <w:pPr>
        <w:ind w:left="4636" w:hanging="320"/>
      </w:pPr>
      <w:rPr>
        <w:rFonts w:hint="default"/>
        <w:lang w:val="ru-RU" w:eastAsia="en-US" w:bidi="ar-SA"/>
      </w:rPr>
    </w:lvl>
  </w:abstractNum>
  <w:abstractNum w:abstractNumId="69">
    <w:multiLevelType w:val="hybridMultilevel"/>
    <w:lvl w:ilvl="0">
      <w:start w:val="1"/>
      <w:numFmt w:val="decimal"/>
      <w:lvlText w:val="%1."/>
      <w:lvlJc w:val="left"/>
      <w:pPr>
        <w:ind w:left="739" w:hanging="425"/>
        <w:jc w:val="left"/>
      </w:pPr>
      <w:rPr>
        <w:rFonts w:hint="default" w:ascii="Times New Roman" w:hAnsi="Times New Roman" w:eastAsia="Times New Roman" w:cs="Times New Roman"/>
        <w:w w:val="100"/>
        <w:sz w:val="22"/>
        <w:szCs w:val="22"/>
        <w:lang w:val="ru-RU" w:eastAsia="en-US" w:bidi="ar-SA"/>
      </w:rPr>
    </w:lvl>
    <w:lvl w:ilvl="1">
      <w:start w:val="0"/>
      <w:numFmt w:val="bullet"/>
      <w:lvlText w:val="•"/>
      <w:lvlJc w:val="left"/>
      <w:pPr>
        <w:ind w:left="1713" w:hanging="425"/>
      </w:pPr>
      <w:rPr>
        <w:rFonts w:hint="default"/>
        <w:lang w:val="ru-RU" w:eastAsia="en-US" w:bidi="ar-SA"/>
      </w:rPr>
    </w:lvl>
    <w:lvl w:ilvl="2">
      <w:start w:val="0"/>
      <w:numFmt w:val="bullet"/>
      <w:lvlText w:val="•"/>
      <w:lvlJc w:val="left"/>
      <w:pPr>
        <w:ind w:left="2686" w:hanging="425"/>
      </w:pPr>
      <w:rPr>
        <w:rFonts w:hint="default"/>
        <w:lang w:val="ru-RU" w:eastAsia="en-US" w:bidi="ar-SA"/>
      </w:rPr>
    </w:lvl>
    <w:lvl w:ilvl="3">
      <w:start w:val="0"/>
      <w:numFmt w:val="bullet"/>
      <w:lvlText w:val="•"/>
      <w:lvlJc w:val="left"/>
      <w:pPr>
        <w:ind w:left="3659" w:hanging="425"/>
      </w:pPr>
      <w:rPr>
        <w:rFonts w:hint="default"/>
        <w:lang w:val="ru-RU" w:eastAsia="en-US" w:bidi="ar-SA"/>
      </w:rPr>
    </w:lvl>
    <w:lvl w:ilvl="4">
      <w:start w:val="0"/>
      <w:numFmt w:val="bullet"/>
      <w:lvlText w:val="•"/>
      <w:lvlJc w:val="left"/>
      <w:pPr>
        <w:ind w:left="4632" w:hanging="425"/>
      </w:pPr>
      <w:rPr>
        <w:rFonts w:hint="default"/>
        <w:lang w:val="ru-RU" w:eastAsia="en-US" w:bidi="ar-SA"/>
      </w:rPr>
    </w:lvl>
    <w:lvl w:ilvl="5">
      <w:start w:val="0"/>
      <w:numFmt w:val="bullet"/>
      <w:lvlText w:val="•"/>
      <w:lvlJc w:val="left"/>
      <w:pPr>
        <w:ind w:left="5605" w:hanging="425"/>
      </w:pPr>
      <w:rPr>
        <w:rFonts w:hint="default"/>
        <w:lang w:val="ru-RU" w:eastAsia="en-US" w:bidi="ar-SA"/>
      </w:rPr>
    </w:lvl>
    <w:lvl w:ilvl="6">
      <w:start w:val="0"/>
      <w:numFmt w:val="bullet"/>
      <w:lvlText w:val="•"/>
      <w:lvlJc w:val="left"/>
      <w:pPr>
        <w:ind w:left="6578" w:hanging="425"/>
      </w:pPr>
      <w:rPr>
        <w:rFonts w:hint="default"/>
        <w:lang w:val="ru-RU" w:eastAsia="en-US" w:bidi="ar-SA"/>
      </w:rPr>
    </w:lvl>
    <w:lvl w:ilvl="7">
      <w:start w:val="0"/>
      <w:numFmt w:val="bullet"/>
      <w:lvlText w:val="•"/>
      <w:lvlJc w:val="left"/>
      <w:pPr>
        <w:ind w:left="7551" w:hanging="425"/>
      </w:pPr>
      <w:rPr>
        <w:rFonts w:hint="default"/>
        <w:lang w:val="ru-RU" w:eastAsia="en-US" w:bidi="ar-SA"/>
      </w:rPr>
    </w:lvl>
    <w:lvl w:ilvl="8">
      <w:start w:val="0"/>
      <w:numFmt w:val="bullet"/>
      <w:lvlText w:val="•"/>
      <w:lvlJc w:val="left"/>
      <w:pPr>
        <w:ind w:left="8524" w:hanging="425"/>
      </w:pPr>
      <w:rPr>
        <w:rFonts w:hint="default"/>
        <w:lang w:val="ru-RU" w:eastAsia="en-US" w:bidi="ar-SA"/>
      </w:rPr>
    </w:lvl>
  </w:abstractNum>
  <w:abstractNum w:abstractNumId="68">
    <w:multiLevelType w:val="hybridMultilevel"/>
    <w:lvl w:ilvl="0">
      <w:start w:val="1"/>
      <w:numFmt w:val="decimal"/>
      <w:lvlText w:val="%1)"/>
      <w:lvlJc w:val="left"/>
      <w:pPr>
        <w:ind w:left="892" w:hanging="360"/>
        <w:jc w:val="left"/>
      </w:pPr>
      <w:rPr>
        <w:rFonts w:hint="default" w:ascii="Times New Roman" w:hAnsi="Times New Roman" w:eastAsia="Times New Roman" w:cs="Times New Roman"/>
        <w:w w:val="100"/>
        <w:sz w:val="22"/>
        <w:szCs w:val="22"/>
        <w:lang w:val="ru-RU" w:eastAsia="en-US" w:bidi="ar-SA"/>
      </w:rPr>
    </w:lvl>
    <w:lvl w:ilvl="1">
      <w:start w:val="0"/>
      <w:numFmt w:val="bullet"/>
      <w:lvlText w:val=""/>
      <w:lvlJc w:val="left"/>
      <w:pPr>
        <w:ind w:left="1526" w:hanging="361"/>
      </w:pPr>
      <w:rPr>
        <w:rFonts w:hint="default" w:ascii="Symbol" w:hAnsi="Symbol" w:eastAsia="Symbol" w:cs="Symbol"/>
        <w:w w:val="100"/>
        <w:sz w:val="22"/>
        <w:szCs w:val="22"/>
        <w:lang w:val="ru-RU" w:eastAsia="en-US" w:bidi="ar-SA"/>
      </w:rPr>
    </w:lvl>
    <w:lvl w:ilvl="2">
      <w:start w:val="0"/>
      <w:numFmt w:val="bullet"/>
      <w:lvlText w:val="•"/>
      <w:lvlJc w:val="left"/>
      <w:pPr>
        <w:ind w:left="2514" w:hanging="361"/>
      </w:pPr>
      <w:rPr>
        <w:rFonts w:hint="default"/>
        <w:lang w:val="ru-RU" w:eastAsia="en-US" w:bidi="ar-SA"/>
      </w:rPr>
    </w:lvl>
    <w:lvl w:ilvl="3">
      <w:start w:val="0"/>
      <w:numFmt w:val="bullet"/>
      <w:lvlText w:val="•"/>
      <w:lvlJc w:val="left"/>
      <w:pPr>
        <w:ind w:left="3509" w:hanging="361"/>
      </w:pPr>
      <w:rPr>
        <w:rFonts w:hint="default"/>
        <w:lang w:val="ru-RU" w:eastAsia="en-US" w:bidi="ar-SA"/>
      </w:rPr>
    </w:lvl>
    <w:lvl w:ilvl="4">
      <w:start w:val="0"/>
      <w:numFmt w:val="bullet"/>
      <w:lvlText w:val="•"/>
      <w:lvlJc w:val="left"/>
      <w:pPr>
        <w:ind w:left="4503" w:hanging="361"/>
      </w:pPr>
      <w:rPr>
        <w:rFonts w:hint="default"/>
        <w:lang w:val="ru-RU" w:eastAsia="en-US" w:bidi="ar-SA"/>
      </w:rPr>
    </w:lvl>
    <w:lvl w:ilvl="5">
      <w:start w:val="0"/>
      <w:numFmt w:val="bullet"/>
      <w:lvlText w:val="•"/>
      <w:lvlJc w:val="left"/>
      <w:pPr>
        <w:ind w:left="5498" w:hanging="361"/>
      </w:pPr>
      <w:rPr>
        <w:rFonts w:hint="default"/>
        <w:lang w:val="ru-RU" w:eastAsia="en-US" w:bidi="ar-SA"/>
      </w:rPr>
    </w:lvl>
    <w:lvl w:ilvl="6">
      <w:start w:val="0"/>
      <w:numFmt w:val="bullet"/>
      <w:lvlText w:val="•"/>
      <w:lvlJc w:val="left"/>
      <w:pPr>
        <w:ind w:left="6492" w:hanging="361"/>
      </w:pPr>
      <w:rPr>
        <w:rFonts w:hint="default"/>
        <w:lang w:val="ru-RU" w:eastAsia="en-US" w:bidi="ar-SA"/>
      </w:rPr>
    </w:lvl>
    <w:lvl w:ilvl="7">
      <w:start w:val="0"/>
      <w:numFmt w:val="bullet"/>
      <w:lvlText w:val="•"/>
      <w:lvlJc w:val="left"/>
      <w:pPr>
        <w:ind w:left="7487" w:hanging="361"/>
      </w:pPr>
      <w:rPr>
        <w:rFonts w:hint="default"/>
        <w:lang w:val="ru-RU" w:eastAsia="en-US" w:bidi="ar-SA"/>
      </w:rPr>
    </w:lvl>
    <w:lvl w:ilvl="8">
      <w:start w:val="0"/>
      <w:numFmt w:val="bullet"/>
      <w:lvlText w:val="•"/>
      <w:lvlJc w:val="left"/>
      <w:pPr>
        <w:ind w:left="8482" w:hanging="361"/>
      </w:pPr>
      <w:rPr>
        <w:rFonts w:hint="default"/>
        <w:lang w:val="ru-RU" w:eastAsia="en-US" w:bidi="ar-SA"/>
      </w:rPr>
    </w:lvl>
  </w:abstractNum>
  <w:abstractNum w:abstractNumId="67">
    <w:multiLevelType w:val="hybridMultilevel"/>
    <w:lvl w:ilvl="0">
      <w:start w:val="0"/>
      <w:numFmt w:val="bullet"/>
      <w:lvlText w:val=""/>
      <w:lvlJc w:val="left"/>
      <w:pPr>
        <w:ind w:left="249" w:hanging="161"/>
      </w:pPr>
      <w:rPr>
        <w:rFonts w:hint="default" w:ascii="Symbol" w:hAnsi="Symbol" w:eastAsia="Symbol" w:cs="Symbol"/>
        <w:w w:val="100"/>
        <w:sz w:val="22"/>
        <w:szCs w:val="22"/>
        <w:lang w:val="ru-RU" w:eastAsia="en-US" w:bidi="ar-SA"/>
      </w:rPr>
    </w:lvl>
    <w:lvl w:ilvl="1">
      <w:start w:val="0"/>
      <w:numFmt w:val="bullet"/>
      <w:lvlText w:val="•"/>
      <w:lvlJc w:val="left"/>
      <w:pPr>
        <w:ind w:left="1392" w:hanging="161"/>
      </w:pPr>
      <w:rPr>
        <w:rFonts w:hint="default"/>
        <w:lang w:val="ru-RU" w:eastAsia="en-US" w:bidi="ar-SA"/>
      </w:rPr>
    </w:lvl>
    <w:lvl w:ilvl="2">
      <w:start w:val="0"/>
      <w:numFmt w:val="bullet"/>
      <w:lvlText w:val="•"/>
      <w:lvlJc w:val="left"/>
      <w:pPr>
        <w:ind w:left="2545" w:hanging="161"/>
      </w:pPr>
      <w:rPr>
        <w:rFonts w:hint="default"/>
        <w:lang w:val="ru-RU" w:eastAsia="en-US" w:bidi="ar-SA"/>
      </w:rPr>
    </w:lvl>
    <w:lvl w:ilvl="3">
      <w:start w:val="0"/>
      <w:numFmt w:val="bullet"/>
      <w:lvlText w:val="•"/>
      <w:lvlJc w:val="left"/>
      <w:pPr>
        <w:ind w:left="3698" w:hanging="161"/>
      </w:pPr>
      <w:rPr>
        <w:rFonts w:hint="default"/>
        <w:lang w:val="ru-RU" w:eastAsia="en-US" w:bidi="ar-SA"/>
      </w:rPr>
    </w:lvl>
    <w:lvl w:ilvl="4">
      <w:start w:val="0"/>
      <w:numFmt w:val="bullet"/>
      <w:lvlText w:val="•"/>
      <w:lvlJc w:val="left"/>
      <w:pPr>
        <w:ind w:left="4850" w:hanging="161"/>
      </w:pPr>
      <w:rPr>
        <w:rFonts w:hint="default"/>
        <w:lang w:val="ru-RU" w:eastAsia="en-US" w:bidi="ar-SA"/>
      </w:rPr>
    </w:lvl>
    <w:lvl w:ilvl="5">
      <w:start w:val="0"/>
      <w:numFmt w:val="bullet"/>
      <w:lvlText w:val="•"/>
      <w:lvlJc w:val="left"/>
      <w:pPr>
        <w:ind w:left="6003" w:hanging="161"/>
      </w:pPr>
      <w:rPr>
        <w:rFonts w:hint="default"/>
        <w:lang w:val="ru-RU" w:eastAsia="en-US" w:bidi="ar-SA"/>
      </w:rPr>
    </w:lvl>
    <w:lvl w:ilvl="6">
      <w:start w:val="0"/>
      <w:numFmt w:val="bullet"/>
      <w:lvlText w:val="•"/>
      <w:lvlJc w:val="left"/>
      <w:pPr>
        <w:ind w:left="7156" w:hanging="161"/>
      </w:pPr>
      <w:rPr>
        <w:rFonts w:hint="default"/>
        <w:lang w:val="ru-RU" w:eastAsia="en-US" w:bidi="ar-SA"/>
      </w:rPr>
    </w:lvl>
    <w:lvl w:ilvl="7">
      <w:start w:val="0"/>
      <w:numFmt w:val="bullet"/>
      <w:lvlText w:val="•"/>
      <w:lvlJc w:val="left"/>
      <w:pPr>
        <w:ind w:left="8308" w:hanging="161"/>
      </w:pPr>
      <w:rPr>
        <w:rFonts w:hint="default"/>
        <w:lang w:val="ru-RU" w:eastAsia="en-US" w:bidi="ar-SA"/>
      </w:rPr>
    </w:lvl>
    <w:lvl w:ilvl="8">
      <w:start w:val="0"/>
      <w:numFmt w:val="bullet"/>
      <w:lvlText w:val="•"/>
      <w:lvlJc w:val="left"/>
      <w:pPr>
        <w:ind w:left="9461" w:hanging="161"/>
      </w:pPr>
      <w:rPr>
        <w:rFonts w:hint="default"/>
        <w:lang w:val="ru-RU" w:eastAsia="en-US" w:bidi="ar-SA"/>
      </w:rPr>
    </w:lvl>
  </w:abstractNum>
  <w:abstractNum w:abstractNumId="66">
    <w:multiLevelType w:val="hybridMultilevel"/>
    <w:lvl w:ilvl="0">
      <w:start w:val="1"/>
      <w:numFmt w:val="decimal"/>
      <w:lvlText w:val="%1."/>
      <w:lvlJc w:val="left"/>
      <w:pPr>
        <w:ind w:left="1320" w:hanging="360"/>
        <w:jc w:val="left"/>
      </w:pPr>
      <w:rPr>
        <w:rFonts w:hint="default" w:ascii="Times New Roman" w:hAnsi="Times New Roman" w:eastAsia="Times New Roman" w:cs="Times New Roman"/>
        <w:w w:val="100"/>
        <w:sz w:val="22"/>
        <w:szCs w:val="22"/>
        <w:lang w:val="ru-RU" w:eastAsia="en-US" w:bidi="ar-SA"/>
      </w:rPr>
    </w:lvl>
    <w:lvl w:ilvl="1">
      <w:start w:val="0"/>
      <w:numFmt w:val="bullet"/>
      <w:lvlText w:val="•"/>
      <w:lvlJc w:val="left"/>
      <w:pPr>
        <w:ind w:left="2748" w:hanging="360"/>
      </w:pPr>
      <w:rPr>
        <w:rFonts w:hint="default"/>
        <w:lang w:val="ru-RU" w:eastAsia="en-US" w:bidi="ar-SA"/>
      </w:rPr>
    </w:lvl>
    <w:lvl w:ilvl="2">
      <w:start w:val="0"/>
      <w:numFmt w:val="bullet"/>
      <w:lvlText w:val="•"/>
      <w:lvlJc w:val="left"/>
      <w:pPr>
        <w:ind w:left="4176" w:hanging="360"/>
      </w:pPr>
      <w:rPr>
        <w:rFonts w:hint="default"/>
        <w:lang w:val="ru-RU" w:eastAsia="en-US" w:bidi="ar-SA"/>
      </w:rPr>
    </w:lvl>
    <w:lvl w:ilvl="3">
      <w:start w:val="0"/>
      <w:numFmt w:val="bullet"/>
      <w:lvlText w:val="•"/>
      <w:lvlJc w:val="left"/>
      <w:pPr>
        <w:ind w:left="5604" w:hanging="360"/>
      </w:pPr>
      <w:rPr>
        <w:rFonts w:hint="default"/>
        <w:lang w:val="ru-RU" w:eastAsia="en-US" w:bidi="ar-SA"/>
      </w:rPr>
    </w:lvl>
    <w:lvl w:ilvl="4">
      <w:start w:val="0"/>
      <w:numFmt w:val="bullet"/>
      <w:lvlText w:val="•"/>
      <w:lvlJc w:val="left"/>
      <w:pPr>
        <w:ind w:left="7032" w:hanging="360"/>
      </w:pPr>
      <w:rPr>
        <w:rFonts w:hint="default"/>
        <w:lang w:val="ru-RU" w:eastAsia="en-US" w:bidi="ar-SA"/>
      </w:rPr>
    </w:lvl>
    <w:lvl w:ilvl="5">
      <w:start w:val="0"/>
      <w:numFmt w:val="bullet"/>
      <w:lvlText w:val="•"/>
      <w:lvlJc w:val="left"/>
      <w:pPr>
        <w:ind w:left="8460" w:hanging="360"/>
      </w:pPr>
      <w:rPr>
        <w:rFonts w:hint="default"/>
        <w:lang w:val="ru-RU" w:eastAsia="en-US" w:bidi="ar-SA"/>
      </w:rPr>
    </w:lvl>
    <w:lvl w:ilvl="6">
      <w:start w:val="0"/>
      <w:numFmt w:val="bullet"/>
      <w:lvlText w:val="•"/>
      <w:lvlJc w:val="left"/>
      <w:pPr>
        <w:ind w:left="9888" w:hanging="360"/>
      </w:pPr>
      <w:rPr>
        <w:rFonts w:hint="default"/>
        <w:lang w:val="ru-RU" w:eastAsia="en-US" w:bidi="ar-SA"/>
      </w:rPr>
    </w:lvl>
    <w:lvl w:ilvl="7">
      <w:start w:val="0"/>
      <w:numFmt w:val="bullet"/>
      <w:lvlText w:val="•"/>
      <w:lvlJc w:val="left"/>
      <w:pPr>
        <w:ind w:left="11316" w:hanging="360"/>
      </w:pPr>
      <w:rPr>
        <w:rFonts w:hint="default"/>
        <w:lang w:val="ru-RU" w:eastAsia="en-US" w:bidi="ar-SA"/>
      </w:rPr>
    </w:lvl>
    <w:lvl w:ilvl="8">
      <w:start w:val="0"/>
      <w:numFmt w:val="bullet"/>
      <w:lvlText w:val="•"/>
      <w:lvlJc w:val="left"/>
      <w:pPr>
        <w:ind w:left="12744" w:hanging="360"/>
      </w:pPr>
      <w:rPr>
        <w:rFonts w:hint="default"/>
        <w:lang w:val="ru-RU" w:eastAsia="en-US" w:bidi="ar-SA"/>
      </w:rPr>
    </w:lvl>
  </w:abstractNum>
  <w:abstractNum w:abstractNumId="65">
    <w:multiLevelType w:val="hybridMultilevel"/>
    <w:lvl w:ilvl="0">
      <w:start w:val="0"/>
      <w:numFmt w:val="bullet"/>
      <w:lvlText w:val=""/>
      <w:lvlJc w:val="left"/>
      <w:pPr>
        <w:ind w:left="340" w:hanging="212"/>
      </w:pPr>
      <w:rPr>
        <w:rFonts w:hint="default" w:ascii="Symbol" w:hAnsi="Symbol" w:eastAsia="Symbol" w:cs="Symbol"/>
        <w:w w:val="100"/>
        <w:sz w:val="22"/>
        <w:szCs w:val="22"/>
        <w:lang w:val="ru-RU" w:eastAsia="en-US" w:bidi="ar-SA"/>
      </w:rPr>
    </w:lvl>
    <w:lvl w:ilvl="1">
      <w:start w:val="0"/>
      <w:numFmt w:val="bullet"/>
      <w:lvlText w:val="•"/>
      <w:lvlJc w:val="left"/>
      <w:pPr>
        <w:ind w:left="1339" w:hanging="212"/>
      </w:pPr>
      <w:rPr>
        <w:rFonts w:hint="default"/>
        <w:lang w:val="ru-RU" w:eastAsia="en-US" w:bidi="ar-SA"/>
      </w:rPr>
    </w:lvl>
    <w:lvl w:ilvl="2">
      <w:start w:val="0"/>
      <w:numFmt w:val="bullet"/>
      <w:lvlText w:val="•"/>
      <w:lvlJc w:val="left"/>
      <w:pPr>
        <w:ind w:left="2339" w:hanging="212"/>
      </w:pPr>
      <w:rPr>
        <w:rFonts w:hint="default"/>
        <w:lang w:val="ru-RU" w:eastAsia="en-US" w:bidi="ar-SA"/>
      </w:rPr>
    </w:lvl>
    <w:lvl w:ilvl="3">
      <w:start w:val="0"/>
      <w:numFmt w:val="bullet"/>
      <w:lvlText w:val="•"/>
      <w:lvlJc w:val="left"/>
      <w:pPr>
        <w:ind w:left="3338" w:hanging="212"/>
      </w:pPr>
      <w:rPr>
        <w:rFonts w:hint="default"/>
        <w:lang w:val="ru-RU" w:eastAsia="en-US" w:bidi="ar-SA"/>
      </w:rPr>
    </w:lvl>
    <w:lvl w:ilvl="4">
      <w:start w:val="0"/>
      <w:numFmt w:val="bullet"/>
      <w:lvlText w:val="•"/>
      <w:lvlJc w:val="left"/>
      <w:pPr>
        <w:ind w:left="4338" w:hanging="212"/>
      </w:pPr>
      <w:rPr>
        <w:rFonts w:hint="default"/>
        <w:lang w:val="ru-RU" w:eastAsia="en-US" w:bidi="ar-SA"/>
      </w:rPr>
    </w:lvl>
    <w:lvl w:ilvl="5">
      <w:start w:val="0"/>
      <w:numFmt w:val="bullet"/>
      <w:lvlText w:val="•"/>
      <w:lvlJc w:val="left"/>
      <w:pPr>
        <w:ind w:left="5338" w:hanging="212"/>
      </w:pPr>
      <w:rPr>
        <w:rFonts w:hint="default"/>
        <w:lang w:val="ru-RU" w:eastAsia="en-US" w:bidi="ar-SA"/>
      </w:rPr>
    </w:lvl>
    <w:lvl w:ilvl="6">
      <w:start w:val="0"/>
      <w:numFmt w:val="bullet"/>
      <w:lvlText w:val="•"/>
      <w:lvlJc w:val="left"/>
      <w:pPr>
        <w:ind w:left="6337" w:hanging="212"/>
      </w:pPr>
      <w:rPr>
        <w:rFonts w:hint="default"/>
        <w:lang w:val="ru-RU" w:eastAsia="en-US" w:bidi="ar-SA"/>
      </w:rPr>
    </w:lvl>
    <w:lvl w:ilvl="7">
      <w:start w:val="0"/>
      <w:numFmt w:val="bullet"/>
      <w:lvlText w:val="•"/>
      <w:lvlJc w:val="left"/>
      <w:pPr>
        <w:ind w:left="7337" w:hanging="212"/>
      </w:pPr>
      <w:rPr>
        <w:rFonts w:hint="default"/>
        <w:lang w:val="ru-RU" w:eastAsia="en-US" w:bidi="ar-SA"/>
      </w:rPr>
    </w:lvl>
    <w:lvl w:ilvl="8">
      <w:start w:val="0"/>
      <w:numFmt w:val="bullet"/>
      <w:lvlText w:val="•"/>
      <w:lvlJc w:val="left"/>
      <w:pPr>
        <w:ind w:left="8336" w:hanging="212"/>
      </w:pPr>
      <w:rPr>
        <w:rFonts w:hint="default"/>
        <w:lang w:val="ru-RU" w:eastAsia="en-US" w:bidi="ar-SA"/>
      </w:rPr>
    </w:lvl>
  </w:abstractNum>
  <w:abstractNum w:abstractNumId="64">
    <w:multiLevelType w:val="hybridMultilevel"/>
    <w:lvl w:ilvl="0">
      <w:start w:val="1"/>
      <w:numFmt w:val="decimal"/>
      <w:lvlText w:val="%1."/>
      <w:lvlJc w:val="left"/>
      <w:pPr>
        <w:ind w:left="1320" w:hanging="360"/>
        <w:jc w:val="left"/>
      </w:pPr>
      <w:rPr>
        <w:rFonts w:hint="default" w:ascii="Times New Roman" w:hAnsi="Times New Roman" w:eastAsia="Times New Roman" w:cs="Times New Roman"/>
        <w:w w:val="100"/>
        <w:sz w:val="22"/>
        <w:szCs w:val="22"/>
        <w:lang w:val="ru-RU" w:eastAsia="en-US" w:bidi="ar-SA"/>
      </w:rPr>
    </w:lvl>
    <w:lvl w:ilvl="1">
      <w:start w:val="0"/>
      <w:numFmt w:val="bullet"/>
      <w:lvlText w:val=""/>
      <w:lvlJc w:val="left"/>
      <w:pPr>
        <w:ind w:left="2029" w:hanging="361"/>
      </w:pPr>
      <w:rPr>
        <w:rFonts w:hint="default" w:ascii="Symbol" w:hAnsi="Symbol" w:eastAsia="Symbol" w:cs="Symbol"/>
        <w:w w:val="100"/>
        <w:sz w:val="22"/>
        <w:szCs w:val="22"/>
        <w:lang w:val="ru-RU" w:eastAsia="en-US" w:bidi="ar-SA"/>
      </w:rPr>
    </w:lvl>
    <w:lvl w:ilvl="2">
      <w:start w:val="0"/>
      <w:numFmt w:val="bullet"/>
      <w:lvlText w:val="•"/>
      <w:lvlJc w:val="left"/>
      <w:pPr>
        <w:ind w:left="3528" w:hanging="361"/>
      </w:pPr>
      <w:rPr>
        <w:rFonts w:hint="default"/>
        <w:lang w:val="ru-RU" w:eastAsia="en-US" w:bidi="ar-SA"/>
      </w:rPr>
    </w:lvl>
    <w:lvl w:ilvl="3">
      <w:start w:val="0"/>
      <w:numFmt w:val="bullet"/>
      <w:lvlText w:val="•"/>
      <w:lvlJc w:val="left"/>
      <w:pPr>
        <w:ind w:left="5037" w:hanging="361"/>
      </w:pPr>
      <w:rPr>
        <w:rFonts w:hint="default"/>
        <w:lang w:val="ru-RU" w:eastAsia="en-US" w:bidi="ar-SA"/>
      </w:rPr>
    </w:lvl>
    <w:lvl w:ilvl="4">
      <w:start w:val="0"/>
      <w:numFmt w:val="bullet"/>
      <w:lvlText w:val="•"/>
      <w:lvlJc w:val="left"/>
      <w:pPr>
        <w:ind w:left="6546" w:hanging="361"/>
      </w:pPr>
      <w:rPr>
        <w:rFonts w:hint="default"/>
        <w:lang w:val="ru-RU" w:eastAsia="en-US" w:bidi="ar-SA"/>
      </w:rPr>
    </w:lvl>
    <w:lvl w:ilvl="5">
      <w:start w:val="0"/>
      <w:numFmt w:val="bullet"/>
      <w:lvlText w:val="•"/>
      <w:lvlJc w:val="left"/>
      <w:pPr>
        <w:ind w:left="8055" w:hanging="361"/>
      </w:pPr>
      <w:rPr>
        <w:rFonts w:hint="default"/>
        <w:lang w:val="ru-RU" w:eastAsia="en-US" w:bidi="ar-SA"/>
      </w:rPr>
    </w:lvl>
    <w:lvl w:ilvl="6">
      <w:start w:val="0"/>
      <w:numFmt w:val="bullet"/>
      <w:lvlText w:val="•"/>
      <w:lvlJc w:val="left"/>
      <w:pPr>
        <w:ind w:left="9564" w:hanging="361"/>
      </w:pPr>
      <w:rPr>
        <w:rFonts w:hint="default"/>
        <w:lang w:val="ru-RU" w:eastAsia="en-US" w:bidi="ar-SA"/>
      </w:rPr>
    </w:lvl>
    <w:lvl w:ilvl="7">
      <w:start w:val="0"/>
      <w:numFmt w:val="bullet"/>
      <w:lvlText w:val="•"/>
      <w:lvlJc w:val="left"/>
      <w:pPr>
        <w:ind w:left="11073" w:hanging="361"/>
      </w:pPr>
      <w:rPr>
        <w:rFonts w:hint="default"/>
        <w:lang w:val="ru-RU" w:eastAsia="en-US" w:bidi="ar-SA"/>
      </w:rPr>
    </w:lvl>
    <w:lvl w:ilvl="8">
      <w:start w:val="0"/>
      <w:numFmt w:val="bullet"/>
      <w:lvlText w:val="•"/>
      <w:lvlJc w:val="left"/>
      <w:pPr>
        <w:ind w:left="12582" w:hanging="361"/>
      </w:pPr>
      <w:rPr>
        <w:rFonts w:hint="default"/>
        <w:lang w:val="ru-RU" w:eastAsia="en-US" w:bidi="ar-SA"/>
      </w:rPr>
    </w:lvl>
  </w:abstractNum>
  <w:abstractNum w:abstractNumId="63">
    <w:multiLevelType w:val="hybridMultilevel"/>
    <w:lvl w:ilvl="0">
      <w:start w:val="0"/>
      <w:numFmt w:val="bullet"/>
      <w:lvlText w:val="*"/>
      <w:lvlJc w:val="left"/>
      <w:pPr>
        <w:ind w:left="1164" w:hanging="97"/>
      </w:pPr>
      <w:rPr>
        <w:rFonts w:hint="default" w:ascii="Times New Roman" w:hAnsi="Times New Roman" w:eastAsia="Times New Roman" w:cs="Times New Roman"/>
        <w:w w:val="99"/>
        <w:sz w:val="20"/>
        <w:szCs w:val="20"/>
        <w:lang w:val="ru-RU" w:eastAsia="en-US" w:bidi="ar-SA"/>
      </w:rPr>
    </w:lvl>
    <w:lvl w:ilvl="1">
      <w:start w:val="0"/>
      <w:numFmt w:val="bullet"/>
      <w:lvlText w:val=""/>
      <w:lvlJc w:val="left"/>
      <w:pPr>
        <w:ind w:left="1538" w:hanging="360"/>
      </w:pPr>
      <w:rPr>
        <w:rFonts w:hint="default" w:ascii="Symbol" w:hAnsi="Symbol" w:eastAsia="Symbol" w:cs="Symbol"/>
        <w:w w:val="99"/>
        <w:sz w:val="20"/>
        <w:szCs w:val="20"/>
        <w:lang w:val="ru-RU" w:eastAsia="en-US" w:bidi="ar-SA"/>
      </w:rPr>
    </w:lvl>
    <w:lvl w:ilvl="2">
      <w:start w:val="0"/>
      <w:numFmt w:val="bullet"/>
      <w:lvlText w:val=""/>
      <w:lvlJc w:val="left"/>
      <w:pPr>
        <w:ind w:left="1671" w:hanging="142"/>
      </w:pPr>
      <w:rPr>
        <w:rFonts w:hint="default" w:ascii="Symbol" w:hAnsi="Symbol" w:eastAsia="Symbol" w:cs="Symbol"/>
        <w:w w:val="99"/>
        <w:sz w:val="20"/>
        <w:szCs w:val="20"/>
        <w:lang w:val="ru-RU" w:eastAsia="en-US" w:bidi="ar-SA"/>
      </w:rPr>
    </w:lvl>
    <w:lvl w:ilvl="3">
      <w:start w:val="0"/>
      <w:numFmt w:val="bullet"/>
      <w:lvlText w:val="•"/>
      <w:lvlJc w:val="left"/>
      <w:pPr>
        <w:ind w:left="3420" w:hanging="142"/>
      </w:pPr>
      <w:rPr>
        <w:rFonts w:hint="default"/>
        <w:lang w:val="ru-RU" w:eastAsia="en-US" w:bidi="ar-SA"/>
      </w:rPr>
    </w:lvl>
    <w:lvl w:ilvl="4">
      <w:start w:val="0"/>
      <w:numFmt w:val="bullet"/>
      <w:lvlText w:val="•"/>
      <w:lvlJc w:val="left"/>
      <w:pPr>
        <w:ind w:left="5160" w:hanging="142"/>
      </w:pPr>
      <w:rPr>
        <w:rFonts w:hint="default"/>
        <w:lang w:val="ru-RU" w:eastAsia="en-US" w:bidi="ar-SA"/>
      </w:rPr>
    </w:lvl>
    <w:lvl w:ilvl="5">
      <w:start w:val="0"/>
      <w:numFmt w:val="bullet"/>
      <w:lvlText w:val="•"/>
      <w:lvlJc w:val="left"/>
      <w:pPr>
        <w:ind w:left="6900" w:hanging="142"/>
      </w:pPr>
      <w:rPr>
        <w:rFonts w:hint="default"/>
        <w:lang w:val="ru-RU" w:eastAsia="en-US" w:bidi="ar-SA"/>
      </w:rPr>
    </w:lvl>
    <w:lvl w:ilvl="6">
      <w:start w:val="0"/>
      <w:numFmt w:val="bullet"/>
      <w:lvlText w:val="•"/>
      <w:lvlJc w:val="left"/>
      <w:pPr>
        <w:ind w:left="8640" w:hanging="142"/>
      </w:pPr>
      <w:rPr>
        <w:rFonts w:hint="default"/>
        <w:lang w:val="ru-RU" w:eastAsia="en-US" w:bidi="ar-SA"/>
      </w:rPr>
    </w:lvl>
    <w:lvl w:ilvl="7">
      <w:start w:val="0"/>
      <w:numFmt w:val="bullet"/>
      <w:lvlText w:val="•"/>
      <w:lvlJc w:val="left"/>
      <w:pPr>
        <w:ind w:left="10380" w:hanging="142"/>
      </w:pPr>
      <w:rPr>
        <w:rFonts w:hint="default"/>
        <w:lang w:val="ru-RU" w:eastAsia="en-US" w:bidi="ar-SA"/>
      </w:rPr>
    </w:lvl>
    <w:lvl w:ilvl="8">
      <w:start w:val="0"/>
      <w:numFmt w:val="bullet"/>
      <w:lvlText w:val="•"/>
      <w:lvlJc w:val="left"/>
      <w:pPr>
        <w:ind w:left="12120" w:hanging="142"/>
      </w:pPr>
      <w:rPr>
        <w:rFonts w:hint="default"/>
        <w:lang w:val="ru-RU" w:eastAsia="en-US" w:bidi="ar-SA"/>
      </w:rPr>
    </w:lvl>
  </w:abstractNum>
  <w:abstractNum w:abstractNumId="62">
    <w:multiLevelType w:val="hybridMultilevel"/>
    <w:lvl w:ilvl="0">
      <w:start w:val="0"/>
      <w:numFmt w:val="bullet"/>
      <w:lvlText w:val=""/>
      <w:lvlJc w:val="left"/>
      <w:pPr>
        <w:ind w:left="327" w:hanging="260"/>
      </w:pPr>
      <w:rPr>
        <w:rFonts w:hint="default" w:ascii="Symbol" w:hAnsi="Symbol" w:eastAsia="Symbol" w:cs="Symbol"/>
        <w:w w:val="99"/>
        <w:sz w:val="20"/>
        <w:szCs w:val="20"/>
        <w:lang w:val="ru-RU" w:eastAsia="en-US" w:bidi="ar-SA"/>
      </w:rPr>
    </w:lvl>
    <w:lvl w:ilvl="1">
      <w:start w:val="0"/>
      <w:numFmt w:val="bullet"/>
      <w:lvlText w:val="•"/>
      <w:lvlJc w:val="left"/>
      <w:pPr>
        <w:ind w:left="669" w:hanging="260"/>
      </w:pPr>
      <w:rPr>
        <w:rFonts w:hint="default"/>
        <w:lang w:val="ru-RU" w:eastAsia="en-US" w:bidi="ar-SA"/>
      </w:rPr>
    </w:lvl>
    <w:lvl w:ilvl="2">
      <w:start w:val="0"/>
      <w:numFmt w:val="bullet"/>
      <w:lvlText w:val="•"/>
      <w:lvlJc w:val="left"/>
      <w:pPr>
        <w:ind w:left="1018" w:hanging="260"/>
      </w:pPr>
      <w:rPr>
        <w:rFonts w:hint="default"/>
        <w:lang w:val="ru-RU" w:eastAsia="en-US" w:bidi="ar-SA"/>
      </w:rPr>
    </w:lvl>
    <w:lvl w:ilvl="3">
      <w:start w:val="0"/>
      <w:numFmt w:val="bullet"/>
      <w:lvlText w:val="•"/>
      <w:lvlJc w:val="left"/>
      <w:pPr>
        <w:ind w:left="1367" w:hanging="260"/>
      </w:pPr>
      <w:rPr>
        <w:rFonts w:hint="default"/>
        <w:lang w:val="ru-RU" w:eastAsia="en-US" w:bidi="ar-SA"/>
      </w:rPr>
    </w:lvl>
    <w:lvl w:ilvl="4">
      <w:start w:val="0"/>
      <w:numFmt w:val="bullet"/>
      <w:lvlText w:val="•"/>
      <w:lvlJc w:val="left"/>
      <w:pPr>
        <w:ind w:left="1717" w:hanging="260"/>
      </w:pPr>
      <w:rPr>
        <w:rFonts w:hint="default"/>
        <w:lang w:val="ru-RU" w:eastAsia="en-US" w:bidi="ar-SA"/>
      </w:rPr>
    </w:lvl>
    <w:lvl w:ilvl="5">
      <w:start w:val="0"/>
      <w:numFmt w:val="bullet"/>
      <w:lvlText w:val="•"/>
      <w:lvlJc w:val="left"/>
      <w:pPr>
        <w:ind w:left="2066" w:hanging="260"/>
      </w:pPr>
      <w:rPr>
        <w:rFonts w:hint="default"/>
        <w:lang w:val="ru-RU" w:eastAsia="en-US" w:bidi="ar-SA"/>
      </w:rPr>
    </w:lvl>
    <w:lvl w:ilvl="6">
      <w:start w:val="0"/>
      <w:numFmt w:val="bullet"/>
      <w:lvlText w:val="•"/>
      <w:lvlJc w:val="left"/>
      <w:pPr>
        <w:ind w:left="2415" w:hanging="260"/>
      </w:pPr>
      <w:rPr>
        <w:rFonts w:hint="default"/>
        <w:lang w:val="ru-RU" w:eastAsia="en-US" w:bidi="ar-SA"/>
      </w:rPr>
    </w:lvl>
    <w:lvl w:ilvl="7">
      <w:start w:val="0"/>
      <w:numFmt w:val="bullet"/>
      <w:lvlText w:val="•"/>
      <w:lvlJc w:val="left"/>
      <w:pPr>
        <w:ind w:left="2765" w:hanging="260"/>
      </w:pPr>
      <w:rPr>
        <w:rFonts w:hint="default"/>
        <w:lang w:val="ru-RU" w:eastAsia="en-US" w:bidi="ar-SA"/>
      </w:rPr>
    </w:lvl>
    <w:lvl w:ilvl="8">
      <w:start w:val="0"/>
      <w:numFmt w:val="bullet"/>
      <w:lvlText w:val="•"/>
      <w:lvlJc w:val="left"/>
      <w:pPr>
        <w:ind w:left="3114" w:hanging="260"/>
      </w:pPr>
      <w:rPr>
        <w:rFonts w:hint="default"/>
        <w:lang w:val="ru-RU" w:eastAsia="en-US" w:bidi="ar-SA"/>
      </w:rPr>
    </w:lvl>
  </w:abstractNum>
  <w:abstractNum w:abstractNumId="61">
    <w:multiLevelType w:val="hybridMultilevel"/>
    <w:lvl w:ilvl="0">
      <w:start w:val="0"/>
      <w:numFmt w:val="bullet"/>
      <w:lvlText w:val=""/>
      <w:lvlJc w:val="left"/>
      <w:pPr>
        <w:ind w:left="330" w:hanging="272"/>
      </w:pPr>
      <w:rPr>
        <w:rFonts w:hint="default" w:ascii="Symbol" w:hAnsi="Symbol" w:eastAsia="Symbol" w:cs="Symbol"/>
        <w:w w:val="99"/>
        <w:sz w:val="20"/>
        <w:szCs w:val="20"/>
        <w:lang w:val="ru-RU" w:eastAsia="en-US" w:bidi="ar-SA"/>
      </w:rPr>
    </w:lvl>
    <w:lvl w:ilvl="1">
      <w:start w:val="0"/>
      <w:numFmt w:val="bullet"/>
      <w:lvlText w:val="•"/>
      <w:lvlJc w:val="left"/>
      <w:pPr>
        <w:ind w:left="687" w:hanging="272"/>
      </w:pPr>
      <w:rPr>
        <w:rFonts w:hint="default"/>
        <w:lang w:val="ru-RU" w:eastAsia="en-US" w:bidi="ar-SA"/>
      </w:rPr>
    </w:lvl>
    <w:lvl w:ilvl="2">
      <w:start w:val="0"/>
      <w:numFmt w:val="bullet"/>
      <w:lvlText w:val="•"/>
      <w:lvlJc w:val="left"/>
      <w:pPr>
        <w:ind w:left="1034" w:hanging="272"/>
      </w:pPr>
      <w:rPr>
        <w:rFonts w:hint="default"/>
        <w:lang w:val="ru-RU" w:eastAsia="en-US" w:bidi="ar-SA"/>
      </w:rPr>
    </w:lvl>
    <w:lvl w:ilvl="3">
      <w:start w:val="0"/>
      <w:numFmt w:val="bullet"/>
      <w:lvlText w:val="•"/>
      <w:lvlJc w:val="left"/>
      <w:pPr>
        <w:ind w:left="1381" w:hanging="272"/>
      </w:pPr>
      <w:rPr>
        <w:rFonts w:hint="default"/>
        <w:lang w:val="ru-RU" w:eastAsia="en-US" w:bidi="ar-SA"/>
      </w:rPr>
    </w:lvl>
    <w:lvl w:ilvl="4">
      <w:start w:val="0"/>
      <w:numFmt w:val="bullet"/>
      <w:lvlText w:val="•"/>
      <w:lvlJc w:val="left"/>
      <w:pPr>
        <w:ind w:left="1729" w:hanging="272"/>
      </w:pPr>
      <w:rPr>
        <w:rFonts w:hint="default"/>
        <w:lang w:val="ru-RU" w:eastAsia="en-US" w:bidi="ar-SA"/>
      </w:rPr>
    </w:lvl>
    <w:lvl w:ilvl="5">
      <w:start w:val="0"/>
      <w:numFmt w:val="bullet"/>
      <w:lvlText w:val="•"/>
      <w:lvlJc w:val="left"/>
      <w:pPr>
        <w:ind w:left="2076" w:hanging="272"/>
      </w:pPr>
      <w:rPr>
        <w:rFonts w:hint="default"/>
        <w:lang w:val="ru-RU" w:eastAsia="en-US" w:bidi="ar-SA"/>
      </w:rPr>
    </w:lvl>
    <w:lvl w:ilvl="6">
      <w:start w:val="0"/>
      <w:numFmt w:val="bullet"/>
      <w:lvlText w:val="•"/>
      <w:lvlJc w:val="left"/>
      <w:pPr>
        <w:ind w:left="2423" w:hanging="272"/>
      </w:pPr>
      <w:rPr>
        <w:rFonts w:hint="default"/>
        <w:lang w:val="ru-RU" w:eastAsia="en-US" w:bidi="ar-SA"/>
      </w:rPr>
    </w:lvl>
    <w:lvl w:ilvl="7">
      <w:start w:val="0"/>
      <w:numFmt w:val="bullet"/>
      <w:lvlText w:val="•"/>
      <w:lvlJc w:val="left"/>
      <w:pPr>
        <w:ind w:left="2771" w:hanging="272"/>
      </w:pPr>
      <w:rPr>
        <w:rFonts w:hint="default"/>
        <w:lang w:val="ru-RU" w:eastAsia="en-US" w:bidi="ar-SA"/>
      </w:rPr>
    </w:lvl>
    <w:lvl w:ilvl="8">
      <w:start w:val="0"/>
      <w:numFmt w:val="bullet"/>
      <w:lvlText w:val="•"/>
      <w:lvlJc w:val="left"/>
      <w:pPr>
        <w:ind w:left="3118" w:hanging="272"/>
      </w:pPr>
      <w:rPr>
        <w:rFonts w:hint="default"/>
        <w:lang w:val="ru-RU" w:eastAsia="en-US" w:bidi="ar-SA"/>
      </w:rPr>
    </w:lvl>
  </w:abstractNum>
  <w:abstractNum w:abstractNumId="60">
    <w:multiLevelType w:val="hybridMultilevel"/>
    <w:lvl w:ilvl="0">
      <w:start w:val="0"/>
      <w:numFmt w:val="bullet"/>
      <w:lvlText w:val=""/>
      <w:lvlJc w:val="left"/>
      <w:pPr>
        <w:ind w:left="214" w:hanging="212"/>
      </w:pPr>
      <w:rPr>
        <w:rFonts w:hint="default" w:ascii="Symbol" w:hAnsi="Symbol" w:eastAsia="Symbol" w:cs="Symbol"/>
        <w:w w:val="99"/>
        <w:sz w:val="20"/>
        <w:szCs w:val="20"/>
        <w:lang w:val="ru-RU" w:eastAsia="en-US" w:bidi="ar-SA"/>
      </w:rPr>
    </w:lvl>
    <w:lvl w:ilvl="1">
      <w:start w:val="0"/>
      <w:numFmt w:val="bullet"/>
      <w:lvlText w:val="•"/>
      <w:lvlJc w:val="left"/>
      <w:pPr>
        <w:ind w:left="579" w:hanging="212"/>
      </w:pPr>
      <w:rPr>
        <w:rFonts w:hint="default"/>
        <w:lang w:val="ru-RU" w:eastAsia="en-US" w:bidi="ar-SA"/>
      </w:rPr>
    </w:lvl>
    <w:lvl w:ilvl="2">
      <w:start w:val="0"/>
      <w:numFmt w:val="bullet"/>
      <w:lvlText w:val="•"/>
      <w:lvlJc w:val="left"/>
      <w:pPr>
        <w:ind w:left="938" w:hanging="212"/>
      </w:pPr>
      <w:rPr>
        <w:rFonts w:hint="default"/>
        <w:lang w:val="ru-RU" w:eastAsia="en-US" w:bidi="ar-SA"/>
      </w:rPr>
    </w:lvl>
    <w:lvl w:ilvl="3">
      <w:start w:val="0"/>
      <w:numFmt w:val="bullet"/>
      <w:lvlText w:val="•"/>
      <w:lvlJc w:val="left"/>
      <w:pPr>
        <w:ind w:left="1297" w:hanging="212"/>
      </w:pPr>
      <w:rPr>
        <w:rFonts w:hint="default"/>
        <w:lang w:val="ru-RU" w:eastAsia="en-US" w:bidi="ar-SA"/>
      </w:rPr>
    </w:lvl>
    <w:lvl w:ilvl="4">
      <w:start w:val="0"/>
      <w:numFmt w:val="bullet"/>
      <w:lvlText w:val="•"/>
      <w:lvlJc w:val="left"/>
      <w:pPr>
        <w:ind w:left="1657" w:hanging="212"/>
      </w:pPr>
      <w:rPr>
        <w:rFonts w:hint="default"/>
        <w:lang w:val="ru-RU" w:eastAsia="en-US" w:bidi="ar-SA"/>
      </w:rPr>
    </w:lvl>
    <w:lvl w:ilvl="5">
      <w:start w:val="0"/>
      <w:numFmt w:val="bullet"/>
      <w:lvlText w:val="•"/>
      <w:lvlJc w:val="left"/>
      <w:pPr>
        <w:ind w:left="2016" w:hanging="212"/>
      </w:pPr>
      <w:rPr>
        <w:rFonts w:hint="default"/>
        <w:lang w:val="ru-RU" w:eastAsia="en-US" w:bidi="ar-SA"/>
      </w:rPr>
    </w:lvl>
    <w:lvl w:ilvl="6">
      <w:start w:val="0"/>
      <w:numFmt w:val="bullet"/>
      <w:lvlText w:val="•"/>
      <w:lvlJc w:val="left"/>
      <w:pPr>
        <w:ind w:left="2375" w:hanging="212"/>
      </w:pPr>
      <w:rPr>
        <w:rFonts w:hint="default"/>
        <w:lang w:val="ru-RU" w:eastAsia="en-US" w:bidi="ar-SA"/>
      </w:rPr>
    </w:lvl>
    <w:lvl w:ilvl="7">
      <w:start w:val="0"/>
      <w:numFmt w:val="bullet"/>
      <w:lvlText w:val="•"/>
      <w:lvlJc w:val="left"/>
      <w:pPr>
        <w:ind w:left="2735" w:hanging="212"/>
      </w:pPr>
      <w:rPr>
        <w:rFonts w:hint="default"/>
        <w:lang w:val="ru-RU" w:eastAsia="en-US" w:bidi="ar-SA"/>
      </w:rPr>
    </w:lvl>
    <w:lvl w:ilvl="8">
      <w:start w:val="0"/>
      <w:numFmt w:val="bullet"/>
      <w:lvlText w:val="•"/>
      <w:lvlJc w:val="left"/>
      <w:pPr>
        <w:ind w:left="3094" w:hanging="212"/>
      </w:pPr>
      <w:rPr>
        <w:rFonts w:hint="default"/>
        <w:lang w:val="ru-RU" w:eastAsia="en-US" w:bidi="ar-SA"/>
      </w:rPr>
    </w:lvl>
  </w:abstractNum>
  <w:abstractNum w:abstractNumId="59">
    <w:multiLevelType w:val="hybridMultilevel"/>
    <w:lvl w:ilvl="0">
      <w:start w:val="0"/>
      <w:numFmt w:val="bullet"/>
      <w:lvlText w:val=""/>
      <w:lvlJc w:val="left"/>
      <w:pPr>
        <w:ind w:left="214" w:hanging="104"/>
      </w:pPr>
      <w:rPr>
        <w:rFonts w:hint="default" w:ascii="Symbol" w:hAnsi="Symbol" w:eastAsia="Symbol" w:cs="Symbol"/>
        <w:spacing w:val="11"/>
        <w:w w:val="99"/>
        <w:sz w:val="18"/>
        <w:szCs w:val="18"/>
        <w:lang w:val="ru-RU" w:eastAsia="en-US" w:bidi="ar-SA"/>
      </w:rPr>
    </w:lvl>
    <w:lvl w:ilvl="1">
      <w:start w:val="0"/>
      <w:numFmt w:val="bullet"/>
      <w:lvlText w:val="•"/>
      <w:lvlJc w:val="left"/>
      <w:pPr>
        <w:ind w:left="763" w:hanging="104"/>
      </w:pPr>
      <w:rPr>
        <w:rFonts w:hint="default"/>
        <w:lang w:val="ru-RU" w:eastAsia="en-US" w:bidi="ar-SA"/>
      </w:rPr>
    </w:lvl>
    <w:lvl w:ilvl="2">
      <w:start w:val="0"/>
      <w:numFmt w:val="bullet"/>
      <w:lvlText w:val="•"/>
      <w:lvlJc w:val="left"/>
      <w:pPr>
        <w:ind w:left="1307" w:hanging="104"/>
      </w:pPr>
      <w:rPr>
        <w:rFonts w:hint="default"/>
        <w:lang w:val="ru-RU" w:eastAsia="en-US" w:bidi="ar-SA"/>
      </w:rPr>
    </w:lvl>
    <w:lvl w:ilvl="3">
      <w:start w:val="0"/>
      <w:numFmt w:val="bullet"/>
      <w:lvlText w:val="•"/>
      <w:lvlJc w:val="left"/>
      <w:pPr>
        <w:ind w:left="1851" w:hanging="104"/>
      </w:pPr>
      <w:rPr>
        <w:rFonts w:hint="default"/>
        <w:lang w:val="ru-RU" w:eastAsia="en-US" w:bidi="ar-SA"/>
      </w:rPr>
    </w:lvl>
    <w:lvl w:ilvl="4">
      <w:start w:val="0"/>
      <w:numFmt w:val="bullet"/>
      <w:lvlText w:val="•"/>
      <w:lvlJc w:val="left"/>
      <w:pPr>
        <w:ind w:left="2395" w:hanging="104"/>
      </w:pPr>
      <w:rPr>
        <w:rFonts w:hint="default"/>
        <w:lang w:val="ru-RU" w:eastAsia="en-US" w:bidi="ar-SA"/>
      </w:rPr>
    </w:lvl>
    <w:lvl w:ilvl="5">
      <w:start w:val="0"/>
      <w:numFmt w:val="bullet"/>
      <w:lvlText w:val="•"/>
      <w:lvlJc w:val="left"/>
      <w:pPr>
        <w:ind w:left="2939" w:hanging="104"/>
      </w:pPr>
      <w:rPr>
        <w:rFonts w:hint="default"/>
        <w:lang w:val="ru-RU" w:eastAsia="en-US" w:bidi="ar-SA"/>
      </w:rPr>
    </w:lvl>
    <w:lvl w:ilvl="6">
      <w:start w:val="0"/>
      <w:numFmt w:val="bullet"/>
      <w:lvlText w:val="•"/>
      <w:lvlJc w:val="left"/>
      <w:pPr>
        <w:ind w:left="3483" w:hanging="104"/>
      </w:pPr>
      <w:rPr>
        <w:rFonts w:hint="default"/>
        <w:lang w:val="ru-RU" w:eastAsia="en-US" w:bidi="ar-SA"/>
      </w:rPr>
    </w:lvl>
    <w:lvl w:ilvl="7">
      <w:start w:val="0"/>
      <w:numFmt w:val="bullet"/>
      <w:lvlText w:val="•"/>
      <w:lvlJc w:val="left"/>
      <w:pPr>
        <w:ind w:left="4027" w:hanging="104"/>
      </w:pPr>
      <w:rPr>
        <w:rFonts w:hint="default"/>
        <w:lang w:val="ru-RU" w:eastAsia="en-US" w:bidi="ar-SA"/>
      </w:rPr>
    </w:lvl>
    <w:lvl w:ilvl="8">
      <w:start w:val="0"/>
      <w:numFmt w:val="bullet"/>
      <w:lvlText w:val="•"/>
      <w:lvlJc w:val="left"/>
      <w:pPr>
        <w:ind w:left="4571" w:hanging="104"/>
      </w:pPr>
      <w:rPr>
        <w:rFonts w:hint="default"/>
        <w:lang w:val="ru-RU" w:eastAsia="en-US" w:bidi="ar-SA"/>
      </w:rPr>
    </w:lvl>
  </w:abstractNum>
  <w:abstractNum w:abstractNumId="58">
    <w:multiLevelType w:val="hybridMultilevel"/>
    <w:lvl w:ilvl="0">
      <w:start w:val="0"/>
      <w:numFmt w:val="bullet"/>
      <w:lvlText w:val=""/>
      <w:lvlJc w:val="left"/>
      <w:pPr>
        <w:ind w:left="214" w:hanging="104"/>
      </w:pPr>
      <w:rPr>
        <w:rFonts w:hint="default" w:ascii="Symbol" w:hAnsi="Symbol" w:eastAsia="Symbol" w:cs="Symbol"/>
        <w:spacing w:val="11"/>
        <w:w w:val="99"/>
        <w:sz w:val="18"/>
        <w:szCs w:val="18"/>
        <w:lang w:val="ru-RU" w:eastAsia="en-US" w:bidi="ar-SA"/>
      </w:rPr>
    </w:lvl>
    <w:lvl w:ilvl="1">
      <w:start w:val="0"/>
      <w:numFmt w:val="bullet"/>
      <w:lvlText w:val="•"/>
      <w:lvlJc w:val="left"/>
      <w:pPr>
        <w:ind w:left="763" w:hanging="104"/>
      </w:pPr>
      <w:rPr>
        <w:rFonts w:hint="default"/>
        <w:lang w:val="ru-RU" w:eastAsia="en-US" w:bidi="ar-SA"/>
      </w:rPr>
    </w:lvl>
    <w:lvl w:ilvl="2">
      <w:start w:val="0"/>
      <w:numFmt w:val="bullet"/>
      <w:lvlText w:val="•"/>
      <w:lvlJc w:val="left"/>
      <w:pPr>
        <w:ind w:left="1307" w:hanging="104"/>
      </w:pPr>
      <w:rPr>
        <w:rFonts w:hint="default"/>
        <w:lang w:val="ru-RU" w:eastAsia="en-US" w:bidi="ar-SA"/>
      </w:rPr>
    </w:lvl>
    <w:lvl w:ilvl="3">
      <w:start w:val="0"/>
      <w:numFmt w:val="bullet"/>
      <w:lvlText w:val="•"/>
      <w:lvlJc w:val="left"/>
      <w:pPr>
        <w:ind w:left="1851" w:hanging="104"/>
      </w:pPr>
      <w:rPr>
        <w:rFonts w:hint="default"/>
        <w:lang w:val="ru-RU" w:eastAsia="en-US" w:bidi="ar-SA"/>
      </w:rPr>
    </w:lvl>
    <w:lvl w:ilvl="4">
      <w:start w:val="0"/>
      <w:numFmt w:val="bullet"/>
      <w:lvlText w:val="•"/>
      <w:lvlJc w:val="left"/>
      <w:pPr>
        <w:ind w:left="2395" w:hanging="104"/>
      </w:pPr>
      <w:rPr>
        <w:rFonts w:hint="default"/>
        <w:lang w:val="ru-RU" w:eastAsia="en-US" w:bidi="ar-SA"/>
      </w:rPr>
    </w:lvl>
    <w:lvl w:ilvl="5">
      <w:start w:val="0"/>
      <w:numFmt w:val="bullet"/>
      <w:lvlText w:val="•"/>
      <w:lvlJc w:val="left"/>
      <w:pPr>
        <w:ind w:left="2939" w:hanging="104"/>
      </w:pPr>
      <w:rPr>
        <w:rFonts w:hint="default"/>
        <w:lang w:val="ru-RU" w:eastAsia="en-US" w:bidi="ar-SA"/>
      </w:rPr>
    </w:lvl>
    <w:lvl w:ilvl="6">
      <w:start w:val="0"/>
      <w:numFmt w:val="bullet"/>
      <w:lvlText w:val="•"/>
      <w:lvlJc w:val="left"/>
      <w:pPr>
        <w:ind w:left="3483" w:hanging="104"/>
      </w:pPr>
      <w:rPr>
        <w:rFonts w:hint="default"/>
        <w:lang w:val="ru-RU" w:eastAsia="en-US" w:bidi="ar-SA"/>
      </w:rPr>
    </w:lvl>
    <w:lvl w:ilvl="7">
      <w:start w:val="0"/>
      <w:numFmt w:val="bullet"/>
      <w:lvlText w:val="•"/>
      <w:lvlJc w:val="left"/>
      <w:pPr>
        <w:ind w:left="4027" w:hanging="104"/>
      </w:pPr>
      <w:rPr>
        <w:rFonts w:hint="default"/>
        <w:lang w:val="ru-RU" w:eastAsia="en-US" w:bidi="ar-SA"/>
      </w:rPr>
    </w:lvl>
    <w:lvl w:ilvl="8">
      <w:start w:val="0"/>
      <w:numFmt w:val="bullet"/>
      <w:lvlText w:val="•"/>
      <w:lvlJc w:val="left"/>
      <w:pPr>
        <w:ind w:left="4571" w:hanging="104"/>
      </w:pPr>
      <w:rPr>
        <w:rFonts w:hint="default"/>
        <w:lang w:val="ru-RU" w:eastAsia="en-US" w:bidi="ar-SA"/>
      </w:rPr>
    </w:lvl>
  </w:abstractNum>
  <w:abstractNum w:abstractNumId="57">
    <w:multiLevelType w:val="hybridMultilevel"/>
    <w:lvl w:ilvl="0">
      <w:start w:val="0"/>
      <w:numFmt w:val="bullet"/>
      <w:lvlText w:val=""/>
      <w:lvlJc w:val="left"/>
      <w:pPr>
        <w:ind w:left="490" w:hanging="145"/>
      </w:pPr>
      <w:rPr>
        <w:rFonts w:hint="default" w:ascii="Symbol" w:hAnsi="Symbol" w:eastAsia="Symbol" w:cs="Symbol"/>
        <w:w w:val="99"/>
        <w:sz w:val="20"/>
        <w:szCs w:val="20"/>
        <w:lang w:val="ru-RU" w:eastAsia="en-US" w:bidi="ar-SA"/>
      </w:rPr>
    </w:lvl>
    <w:lvl w:ilvl="1">
      <w:start w:val="0"/>
      <w:numFmt w:val="bullet"/>
      <w:lvlText w:val="•"/>
      <w:lvlJc w:val="left"/>
      <w:pPr>
        <w:ind w:left="1015" w:hanging="145"/>
      </w:pPr>
      <w:rPr>
        <w:rFonts w:hint="default"/>
        <w:lang w:val="ru-RU" w:eastAsia="en-US" w:bidi="ar-SA"/>
      </w:rPr>
    </w:lvl>
    <w:lvl w:ilvl="2">
      <w:start w:val="0"/>
      <w:numFmt w:val="bullet"/>
      <w:lvlText w:val="•"/>
      <w:lvlJc w:val="left"/>
      <w:pPr>
        <w:ind w:left="1531" w:hanging="145"/>
      </w:pPr>
      <w:rPr>
        <w:rFonts w:hint="default"/>
        <w:lang w:val="ru-RU" w:eastAsia="en-US" w:bidi="ar-SA"/>
      </w:rPr>
    </w:lvl>
    <w:lvl w:ilvl="3">
      <w:start w:val="0"/>
      <w:numFmt w:val="bullet"/>
      <w:lvlText w:val="•"/>
      <w:lvlJc w:val="left"/>
      <w:pPr>
        <w:ind w:left="2047" w:hanging="145"/>
      </w:pPr>
      <w:rPr>
        <w:rFonts w:hint="default"/>
        <w:lang w:val="ru-RU" w:eastAsia="en-US" w:bidi="ar-SA"/>
      </w:rPr>
    </w:lvl>
    <w:lvl w:ilvl="4">
      <w:start w:val="0"/>
      <w:numFmt w:val="bullet"/>
      <w:lvlText w:val="•"/>
      <w:lvlJc w:val="left"/>
      <w:pPr>
        <w:ind w:left="2563" w:hanging="145"/>
      </w:pPr>
      <w:rPr>
        <w:rFonts w:hint="default"/>
        <w:lang w:val="ru-RU" w:eastAsia="en-US" w:bidi="ar-SA"/>
      </w:rPr>
    </w:lvl>
    <w:lvl w:ilvl="5">
      <w:start w:val="0"/>
      <w:numFmt w:val="bullet"/>
      <w:lvlText w:val="•"/>
      <w:lvlJc w:val="left"/>
      <w:pPr>
        <w:ind w:left="3079" w:hanging="145"/>
      </w:pPr>
      <w:rPr>
        <w:rFonts w:hint="default"/>
        <w:lang w:val="ru-RU" w:eastAsia="en-US" w:bidi="ar-SA"/>
      </w:rPr>
    </w:lvl>
    <w:lvl w:ilvl="6">
      <w:start w:val="0"/>
      <w:numFmt w:val="bullet"/>
      <w:lvlText w:val="•"/>
      <w:lvlJc w:val="left"/>
      <w:pPr>
        <w:ind w:left="3595" w:hanging="145"/>
      </w:pPr>
      <w:rPr>
        <w:rFonts w:hint="default"/>
        <w:lang w:val="ru-RU" w:eastAsia="en-US" w:bidi="ar-SA"/>
      </w:rPr>
    </w:lvl>
    <w:lvl w:ilvl="7">
      <w:start w:val="0"/>
      <w:numFmt w:val="bullet"/>
      <w:lvlText w:val="•"/>
      <w:lvlJc w:val="left"/>
      <w:pPr>
        <w:ind w:left="4111" w:hanging="145"/>
      </w:pPr>
      <w:rPr>
        <w:rFonts w:hint="default"/>
        <w:lang w:val="ru-RU" w:eastAsia="en-US" w:bidi="ar-SA"/>
      </w:rPr>
    </w:lvl>
    <w:lvl w:ilvl="8">
      <w:start w:val="0"/>
      <w:numFmt w:val="bullet"/>
      <w:lvlText w:val="•"/>
      <w:lvlJc w:val="left"/>
      <w:pPr>
        <w:ind w:left="4627" w:hanging="145"/>
      </w:pPr>
      <w:rPr>
        <w:rFonts w:hint="default"/>
        <w:lang w:val="ru-RU" w:eastAsia="en-US" w:bidi="ar-SA"/>
      </w:rPr>
    </w:lvl>
  </w:abstractNum>
  <w:abstractNum w:abstractNumId="56">
    <w:multiLevelType w:val="hybridMultilevel"/>
    <w:lvl w:ilvl="0">
      <w:start w:val="0"/>
      <w:numFmt w:val="bullet"/>
      <w:lvlText w:val=""/>
      <w:lvlJc w:val="left"/>
      <w:pPr>
        <w:ind w:left="214" w:hanging="104"/>
      </w:pPr>
      <w:rPr>
        <w:rFonts w:hint="default" w:ascii="Symbol" w:hAnsi="Symbol" w:eastAsia="Symbol" w:cs="Symbol"/>
        <w:spacing w:val="11"/>
        <w:w w:val="99"/>
        <w:sz w:val="18"/>
        <w:szCs w:val="18"/>
        <w:lang w:val="ru-RU" w:eastAsia="en-US" w:bidi="ar-SA"/>
      </w:rPr>
    </w:lvl>
    <w:lvl w:ilvl="1">
      <w:start w:val="0"/>
      <w:numFmt w:val="bullet"/>
      <w:lvlText w:val="•"/>
      <w:lvlJc w:val="left"/>
      <w:pPr>
        <w:ind w:left="763" w:hanging="104"/>
      </w:pPr>
      <w:rPr>
        <w:rFonts w:hint="default"/>
        <w:lang w:val="ru-RU" w:eastAsia="en-US" w:bidi="ar-SA"/>
      </w:rPr>
    </w:lvl>
    <w:lvl w:ilvl="2">
      <w:start w:val="0"/>
      <w:numFmt w:val="bullet"/>
      <w:lvlText w:val="•"/>
      <w:lvlJc w:val="left"/>
      <w:pPr>
        <w:ind w:left="1307" w:hanging="104"/>
      </w:pPr>
      <w:rPr>
        <w:rFonts w:hint="default"/>
        <w:lang w:val="ru-RU" w:eastAsia="en-US" w:bidi="ar-SA"/>
      </w:rPr>
    </w:lvl>
    <w:lvl w:ilvl="3">
      <w:start w:val="0"/>
      <w:numFmt w:val="bullet"/>
      <w:lvlText w:val="•"/>
      <w:lvlJc w:val="left"/>
      <w:pPr>
        <w:ind w:left="1851" w:hanging="104"/>
      </w:pPr>
      <w:rPr>
        <w:rFonts w:hint="default"/>
        <w:lang w:val="ru-RU" w:eastAsia="en-US" w:bidi="ar-SA"/>
      </w:rPr>
    </w:lvl>
    <w:lvl w:ilvl="4">
      <w:start w:val="0"/>
      <w:numFmt w:val="bullet"/>
      <w:lvlText w:val="•"/>
      <w:lvlJc w:val="left"/>
      <w:pPr>
        <w:ind w:left="2395" w:hanging="104"/>
      </w:pPr>
      <w:rPr>
        <w:rFonts w:hint="default"/>
        <w:lang w:val="ru-RU" w:eastAsia="en-US" w:bidi="ar-SA"/>
      </w:rPr>
    </w:lvl>
    <w:lvl w:ilvl="5">
      <w:start w:val="0"/>
      <w:numFmt w:val="bullet"/>
      <w:lvlText w:val="•"/>
      <w:lvlJc w:val="left"/>
      <w:pPr>
        <w:ind w:left="2939" w:hanging="104"/>
      </w:pPr>
      <w:rPr>
        <w:rFonts w:hint="default"/>
        <w:lang w:val="ru-RU" w:eastAsia="en-US" w:bidi="ar-SA"/>
      </w:rPr>
    </w:lvl>
    <w:lvl w:ilvl="6">
      <w:start w:val="0"/>
      <w:numFmt w:val="bullet"/>
      <w:lvlText w:val="•"/>
      <w:lvlJc w:val="left"/>
      <w:pPr>
        <w:ind w:left="3483" w:hanging="104"/>
      </w:pPr>
      <w:rPr>
        <w:rFonts w:hint="default"/>
        <w:lang w:val="ru-RU" w:eastAsia="en-US" w:bidi="ar-SA"/>
      </w:rPr>
    </w:lvl>
    <w:lvl w:ilvl="7">
      <w:start w:val="0"/>
      <w:numFmt w:val="bullet"/>
      <w:lvlText w:val="•"/>
      <w:lvlJc w:val="left"/>
      <w:pPr>
        <w:ind w:left="4027" w:hanging="104"/>
      </w:pPr>
      <w:rPr>
        <w:rFonts w:hint="default"/>
        <w:lang w:val="ru-RU" w:eastAsia="en-US" w:bidi="ar-SA"/>
      </w:rPr>
    </w:lvl>
    <w:lvl w:ilvl="8">
      <w:start w:val="0"/>
      <w:numFmt w:val="bullet"/>
      <w:lvlText w:val="•"/>
      <w:lvlJc w:val="left"/>
      <w:pPr>
        <w:ind w:left="4571" w:hanging="104"/>
      </w:pPr>
      <w:rPr>
        <w:rFonts w:hint="default"/>
        <w:lang w:val="ru-RU" w:eastAsia="en-US" w:bidi="ar-SA"/>
      </w:rPr>
    </w:lvl>
  </w:abstractNum>
  <w:abstractNum w:abstractNumId="55">
    <w:multiLevelType w:val="hybridMultilevel"/>
    <w:lvl w:ilvl="0">
      <w:start w:val="0"/>
      <w:numFmt w:val="bullet"/>
      <w:lvlText w:val="−"/>
      <w:lvlJc w:val="left"/>
      <w:pPr>
        <w:ind w:left="1115" w:hanging="286"/>
      </w:pPr>
      <w:rPr>
        <w:rFonts w:hint="default" w:ascii="Calibri" w:hAnsi="Calibri" w:eastAsia="Calibri" w:cs="Calibri"/>
        <w:spacing w:val="-13"/>
        <w:w w:val="100"/>
        <w:sz w:val="24"/>
        <w:szCs w:val="24"/>
        <w:lang w:val="ru-RU" w:eastAsia="en-US" w:bidi="ar-SA"/>
      </w:rPr>
    </w:lvl>
    <w:lvl w:ilvl="1">
      <w:start w:val="0"/>
      <w:numFmt w:val="bullet"/>
      <w:lvlText w:val="−"/>
      <w:lvlJc w:val="left"/>
      <w:pPr>
        <w:ind w:left="1408" w:hanging="360"/>
      </w:pPr>
      <w:rPr>
        <w:rFonts w:hint="default" w:ascii="Calibri" w:hAnsi="Calibri" w:eastAsia="Calibri" w:cs="Calibri"/>
        <w:spacing w:val="-8"/>
        <w:w w:val="100"/>
        <w:sz w:val="24"/>
        <w:szCs w:val="24"/>
        <w:lang w:val="ru-RU" w:eastAsia="en-US" w:bidi="ar-SA"/>
      </w:rPr>
    </w:lvl>
    <w:lvl w:ilvl="2">
      <w:start w:val="0"/>
      <w:numFmt w:val="bullet"/>
      <w:lvlText w:val="•"/>
      <w:lvlJc w:val="left"/>
      <w:pPr>
        <w:ind w:left="2267" w:hanging="360"/>
      </w:pPr>
      <w:rPr>
        <w:rFonts w:hint="default"/>
        <w:lang w:val="ru-RU" w:eastAsia="en-US" w:bidi="ar-SA"/>
      </w:rPr>
    </w:lvl>
    <w:lvl w:ilvl="3">
      <w:start w:val="0"/>
      <w:numFmt w:val="bullet"/>
      <w:lvlText w:val="•"/>
      <w:lvlJc w:val="left"/>
      <w:pPr>
        <w:ind w:left="3135" w:hanging="360"/>
      </w:pPr>
      <w:rPr>
        <w:rFonts w:hint="default"/>
        <w:lang w:val="ru-RU" w:eastAsia="en-US" w:bidi="ar-SA"/>
      </w:rPr>
    </w:lvl>
    <w:lvl w:ilvl="4">
      <w:start w:val="0"/>
      <w:numFmt w:val="bullet"/>
      <w:lvlText w:val="•"/>
      <w:lvlJc w:val="left"/>
      <w:pPr>
        <w:ind w:left="4003" w:hanging="360"/>
      </w:pPr>
      <w:rPr>
        <w:rFonts w:hint="default"/>
        <w:lang w:val="ru-RU" w:eastAsia="en-US" w:bidi="ar-SA"/>
      </w:rPr>
    </w:lvl>
    <w:lvl w:ilvl="5">
      <w:start w:val="0"/>
      <w:numFmt w:val="bullet"/>
      <w:lvlText w:val="•"/>
      <w:lvlJc w:val="left"/>
      <w:pPr>
        <w:ind w:left="4871" w:hanging="360"/>
      </w:pPr>
      <w:rPr>
        <w:rFonts w:hint="default"/>
        <w:lang w:val="ru-RU" w:eastAsia="en-US" w:bidi="ar-SA"/>
      </w:rPr>
    </w:lvl>
    <w:lvl w:ilvl="6">
      <w:start w:val="0"/>
      <w:numFmt w:val="bullet"/>
      <w:lvlText w:val="•"/>
      <w:lvlJc w:val="left"/>
      <w:pPr>
        <w:ind w:left="5739" w:hanging="360"/>
      </w:pPr>
      <w:rPr>
        <w:rFonts w:hint="default"/>
        <w:lang w:val="ru-RU" w:eastAsia="en-US" w:bidi="ar-SA"/>
      </w:rPr>
    </w:lvl>
    <w:lvl w:ilvl="7">
      <w:start w:val="0"/>
      <w:numFmt w:val="bullet"/>
      <w:lvlText w:val="•"/>
      <w:lvlJc w:val="left"/>
      <w:pPr>
        <w:ind w:left="6607" w:hanging="360"/>
      </w:pPr>
      <w:rPr>
        <w:rFonts w:hint="default"/>
        <w:lang w:val="ru-RU" w:eastAsia="en-US" w:bidi="ar-SA"/>
      </w:rPr>
    </w:lvl>
    <w:lvl w:ilvl="8">
      <w:start w:val="0"/>
      <w:numFmt w:val="bullet"/>
      <w:lvlText w:val="•"/>
      <w:lvlJc w:val="left"/>
      <w:pPr>
        <w:ind w:left="7475" w:hanging="360"/>
      </w:pPr>
      <w:rPr>
        <w:rFonts w:hint="default"/>
        <w:lang w:val="ru-RU" w:eastAsia="en-US" w:bidi="ar-SA"/>
      </w:rPr>
    </w:lvl>
  </w:abstractNum>
  <w:abstractNum w:abstractNumId="54">
    <w:multiLevelType w:val="hybridMultilevel"/>
    <w:lvl w:ilvl="0">
      <w:start w:val="23"/>
      <w:numFmt w:val="decimal"/>
      <w:lvlText w:val="%1."/>
      <w:lvlJc w:val="left"/>
      <w:pPr>
        <w:ind w:left="321" w:hanging="317"/>
        <w:jc w:val="left"/>
      </w:pPr>
      <w:rPr>
        <w:rFonts w:hint="default" w:ascii="Times New Roman" w:hAnsi="Times New Roman" w:eastAsia="Times New Roman" w:cs="Times New Roman"/>
        <w:spacing w:val="0"/>
        <w:w w:val="99"/>
        <w:sz w:val="20"/>
        <w:szCs w:val="20"/>
        <w:lang w:val="ru-RU" w:eastAsia="en-US" w:bidi="ar-SA"/>
      </w:rPr>
    </w:lvl>
    <w:lvl w:ilvl="1">
      <w:start w:val="0"/>
      <w:numFmt w:val="bullet"/>
      <w:lvlText w:val=""/>
      <w:lvlJc w:val="left"/>
      <w:pPr>
        <w:ind w:left="800" w:hanging="339"/>
      </w:pPr>
      <w:rPr>
        <w:rFonts w:hint="default" w:ascii="Symbol" w:hAnsi="Symbol" w:eastAsia="Symbol" w:cs="Symbol"/>
        <w:w w:val="100"/>
        <w:sz w:val="24"/>
        <w:szCs w:val="24"/>
        <w:lang w:val="ru-RU" w:eastAsia="en-US" w:bidi="ar-SA"/>
      </w:rPr>
    </w:lvl>
    <w:lvl w:ilvl="2">
      <w:start w:val="0"/>
      <w:numFmt w:val="bullet"/>
      <w:lvlText w:val="•"/>
      <w:lvlJc w:val="left"/>
      <w:pPr>
        <w:ind w:left="826" w:hanging="209"/>
      </w:pPr>
      <w:rPr>
        <w:rFonts w:hint="default" w:ascii="Times New Roman" w:hAnsi="Times New Roman" w:eastAsia="Times New Roman" w:cs="Times New Roman"/>
        <w:w w:val="100"/>
        <w:sz w:val="28"/>
        <w:szCs w:val="28"/>
        <w:lang w:val="ru-RU" w:eastAsia="en-US" w:bidi="ar-SA"/>
      </w:rPr>
    </w:lvl>
    <w:lvl w:ilvl="3">
      <w:start w:val="0"/>
      <w:numFmt w:val="bullet"/>
      <w:lvlText w:val="•"/>
      <w:lvlJc w:val="left"/>
      <w:pPr>
        <w:ind w:left="1100" w:hanging="209"/>
      </w:pPr>
      <w:rPr>
        <w:rFonts w:hint="default"/>
        <w:lang w:val="ru-RU" w:eastAsia="en-US" w:bidi="ar-SA"/>
      </w:rPr>
    </w:lvl>
    <w:lvl w:ilvl="4">
      <w:start w:val="0"/>
      <w:numFmt w:val="bullet"/>
      <w:lvlText w:val="•"/>
      <w:lvlJc w:val="left"/>
      <w:pPr>
        <w:ind w:left="2258" w:hanging="209"/>
      </w:pPr>
      <w:rPr>
        <w:rFonts w:hint="default"/>
        <w:lang w:val="ru-RU" w:eastAsia="en-US" w:bidi="ar-SA"/>
      </w:rPr>
    </w:lvl>
    <w:lvl w:ilvl="5">
      <w:start w:val="0"/>
      <w:numFmt w:val="bullet"/>
      <w:lvlText w:val="•"/>
      <w:lvlJc w:val="left"/>
      <w:pPr>
        <w:ind w:left="3417" w:hanging="209"/>
      </w:pPr>
      <w:rPr>
        <w:rFonts w:hint="default"/>
        <w:lang w:val="ru-RU" w:eastAsia="en-US" w:bidi="ar-SA"/>
      </w:rPr>
    </w:lvl>
    <w:lvl w:ilvl="6">
      <w:start w:val="0"/>
      <w:numFmt w:val="bullet"/>
      <w:lvlText w:val="•"/>
      <w:lvlJc w:val="left"/>
      <w:pPr>
        <w:ind w:left="4576" w:hanging="209"/>
      </w:pPr>
      <w:rPr>
        <w:rFonts w:hint="default"/>
        <w:lang w:val="ru-RU" w:eastAsia="en-US" w:bidi="ar-SA"/>
      </w:rPr>
    </w:lvl>
    <w:lvl w:ilvl="7">
      <w:start w:val="0"/>
      <w:numFmt w:val="bullet"/>
      <w:lvlText w:val="•"/>
      <w:lvlJc w:val="left"/>
      <w:pPr>
        <w:ind w:left="5734" w:hanging="209"/>
      </w:pPr>
      <w:rPr>
        <w:rFonts w:hint="default"/>
        <w:lang w:val="ru-RU" w:eastAsia="en-US" w:bidi="ar-SA"/>
      </w:rPr>
    </w:lvl>
    <w:lvl w:ilvl="8">
      <w:start w:val="0"/>
      <w:numFmt w:val="bullet"/>
      <w:lvlText w:val="•"/>
      <w:lvlJc w:val="left"/>
      <w:pPr>
        <w:ind w:left="6893" w:hanging="209"/>
      </w:pPr>
      <w:rPr>
        <w:rFonts w:hint="default"/>
        <w:lang w:val="ru-RU" w:eastAsia="en-US" w:bidi="ar-SA"/>
      </w:rPr>
    </w:lvl>
  </w:abstractNum>
  <w:abstractNum w:abstractNumId="53">
    <w:multiLevelType w:val="hybridMultilevel"/>
    <w:lvl w:ilvl="0">
      <w:start w:val="1"/>
      <w:numFmt w:val="decimal"/>
      <w:lvlText w:val="%1)"/>
      <w:lvlJc w:val="left"/>
      <w:pPr>
        <w:ind w:left="321" w:hanging="312"/>
        <w:jc w:val="left"/>
      </w:pPr>
      <w:rPr>
        <w:rFonts w:hint="default"/>
        <w:spacing w:val="-29"/>
        <w:w w:val="100"/>
        <w:lang w:val="ru-RU" w:eastAsia="en-US" w:bidi="ar-SA"/>
      </w:rPr>
    </w:lvl>
    <w:lvl w:ilvl="1">
      <w:start w:val="0"/>
      <w:numFmt w:val="bullet"/>
      <w:lvlText w:val="•"/>
      <w:lvlJc w:val="left"/>
      <w:pPr>
        <w:ind w:left="1281" w:hanging="312"/>
      </w:pPr>
      <w:rPr>
        <w:rFonts w:hint="default"/>
        <w:lang w:val="ru-RU" w:eastAsia="en-US" w:bidi="ar-SA"/>
      </w:rPr>
    </w:lvl>
    <w:lvl w:ilvl="2">
      <w:start w:val="0"/>
      <w:numFmt w:val="bullet"/>
      <w:lvlText w:val="•"/>
      <w:lvlJc w:val="left"/>
      <w:pPr>
        <w:ind w:left="2242" w:hanging="312"/>
      </w:pPr>
      <w:rPr>
        <w:rFonts w:hint="default"/>
        <w:lang w:val="ru-RU" w:eastAsia="en-US" w:bidi="ar-SA"/>
      </w:rPr>
    </w:lvl>
    <w:lvl w:ilvl="3">
      <w:start w:val="0"/>
      <w:numFmt w:val="bullet"/>
      <w:lvlText w:val="•"/>
      <w:lvlJc w:val="left"/>
      <w:pPr>
        <w:ind w:left="3203" w:hanging="312"/>
      </w:pPr>
      <w:rPr>
        <w:rFonts w:hint="default"/>
        <w:lang w:val="ru-RU" w:eastAsia="en-US" w:bidi="ar-SA"/>
      </w:rPr>
    </w:lvl>
    <w:lvl w:ilvl="4">
      <w:start w:val="0"/>
      <w:numFmt w:val="bullet"/>
      <w:lvlText w:val="•"/>
      <w:lvlJc w:val="left"/>
      <w:pPr>
        <w:ind w:left="4164" w:hanging="312"/>
      </w:pPr>
      <w:rPr>
        <w:rFonts w:hint="default"/>
        <w:lang w:val="ru-RU" w:eastAsia="en-US" w:bidi="ar-SA"/>
      </w:rPr>
    </w:lvl>
    <w:lvl w:ilvl="5">
      <w:start w:val="0"/>
      <w:numFmt w:val="bullet"/>
      <w:lvlText w:val="•"/>
      <w:lvlJc w:val="left"/>
      <w:pPr>
        <w:ind w:left="5125" w:hanging="312"/>
      </w:pPr>
      <w:rPr>
        <w:rFonts w:hint="default"/>
        <w:lang w:val="ru-RU" w:eastAsia="en-US" w:bidi="ar-SA"/>
      </w:rPr>
    </w:lvl>
    <w:lvl w:ilvl="6">
      <w:start w:val="0"/>
      <w:numFmt w:val="bullet"/>
      <w:lvlText w:val="•"/>
      <w:lvlJc w:val="left"/>
      <w:pPr>
        <w:ind w:left="6086" w:hanging="312"/>
      </w:pPr>
      <w:rPr>
        <w:rFonts w:hint="default"/>
        <w:lang w:val="ru-RU" w:eastAsia="en-US" w:bidi="ar-SA"/>
      </w:rPr>
    </w:lvl>
    <w:lvl w:ilvl="7">
      <w:start w:val="0"/>
      <w:numFmt w:val="bullet"/>
      <w:lvlText w:val="•"/>
      <w:lvlJc w:val="left"/>
      <w:pPr>
        <w:ind w:left="7047" w:hanging="312"/>
      </w:pPr>
      <w:rPr>
        <w:rFonts w:hint="default"/>
        <w:lang w:val="ru-RU" w:eastAsia="en-US" w:bidi="ar-SA"/>
      </w:rPr>
    </w:lvl>
    <w:lvl w:ilvl="8">
      <w:start w:val="0"/>
      <w:numFmt w:val="bullet"/>
      <w:lvlText w:val="•"/>
      <w:lvlJc w:val="left"/>
      <w:pPr>
        <w:ind w:left="8008" w:hanging="312"/>
      </w:pPr>
      <w:rPr>
        <w:rFonts w:hint="default"/>
        <w:lang w:val="ru-RU" w:eastAsia="en-US" w:bidi="ar-SA"/>
      </w:rPr>
    </w:lvl>
  </w:abstractNum>
  <w:abstractNum w:abstractNumId="52">
    <w:multiLevelType w:val="hybridMultilevel"/>
    <w:lvl w:ilvl="0">
      <w:start w:val="0"/>
      <w:numFmt w:val="bullet"/>
      <w:lvlText w:val=""/>
      <w:lvlJc w:val="left"/>
      <w:pPr>
        <w:ind w:left="439" w:hanging="360"/>
      </w:pPr>
      <w:rPr>
        <w:rFonts w:hint="default" w:ascii="Symbol" w:hAnsi="Symbol" w:eastAsia="Symbol" w:cs="Symbol"/>
        <w:w w:val="100"/>
        <w:sz w:val="22"/>
        <w:szCs w:val="22"/>
        <w:lang w:val="ru-RU" w:eastAsia="en-US" w:bidi="ar-SA"/>
      </w:rPr>
    </w:lvl>
    <w:lvl w:ilvl="1">
      <w:start w:val="0"/>
      <w:numFmt w:val="bullet"/>
      <w:lvlText w:val="•"/>
      <w:lvlJc w:val="left"/>
      <w:pPr>
        <w:ind w:left="1076" w:hanging="360"/>
      </w:pPr>
      <w:rPr>
        <w:rFonts w:hint="default"/>
        <w:lang w:val="ru-RU" w:eastAsia="en-US" w:bidi="ar-SA"/>
      </w:rPr>
    </w:lvl>
    <w:lvl w:ilvl="2">
      <w:start w:val="0"/>
      <w:numFmt w:val="bullet"/>
      <w:lvlText w:val="•"/>
      <w:lvlJc w:val="left"/>
      <w:pPr>
        <w:ind w:left="1713" w:hanging="360"/>
      </w:pPr>
      <w:rPr>
        <w:rFonts w:hint="default"/>
        <w:lang w:val="ru-RU" w:eastAsia="en-US" w:bidi="ar-SA"/>
      </w:rPr>
    </w:lvl>
    <w:lvl w:ilvl="3">
      <w:start w:val="0"/>
      <w:numFmt w:val="bullet"/>
      <w:lvlText w:val="•"/>
      <w:lvlJc w:val="left"/>
      <w:pPr>
        <w:ind w:left="2349" w:hanging="360"/>
      </w:pPr>
      <w:rPr>
        <w:rFonts w:hint="default"/>
        <w:lang w:val="ru-RU" w:eastAsia="en-US" w:bidi="ar-SA"/>
      </w:rPr>
    </w:lvl>
    <w:lvl w:ilvl="4">
      <w:start w:val="0"/>
      <w:numFmt w:val="bullet"/>
      <w:lvlText w:val="•"/>
      <w:lvlJc w:val="left"/>
      <w:pPr>
        <w:ind w:left="2986" w:hanging="360"/>
      </w:pPr>
      <w:rPr>
        <w:rFonts w:hint="default"/>
        <w:lang w:val="ru-RU" w:eastAsia="en-US" w:bidi="ar-SA"/>
      </w:rPr>
    </w:lvl>
    <w:lvl w:ilvl="5">
      <w:start w:val="0"/>
      <w:numFmt w:val="bullet"/>
      <w:lvlText w:val="•"/>
      <w:lvlJc w:val="left"/>
      <w:pPr>
        <w:ind w:left="3623" w:hanging="360"/>
      </w:pPr>
      <w:rPr>
        <w:rFonts w:hint="default"/>
        <w:lang w:val="ru-RU" w:eastAsia="en-US" w:bidi="ar-SA"/>
      </w:rPr>
    </w:lvl>
    <w:lvl w:ilvl="6">
      <w:start w:val="0"/>
      <w:numFmt w:val="bullet"/>
      <w:lvlText w:val="•"/>
      <w:lvlJc w:val="left"/>
      <w:pPr>
        <w:ind w:left="4259" w:hanging="360"/>
      </w:pPr>
      <w:rPr>
        <w:rFonts w:hint="default"/>
        <w:lang w:val="ru-RU" w:eastAsia="en-US" w:bidi="ar-SA"/>
      </w:rPr>
    </w:lvl>
    <w:lvl w:ilvl="7">
      <w:start w:val="0"/>
      <w:numFmt w:val="bullet"/>
      <w:lvlText w:val="•"/>
      <w:lvlJc w:val="left"/>
      <w:pPr>
        <w:ind w:left="4896" w:hanging="360"/>
      </w:pPr>
      <w:rPr>
        <w:rFonts w:hint="default"/>
        <w:lang w:val="ru-RU" w:eastAsia="en-US" w:bidi="ar-SA"/>
      </w:rPr>
    </w:lvl>
    <w:lvl w:ilvl="8">
      <w:start w:val="0"/>
      <w:numFmt w:val="bullet"/>
      <w:lvlText w:val="•"/>
      <w:lvlJc w:val="left"/>
      <w:pPr>
        <w:ind w:left="5532" w:hanging="360"/>
      </w:pPr>
      <w:rPr>
        <w:rFonts w:hint="default"/>
        <w:lang w:val="ru-RU" w:eastAsia="en-US" w:bidi="ar-SA"/>
      </w:rPr>
    </w:lvl>
  </w:abstractNum>
  <w:abstractNum w:abstractNumId="51">
    <w:multiLevelType w:val="hybridMultilevel"/>
    <w:lvl w:ilvl="0">
      <w:start w:val="0"/>
      <w:numFmt w:val="bullet"/>
      <w:lvlText w:val=""/>
      <w:lvlJc w:val="left"/>
      <w:pPr>
        <w:ind w:left="439" w:hanging="361"/>
      </w:pPr>
      <w:rPr>
        <w:rFonts w:hint="default" w:ascii="Symbol" w:hAnsi="Symbol" w:eastAsia="Symbol" w:cs="Symbol"/>
        <w:w w:val="100"/>
        <w:sz w:val="22"/>
        <w:szCs w:val="22"/>
        <w:lang w:val="ru-RU" w:eastAsia="en-US" w:bidi="ar-SA"/>
      </w:rPr>
    </w:lvl>
    <w:lvl w:ilvl="1">
      <w:start w:val="0"/>
      <w:numFmt w:val="bullet"/>
      <w:lvlText w:val="•"/>
      <w:lvlJc w:val="left"/>
      <w:pPr>
        <w:ind w:left="1076" w:hanging="361"/>
      </w:pPr>
      <w:rPr>
        <w:rFonts w:hint="default"/>
        <w:lang w:val="ru-RU" w:eastAsia="en-US" w:bidi="ar-SA"/>
      </w:rPr>
    </w:lvl>
    <w:lvl w:ilvl="2">
      <w:start w:val="0"/>
      <w:numFmt w:val="bullet"/>
      <w:lvlText w:val="•"/>
      <w:lvlJc w:val="left"/>
      <w:pPr>
        <w:ind w:left="1713" w:hanging="361"/>
      </w:pPr>
      <w:rPr>
        <w:rFonts w:hint="default"/>
        <w:lang w:val="ru-RU" w:eastAsia="en-US" w:bidi="ar-SA"/>
      </w:rPr>
    </w:lvl>
    <w:lvl w:ilvl="3">
      <w:start w:val="0"/>
      <w:numFmt w:val="bullet"/>
      <w:lvlText w:val="•"/>
      <w:lvlJc w:val="left"/>
      <w:pPr>
        <w:ind w:left="2349" w:hanging="361"/>
      </w:pPr>
      <w:rPr>
        <w:rFonts w:hint="default"/>
        <w:lang w:val="ru-RU" w:eastAsia="en-US" w:bidi="ar-SA"/>
      </w:rPr>
    </w:lvl>
    <w:lvl w:ilvl="4">
      <w:start w:val="0"/>
      <w:numFmt w:val="bullet"/>
      <w:lvlText w:val="•"/>
      <w:lvlJc w:val="left"/>
      <w:pPr>
        <w:ind w:left="2986" w:hanging="361"/>
      </w:pPr>
      <w:rPr>
        <w:rFonts w:hint="default"/>
        <w:lang w:val="ru-RU" w:eastAsia="en-US" w:bidi="ar-SA"/>
      </w:rPr>
    </w:lvl>
    <w:lvl w:ilvl="5">
      <w:start w:val="0"/>
      <w:numFmt w:val="bullet"/>
      <w:lvlText w:val="•"/>
      <w:lvlJc w:val="left"/>
      <w:pPr>
        <w:ind w:left="3623" w:hanging="361"/>
      </w:pPr>
      <w:rPr>
        <w:rFonts w:hint="default"/>
        <w:lang w:val="ru-RU" w:eastAsia="en-US" w:bidi="ar-SA"/>
      </w:rPr>
    </w:lvl>
    <w:lvl w:ilvl="6">
      <w:start w:val="0"/>
      <w:numFmt w:val="bullet"/>
      <w:lvlText w:val="•"/>
      <w:lvlJc w:val="left"/>
      <w:pPr>
        <w:ind w:left="4259" w:hanging="361"/>
      </w:pPr>
      <w:rPr>
        <w:rFonts w:hint="default"/>
        <w:lang w:val="ru-RU" w:eastAsia="en-US" w:bidi="ar-SA"/>
      </w:rPr>
    </w:lvl>
    <w:lvl w:ilvl="7">
      <w:start w:val="0"/>
      <w:numFmt w:val="bullet"/>
      <w:lvlText w:val="•"/>
      <w:lvlJc w:val="left"/>
      <w:pPr>
        <w:ind w:left="4896" w:hanging="361"/>
      </w:pPr>
      <w:rPr>
        <w:rFonts w:hint="default"/>
        <w:lang w:val="ru-RU" w:eastAsia="en-US" w:bidi="ar-SA"/>
      </w:rPr>
    </w:lvl>
    <w:lvl w:ilvl="8">
      <w:start w:val="0"/>
      <w:numFmt w:val="bullet"/>
      <w:lvlText w:val="•"/>
      <w:lvlJc w:val="left"/>
      <w:pPr>
        <w:ind w:left="5532" w:hanging="361"/>
      </w:pPr>
      <w:rPr>
        <w:rFonts w:hint="default"/>
        <w:lang w:val="ru-RU" w:eastAsia="en-US" w:bidi="ar-SA"/>
      </w:rPr>
    </w:lvl>
  </w:abstractNum>
  <w:abstractNum w:abstractNumId="50">
    <w:multiLevelType w:val="hybridMultilevel"/>
    <w:lvl w:ilvl="0">
      <w:start w:val="0"/>
      <w:numFmt w:val="bullet"/>
      <w:lvlText w:val=""/>
      <w:lvlJc w:val="left"/>
      <w:pPr>
        <w:ind w:left="439" w:hanging="361"/>
      </w:pPr>
      <w:rPr>
        <w:rFonts w:hint="default" w:ascii="Symbol" w:hAnsi="Symbol" w:eastAsia="Symbol" w:cs="Symbol"/>
        <w:w w:val="100"/>
        <w:sz w:val="22"/>
        <w:szCs w:val="22"/>
        <w:lang w:val="ru-RU" w:eastAsia="en-US" w:bidi="ar-SA"/>
      </w:rPr>
    </w:lvl>
    <w:lvl w:ilvl="1">
      <w:start w:val="0"/>
      <w:numFmt w:val="bullet"/>
      <w:lvlText w:val="•"/>
      <w:lvlJc w:val="left"/>
      <w:pPr>
        <w:ind w:left="1076" w:hanging="361"/>
      </w:pPr>
      <w:rPr>
        <w:rFonts w:hint="default"/>
        <w:lang w:val="ru-RU" w:eastAsia="en-US" w:bidi="ar-SA"/>
      </w:rPr>
    </w:lvl>
    <w:lvl w:ilvl="2">
      <w:start w:val="0"/>
      <w:numFmt w:val="bullet"/>
      <w:lvlText w:val="•"/>
      <w:lvlJc w:val="left"/>
      <w:pPr>
        <w:ind w:left="1713" w:hanging="361"/>
      </w:pPr>
      <w:rPr>
        <w:rFonts w:hint="default"/>
        <w:lang w:val="ru-RU" w:eastAsia="en-US" w:bidi="ar-SA"/>
      </w:rPr>
    </w:lvl>
    <w:lvl w:ilvl="3">
      <w:start w:val="0"/>
      <w:numFmt w:val="bullet"/>
      <w:lvlText w:val="•"/>
      <w:lvlJc w:val="left"/>
      <w:pPr>
        <w:ind w:left="2349" w:hanging="361"/>
      </w:pPr>
      <w:rPr>
        <w:rFonts w:hint="default"/>
        <w:lang w:val="ru-RU" w:eastAsia="en-US" w:bidi="ar-SA"/>
      </w:rPr>
    </w:lvl>
    <w:lvl w:ilvl="4">
      <w:start w:val="0"/>
      <w:numFmt w:val="bullet"/>
      <w:lvlText w:val="•"/>
      <w:lvlJc w:val="left"/>
      <w:pPr>
        <w:ind w:left="2986" w:hanging="361"/>
      </w:pPr>
      <w:rPr>
        <w:rFonts w:hint="default"/>
        <w:lang w:val="ru-RU" w:eastAsia="en-US" w:bidi="ar-SA"/>
      </w:rPr>
    </w:lvl>
    <w:lvl w:ilvl="5">
      <w:start w:val="0"/>
      <w:numFmt w:val="bullet"/>
      <w:lvlText w:val="•"/>
      <w:lvlJc w:val="left"/>
      <w:pPr>
        <w:ind w:left="3623" w:hanging="361"/>
      </w:pPr>
      <w:rPr>
        <w:rFonts w:hint="default"/>
        <w:lang w:val="ru-RU" w:eastAsia="en-US" w:bidi="ar-SA"/>
      </w:rPr>
    </w:lvl>
    <w:lvl w:ilvl="6">
      <w:start w:val="0"/>
      <w:numFmt w:val="bullet"/>
      <w:lvlText w:val="•"/>
      <w:lvlJc w:val="left"/>
      <w:pPr>
        <w:ind w:left="4259" w:hanging="361"/>
      </w:pPr>
      <w:rPr>
        <w:rFonts w:hint="default"/>
        <w:lang w:val="ru-RU" w:eastAsia="en-US" w:bidi="ar-SA"/>
      </w:rPr>
    </w:lvl>
    <w:lvl w:ilvl="7">
      <w:start w:val="0"/>
      <w:numFmt w:val="bullet"/>
      <w:lvlText w:val="•"/>
      <w:lvlJc w:val="left"/>
      <w:pPr>
        <w:ind w:left="4896" w:hanging="361"/>
      </w:pPr>
      <w:rPr>
        <w:rFonts w:hint="default"/>
        <w:lang w:val="ru-RU" w:eastAsia="en-US" w:bidi="ar-SA"/>
      </w:rPr>
    </w:lvl>
    <w:lvl w:ilvl="8">
      <w:start w:val="0"/>
      <w:numFmt w:val="bullet"/>
      <w:lvlText w:val="•"/>
      <w:lvlJc w:val="left"/>
      <w:pPr>
        <w:ind w:left="5532" w:hanging="361"/>
      </w:pPr>
      <w:rPr>
        <w:rFonts w:hint="default"/>
        <w:lang w:val="ru-RU" w:eastAsia="en-US" w:bidi="ar-SA"/>
      </w:rPr>
    </w:lvl>
  </w:abstractNum>
  <w:abstractNum w:abstractNumId="49">
    <w:multiLevelType w:val="hybridMultilevel"/>
    <w:lvl w:ilvl="0">
      <w:start w:val="0"/>
      <w:numFmt w:val="bullet"/>
      <w:lvlText w:val=""/>
      <w:lvlJc w:val="left"/>
      <w:pPr>
        <w:ind w:left="439" w:hanging="360"/>
      </w:pPr>
      <w:rPr>
        <w:rFonts w:hint="default" w:ascii="Symbol" w:hAnsi="Symbol" w:eastAsia="Symbol" w:cs="Symbol"/>
        <w:w w:val="100"/>
        <w:sz w:val="22"/>
        <w:szCs w:val="22"/>
        <w:lang w:val="ru-RU" w:eastAsia="en-US" w:bidi="ar-SA"/>
      </w:rPr>
    </w:lvl>
    <w:lvl w:ilvl="1">
      <w:start w:val="0"/>
      <w:numFmt w:val="bullet"/>
      <w:lvlText w:val="•"/>
      <w:lvlJc w:val="left"/>
      <w:pPr>
        <w:ind w:left="1076" w:hanging="360"/>
      </w:pPr>
      <w:rPr>
        <w:rFonts w:hint="default"/>
        <w:lang w:val="ru-RU" w:eastAsia="en-US" w:bidi="ar-SA"/>
      </w:rPr>
    </w:lvl>
    <w:lvl w:ilvl="2">
      <w:start w:val="0"/>
      <w:numFmt w:val="bullet"/>
      <w:lvlText w:val="•"/>
      <w:lvlJc w:val="left"/>
      <w:pPr>
        <w:ind w:left="1713" w:hanging="360"/>
      </w:pPr>
      <w:rPr>
        <w:rFonts w:hint="default"/>
        <w:lang w:val="ru-RU" w:eastAsia="en-US" w:bidi="ar-SA"/>
      </w:rPr>
    </w:lvl>
    <w:lvl w:ilvl="3">
      <w:start w:val="0"/>
      <w:numFmt w:val="bullet"/>
      <w:lvlText w:val="•"/>
      <w:lvlJc w:val="left"/>
      <w:pPr>
        <w:ind w:left="2349" w:hanging="360"/>
      </w:pPr>
      <w:rPr>
        <w:rFonts w:hint="default"/>
        <w:lang w:val="ru-RU" w:eastAsia="en-US" w:bidi="ar-SA"/>
      </w:rPr>
    </w:lvl>
    <w:lvl w:ilvl="4">
      <w:start w:val="0"/>
      <w:numFmt w:val="bullet"/>
      <w:lvlText w:val="•"/>
      <w:lvlJc w:val="left"/>
      <w:pPr>
        <w:ind w:left="2986" w:hanging="360"/>
      </w:pPr>
      <w:rPr>
        <w:rFonts w:hint="default"/>
        <w:lang w:val="ru-RU" w:eastAsia="en-US" w:bidi="ar-SA"/>
      </w:rPr>
    </w:lvl>
    <w:lvl w:ilvl="5">
      <w:start w:val="0"/>
      <w:numFmt w:val="bullet"/>
      <w:lvlText w:val="•"/>
      <w:lvlJc w:val="left"/>
      <w:pPr>
        <w:ind w:left="3623" w:hanging="360"/>
      </w:pPr>
      <w:rPr>
        <w:rFonts w:hint="default"/>
        <w:lang w:val="ru-RU" w:eastAsia="en-US" w:bidi="ar-SA"/>
      </w:rPr>
    </w:lvl>
    <w:lvl w:ilvl="6">
      <w:start w:val="0"/>
      <w:numFmt w:val="bullet"/>
      <w:lvlText w:val="•"/>
      <w:lvlJc w:val="left"/>
      <w:pPr>
        <w:ind w:left="4259" w:hanging="360"/>
      </w:pPr>
      <w:rPr>
        <w:rFonts w:hint="default"/>
        <w:lang w:val="ru-RU" w:eastAsia="en-US" w:bidi="ar-SA"/>
      </w:rPr>
    </w:lvl>
    <w:lvl w:ilvl="7">
      <w:start w:val="0"/>
      <w:numFmt w:val="bullet"/>
      <w:lvlText w:val="•"/>
      <w:lvlJc w:val="left"/>
      <w:pPr>
        <w:ind w:left="4896" w:hanging="360"/>
      </w:pPr>
      <w:rPr>
        <w:rFonts w:hint="default"/>
        <w:lang w:val="ru-RU" w:eastAsia="en-US" w:bidi="ar-SA"/>
      </w:rPr>
    </w:lvl>
    <w:lvl w:ilvl="8">
      <w:start w:val="0"/>
      <w:numFmt w:val="bullet"/>
      <w:lvlText w:val="•"/>
      <w:lvlJc w:val="left"/>
      <w:pPr>
        <w:ind w:left="5532" w:hanging="360"/>
      </w:pPr>
      <w:rPr>
        <w:rFonts w:hint="default"/>
        <w:lang w:val="ru-RU" w:eastAsia="en-US" w:bidi="ar-SA"/>
      </w:rPr>
    </w:lvl>
  </w:abstractNum>
  <w:abstractNum w:abstractNumId="48">
    <w:multiLevelType w:val="hybridMultilevel"/>
    <w:lvl w:ilvl="0">
      <w:start w:val="0"/>
      <w:numFmt w:val="bullet"/>
      <w:lvlText w:val=""/>
      <w:lvlJc w:val="left"/>
      <w:pPr>
        <w:ind w:left="439" w:hanging="361"/>
      </w:pPr>
      <w:rPr>
        <w:rFonts w:hint="default" w:ascii="Symbol" w:hAnsi="Symbol" w:eastAsia="Symbol" w:cs="Symbol"/>
        <w:w w:val="100"/>
        <w:sz w:val="22"/>
        <w:szCs w:val="22"/>
        <w:lang w:val="ru-RU" w:eastAsia="en-US" w:bidi="ar-SA"/>
      </w:rPr>
    </w:lvl>
    <w:lvl w:ilvl="1">
      <w:start w:val="0"/>
      <w:numFmt w:val="bullet"/>
      <w:lvlText w:val="•"/>
      <w:lvlJc w:val="left"/>
      <w:pPr>
        <w:ind w:left="1076" w:hanging="361"/>
      </w:pPr>
      <w:rPr>
        <w:rFonts w:hint="default"/>
        <w:lang w:val="ru-RU" w:eastAsia="en-US" w:bidi="ar-SA"/>
      </w:rPr>
    </w:lvl>
    <w:lvl w:ilvl="2">
      <w:start w:val="0"/>
      <w:numFmt w:val="bullet"/>
      <w:lvlText w:val="•"/>
      <w:lvlJc w:val="left"/>
      <w:pPr>
        <w:ind w:left="1713" w:hanging="361"/>
      </w:pPr>
      <w:rPr>
        <w:rFonts w:hint="default"/>
        <w:lang w:val="ru-RU" w:eastAsia="en-US" w:bidi="ar-SA"/>
      </w:rPr>
    </w:lvl>
    <w:lvl w:ilvl="3">
      <w:start w:val="0"/>
      <w:numFmt w:val="bullet"/>
      <w:lvlText w:val="•"/>
      <w:lvlJc w:val="left"/>
      <w:pPr>
        <w:ind w:left="2349" w:hanging="361"/>
      </w:pPr>
      <w:rPr>
        <w:rFonts w:hint="default"/>
        <w:lang w:val="ru-RU" w:eastAsia="en-US" w:bidi="ar-SA"/>
      </w:rPr>
    </w:lvl>
    <w:lvl w:ilvl="4">
      <w:start w:val="0"/>
      <w:numFmt w:val="bullet"/>
      <w:lvlText w:val="•"/>
      <w:lvlJc w:val="left"/>
      <w:pPr>
        <w:ind w:left="2986" w:hanging="361"/>
      </w:pPr>
      <w:rPr>
        <w:rFonts w:hint="default"/>
        <w:lang w:val="ru-RU" w:eastAsia="en-US" w:bidi="ar-SA"/>
      </w:rPr>
    </w:lvl>
    <w:lvl w:ilvl="5">
      <w:start w:val="0"/>
      <w:numFmt w:val="bullet"/>
      <w:lvlText w:val="•"/>
      <w:lvlJc w:val="left"/>
      <w:pPr>
        <w:ind w:left="3623" w:hanging="361"/>
      </w:pPr>
      <w:rPr>
        <w:rFonts w:hint="default"/>
        <w:lang w:val="ru-RU" w:eastAsia="en-US" w:bidi="ar-SA"/>
      </w:rPr>
    </w:lvl>
    <w:lvl w:ilvl="6">
      <w:start w:val="0"/>
      <w:numFmt w:val="bullet"/>
      <w:lvlText w:val="•"/>
      <w:lvlJc w:val="left"/>
      <w:pPr>
        <w:ind w:left="4259" w:hanging="361"/>
      </w:pPr>
      <w:rPr>
        <w:rFonts w:hint="default"/>
        <w:lang w:val="ru-RU" w:eastAsia="en-US" w:bidi="ar-SA"/>
      </w:rPr>
    </w:lvl>
    <w:lvl w:ilvl="7">
      <w:start w:val="0"/>
      <w:numFmt w:val="bullet"/>
      <w:lvlText w:val="•"/>
      <w:lvlJc w:val="left"/>
      <w:pPr>
        <w:ind w:left="4896" w:hanging="361"/>
      </w:pPr>
      <w:rPr>
        <w:rFonts w:hint="default"/>
        <w:lang w:val="ru-RU" w:eastAsia="en-US" w:bidi="ar-SA"/>
      </w:rPr>
    </w:lvl>
    <w:lvl w:ilvl="8">
      <w:start w:val="0"/>
      <w:numFmt w:val="bullet"/>
      <w:lvlText w:val="•"/>
      <w:lvlJc w:val="left"/>
      <w:pPr>
        <w:ind w:left="5532" w:hanging="361"/>
      </w:pPr>
      <w:rPr>
        <w:rFonts w:hint="default"/>
        <w:lang w:val="ru-RU" w:eastAsia="en-US" w:bidi="ar-SA"/>
      </w:rPr>
    </w:lvl>
  </w:abstractNum>
  <w:abstractNum w:abstractNumId="47">
    <w:multiLevelType w:val="hybridMultilevel"/>
    <w:lvl w:ilvl="0">
      <w:start w:val="1"/>
      <w:numFmt w:val="decimal"/>
      <w:lvlText w:val="%1."/>
      <w:lvlJc w:val="left"/>
      <w:pPr>
        <w:ind w:left="1401" w:hanging="360"/>
        <w:jc w:val="left"/>
      </w:pPr>
      <w:rPr>
        <w:rFonts w:hint="default"/>
        <w:spacing w:val="-5"/>
        <w:w w:val="100"/>
        <w:lang w:val="ru-RU" w:eastAsia="en-US" w:bidi="ar-SA"/>
      </w:rPr>
    </w:lvl>
    <w:lvl w:ilvl="1">
      <w:start w:val="0"/>
      <w:numFmt w:val="bullet"/>
      <w:lvlText w:val="•"/>
      <w:lvlJc w:val="left"/>
      <w:pPr>
        <w:ind w:left="2253" w:hanging="360"/>
      </w:pPr>
      <w:rPr>
        <w:rFonts w:hint="default"/>
        <w:lang w:val="ru-RU" w:eastAsia="en-US" w:bidi="ar-SA"/>
      </w:rPr>
    </w:lvl>
    <w:lvl w:ilvl="2">
      <w:start w:val="0"/>
      <w:numFmt w:val="bullet"/>
      <w:lvlText w:val="•"/>
      <w:lvlJc w:val="left"/>
      <w:pPr>
        <w:ind w:left="3106" w:hanging="360"/>
      </w:pPr>
      <w:rPr>
        <w:rFonts w:hint="default"/>
        <w:lang w:val="ru-RU" w:eastAsia="en-US" w:bidi="ar-SA"/>
      </w:rPr>
    </w:lvl>
    <w:lvl w:ilvl="3">
      <w:start w:val="0"/>
      <w:numFmt w:val="bullet"/>
      <w:lvlText w:val="•"/>
      <w:lvlJc w:val="left"/>
      <w:pPr>
        <w:ind w:left="3959" w:hanging="360"/>
      </w:pPr>
      <w:rPr>
        <w:rFonts w:hint="default"/>
        <w:lang w:val="ru-RU" w:eastAsia="en-US" w:bidi="ar-SA"/>
      </w:rPr>
    </w:lvl>
    <w:lvl w:ilvl="4">
      <w:start w:val="0"/>
      <w:numFmt w:val="bullet"/>
      <w:lvlText w:val="•"/>
      <w:lvlJc w:val="left"/>
      <w:pPr>
        <w:ind w:left="4812" w:hanging="360"/>
      </w:pPr>
      <w:rPr>
        <w:rFonts w:hint="default"/>
        <w:lang w:val="ru-RU" w:eastAsia="en-US" w:bidi="ar-SA"/>
      </w:rPr>
    </w:lvl>
    <w:lvl w:ilvl="5">
      <w:start w:val="0"/>
      <w:numFmt w:val="bullet"/>
      <w:lvlText w:val="•"/>
      <w:lvlJc w:val="left"/>
      <w:pPr>
        <w:ind w:left="5665" w:hanging="360"/>
      </w:pPr>
      <w:rPr>
        <w:rFonts w:hint="default"/>
        <w:lang w:val="ru-RU" w:eastAsia="en-US" w:bidi="ar-SA"/>
      </w:rPr>
    </w:lvl>
    <w:lvl w:ilvl="6">
      <w:start w:val="0"/>
      <w:numFmt w:val="bullet"/>
      <w:lvlText w:val="•"/>
      <w:lvlJc w:val="left"/>
      <w:pPr>
        <w:ind w:left="6518" w:hanging="360"/>
      </w:pPr>
      <w:rPr>
        <w:rFonts w:hint="default"/>
        <w:lang w:val="ru-RU" w:eastAsia="en-US" w:bidi="ar-SA"/>
      </w:rPr>
    </w:lvl>
    <w:lvl w:ilvl="7">
      <w:start w:val="0"/>
      <w:numFmt w:val="bullet"/>
      <w:lvlText w:val="•"/>
      <w:lvlJc w:val="left"/>
      <w:pPr>
        <w:ind w:left="7371" w:hanging="360"/>
      </w:pPr>
      <w:rPr>
        <w:rFonts w:hint="default"/>
        <w:lang w:val="ru-RU" w:eastAsia="en-US" w:bidi="ar-SA"/>
      </w:rPr>
    </w:lvl>
    <w:lvl w:ilvl="8">
      <w:start w:val="0"/>
      <w:numFmt w:val="bullet"/>
      <w:lvlText w:val="•"/>
      <w:lvlJc w:val="left"/>
      <w:pPr>
        <w:ind w:left="8224" w:hanging="360"/>
      </w:pPr>
      <w:rPr>
        <w:rFonts w:hint="default"/>
        <w:lang w:val="ru-RU" w:eastAsia="en-US" w:bidi="ar-SA"/>
      </w:rPr>
    </w:lvl>
  </w:abstractNum>
  <w:abstractNum w:abstractNumId="46">
    <w:multiLevelType w:val="hybridMultilevel"/>
    <w:lvl w:ilvl="0">
      <w:start w:val="0"/>
      <w:numFmt w:val="bullet"/>
      <w:lvlText w:val=""/>
      <w:lvlJc w:val="left"/>
      <w:pPr>
        <w:ind w:left="439" w:hanging="361"/>
      </w:pPr>
      <w:rPr>
        <w:rFonts w:hint="default" w:ascii="Symbol" w:hAnsi="Symbol" w:eastAsia="Symbol" w:cs="Symbol"/>
        <w:w w:val="100"/>
        <w:sz w:val="22"/>
        <w:szCs w:val="22"/>
        <w:lang w:val="ru-RU" w:eastAsia="en-US" w:bidi="ar-SA"/>
      </w:rPr>
    </w:lvl>
    <w:lvl w:ilvl="1">
      <w:start w:val="0"/>
      <w:numFmt w:val="bullet"/>
      <w:lvlText w:val="•"/>
      <w:lvlJc w:val="left"/>
      <w:pPr>
        <w:ind w:left="869" w:hanging="361"/>
      </w:pPr>
      <w:rPr>
        <w:rFonts w:hint="default"/>
        <w:lang w:val="ru-RU" w:eastAsia="en-US" w:bidi="ar-SA"/>
      </w:rPr>
    </w:lvl>
    <w:lvl w:ilvl="2">
      <w:start w:val="0"/>
      <w:numFmt w:val="bullet"/>
      <w:lvlText w:val="•"/>
      <w:lvlJc w:val="left"/>
      <w:pPr>
        <w:ind w:left="1299" w:hanging="361"/>
      </w:pPr>
      <w:rPr>
        <w:rFonts w:hint="default"/>
        <w:lang w:val="ru-RU" w:eastAsia="en-US" w:bidi="ar-SA"/>
      </w:rPr>
    </w:lvl>
    <w:lvl w:ilvl="3">
      <w:start w:val="0"/>
      <w:numFmt w:val="bullet"/>
      <w:lvlText w:val="•"/>
      <w:lvlJc w:val="left"/>
      <w:pPr>
        <w:ind w:left="1729" w:hanging="361"/>
      </w:pPr>
      <w:rPr>
        <w:rFonts w:hint="default"/>
        <w:lang w:val="ru-RU" w:eastAsia="en-US" w:bidi="ar-SA"/>
      </w:rPr>
    </w:lvl>
    <w:lvl w:ilvl="4">
      <w:start w:val="0"/>
      <w:numFmt w:val="bullet"/>
      <w:lvlText w:val="•"/>
      <w:lvlJc w:val="left"/>
      <w:pPr>
        <w:ind w:left="2158" w:hanging="361"/>
      </w:pPr>
      <w:rPr>
        <w:rFonts w:hint="default"/>
        <w:lang w:val="ru-RU" w:eastAsia="en-US" w:bidi="ar-SA"/>
      </w:rPr>
    </w:lvl>
    <w:lvl w:ilvl="5">
      <w:start w:val="0"/>
      <w:numFmt w:val="bullet"/>
      <w:lvlText w:val="•"/>
      <w:lvlJc w:val="left"/>
      <w:pPr>
        <w:ind w:left="2588" w:hanging="361"/>
      </w:pPr>
      <w:rPr>
        <w:rFonts w:hint="default"/>
        <w:lang w:val="ru-RU" w:eastAsia="en-US" w:bidi="ar-SA"/>
      </w:rPr>
    </w:lvl>
    <w:lvl w:ilvl="6">
      <w:start w:val="0"/>
      <w:numFmt w:val="bullet"/>
      <w:lvlText w:val="•"/>
      <w:lvlJc w:val="left"/>
      <w:pPr>
        <w:ind w:left="3018" w:hanging="361"/>
      </w:pPr>
      <w:rPr>
        <w:rFonts w:hint="default"/>
        <w:lang w:val="ru-RU" w:eastAsia="en-US" w:bidi="ar-SA"/>
      </w:rPr>
    </w:lvl>
    <w:lvl w:ilvl="7">
      <w:start w:val="0"/>
      <w:numFmt w:val="bullet"/>
      <w:lvlText w:val="•"/>
      <w:lvlJc w:val="left"/>
      <w:pPr>
        <w:ind w:left="3447" w:hanging="361"/>
      </w:pPr>
      <w:rPr>
        <w:rFonts w:hint="default"/>
        <w:lang w:val="ru-RU" w:eastAsia="en-US" w:bidi="ar-SA"/>
      </w:rPr>
    </w:lvl>
    <w:lvl w:ilvl="8">
      <w:start w:val="0"/>
      <w:numFmt w:val="bullet"/>
      <w:lvlText w:val="•"/>
      <w:lvlJc w:val="left"/>
      <w:pPr>
        <w:ind w:left="3877" w:hanging="361"/>
      </w:pPr>
      <w:rPr>
        <w:rFonts w:hint="default"/>
        <w:lang w:val="ru-RU" w:eastAsia="en-US" w:bidi="ar-SA"/>
      </w:rPr>
    </w:lvl>
  </w:abstractNum>
  <w:abstractNum w:abstractNumId="45">
    <w:multiLevelType w:val="hybridMultilevel"/>
    <w:lvl w:ilvl="0">
      <w:start w:val="0"/>
      <w:numFmt w:val="bullet"/>
      <w:lvlText w:val=""/>
      <w:lvlJc w:val="left"/>
      <w:pPr>
        <w:ind w:left="439" w:hanging="361"/>
      </w:pPr>
      <w:rPr>
        <w:rFonts w:hint="default" w:ascii="Symbol" w:hAnsi="Symbol" w:eastAsia="Symbol" w:cs="Symbol"/>
        <w:w w:val="100"/>
        <w:sz w:val="22"/>
        <w:szCs w:val="22"/>
        <w:lang w:val="ru-RU" w:eastAsia="en-US" w:bidi="ar-SA"/>
      </w:rPr>
    </w:lvl>
    <w:lvl w:ilvl="1">
      <w:start w:val="0"/>
      <w:numFmt w:val="bullet"/>
      <w:lvlText w:val="•"/>
      <w:lvlJc w:val="left"/>
      <w:pPr>
        <w:ind w:left="869" w:hanging="361"/>
      </w:pPr>
      <w:rPr>
        <w:rFonts w:hint="default"/>
        <w:lang w:val="ru-RU" w:eastAsia="en-US" w:bidi="ar-SA"/>
      </w:rPr>
    </w:lvl>
    <w:lvl w:ilvl="2">
      <w:start w:val="0"/>
      <w:numFmt w:val="bullet"/>
      <w:lvlText w:val="•"/>
      <w:lvlJc w:val="left"/>
      <w:pPr>
        <w:ind w:left="1299" w:hanging="361"/>
      </w:pPr>
      <w:rPr>
        <w:rFonts w:hint="default"/>
        <w:lang w:val="ru-RU" w:eastAsia="en-US" w:bidi="ar-SA"/>
      </w:rPr>
    </w:lvl>
    <w:lvl w:ilvl="3">
      <w:start w:val="0"/>
      <w:numFmt w:val="bullet"/>
      <w:lvlText w:val="•"/>
      <w:lvlJc w:val="left"/>
      <w:pPr>
        <w:ind w:left="1729" w:hanging="361"/>
      </w:pPr>
      <w:rPr>
        <w:rFonts w:hint="default"/>
        <w:lang w:val="ru-RU" w:eastAsia="en-US" w:bidi="ar-SA"/>
      </w:rPr>
    </w:lvl>
    <w:lvl w:ilvl="4">
      <w:start w:val="0"/>
      <w:numFmt w:val="bullet"/>
      <w:lvlText w:val="•"/>
      <w:lvlJc w:val="left"/>
      <w:pPr>
        <w:ind w:left="2158" w:hanging="361"/>
      </w:pPr>
      <w:rPr>
        <w:rFonts w:hint="default"/>
        <w:lang w:val="ru-RU" w:eastAsia="en-US" w:bidi="ar-SA"/>
      </w:rPr>
    </w:lvl>
    <w:lvl w:ilvl="5">
      <w:start w:val="0"/>
      <w:numFmt w:val="bullet"/>
      <w:lvlText w:val="•"/>
      <w:lvlJc w:val="left"/>
      <w:pPr>
        <w:ind w:left="2588" w:hanging="361"/>
      </w:pPr>
      <w:rPr>
        <w:rFonts w:hint="default"/>
        <w:lang w:val="ru-RU" w:eastAsia="en-US" w:bidi="ar-SA"/>
      </w:rPr>
    </w:lvl>
    <w:lvl w:ilvl="6">
      <w:start w:val="0"/>
      <w:numFmt w:val="bullet"/>
      <w:lvlText w:val="•"/>
      <w:lvlJc w:val="left"/>
      <w:pPr>
        <w:ind w:left="3018" w:hanging="361"/>
      </w:pPr>
      <w:rPr>
        <w:rFonts w:hint="default"/>
        <w:lang w:val="ru-RU" w:eastAsia="en-US" w:bidi="ar-SA"/>
      </w:rPr>
    </w:lvl>
    <w:lvl w:ilvl="7">
      <w:start w:val="0"/>
      <w:numFmt w:val="bullet"/>
      <w:lvlText w:val="•"/>
      <w:lvlJc w:val="left"/>
      <w:pPr>
        <w:ind w:left="3447" w:hanging="361"/>
      </w:pPr>
      <w:rPr>
        <w:rFonts w:hint="default"/>
        <w:lang w:val="ru-RU" w:eastAsia="en-US" w:bidi="ar-SA"/>
      </w:rPr>
    </w:lvl>
    <w:lvl w:ilvl="8">
      <w:start w:val="0"/>
      <w:numFmt w:val="bullet"/>
      <w:lvlText w:val="•"/>
      <w:lvlJc w:val="left"/>
      <w:pPr>
        <w:ind w:left="3877" w:hanging="361"/>
      </w:pPr>
      <w:rPr>
        <w:rFonts w:hint="default"/>
        <w:lang w:val="ru-RU" w:eastAsia="en-US" w:bidi="ar-SA"/>
      </w:rPr>
    </w:lvl>
  </w:abstractNum>
  <w:abstractNum w:abstractNumId="44">
    <w:multiLevelType w:val="hybridMultilevel"/>
    <w:lvl w:ilvl="0">
      <w:start w:val="0"/>
      <w:numFmt w:val="bullet"/>
      <w:lvlText w:val=""/>
      <w:lvlJc w:val="left"/>
      <w:pPr>
        <w:ind w:left="439" w:hanging="360"/>
      </w:pPr>
      <w:rPr>
        <w:rFonts w:hint="default" w:ascii="Symbol" w:hAnsi="Symbol" w:eastAsia="Symbol" w:cs="Symbol"/>
        <w:w w:val="100"/>
        <w:sz w:val="22"/>
        <w:szCs w:val="22"/>
        <w:lang w:val="ru-RU" w:eastAsia="en-US" w:bidi="ar-SA"/>
      </w:rPr>
    </w:lvl>
    <w:lvl w:ilvl="1">
      <w:start w:val="0"/>
      <w:numFmt w:val="bullet"/>
      <w:lvlText w:val="•"/>
      <w:lvlJc w:val="left"/>
      <w:pPr>
        <w:ind w:left="1160" w:hanging="360"/>
      </w:pPr>
      <w:rPr>
        <w:rFonts w:hint="default"/>
        <w:lang w:val="ru-RU" w:eastAsia="en-US" w:bidi="ar-SA"/>
      </w:rPr>
    </w:lvl>
    <w:lvl w:ilvl="2">
      <w:start w:val="0"/>
      <w:numFmt w:val="bullet"/>
      <w:lvlText w:val="•"/>
      <w:lvlJc w:val="left"/>
      <w:pPr>
        <w:ind w:left="1557" w:hanging="360"/>
      </w:pPr>
      <w:rPr>
        <w:rFonts w:hint="default"/>
        <w:lang w:val="ru-RU" w:eastAsia="en-US" w:bidi="ar-SA"/>
      </w:rPr>
    </w:lvl>
    <w:lvl w:ilvl="3">
      <w:start w:val="0"/>
      <w:numFmt w:val="bullet"/>
      <w:lvlText w:val="•"/>
      <w:lvlJc w:val="left"/>
      <w:pPr>
        <w:ind w:left="1954" w:hanging="360"/>
      </w:pPr>
      <w:rPr>
        <w:rFonts w:hint="default"/>
        <w:lang w:val="ru-RU" w:eastAsia="en-US" w:bidi="ar-SA"/>
      </w:rPr>
    </w:lvl>
    <w:lvl w:ilvl="4">
      <w:start w:val="0"/>
      <w:numFmt w:val="bullet"/>
      <w:lvlText w:val="•"/>
      <w:lvlJc w:val="left"/>
      <w:pPr>
        <w:ind w:left="2352" w:hanging="360"/>
      </w:pPr>
      <w:rPr>
        <w:rFonts w:hint="default"/>
        <w:lang w:val="ru-RU" w:eastAsia="en-US" w:bidi="ar-SA"/>
      </w:rPr>
    </w:lvl>
    <w:lvl w:ilvl="5">
      <w:start w:val="0"/>
      <w:numFmt w:val="bullet"/>
      <w:lvlText w:val="•"/>
      <w:lvlJc w:val="left"/>
      <w:pPr>
        <w:ind w:left="2749" w:hanging="360"/>
      </w:pPr>
      <w:rPr>
        <w:rFonts w:hint="default"/>
        <w:lang w:val="ru-RU" w:eastAsia="en-US" w:bidi="ar-SA"/>
      </w:rPr>
    </w:lvl>
    <w:lvl w:ilvl="6">
      <w:start w:val="0"/>
      <w:numFmt w:val="bullet"/>
      <w:lvlText w:val="•"/>
      <w:lvlJc w:val="left"/>
      <w:pPr>
        <w:ind w:left="3147" w:hanging="360"/>
      </w:pPr>
      <w:rPr>
        <w:rFonts w:hint="default"/>
        <w:lang w:val="ru-RU" w:eastAsia="en-US" w:bidi="ar-SA"/>
      </w:rPr>
    </w:lvl>
    <w:lvl w:ilvl="7">
      <w:start w:val="0"/>
      <w:numFmt w:val="bullet"/>
      <w:lvlText w:val="•"/>
      <w:lvlJc w:val="left"/>
      <w:pPr>
        <w:ind w:left="3544" w:hanging="360"/>
      </w:pPr>
      <w:rPr>
        <w:rFonts w:hint="default"/>
        <w:lang w:val="ru-RU" w:eastAsia="en-US" w:bidi="ar-SA"/>
      </w:rPr>
    </w:lvl>
    <w:lvl w:ilvl="8">
      <w:start w:val="0"/>
      <w:numFmt w:val="bullet"/>
      <w:lvlText w:val="•"/>
      <w:lvlJc w:val="left"/>
      <w:pPr>
        <w:ind w:left="3942" w:hanging="360"/>
      </w:pPr>
      <w:rPr>
        <w:rFonts w:hint="default"/>
        <w:lang w:val="ru-RU" w:eastAsia="en-US" w:bidi="ar-SA"/>
      </w:rPr>
    </w:lvl>
  </w:abstractNum>
  <w:abstractNum w:abstractNumId="43">
    <w:multiLevelType w:val="hybridMultilevel"/>
    <w:lvl w:ilvl="0">
      <w:start w:val="0"/>
      <w:numFmt w:val="bullet"/>
      <w:lvlText w:val=""/>
      <w:lvlJc w:val="left"/>
      <w:pPr>
        <w:ind w:left="439" w:hanging="361"/>
      </w:pPr>
      <w:rPr>
        <w:rFonts w:hint="default" w:ascii="Symbol" w:hAnsi="Symbol" w:eastAsia="Symbol" w:cs="Symbol"/>
        <w:w w:val="100"/>
        <w:sz w:val="22"/>
        <w:szCs w:val="22"/>
        <w:lang w:val="ru-RU" w:eastAsia="en-US" w:bidi="ar-SA"/>
      </w:rPr>
    </w:lvl>
    <w:lvl w:ilvl="1">
      <w:start w:val="0"/>
      <w:numFmt w:val="bullet"/>
      <w:lvlText w:val="•"/>
      <w:lvlJc w:val="left"/>
      <w:pPr>
        <w:ind w:left="1160" w:hanging="361"/>
      </w:pPr>
      <w:rPr>
        <w:rFonts w:hint="default"/>
        <w:lang w:val="ru-RU" w:eastAsia="en-US" w:bidi="ar-SA"/>
      </w:rPr>
    </w:lvl>
    <w:lvl w:ilvl="2">
      <w:start w:val="0"/>
      <w:numFmt w:val="bullet"/>
      <w:lvlText w:val="•"/>
      <w:lvlJc w:val="left"/>
      <w:pPr>
        <w:ind w:left="1557" w:hanging="361"/>
      </w:pPr>
      <w:rPr>
        <w:rFonts w:hint="default"/>
        <w:lang w:val="ru-RU" w:eastAsia="en-US" w:bidi="ar-SA"/>
      </w:rPr>
    </w:lvl>
    <w:lvl w:ilvl="3">
      <w:start w:val="0"/>
      <w:numFmt w:val="bullet"/>
      <w:lvlText w:val="•"/>
      <w:lvlJc w:val="left"/>
      <w:pPr>
        <w:ind w:left="1954" w:hanging="361"/>
      </w:pPr>
      <w:rPr>
        <w:rFonts w:hint="default"/>
        <w:lang w:val="ru-RU" w:eastAsia="en-US" w:bidi="ar-SA"/>
      </w:rPr>
    </w:lvl>
    <w:lvl w:ilvl="4">
      <w:start w:val="0"/>
      <w:numFmt w:val="bullet"/>
      <w:lvlText w:val="•"/>
      <w:lvlJc w:val="left"/>
      <w:pPr>
        <w:ind w:left="2352" w:hanging="361"/>
      </w:pPr>
      <w:rPr>
        <w:rFonts w:hint="default"/>
        <w:lang w:val="ru-RU" w:eastAsia="en-US" w:bidi="ar-SA"/>
      </w:rPr>
    </w:lvl>
    <w:lvl w:ilvl="5">
      <w:start w:val="0"/>
      <w:numFmt w:val="bullet"/>
      <w:lvlText w:val="•"/>
      <w:lvlJc w:val="left"/>
      <w:pPr>
        <w:ind w:left="2749" w:hanging="361"/>
      </w:pPr>
      <w:rPr>
        <w:rFonts w:hint="default"/>
        <w:lang w:val="ru-RU" w:eastAsia="en-US" w:bidi="ar-SA"/>
      </w:rPr>
    </w:lvl>
    <w:lvl w:ilvl="6">
      <w:start w:val="0"/>
      <w:numFmt w:val="bullet"/>
      <w:lvlText w:val="•"/>
      <w:lvlJc w:val="left"/>
      <w:pPr>
        <w:ind w:left="3147" w:hanging="361"/>
      </w:pPr>
      <w:rPr>
        <w:rFonts w:hint="default"/>
        <w:lang w:val="ru-RU" w:eastAsia="en-US" w:bidi="ar-SA"/>
      </w:rPr>
    </w:lvl>
    <w:lvl w:ilvl="7">
      <w:start w:val="0"/>
      <w:numFmt w:val="bullet"/>
      <w:lvlText w:val="•"/>
      <w:lvlJc w:val="left"/>
      <w:pPr>
        <w:ind w:left="3544" w:hanging="361"/>
      </w:pPr>
      <w:rPr>
        <w:rFonts w:hint="default"/>
        <w:lang w:val="ru-RU" w:eastAsia="en-US" w:bidi="ar-SA"/>
      </w:rPr>
    </w:lvl>
    <w:lvl w:ilvl="8">
      <w:start w:val="0"/>
      <w:numFmt w:val="bullet"/>
      <w:lvlText w:val="•"/>
      <w:lvlJc w:val="left"/>
      <w:pPr>
        <w:ind w:left="3942" w:hanging="361"/>
      </w:pPr>
      <w:rPr>
        <w:rFonts w:hint="default"/>
        <w:lang w:val="ru-RU" w:eastAsia="en-US" w:bidi="ar-SA"/>
      </w:rPr>
    </w:lvl>
  </w:abstractNum>
  <w:abstractNum w:abstractNumId="42">
    <w:multiLevelType w:val="hybridMultilevel"/>
    <w:lvl w:ilvl="0">
      <w:start w:val="0"/>
      <w:numFmt w:val="bullet"/>
      <w:lvlText w:val=""/>
      <w:lvlJc w:val="left"/>
      <w:pPr>
        <w:ind w:left="1000" w:hanging="339"/>
      </w:pPr>
      <w:rPr>
        <w:rFonts w:hint="default" w:ascii="Symbol" w:hAnsi="Symbol" w:eastAsia="Symbol" w:cs="Symbol"/>
        <w:w w:val="100"/>
        <w:sz w:val="24"/>
        <w:szCs w:val="24"/>
        <w:lang w:val="ru-RU" w:eastAsia="en-US" w:bidi="ar-SA"/>
      </w:rPr>
    </w:lvl>
    <w:lvl w:ilvl="1">
      <w:start w:val="0"/>
      <w:numFmt w:val="bullet"/>
      <w:lvlText w:val="•"/>
      <w:lvlJc w:val="left"/>
      <w:pPr>
        <w:ind w:left="1180" w:hanging="339"/>
      </w:pPr>
      <w:rPr>
        <w:rFonts w:hint="default"/>
        <w:lang w:val="ru-RU" w:eastAsia="en-US" w:bidi="ar-SA"/>
      </w:rPr>
    </w:lvl>
    <w:lvl w:ilvl="2">
      <w:start w:val="0"/>
      <w:numFmt w:val="bullet"/>
      <w:lvlText w:val="•"/>
      <w:lvlJc w:val="left"/>
      <w:pPr>
        <w:ind w:left="2152" w:hanging="339"/>
      </w:pPr>
      <w:rPr>
        <w:rFonts w:hint="default"/>
        <w:lang w:val="ru-RU" w:eastAsia="en-US" w:bidi="ar-SA"/>
      </w:rPr>
    </w:lvl>
    <w:lvl w:ilvl="3">
      <w:start w:val="0"/>
      <w:numFmt w:val="bullet"/>
      <w:lvlText w:val="•"/>
      <w:lvlJc w:val="left"/>
      <w:pPr>
        <w:ind w:left="3124" w:hanging="339"/>
      </w:pPr>
      <w:rPr>
        <w:rFonts w:hint="default"/>
        <w:lang w:val="ru-RU" w:eastAsia="en-US" w:bidi="ar-SA"/>
      </w:rPr>
    </w:lvl>
    <w:lvl w:ilvl="4">
      <w:start w:val="0"/>
      <w:numFmt w:val="bullet"/>
      <w:lvlText w:val="•"/>
      <w:lvlJc w:val="left"/>
      <w:pPr>
        <w:ind w:left="4097" w:hanging="339"/>
      </w:pPr>
      <w:rPr>
        <w:rFonts w:hint="default"/>
        <w:lang w:val="ru-RU" w:eastAsia="en-US" w:bidi="ar-SA"/>
      </w:rPr>
    </w:lvl>
    <w:lvl w:ilvl="5">
      <w:start w:val="0"/>
      <w:numFmt w:val="bullet"/>
      <w:lvlText w:val="•"/>
      <w:lvlJc w:val="left"/>
      <w:pPr>
        <w:ind w:left="5069" w:hanging="339"/>
      </w:pPr>
      <w:rPr>
        <w:rFonts w:hint="default"/>
        <w:lang w:val="ru-RU" w:eastAsia="en-US" w:bidi="ar-SA"/>
      </w:rPr>
    </w:lvl>
    <w:lvl w:ilvl="6">
      <w:start w:val="0"/>
      <w:numFmt w:val="bullet"/>
      <w:lvlText w:val="•"/>
      <w:lvlJc w:val="left"/>
      <w:pPr>
        <w:ind w:left="6041" w:hanging="339"/>
      </w:pPr>
      <w:rPr>
        <w:rFonts w:hint="default"/>
        <w:lang w:val="ru-RU" w:eastAsia="en-US" w:bidi="ar-SA"/>
      </w:rPr>
    </w:lvl>
    <w:lvl w:ilvl="7">
      <w:start w:val="0"/>
      <w:numFmt w:val="bullet"/>
      <w:lvlText w:val="•"/>
      <w:lvlJc w:val="left"/>
      <w:pPr>
        <w:ind w:left="7014" w:hanging="339"/>
      </w:pPr>
      <w:rPr>
        <w:rFonts w:hint="default"/>
        <w:lang w:val="ru-RU" w:eastAsia="en-US" w:bidi="ar-SA"/>
      </w:rPr>
    </w:lvl>
    <w:lvl w:ilvl="8">
      <w:start w:val="0"/>
      <w:numFmt w:val="bullet"/>
      <w:lvlText w:val="•"/>
      <w:lvlJc w:val="left"/>
      <w:pPr>
        <w:ind w:left="7986" w:hanging="339"/>
      </w:pPr>
      <w:rPr>
        <w:rFonts w:hint="default"/>
        <w:lang w:val="ru-RU" w:eastAsia="en-US" w:bidi="ar-SA"/>
      </w:rPr>
    </w:lvl>
  </w:abstractNum>
  <w:abstractNum w:abstractNumId="41">
    <w:multiLevelType w:val="hybridMultilevel"/>
    <w:lvl w:ilvl="0">
      <w:start w:val="1"/>
      <w:numFmt w:val="decimal"/>
      <w:lvlText w:val="%1."/>
      <w:lvlJc w:val="left"/>
      <w:pPr>
        <w:ind w:left="887" w:hanging="567"/>
        <w:jc w:val="left"/>
      </w:pPr>
      <w:rPr>
        <w:rFonts w:hint="default" w:ascii="Times New Roman" w:hAnsi="Times New Roman" w:eastAsia="Times New Roman" w:cs="Times New Roman"/>
        <w:spacing w:val="0"/>
        <w:w w:val="99"/>
        <w:sz w:val="20"/>
        <w:szCs w:val="20"/>
        <w:lang w:val="ru-RU" w:eastAsia="en-US" w:bidi="ar-SA"/>
      </w:rPr>
    </w:lvl>
    <w:lvl w:ilvl="1">
      <w:start w:val="1"/>
      <w:numFmt w:val="decimal"/>
      <w:lvlText w:val="%2."/>
      <w:lvlJc w:val="left"/>
      <w:pPr>
        <w:ind w:left="1029" w:hanging="360"/>
        <w:jc w:val="left"/>
      </w:pPr>
      <w:rPr>
        <w:rFonts w:hint="default" w:ascii="Times New Roman" w:hAnsi="Times New Roman" w:eastAsia="Times New Roman" w:cs="Times New Roman"/>
        <w:b/>
        <w:bCs/>
        <w:spacing w:val="-4"/>
        <w:w w:val="100"/>
        <w:sz w:val="24"/>
        <w:szCs w:val="24"/>
        <w:lang w:val="ru-RU" w:eastAsia="en-US" w:bidi="ar-SA"/>
      </w:rPr>
    </w:lvl>
    <w:lvl w:ilvl="2">
      <w:start w:val="0"/>
      <w:numFmt w:val="bullet"/>
      <w:lvlText w:val="•"/>
      <w:lvlJc w:val="left"/>
      <w:pPr>
        <w:ind w:left="1040" w:hanging="360"/>
      </w:pPr>
      <w:rPr>
        <w:rFonts w:hint="default"/>
        <w:lang w:val="ru-RU" w:eastAsia="en-US" w:bidi="ar-SA"/>
      </w:rPr>
    </w:lvl>
    <w:lvl w:ilvl="3">
      <w:start w:val="0"/>
      <w:numFmt w:val="bullet"/>
      <w:lvlText w:val="•"/>
      <w:lvlJc w:val="left"/>
      <w:pPr>
        <w:ind w:left="2151" w:hanging="360"/>
      </w:pPr>
      <w:rPr>
        <w:rFonts w:hint="default"/>
        <w:lang w:val="ru-RU" w:eastAsia="en-US" w:bidi="ar-SA"/>
      </w:rPr>
    </w:lvl>
    <w:lvl w:ilvl="4">
      <w:start w:val="0"/>
      <w:numFmt w:val="bullet"/>
      <w:lvlText w:val="•"/>
      <w:lvlJc w:val="left"/>
      <w:pPr>
        <w:ind w:left="3262" w:hanging="360"/>
      </w:pPr>
      <w:rPr>
        <w:rFonts w:hint="default"/>
        <w:lang w:val="ru-RU" w:eastAsia="en-US" w:bidi="ar-SA"/>
      </w:rPr>
    </w:lvl>
    <w:lvl w:ilvl="5">
      <w:start w:val="0"/>
      <w:numFmt w:val="bullet"/>
      <w:lvlText w:val="•"/>
      <w:lvlJc w:val="left"/>
      <w:pPr>
        <w:ind w:left="4374" w:hanging="360"/>
      </w:pPr>
      <w:rPr>
        <w:rFonts w:hint="default"/>
        <w:lang w:val="ru-RU" w:eastAsia="en-US" w:bidi="ar-SA"/>
      </w:rPr>
    </w:lvl>
    <w:lvl w:ilvl="6">
      <w:start w:val="0"/>
      <w:numFmt w:val="bullet"/>
      <w:lvlText w:val="•"/>
      <w:lvlJc w:val="left"/>
      <w:pPr>
        <w:ind w:left="5485" w:hanging="360"/>
      </w:pPr>
      <w:rPr>
        <w:rFonts w:hint="default"/>
        <w:lang w:val="ru-RU" w:eastAsia="en-US" w:bidi="ar-SA"/>
      </w:rPr>
    </w:lvl>
    <w:lvl w:ilvl="7">
      <w:start w:val="0"/>
      <w:numFmt w:val="bullet"/>
      <w:lvlText w:val="•"/>
      <w:lvlJc w:val="left"/>
      <w:pPr>
        <w:ind w:left="6597" w:hanging="360"/>
      </w:pPr>
      <w:rPr>
        <w:rFonts w:hint="default"/>
        <w:lang w:val="ru-RU" w:eastAsia="en-US" w:bidi="ar-SA"/>
      </w:rPr>
    </w:lvl>
    <w:lvl w:ilvl="8">
      <w:start w:val="0"/>
      <w:numFmt w:val="bullet"/>
      <w:lvlText w:val="•"/>
      <w:lvlJc w:val="left"/>
      <w:pPr>
        <w:ind w:left="7708" w:hanging="360"/>
      </w:pPr>
      <w:rPr>
        <w:rFonts w:hint="default"/>
        <w:lang w:val="ru-RU" w:eastAsia="en-US" w:bidi="ar-SA"/>
      </w:rPr>
    </w:lvl>
  </w:abstractNum>
  <w:abstractNum w:abstractNumId="40">
    <w:multiLevelType w:val="hybridMultilevel"/>
    <w:lvl w:ilvl="0">
      <w:start w:val="1"/>
      <w:numFmt w:val="decimal"/>
      <w:lvlText w:val="%1."/>
      <w:lvlJc w:val="left"/>
      <w:pPr>
        <w:ind w:left="331" w:hanging="456"/>
        <w:jc w:val="right"/>
      </w:pPr>
      <w:rPr>
        <w:rFonts w:hint="default" w:ascii="Times New Roman" w:hAnsi="Times New Roman" w:eastAsia="Times New Roman" w:cs="Times New Roman"/>
        <w:spacing w:val="-28"/>
        <w:w w:val="100"/>
        <w:sz w:val="24"/>
        <w:szCs w:val="24"/>
        <w:lang w:val="ru-RU" w:eastAsia="en-US" w:bidi="ar-SA"/>
      </w:rPr>
    </w:lvl>
    <w:lvl w:ilvl="1">
      <w:start w:val="0"/>
      <w:numFmt w:val="bullet"/>
      <w:lvlText w:val="•"/>
      <w:lvlJc w:val="left"/>
      <w:pPr>
        <w:ind w:left="1299" w:hanging="456"/>
      </w:pPr>
      <w:rPr>
        <w:rFonts w:hint="default"/>
        <w:lang w:val="ru-RU" w:eastAsia="en-US" w:bidi="ar-SA"/>
      </w:rPr>
    </w:lvl>
    <w:lvl w:ilvl="2">
      <w:start w:val="0"/>
      <w:numFmt w:val="bullet"/>
      <w:lvlText w:val="•"/>
      <w:lvlJc w:val="left"/>
      <w:pPr>
        <w:ind w:left="2258" w:hanging="456"/>
      </w:pPr>
      <w:rPr>
        <w:rFonts w:hint="default"/>
        <w:lang w:val="ru-RU" w:eastAsia="en-US" w:bidi="ar-SA"/>
      </w:rPr>
    </w:lvl>
    <w:lvl w:ilvl="3">
      <w:start w:val="0"/>
      <w:numFmt w:val="bullet"/>
      <w:lvlText w:val="•"/>
      <w:lvlJc w:val="left"/>
      <w:pPr>
        <w:ind w:left="3217" w:hanging="456"/>
      </w:pPr>
      <w:rPr>
        <w:rFonts w:hint="default"/>
        <w:lang w:val="ru-RU" w:eastAsia="en-US" w:bidi="ar-SA"/>
      </w:rPr>
    </w:lvl>
    <w:lvl w:ilvl="4">
      <w:start w:val="0"/>
      <w:numFmt w:val="bullet"/>
      <w:lvlText w:val="•"/>
      <w:lvlJc w:val="left"/>
      <w:pPr>
        <w:ind w:left="4176" w:hanging="456"/>
      </w:pPr>
      <w:rPr>
        <w:rFonts w:hint="default"/>
        <w:lang w:val="ru-RU" w:eastAsia="en-US" w:bidi="ar-SA"/>
      </w:rPr>
    </w:lvl>
    <w:lvl w:ilvl="5">
      <w:start w:val="0"/>
      <w:numFmt w:val="bullet"/>
      <w:lvlText w:val="•"/>
      <w:lvlJc w:val="left"/>
      <w:pPr>
        <w:ind w:left="5135" w:hanging="456"/>
      </w:pPr>
      <w:rPr>
        <w:rFonts w:hint="default"/>
        <w:lang w:val="ru-RU" w:eastAsia="en-US" w:bidi="ar-SA"/>
      </w:rPr>
    </w:lvl>
    <w:lvl w:ilvl="6">
      <w:start w:val="0"/>
      <w:numFmt w:val="bullet"/>
      <w:lvlText w:val="•"/>
      <w:lvlJc w:val="left"/>
      <w:pPr>
        <w:ind w:left="6094" w:hanging="456"/>
      </w:pPr>
      <w:rPr>
        <w:rFonts w:hint="default"/>
        <w:lang w:val="ru-RU" w:eastAsia="en-US" w:bidi="ar-SA"/>
      </w:rPr>
    </w:lvl>
    <w:lvl w:ilvl="7">
      <w:start w:val="0"/>
      <w:numFmt w:val="bullet"/>
      <w:lvlText w:val="•"/>
      <w:lvlJc w:val="left"/>
      <w:pPr>
        <w:ind w:left="7053" w:hanging="456"/>
      </w:pPr>
      <w:rPr>
        <w:rFonts w:hint="default"/>
        <w:lang w:val="ru-RU" w:eastAsia="en-US" w:bidi="ar-SA"/>
      </w:rPr>
    </w:lvl>
    <w:lvl w:ilvl="8">
      <w:start w:val="0"/>
      <w:numFmt w:val="bullet"/>
      <w:lvlText w:val="•"/>
      <w:lvlJc w:val="left"/>
      <w:pPr>
        <w:ind w:left="8012" w:hanging="456"/>
      </w:pPr>
      <w:rPr>
        <w:rFonts w:hint="default"/>
        <w:lang w:val="ru-RU" w:eastAsia="en-US" w:bidi="ar-SA"/>
      </w:rPr>
    </w:lvl>
  </w:abstractNum>
  <w:abstractNum w:abstractNumId="39">
    <w:multiLevelType w:val="hybridMultilevel"/>
    <w:lvl w:ilvl="0">
      <w:start w:val="9"/>
      <w:numFmt w:val="decimal"/>
      <w:lvlText w:val="%1"/>
      <w:lvlJc w:val="left"/>
      <w:pPr>
        <w:ind w:left="1029" w:hanging="492"/>
        <w:jc w:val="left"/>
      </w:pPr>
      <w:rPr>
        <w:rFonts w:hint="default"/>
        <w:lang w:val="ru-RU" w:eastAsia="en-US" w:bidi="ar-SA"/>
      </w:rPr>
    </w:lvl>
    <w:lvl w:ilvl="1">
      <w:start w:val="4"/>
      <w:numFmt w:val="decimal"/>
      <w:lvlText w:val="%1.%2."/>
      <w:lvlJc w:val="left"/>
      <w:pPr>
        <w:ind w:left="1029" w:hanging="492"/>
        <w:jc w:val="left"/>
      </w:pPr>
      <w:rPr>
        <w:rFonts w:hint="default" w:ascii="Times New Roman" w:hAnsi="Times New Roman" w:eastAsia="Times New Roman" w:cs="Times New Roman"/>
        <w:b/>
        <w:bCs/>
        <w:color w:val="1F487C"/>
        <w:spacing w:val="-1"/>
        <w:w w:val="100"/>
        <w:sz w:val="28"/>
        <w:szCs w:val="28"/>
        <w:lang w:val="ru-RU" w:eastAsia="en-US" w:bidi="ar-SA"/>
      </w:rPr>
    </w:lvl>
    <w:lvl w:ilvl="2">
      <w:start w:val="0"/>
      <w:numFmt w:val="bullet"/>
      <w:lvlText w:val="•"/>
      <w:lvlJc w:val="left"/>
      <w:pPr>
        <w:ind w:left="2802" w:hanging="492"/>
      </w:pPr>
      <w:rPr>
        <w:rFonts w:hint="default"/>
        <w:lang w:val="ru-RU" w:eastAsia="en-US" w:bidi="ar-SA"/>
      </w:rPr>
    </w:lvl>
    <w:lvl w:ilvl="3">
      <w:start w:val="0"/>
      <w:numFmt w:val="bullet"/>
      <w:lvlText w:val="•"/>
      <w:lvlJc w:val="left"/>
      <w:pPr>
        <w:ind w:left="3693" w:hanging="492"/>
      </w:pPr>
      <w:rPr>
        <w:rFonts w:hint="default"/>
        <w:lang w:val="ru-RU" w:eastAsia="en-US" w:bidi="ar-SA"/>
      </w:rPr>
    </w:lvl>
    <w:lvl w:ilvl="4">
      <w:start w:val="0"/>
      <w:numFmt w:val="bullet"/>
      <w:lvlText w:val="•"/>
      <w:lvlJc w:val="left"/>
      <w:pPr>
        <w:ind w:left="4584" w:hanging="492"/>
      </w:pPr>
      <w:rPr>
        <w:rFonts w:hint="default"/>
        <w:lang w:val="ru-RU" w:eastAsia="en-US" w:bidi="ar-SA"/>
      </w:rPr>
    </w:lvl>
    <w:lvl w:ilvl="5">
      <w:start w:val="0"/>
      <w:numFmt w:val="bullet"/>
      <w:lvlText w:val="•"/>
      <w:lvlJc w:val="left"/>
      <w:pPr>
        <w:ind w:left="5475" w:hanging="492"/>
      </w:pPr>
      <w:rPr>
        <w:rFonts w:hint="default"/>
        <w:lang w:val="ru-RU" w:eastAsia="en-US" w:bidi="ar-SA"/>
      </w:rPr>
    </w:lvl>
    <w:lvl w:ilvl="6">
      <w:start w:val="0"/>
      <w:numFmt w:val="bullet"/>
      <w:lvlText w:val="•"/>
      <w:lvlJc w:val="left"/>
      <w:pPr>
        <w:ind w:left="6366" w:hanging="492"/>
      </w:pPr>
      <w:rPr>
        <w:rFonts w:hint="default"/>
        <w:lang w:val="ru-RU" w:eastAsia="en-US" w:bidi="ar-SA"/>
      </w:rPr>
    </w:lvl>
    <w:lvl w:ilvl="7">
      <w:start w:val="0"/>
      <w:numFmt w:val="bullet"/>
      <w:lvlText w:val="•"/>
      <w:lvlJc w:val="left"/>
      <w:pPr>
        <w:ind w:left="7257" w:hanging="492"/>
      </w:pPr>
      <w:rPr>
        <w:rFonts w:hint="default"/>
        <w:lang w:val="ru-RU" w:eastAsia="en-US" w:bidi="ar-SA"/>
      </w:rPr>
    </w:lvl>
    <w:lvl w:ilvl="8">
      <w:start w:val="0"/>
      <w:numFmt w:val="bullet"/>
      <w:lvlText w:val="•"/>
      <w:lvlJc w:val="left"/>
      <w:pPr>
        <w:ind w:left="8148" w:hanging="492"/>
      </w:pPr>
      <w:rPr>
        <w:rFonts w:hint="default"/>
        <w:lang w:val="ru-RU" w:eastAsia="en-US" w:bidi="ar-SA"/>
      </w:rPr>
    </w:lvl>
  </w:abstractNum>
  <w:abstractNum w:abstractNumId="38">
    <w:multiLevelType w:val="hybridMultilevel"/>
    <w:lvl w:ilvl="0">
      <w:start w:val="9"/>
      <w:numFmt w:val="decimal"/>
      <w:lvlText w:val="%1"/>
      <w:lvlJc w:val="left"/>
      <w:pPr>
        <w:ind w:left="1452" w:hanging="423"/>
        <w:jc w:val="left"/>
      </w:pPr>
      <w:rPr>
        <w:rFonts w:hint="default"/>
        <w:lang w:val="ru-RU" w:eastAsia="en-US" w:bidi="ar-SA"/>
      </w:rPr>
    </w:lvl>
    <w:lvl w:ilvl="1">
      <w:start w:val="2"/>
      <w:numFmt w:val="decimal"/>
      <w:lvlText w:val="%1.%2"/>
      <w:lvlJc w:val="left"/>
      <w:pPr>
        <w:ind w:left="1452" w:hanging="423"/>
        <w:jc w:val="left"/>
      </w:pPr>
      <w:rPr>
        <w:rFonts w:hint="default" w:ascii="Times New Roman" w:hAnsi="Times New Roman" w:eastAsia="Times New Roman" w:cs="Times New Roman"/>
        <w:b/>
        <w:bCs/>
        <w:color w:val="1F487C"/>
        <w:spacing w:val="-1"/>
        <w:w w:val="100"/>
        <w:sz w:val="28"/>
        <w:szCs w:val="28"/>
        <w:lang w:val="ru-RU" w:eastAsia="en-US" w:bidi="ar-SA"/>
      </w:rPr>
    </w:lvl>
    <w:lvl w:ilvl="2">
      <w:start w:val="0"/>
      <w:numFmt w:val="bullet"/>
      <w:lvlText w:val="•"/>
      <w:lvlJc w:val="left"/>
      <w:pPr>
        <w:ind w:left="3154" w:hanging="423"/>
      </w:pPr>
      <w:rPr>
        <w:rFonts w:hint="default"/>
        <w:lang w:val="ru-RU" w:eastAsia="en-US" w:bidi="ar-SA"/>
      </w:rPr>
    </w:lvl>
    <w:lvl w:ilvl="3">
      <w:start w:val="0"/>
      <w:numFmt w:val="bullet"/>
      <w:lvlText w:val="•"/>
      <w:lvlJc w:val="left"/>
      <w:pPr>
        <w:ind w:left="4001" w:hanging="423"/>
      </w:pPr>
      <w:rPr>
        <w:rFonts w:hint="default"/>
        <w:lang w:val="ru-RU" w:eastAsia="en-US" w:bidi="ar-SA"/>
      </w:rPr>
    </w:lvl>
    <w:lvl w:ilvl="4">
      <w:start w:val="0"/>
      <w:numFmt w:val="bullet"/>
      <w:lvlText w:val="•"/>
      <w:lvlJc w:val="left"/>
      <w:pPr>
        <w:ind w:left="4848" w:hanging="423"/>
      </w:pPr>
      <w:rPr>
        <w:rFonts w:hint="default"/>
        <w:lang w:val="ru-RU" w:eastAsia="en-US" w:bidi="ar-SA"/>
      </w:rPr>
    </w:lvl>
    <w:lvl w:ilvl="5">
      <w:start w:val="0"/>
      <w:numFmt w:val="bullet"/>
      <w:lvlText w:val="•"/>
      <w:lvlJc w:val="left"/>
      <w:pPr>
        <w:ind w:left="5695" w:hanging="423"/>
      </w:pPr>
      <w:rPr>
        <w:rFonts w:hint="default"/>
        <w:lang w:val="ru-RU" w:eastAsia="en-US" w:bidi="ar-SA"/>
      </w:rPr>
    </w:lvl>
    <w:lvl w:ilvl="6">
      <w:start w:val="0"/>
      <w:numFmt w:val="bullet"/>
      <w:lvlText w:val="•"/>
      <w:lvlJc w:val="left"/>
      <w:pPr>
        <w:ind w:left="6542" w:hanging="423"/>
      </w:pPr>
      <w:rPr>
        <w:rFonts w:hint="default"/>
        <w:lang w:val="ru-RU" w:eastAsia="en-US" w:bidi="ar-SA"/>
      </w:rPr>
    </w:lvl>
    <w:lvl w:ilvl="7">
      <w:start w:val="0"/>
      <w:numFmt w:val="bullet"/>
      <w:lvlText w:val="•"/>
      <w:lvlJc w:val="left"/>
      <w:pPr>
        <w:ind w:left="7389" w:hanging="423"/>
      </w:pPr>
      <w:rPr>
        <w:rFonts w:hint="default"/>
        <w:lang w:val="ru-RU" w:eastAsia="en-US" w:bidi="ar-SA"/>
      </w:rPr>
    </w:lvl>
    <w:lvl w:ilvl="8">
      <w:start w:val="0"/>
      <w:numFmt w:val="bullet"/>
      <w:lvlText w:val="•"/>
      <w:lvlJc w:val="left"/>
      <w:pPr>
        <w:ind w:left="8236" w:hanging="423"/>
      </w:pPr>
      <w:rPr>
        <w:rFonts w:hint="default"/>
        <w:lang w:val="ru-RU" w:eastAsia="en-US" w:bidi="ar-SA"/>
      </w:rPr>
    </w:lvl>
  </w:abstractNum>
  <w:abstractNum w:abstractNumId="36">
    <w:multiLevelType w:val="hybridMultilevel"/>
    <w:lvl w:ilvl="0">
      <w:start w:val="8"/>
      <w:numFmt w:val="decimal"/>
      <w:lvlText w:val="%1."/>
      <w:lvlJc w:val="left"/>
      <w:pPr>
        <w:ind w:left="1029" w:hanging="281"/>
        <w:jc w:val="left"/>
      </w:pPr>
      <w:rPr>
        <w:rFonts w:hint="default" w:ascii="Times New Roman" w:hAnsi="Times New Roman" w:eastAsia="Times New Roman" w:cs="Times New Roman"/>
        <w:b/>
        <w:bCs/>
        <w:color w:val="1F487C"/>
        <w:spacing w:val="0"/>
        <w:w w:val="100"/>
        <w:sz w:val="28"/>
        <w:szCs w:val="28"/>
        <w:lang w:val="ru-RU" w:eastAsia="en-US" w:bidi="ar-SA"/>
      </w:rPr>
    </w:lvl>
    <w:lvl w:ilvl="1">
      <w:start w:val="1"/>
      <w:numFmt w:val="decimal"/>
      <w:lvlText w:val="%1.%2."/>
      <w:lvlJc w:val="left"/>
      <w:pPr>
        <w:ind w:left="1029" w:hanging="492"/>
        <w:jc w:val="left"/>
      </w:pPr>
      <w:rPr>
        <w:rFonts w:hint="default" w:ascii="Times New Roman" w:hAnsi="Times New Roman" w:eastAsia="Times New Roman" w:cs="Times New Roman"/>
        <w:b/>
        <w:bCs/>
        <w:color w:val="1F487C"/>
        <w:spacing w:val="-1"/>
        <w:w w:val="100"/>
        <w:sz w:val="28"/>
        <w:szCs w:val="28"/>
        <w:lang w:val="ru-RU" w:eastAsia="en-US" w:bidi="ar-SA"/>
      </w:rPr>
    </w:lvl>
    <w:lvl w:ilvl="2">
      <w:start w:val="0"/>
      <w:numFmt w:val="bullet"/>
      <w:lvlText w:val="•"/>
      <w:lvlJc w:val="left"/>
      <w:pPr>
        <w:ind w:left="2802" w:hanging="492"/>
      </w:pPr>
      <w:rPr>
        <w:rFonts w:hint="default"/>
        <w:lang w:val="ru-RU" w:eastAsia="en-US" w:bidi="ar-SA"/>
      </w:rPr>
    </w:lvl>
    <w:lvl w:ilvl="3">
      <w:start w:val="0"/>
      <w:numFmt w:val="bullet"/>
      <w:lvlText w:val="•"/>
      <w:lvlJc w:val="left"/>
      <w:pPr>
        <w:ind w:left="3693" w:hanging="492"/>
      </w:pPr>
      <w:rPr>
        <w:rFonts w:hint="default"/>
        <w:lang w:val="ru-RU" w:eastAsia="en-US" w:bidi="ar-SA"/>
      </w:rPr>
    </w:lvl>
    <w:lvl w:ilvl="4">
      <w:start w:val="0"/>
      <w:numFmt w:val="bullet"/>
      <w:lvlText w:val="•"/>
      <w:lvlJc w:val="left"/>
      <w:pPr>
        <w:ind w:left="4584" w:hanging="492"/>
      </w:pPr>
      <w:rPr>
        <w:rFonts w:hint="default"/>
        <w:lang w:val="ru-RU" w:eastAsia="en-US" w:bidi="ar-SA"/>
      </w:rPr>
    </w:lvl>
    <w:lvl w:ilvl="5">
      <w:start w:val="0"/>
      <w:numFmt w:val="bullet"/>
      <w:lvlText w:val="•"/>
      <w:lvlJc w:val="left"/>
      <w:pPr>
        <w:ind w:left="5475" w:hanging="492"/>
      </w:pPr>
      <w:rPr>
        <w:rFonts w:hint="default"/>
        <w:lang w:val="ru-RU" w:eastAsia="en-US" w:bidi="ar-SA"/>
      </w:rPr>
    </w:lvl>
    <w:lvl w:ilvl="6">
      <w:start w:val="0"/>
      <w:numFmt w:val="bullet"/>
      <w:lvlText w:val="•"/>
      <w:lvlJc w:val="left"/>
      <w:pPr>
        <w:ind w:left="6366" w:hanging="492"/>
      </w:pPr>
      <w:rPr>
        <w:rFonts w:hint="default"/>
        <w:lang w:val="ru-RU" w:eastAsia="en-US" w:bidi="ar-SA"/>
      </w:rPr>
    </w:lvl>
    <w:lvl w:ilvl="7">
      <w:start w:val="0"/>
      <w:numFmt w:val="bullet"/>
      <w:lvlText w:val="•"/>
      <w:lvlJc w:val="left"/>
      <w:pPr>
        <w:ind w:left="7257" w:hanging="492"/>
      </w:pPr>
      <w:rPr>
        <w:rFonts w:hint="default"/>
        <w:lang w:val="ru-RU" w:eastAsia="en-US" w:bidi="ar-SA"/>
      </w:rPr>
    </w:lvl>
    <w:lvl w:ilvl="8">
      <w:start w:val="0"/>
      <w:numFmt w:val="bullet"/>
      <w:lvlText w:val="•"/>
      <w:lvlJc w:val="left"/>
      <w:pPr>
        <w:ind w:left="8148" w:hanging="492"/>
      </w:pPr>
      <w:rPr>
        <w:rFonts w:hint="default"/>
        <w:lang w:val="ru-RU" w:eastAsia="en-US" w:bidi="ar-SA"/>
      </w:rPr>
    </w:lvl>
  </w:abstractNum>
  <w:abstractNum w:abstractNumId="35">
    <w:multiLevelType w:val="hybridMultilevel"/>
    <w:lvl w:ilvl="0">
      <w:start w:val="1"/>
      <w:numFmt w:val="decimal"/>
      <w:lvlText w:val="%1."/>
      <w:lvlJc w:val="left"/>
      <w:pPr>
        <w:ind w:left="1315" w:hanging="435"/>
        <w:jc w:val="right"/>
      </w:pPr>
      <w:rPr>
        <w:rFonts w:hint="default" w:ascii="Times New Roman" w:hAnsi="Times New Roman" w:eastAsia="Times New Roman" w:cs="Times New Roman"/>
        <w:spacing w:val="-2"/>
        <w:w w:val="100"/>
        <w:sz w:val="24"/>
        <w:szCs w:val="24"/>
        <w:lang w:val="ru-RU" w:eastAsia="en-US" w:bidi="ar-SA"/>
      </w:rPr>
    </w:lvl>
    <w:lvl w:ilvl="1">
      <w:start w:val="0"/>
      <w:numFmt w:val="bullet"/>
      <w:lvlText w:val="•"/>
      <w:lvlJc w:val="left"/>
      <w:pPr>
        <w:ind w:left="2181" w:hanging="435"/>
      </w:pPr>
      <w:rPr>
        <w:rFonts w:hint="default"/>
        <w:lang w:val="ru-RU" w:eastAsia="en-US" w:bidi="ar-SA"/>
      </w:rPr>
    </w:lvl>
    <w:lvl w:ilvl="2">
      <w:start w:val="0"/>
      <w:numFmt w:val="bullet"/>
      <w:lvlText w:val="•"/>
      <w:lvlJc w:val="left"/>
      <w:pPr>
        <w:ind w:left="3042" w:hanging="435"/>
      </w:pPr>
      <w:rPr>
        <w:rFonts w:hint="default"/>
        <w:lang w:val="ru-RU" w:eastAsia="en-US" w:bidi="ar-SA"/>
      </w:rPr>
    </w:lvl>
    <w:lvl w:ilvl="3">
      <w:start w:val="0"/>
      <w:numFmt w:val="bullet"/>
      <w:lvlText w:val="•"/>
      <w:lvlJc w:val="left"/>
      <w:pPr>
        <w:ind w:left="3903" w:hanging="435"/>
      </w:pPr>
      <w:rPr>
        <w:rFonts w:hint="default"/>
        <w:lang w:val="ru-RU" w:eastAsia="en-US" w:bidi="ar-SA"/>
      </w:rPr>
    </w:lvl>
    <w:lvl w:ilvl="4">
      <w:start w:val="0"/>
      <w:numFmt w:val="bullet"/>
      <w:lvlText w:val="•"/>
      <w:lvlJc w:val="left"/>
      <w:pPr>
        <w:ind w:left="4764" w:hanging="435"/>
      </w:pPr>
      <w:rPr>
        <w:rFonts w:hint="default"/>
        <w:lang w:val="ru-RU" w:eastAsia="en-US" w:bidi="ar-SA"/>
      </w:rPr>
    </w:lvl>
    <w:lvl w:ilvl="5">
      <w:start w:val="0"/>
      <w:numFmt w:val="bullet"/>
      <w:lvlText w:val="•"/>
      <w:lvlJc w:val="left"/>
      <w:pPr>
        <w:ind w:left="5625" w:hanging="435"/>
      </w:pPr>
      <w:rPr>
        <w:rFonts w:hint="default"/>
        <w:lang w:val="ru-RU" w:eastAsia="en-US" w:bidi="ar-SA"/>
      </w:rPr>
    </w:lvl>
    <w:lvl w:ilvl="6">
      <w:start w:val="0"/>
      <w:numFmt w:val="bullet"/>
      <w:lvlText w:val="•"/>
      <w:lvlJc w:val="left"/>
      <w:pPr>
        <w:ind w:left="6486" w:hanging="435"/>
      </w:pPr>
      <w:rPr>
        <w:rFonts w:hint="default"/>
        <w:lang w:val="ru-RU" w:eastAsia="en-US" w:bidi="ar-SA"/>
      </w:rPr>
    </w:lvl>
    <w:lvl w:ilvl="7">
      <w:start w:val="0"/>
      <w:numFmt w:val="bullet"/>
      <w:lvlText w:val="•"/>
      <w:lvlJc w:val="left"/>
      <w:pPr>
        <w:ind w:left="7347" w:hanging="435"/>
      </w:pPr>
      <w:rPr>
        <w:rFonts w:hint="default"/>
        <w:lang w:val="ru-RU" w:eastAsia="en-US" w:bidi="ar-SA"/>
      </w:rPr>
    </w:lvl>
    <w:lvl w:ilvl="8">
      <w:start w:val="0"/>
      <w:numFmt w:val="bullet"/>
      <w:lvlText w:val="•"/>
      <w:lvlJc w:val="left"/>
      <w:pPr>
        <w:ind w:left="8208" w:hanging="435"/>
      </w:pPr>
      <w:rPr>
        <w:rFonts w:hint="default"/>
        <w:lang w:val="ru-RU" w:eastAsia="en-US" w:bidi="ar-SA"/>
      </w:rPr>
    </w:lvl>
  </w:abstractNum>
  <w:abstractNum w:abstractNumId="34">
    <w:multiLevelType w:val="hybridMultilevel"/>
    <w:lvl w:ilvl="0">
      <w:start w:val="0"/>
      <w:numFmt w:val="bullet"/>
      <w:lvlText w:val=""/>
      <w:lvlJc w:val="left"/>
      <w:pPr>
        <w:ind w:left="1029" w:hanging="360"/>
      </w:pPr>
      <w:rPr>
        <w:rFonts w:hint="default" w:ascii="Symbol" w:hAnsi="Symbol" w:eastAsia="Symbol" w:cs="Symbol"/>
        <w:w w:val="100"/>
        <w:sz w:val="24"/>
        <w:szCs w:val="24"/>
        <w:lang w:val="ru-RU" w:eastAsia="en-US" w:bidi="ar-SA"/>
      </w:rPr>
    </w:lvl>
    <w:lvl w:ilvl="1">
      <w:start w:val="0"/>
      <w:numFmt w:val="bullet"/>
      <w:lvlText w:val="•"/>
      <w:lvlJc w:val="left"/>
      <w:pPr>
        <w:ind w:left="1911" w:hanging="360"/>
      </w:pPr>
      <w:rPr>
        <w:rFonts w:hint="default"/>
        <w:lang w:val="ru-RU" w:eastAsia="en-US" w:bidi="ar-SA"/>
      </w:rPr>
    </w:lvl>
    <w:lvl w:ilvl="2">
      <w:start w:val="0"/>
      <w:numFmt w:val="bullet"/>
      <w:lvlText w:val="•"/>
      <w:lvlJc w:val="left"/>
      <w:pPr>
        <w:ind w:left="2802" w:hanging="360"/>
      </w:pPr>
      <w:rPr>
        <w:rFonts w:hint="default"/>
        <w:lang w:val="ru-RU" w:eastAsia="en-US" w:bidi="ar-SA"/>
      </w:rPr>
    </w:lvl>
    <w:lvl w:ilvl="3">
      <w:start w:val="0"/>
      <w:numFmt w:val="bullet"/>
      <w:lvlText w:val="•"/>
      <w:lvlJc w:val="left"/>
      <w:pPr>
        <w:ind w:left="3693" w:hanging="360"/>
      </w:pPr>
      <w:rPr>
        <w:rFonts w:hint="default"/>
        <w:lang w:val="ru-RU" w:eastAsia="en-US" w:bidi="ar-SA"/>
      </w:rPr>
    </w:lvl>
    <w:lvl w:ilvl="4">
      <w:start w:val="0"/>
      <w:numFmt w:val="bullet"/>
      <w:lvlText w:val="•"/>
      <w:lvlJc w:val="left"/>
      <w:pPr>
        <w:ind w:left="4584" w:hanging="360"/>
      </w:pPr>
      <w:rPr>
        <w:rFonts w:hint="default"/>
        <w:lang w:val="ru-RU" w:eastAsia="en-US" w:bidi="ar-SA"/>
      </w:rPr>
    </w:lvl>
    <w:lvl w:ilvl="5">
      <w:start w:val="0"/>
      <w:numFmt w:val="bullet"/>
      <w:lvlText w:val="•"/>
      <w:lvlJc w:val="left"/>
      <w:pPr>
        <w:ind w:left="5475" w:hanging="360"/>
      </w:pPr>
      <w:rPr>
        <w:rFonts w:hint="default"/>
        <w:lang w:val="ru-RU" w:eastAsia="en-US" w:bidi="ar-SA"/>
      </w:rPr>
    </w:lvl>
    <w:lvl w:ilvl="6">
      <w:start w:val="0"/>
      <w:numFmt w:val="bullet"/>
      <w:lvlText w:val="•"/>
      <w:lvlJc w:val="left"/>
      <w:pPr>
        <w:ind w:left="6366" w:hanging="360"/>
      </w:pPr>
      <w:rPr>
        <w:rFonts w:hint="default"/>
        <w:lang w:val="ru-RU" w:eastAsia="en-US" w:bidi="ar-SA"/>
      </w:rPr>
    </w:lvl>
    <w:lvl w:ilvl="7">
      <w:start w:val="0"/>
      <w:numFmt w:val="bullet"/>
      <w:lvlText w:val="•"/>
      <w:lvlJc w:val="left"/>
      <w:pPr>
        <w:ind w:left="7257" w:hanging="360"/>
      </w:pPr>
      <w:rPr>
        <w:rFonts w:hint="default"/>
        <w:lang w:val="ru-RU" w:eastAsia="en-US" w:bidi="ar-SA"/>
      </w:rPr>
    </w:lvl>
    <w:lvl w:ilvl="8">
      <w:start w:val="0"/>
      <w:numFmt w:val="bullet"/>
      <w:lvlText w:val="•"/>
      <w:lvlJc w:val="left"/>
      <w:pPr>
        <w:ind w:left="8148" w:hanging="360"/>
      </w:pPr>
      <w:rPr>
        <w:rFonts w:hint="default"/>
        <w:lang w:val="ru-RU" w:eastAsia="en-US" w:bidi="ar-SA"/>
      </w:rPr>
    </w:lvl>
  </w:abstractNum>
  <w:abstractNum w:abstractNumId="33">
    <w:multiLevelType w:val="hybridMultilevel"/>
    <w:lvl w:ilvl="0">
      <w:start w:val="7"/>
      <w:numFmt w:val="decimal"/>
      <w:lvlText w:val="%1."/>
      <w:lvlJc w:val="left"/>
      <w:pPr>
        <w:ind w:left="1029" w:hanging="425"/>
        <w:jc w:val="left"/>
      </w:pPr>
      <w:rPr>
        <w:rFonts w:hint="default"/>
        <w:spacing w:val="-19"/>
        <w:w w:val="100"/>
        <w:position w:val="2"/>
        <w:lang w:val="ru-RU" w:eastAsia="en-US" w:bidi="ar-SA"/>
      </w:rPr>
    </w:lvl>
    <w:lvl w:ilvl="1">
      <w:start w:val="7"/>
      <w:numFmt w:val="decimal"/>
      <w:lvlText w:val="%2."/>
      <w:lvlJc w:val="left"/>
      <w:pPr>
        <w:ind w:left="1310" w:hanging="281"/>
        <w:jc w:val="left"/>
      </w:pPr>
      <w:rPr>
        <w:rFonts w:hint="default" w:ascii="Times New Roman" w:hAnsi="Times New Roman" w:eastAsia="Times New Roman" w:cs="Times New Roman"/>
        <w:b/>
        <w:bCs/>
        <w:color w:val="1F487C"/>
        <w:spacing w:val="0"/>
        <w:w w:val="100"/>
        <w:sz w:val="28"/>
        <w:szCs w:val="28"/>
        <w:lang w:val="ru-RU" w:eastAsia="en-US" w:bidi="ar-SA"/>
      </w:rPr>
    </w:lvl>
    <w:lvl w:ilvl="2">
      <w:start w:val="1"/>
      <w:numFmt w:val="decimal"/>
      <w:lvlText w:val="%2.%3."/>
      <w:lvlJc w:val="left"/>
      <w:pPr>
        <w:ind w:left="1029" w:hanging="492"/>
        <w:jc w:val="left"/>
      </w:pPr>
      <w:rPr>
        <w:rFonts w:hint="default" w:ascii="Times New Roman" w:hAnsi="Times New Roman" w:eastAsia="Times New Roman" w:cs="Times New Roman"/>
        <w:b/>
        <w:bCs/>
        <w:color w:val="1F487C"/>
        <w:spacing w:val="-1"/>
        <w:w w:val="100"/>
        <w:sz w:val="28"/>
        <w:szCs w:val="28"/>
        <w:lang w:val="ru-RU" w:eastAsia="en-US" w:bidi="ar-SA"/>
      </w:rPr>
    </w:lvl>
    <w:lvl w:ilvl="3">
      <w:start w:val="0"/>
      <w:numFmt w:val="bullet"/>
      <w:lvlText w:val="•"/>
      <w:lvlJc w:val="left"/>
      <w:pPr>
        <w:ind w:left="3233" w:hanging="492"/>
      </w:pPr>
      <w:rPr>
        <w:rFonts w:hint="default"/>
        <w:lang w:val="ru-RU" w:eastAsia="en-US" w:bidi="ar-SA"/>
      </w:rPr>
    </w:lvl>
    <w:lvl w:ilvl="4">
      <w:start w:val="0"/>
      <w:numFmt w:val="bullet"/>
      <w:lvlText w:val="•"/>
      <w:lvlJc w:val="left"/>
      <w:pPr>
        <w:ind w:left="4190" w:hanging="492"/>
      </w:pPr>
      <w:rPr>
        <w:rFonts w:hint="default"/>
        <w:lang w:val="ru-RU" w:eastAsia="en-US" w:bidi="ar-SA"/>
      </w:rPr>
    </w:lvl>
    <w:lvl w:ilvl="5">
      <w:start w:val="0"/>
      <w:numFmt w:val="bullet"/>
      <w:lvlText w:val="•"/>
      <w:lvlJc w:val="left"/>
      <w:pPr>
        <w:ind w:left="5147" w:hanging="492"/>
      </w:pPr>
      <w:rPr>
        <w:rFonts w:hint="default"/>
        <w:lang w:val="ru-RU" w:eastAsia="en-US" w:bidi="ar-SA"/>
      </w:rPr>
    </w:lvl>
    <w:lvl w:ilvl="6">
      <w:start w:val="0"/>
      <w:numFmt w:val="bullet"/>
      <w:lvlText w:val="•"/>
      <w:lvlJc w:val="left"/>
      <w:pPr>
        <w:ind w:left="6104" w:hanging="492"/>
      </w:pPr>
      <w:rPr>
        <w:rFonts w:hint="default"/>
        <w:lang w:val="ru-RU" w:eastAsia="en-US" w:bidi="ar-SA"/>
      </w:rPr>
    </w:lvl>
    <w:lvl w:ilvl="7">
      <w:start w:val="0"/>
      <w:numFmt w:val="bullet"/>
      <w:lvlText w:val="•"/>
      <w:lvlJc w:val="left"/>
      <w:pPr>
        <w:ind w:left="7060" w:hanging="492"/>
      </w:pPr>
      <w:rPr>
        <w:rFonts w:hint="default"/>
        <w:lang w:val="ru-RU" w:eastAsia="en-US" w:bidi="ar-SA"/>
      </w:rPr>
    </w:lvl>
    <w:lvl w:ilvl="8">
      <w:start w:val="0"/>
      <w:numFmt w:val="bullet"/>
      <w:lvlText w:val="•"/>
      <w:lvlJc w:val="left"/>
      <w:pPr>
        <w:ind w:left="8017" w:hanging="492"/>
      </w:pPr>
      <w:rPr>
        <w:rFonts w:hint="default"/>
        <w:lang w:val="ru-RU" w:eastAsia="en-US" w:bidi="ar-SA"/>
      </w:rPr>
    </w:lvl>
  </w:abstractNum>
  <w:abstractNum w:abstractNumId="32">
    <w:multiLevelType w:val="hybridMultilevel"/>
    <w:lvl w:ilvl="0">
      <w:start w:val="1"/>
      <w:numFmt w:val="decimal"/>
      <w:lvlText w:val="%1."/>
      <w:lvlJc w:val="left"/>
      <w:pPr>
        <w:ind w:left="1029" w:hanging="425"/>
        <w:jc w:val="left"/>
      </w:pPr>
      <w:rPr>
        <w:rFonts w:hint="default" w:ascii="Times New Roman" w:hAnsi="Times New Roman" w:eastAsia="Times New Roman" w:cs="Times New Roman"/>
        <w:spacing w:val="-30"/>
        <w:w w:val="100"/>
        <w:sz w:val="24"/>
        <w:szCs w:val="24"/>
        <w:lang w:val="ru-RU" w:eastAsia="en-US" w:bidi="ar-SA"/>
      </w:rPr>
    </w:lvl>
    <w:lvl w:ilvl="1">
      <w:start w:val="0"/>
      <w:numFmt w:val="bullet"/>
      <w:lvlText w:val="•"/>
      <w:lvlJc w:val="left"/>
      <w:pPr>
        <w:ind w:left="1911" w:hanging="425"/>
      </w:pPr>
      <w:rPr>
        <w:rFonts w:hint="default"/>
        <w:lang w:val="ru-RU" w:eastAsia="en-US" w:bidi="ar-SA"/>
      </w:rPr>
    </w:lvl>
    <w:lvl w:ilvl="2">
      <w:start w:val="0"/>
      <w:numFmt w:val="bullet"/>
      <w:lvlText w:val="•"/>
      <w:lvlJc w:val="left"/>
      <w:pPr>
        <w:ind w:left="2802" w:hanging="425"/>
      </w:pPr>
      <w:rPr>
        <w:rFonts w:hint="default"/>
        <w:lang w:val="ru-RU" w:eastAsia="en-US" w:bidi="ar-SA"/>
      </w:rPr>
    </w:lvl>
    <w:lvl w:ilvl="3">
      <w:start w:val="0"/>
      <w:numFmt w:val="bullet"/>
      <w:lvlText w:val="•"/>
      <w:lvlJc w:val="left"/>
      <w:pPr>
        <w:ind w:left="3693" w:hanging="425"/>
      </w:pPr>
      <w:rPr>
        <w:rFonts w:hint="default"/>
        <w:lang w:val="ru-RU" w:eastAsia="en-US" w:bidi="ar-SA"/>
      </w:rPr>
    </w:lvl>
    <w:lvl w:ilvl="4">
      <w:start w:val="0"/>
      <w:numFmt w:val="bullet"/>
      <w:lvlText w:val="•"/>
      <w:lvlJc w:val="left"/>
      <w:pPr>
        <w:ind w:left="4584" w:hanging="425"/>
      </w:pPr>
      <w:rPr>
        <w:rFonts w:hint="default"/>
        <w:lang w:val="ru-RU" w:eastAsia="en-US" w:bidi="ar-SA"/>
      </w:rPr>
    </w:lvl>
    <w:lvl w:ilvl="5">
      <w:start w:val="0"/>
      <w:numFmt w:val="bullet"/>
      <w:lvlText w:val="•"/>
      <w:lvlJc w:val="left"/>
      <w:pPr>
        <w:ind w:left="5475" w:hanging="425"/>
      </w:pPr>
      <w:rPr>
        <w:rFonts w:hint="default"/>
        <w:lang w:val="ru-RU" w:eastAsia="en-US" w:bidi="ar-SA"/>
      </w:rPr>
    </w:lvl>
    <w:lvl w:ilvl="6">
      <w:start w:val="0"/>
      <w:numFmt w:val="bullet"/>
      <w:lvlText w:val="•"/>
      <w:lvlJc w:val="left"/>
      <w:pPr>
        <w:ind w:left="6366" w:hanging="425"/>
      </w:pPr>
      <w:rPr>
        <w:rFonts w:hint="default"/>
        <w:lang w:val="ru-RU" w:eastAsia="en-US" w:bidi="ar-SA"/>
      </w:rPr>
    </w:lvl>
    <w:lvl w:ilvl="7">
      <w:start w:val="0"/>
      <w:numFmt w:val="bullet"/>
      <w:lvlText w:val="•"/>
      <w:lvlJc w:val="left"/>
      <w:pPr>
        <w:ind w:left="7257" w:hanging="425"/>
      </w:pPr>
      <w:rPr>
        <w:rFonts w:hint="default"/>
        <w:lang w:val="ru-RU" w:eastAsia="en-US" w:bidi="ar-SA"/>
      </w:rPr>
    </w:lvl>
    <w:lvl w:ilvl="8">
      <w:start w:val="0"/>
      <w:numFmt w:val="bullet"/>
      <w:lvlText w:val="•"/>
      <w:lvlJc w:val="left"/>
      <w:pPr>
        <w:ind w:left="8148" w:hanging="425"/>
      </w:pPr>
      <w:rPr>
        <w:rFonts w:hint="default"/>
        <w:lang w:val="ru-RU" w:eastAsia="en-US" w:bidi="ar-SA"/>
      </w:rPr>
    </w:lvl>
  </w:abstractNum>
  <w:abstractNum w:abstractNumId="31">
    <w:multiLevelType w:val="hybridMultilevel"/>
    <w:lvl w:ilvl="0">
      <w:start w:val="7"/>
      <w:numFmt w:val="decimal"/>
      <w:lvlText w:val="%1."/>
      <w:lvlJc w:val="left"/>
      <w:pPr>
        <w:ind w:left="321" w:hanging="281"/>
        <w:jc w:val="left"/>
      </w:pPr>
      <w:rPr>
        <w:rFonts w:hint="default" w:ascii="Times New Roman" w:hAnsi="Times New Roman" w:eastAsia="Times New Roman" w:cs="Times New Roman"/>
        <w:spacing w:val="-20"/>
        <w:w w:val="100"/>
        <w:sz w:val="24"/>
        <w:szCs w:val="24"/>
        <w:lang w:val="ru-RU" w:eastAsia="en-US" w:bidi="ar-SA"/>
      </w:rPr>
    </w:lvl>
    <w:lvl w:ilvl="1">
      <w:start w:val="0"/>
      <w:numFmt w:val="bullet"/>
      <w:lvlText w:val="-"/>
      <w:lvlJc w:val="left"/>
      <w:pPr>
        <w:ind w:left="2097" w:hanging="360"/>
      </w:pPr>
      <w:rPr>
        <w:rFonts w:hint="default" w:ascii="Times New Roman" w:hAnsi="Times New Roman" w:eastAsia="Times New Roman" w:cs="Times New Roman"/>
        <w:w w:val="100"/>
        <w:sz w:val="28"/>
        <w:szCs w:val="28"/>
        <w:lang w:val="ru-RU" w:eastAsia="en-US" w:bidi="ar-SA"/>
      </w:rPr>
    </w:lvl>
    <w:lvl w:ilvl="2">
      <w:start w:val="0"/>
      <w:numFmt w:val="bullet"/>
      <w:lvlText w:val="•"/>
      <w:lvlJc w:val="left"/>
      <w:pPr>
        <w:ind w:left="2970" w:hanging="360"/>
      </w:pPr>
      <w:rPr>
        <w:rFonts w:hint="default"/>
        <w:lang w:val="ru-RU" w:eastAsia="en-US" w:bidi="ar-SA"/>
      </w:rPr>
    </w:lvl>
    <w:lvl w:ilvl="3">
      <w:start w:val="0"/>
      <w:numFmt w:val="bullet"/>
      <w:lvlText w:val="•"/>
      <w:lvlJc w:val="left"/>
      <w:pPr>
        <w:ind w:left="3840" w:hanging="360"/>
      </w:pPr>
      <w:rPr>
        <w:rFonts w:hint="default"/>
        <w:lang w:val="ru-RU" w:eastAsia="en-US" w:bidi="ar-SA"/>
      </w:rPr>
    </w:lvl>
    <w:lvl w:ilvl="4">
      <w:start w:val="0"/>
      <w:numFmt w:val="bullet"/>
      <w:lvlText w:val="•"/>
      <w:lvlJc w:val="left"/>
      <w:pPr>
        <w:ind w:left="4710" w:hanging="360"/>
      </w:pPr>
      <w:rPr>
        <w:rFonts w:hint="default"/>
        <w:lang w:val="ru-RU" w:eastAsia="en-US" w:bidi="ar-SA"/>
      </w:rPr>
    </w:lvl>
    <w:lvl w:ilvl="5">
      <w:start w:val="0"/>
      <w:numFmt w:val="bullet"/>
      <w:lvlText w:val="•"/>
      <w:lvlJc w:val="left"/>
      <w:pPr>
        <w:ind w:left="5580" w:hanging="360"/>
      </w:pPr>
      <w:rPr>
        <w:rFonts w:hint="default"/>
        <w:lang w:val="ru-RU" w:eastAsia="en-US" w:bidi="ar-SA"/>
      </w:rPr>
    </w:lvl>
    <w:lvl w:ilvl="6">
      <w:start w:val="0"/>
      <w:numFmt w:val="bullet"/>
      <w:lvlText w:val="•"/>
      <w:lvlJc w:val="left"/>
      <w:pPr>
        <w:ind w:left="6450" w:hanging="360"/>
      </w:pPr>
      <w:rPr>
        <w:rFonts w:hint="default"/>
        <w:lang w:val="ru-RU" w:eastAsia="en-US" w:bidi="ar-SA"/>
      </w:rPr>
    </w:lvl>
    <w:lvl w:ilvl="7">
      <w:start w:val="0"/>
      <w:numFmt w:val="bullet"/>
      <w:lvlText w:val="•"/>
      <w:lvlJc w:val="left"/>
      <w:pPr>
        <w:ind w:left="7320" w:hanging="360"/>
      </w:pPr>
      <w:rPr>
        <w:rFonts w:hint="default"/>
        <w:lang w:val="ru-RU" w:eastAsia="en-US" w:bidi="ar-SA"/>
      </w:rPr>
    </w:lvl>
    <w:lvl w:ilvl="8">
      <w:start w:val="0"/>
      <w:numFmt w:val="bullet"/>
      <w:lvlText w:val="•"/>
      <w:lvlJc w:val="left"/>
      <w:pPr>
        <w:ind w:left="8190" w:hanging="360"/>
      </w:pPr>
      <w:rPr>
        <w:rFonts w:hint="default"/>
        <w:lang w:val="ru-RU" w:eastAsia="en-US" w:bidi="ar-SA"/>
      </w:rPr>
    </w:lvl>
  </w:abstractNum>
  <w:abstractNum w:abstractNumId="30">
    <w:multiLevelType w:val="hybridMultilevel"/>
    <w:lvl w:ilvl="0">
      <w:start w:val="1"/>
      <w:numFmt w:val="decimal"/>
      <w:lvlText w:val="%1."/>
      <w:lvlJc w:val="left"/>
      <w:pPr>
        <w:ind w:left="321" w:hanging="281"/>
        <w:jc w:val="left"/>
      </w:pPr>
      <w:rPr>
        <w:rFonts w:hint="default" w:ascii="Times New Roman" w:hAnsi="Times New Roman" w:eastAsia="Times New Roman" w:cs="Times New Roman"/>
        <w:spacing w:val="-20"/>
        <w:w w:val="100"/>
        <w:sz w:val="24"/>
        <w:szCs w:val="24"/>
        <w:lang w:val="ru-RU" w:eastAsia="en-US" w:bidi="ar-SA"/>
      </w:rPr>
    </w:lvl>
    <w:lvl w:ilvl="1">
      <w:start w:val="0"/>
      <w:numFmt w:val="bullet"/>
      <w:lvlText w:val="•"/>
      <w:lvlJc w:val="left"/>
      <w:pPr>
        <w:ind w:left="1281" w:hanging="281"/>
      </w:pPr>
      <w:rPr>
        <w:rFonts w:hint="default"/>
        <w:lang w:val="ru-RU" w:eastAsia="en-US" w:bidi="ar-SA"/>
      </w:rPr>
    </w:lvl>
    <w:lvl w:ilvl="2">
      <w:start w:val="0"/>
      <w:numFmt w:val="bullet"/>
      <w:lvlText w:val="•"/>
      <w:lvlJc w:val="left"/>
      <w:pPr>
        <w:ind w:left="2242" w:hanging="281"/>
      </w:pPr>
      <w:rPr>
        <w:rFonts w:hint="default"/>
        <w:lang w:val="ru-RU" w:eastAsia="en-US" w:bidi="ar-SA"/>
      </w:rPr>
    </w:lvl>
    <w:lvl w:ilvl="3">
      <w:start w:val="0"/>
      <w:numFmt w:val="bullet"/>
      <w:lvlText w:val="•"/>
      <w:lvlJc w:val="left"/>
      <w:pPr>
        <w:ind w:left="3203" w:hanging="281"/>
      </w:pPr>
      <w:rPr>
        <w:rFonts w:hint="default"/>
        <w:lang w:val="ru-RU" w:eastAsia="en-US" w:bidi="ar-SA"/>
      </w:rPr>
    </w:lvl>
    <w:lvl w:ilvl="4">
      <w:start w:val="0"/>
      <w:numFmt w:val="bullet"/>
      <w:lvlText w:val="•"/>
      <w:lvlJc w:val="left"/>
      <w:pPr>
        <w:ind w:left="4164" w:hanging="281"/>
      </w:pPr>
      <w:rPr>
        <w:rFonts w:hint="default"/>
        <w:lang w:val="ru-RU" w:eastAsia="en-US" w:bidi="ar-SA"/>
      </w:rPr>
    </w:lvl>
    <w:lvl w:ilvl="5">
      <w:start w:val="0"/>
      <w:numFmt w:val="bullet"/>
      <w:lvlText w:val="•"/>
      <w:lvlJc w:val="left"/>
      <w:pPr>
        <w:ind w:left="5125" w:hanging="281"/>
      </w:pPr>
      <w:rPr>
        <w:rFonts w:hint="default"/>
        <w:lang w:val="ru-RU" w:eastAsia="en-US" w:bidi="ar-SA"/>
      </w:rPr>
    </w:lvl>
    <w:lvl w:ilvl="6">
      <w:start w:val="0"/>
      <w:numFmt w:val="bullet"/>
      <w:lvlText w:val="•"/>
      <w:lvlJc w:val="left"/>
      <w:pPr>
        <w:ind w:left="6086" w:hanging="281"/>
      </w:pPr>
      <w:rPr>
        <w:rFonts w:hint="default"/>
        <w:lang w:val="ru-RU" w:eastAsia="en-US" w:bidi="ar-SA"/>
      </w:rPr>
    </w:lvl>
    <w:lvl w:ilvl="7">
      <w:start w:val="0"/>
      <w:numFmt w:val="bullet"/>
      <w:lvlText w:val="•"/>
      <w:lvlJc w:val="left"/>
      <w:pPr>
        <w:ind w:left="7047" w:hanging="281"/>
      </w:pPr>
      <w:rPr>
        <w:rFonts w:hint="default"/>
        <w:lang w:val="ru-RU" w:eastAsia="en-US" w:bidi="ar-SA"/>
      </w:rPr>
    </w:lvl>
    <w:lvl w:ilvl="8">
      <w:start w:val="0"/>
      <w:numFmt w:val="bullet"/>
      <w:lvlText w:val="•"/>
      <w:lvlJc w:val="left"/>
      <w:pPr>
        <w:ind w:left="8008" w:hanging="281"/>
      </w:pPr>
      <w:rPr>
        <w:rFonts w:hint="default"/>
        <w:lang w:val="ru-RU" w:eastAsia="en-US" w:bidi="ar-SA"/>
      </w:rPr>
    </w:lvl>
  </w:abstractNum>
  <w:abstractNum w:abstractNumId="28">
    <w:multiLevelType w:val="hybridMultilevel"/>
    <w:lvl w:ilvl="0">
      <w:start w:val="5"/>
      <w:numFmt w:val="decimal"/>
      <w:lvlText w:val="%1"/>
      <w:lvlJc w:val="left"/>
      <w:pPr>
        <w:ind w:left="1629" w:hanging="600"/>
        <w:jc w:val="left"/>
      </w:pPr>
      <w:rPr>
        <w:rFonts w:hint="default"/>
        <w:lang w:val="ru-RU" w:eastAsia="en-US" w:bidi="ar-SA"/>
      </w:rPr>
    </w:lvl>
    <w:lvl w:ilvl="1">
      <w:start w:val="9"/>
      <w:numFmt w:val="decimal"/>
      <w:lvlText w:val="%1.%2"/>
      <w:lvlJc w:val="left"/>
      <w:pPr>
        <w:ind w:left="1629" w:hanging="600"/>
        <w:jc w:val="left"/>
      </w:pPr>
      <w:rPr>
        <w:rFonts w:hint="default"/>
        <w:lang w:val="ru-RU" w:eastAsia="en-US" w:bidi="ar-SA"/>
      </w:rPr>
    </w:lvl>
    <w:lvl w:ilvl="2">
      <w:start w:val="2"/>
      <w:numFmt w:val="decimal"/>
      <w:lvlText w:val="%1.%2.%3."/>
      <w:lvlJc w:val="left"/>
      <w:pPr>
        <w:ind w:left="1629" w:hanging="600"/>
        <w:jc w:val="left"/>
      </w:pPr>
      <w:rPr>
        <w:rFonts w:hint="default" w:ascii="Times New Roman" w:hAnsi="Times New Roman" w:eastAsia="Times New Roman" w:cs="Times New Roman"/>
        <w:b/>
        <w:bCs/>
        <w:color w:val="1F487C"/>
        <w:spacing w:val="-4"/>
        <w:w w:val="100"/>
        <w:sz w:val="24"/>
        <w:szCs w:val="24"/>
        <w:lang w:val="ru-RU" w:eastAsia="en-US" w:bidi="ar-SA"/>
      </w:rPr>
    </w:lvl>
    <w:lvl w:ilvl="3">
      <w:start w:val="0"/>
      <w:numFmt w:val="bullet"/>
      <w:lvlText w:val="•"/>
      <w:lvlJc w:val="left"/>
      <w:pPr>
        <w:ind w:left="4113" w:hanging="600"/>
      </w:pPr>
      <w:rPr>
        <w:rFonts w:hint="default"/>
        <w:lang w:val="ru-RU" w:eastAsia="en-US" w:bidi="ar-SA"/>
      </w:rPr>
    </w:lvl>
    <w:lvl w:ilvl="4">
      <w:start w:val="0"/>
      <w:numFmt w:val="bullet"/>
      <w:lvlText w:val="•"/>
      <w:lvlJc w:val="left"/>
      <w:pPr>
        <w:ind w:left="4944" w:hanging="600"/>
      </w:pPr>
      <w:rPr>
        <w:rFonts w:hint="default"/>
        <w:lang w:val="ru-RU" w:eastAsia="en-US" w:bidi="ar-SA"/>
      </w:rPr>
    </w:lvl>
    <w:lvl w:ilvl="5">
      <w:start w:val="0"/>
      <w:numFmt w:val="bullet"/>
      <w:lvlText w:val="•"/>
      <w:lvlJc w:val="left"/>
      <w:pPr>
        <w:ind w:left="5775" w:hanging="600"/>
      </w:pPr>
      <w:rPr>
        <w:rFonts w:hint="default"/>
        <w:lang w:val="ru-RU" w:eastAsia="en-US" w:bidi="ar-SA"/>
      </w:rPr>
    </w:lvl>
    <w:lvl w:ilvl="6">
      <w:start w:val="0"/>
      <w:numFmt w:val="bullet"/>
      <w:lvlText w:val="•"/>
      <w:lvlJc w:val="left"/>
      <w:pPr>
        <w:ind w:left="6606" w:hanging="600"/>
      </w:pPr>
      <w:rPr>
        <w:rFonts w:hint="default"/>
        <w:lang w:val="ru-RU" w:eastAsia="en-US" w:bidi="ar-SA"/>
      </w:rPr>
    </w:lvl>
    <w:lvl w:ilvl="7">
      <w:start w:val="0"/>
      <w:numFmt w:val="bullet"/>
      <w:lvlText w:val="•"/>
      <w:lvlJc w:val="left"/>
      <w:pPr>
        <w:ind w:left="7437" w:hanging="600"/>
      </w:pPr>
      <w:rPr>
        <w:rFonts w:hint="default"/>
        <w:lang w:val="ru-RU" w:eastAsia="en-US" w:bidi="ar-SA"/>
      </w:rPr>
    </w:lvl>
    <w:lvl w:ilvl="8">
      <w:start w:val="0"/>
      <w:numFmt w:val="bullet"/>
      <w:lvlText w:val="•"/>
      <w:lvlJc w:val="left"/>
      <w:pPr>
        <w:ind w:left="8268" w:hanging="600"/>
      </w:pPr>
      <w:rPr>
        <w:rFonts w:hint="default"/>
        <w:lang w:val="ru-RU" w:eastAsia="en-US" w:bidi="ar-SA"/>
      </w:rPr>
    </w:lvl>
  </w:abstractNum>
  <w:abstractNum w:abstractNumId="27">
    <w:multiLevelType w:val="hybridMultilevel"/>
    <w:lvl w:ilvl="0">
      <w:start w:val="5"/>
      <w:numFmt w:val="decimal"/>
      <w:lvlText w:val="%1"/>
      <w:lvlJc w:val="left"/>
      <w:pPr>
        <w:ind w:left="1029" w:hanging="423"/>
        <w:jc w:val="left"/>
      </w:pPr>
      <w:rPr>
        <w:rFonts w:hint="default"/>
        <w:lang w:val="ru-RU" w:eastAsia="en-US" w:bidi="ar-SA"/>
      </w:rPr>
    </w:lvl>
    <w:lvl w:ilvl="1">
      <w:start w:val="9"/>
      <w:numFmt w:val="decimal"/>
      <w:lvlText w:val="%1.%2"/>
      <w:lvlJc w:val="left"/>
      <w:pPr>
        <w:ind w:left="1029" w:hanging="423"/>
        <w:jc w:val="left"/>
      </w:pPr>
      <w:rPr>
        <w:rFonts w:hint="default" w:ascii="Times New Roman" w:hAnsi="Times New Roman" w:eastAsia="Times New Roman" w:cs="Times New Roman"/>
        <w:b/>
        <w:bCs/>
        <w:color w:val="1F487C"/>
        <w:spacing w:val="-1"/>
        <w:w w:val="100"/>
        <w:sz w:val="28"/>
        <w:szCs w:val="28"/>
        <w:lang w:val="ru-RU" w:eastAsia="en-US" w:bidi="ar-SA"/>
      </w:rPr>
    </w:lvl>
    <w:lvl w:ilvl="2">
      <w:start w:val="1"/>
      <w:numFmt w:val="decimal"/>
      <w:lvlText w:val="%1.%2.%3"/>
      <w:lvlJc w:val="left"/>
      <w:pPr>
        <w:ind w:left="1569" w:hanging="540"/>
        <w:jc w:val="left"/>
      </w:pPr>
      <w:rPr>
        <w:rFonts w:hint="default" w:ascii="Times New Roman" w:hAnsi="Times New Roman" w:eastAsia="Times New Roman" w:cs="Times New Roman"/>
        <w:b/>
        <w:bCs/>
        <w:color w:val="1F487C"/>
        <w:spacing w:val="-4"/>
        <w:w w:val="100"/>
        <w:sz w:val="24"/>
        <w:szCs w:val="24"/>
        <w:lang w:val="ru-RU" w:eastAsia="en-US" w:bidi="ar-SA"/>
      </w:rPr>
    </w:lvl>
    <w:lvl w:ilvl="3">
      <w:start w:val="0"/>
      <w:numFmt w:val="bullet"/>
      <w:lvlText w:val="•"/>
      <w:lvlJc w:val="left"/>
      <w:pPr>
        <w:ind w:left="3420" w:hanging="540"/>
      </w:pPr>
      <w:rPr>
        <w:rFonts w:hint="default"/>
        <w:lang w:val="ru-RU" w:eastAsia="en-US" w:bidi="ar-SA"/>
      </w:rPr>
    </w:lvl>
    <w:lvl w:ilvl="4">
      <w:start w:val="0"/>
      <w:numFmt w:val="bullet"/>
      <w:lvlText w:val="•"/>
      <w:lvlJc w:val="left"/>
      <w:pPr>
        <w:ind w:left="4350" w:hanging="540"/>
      </w:pPr>
      <w:rPr>
        <w:rFonts w:hint="default"/>
        <w:lang w:val="ru-RU" w:eastAsia="en-US" w:bidi="ar-SA"/>
      </w:rPr>
    </w:lvl>
    <w:lvl w:ilvl="5">
      <w:start w:val="0"/>
      <w:numFmt w:val="bullet"/>
      <w:lvlText w:val="•"/>
      <w:lvlJc w:val="left"/>
      <w:pPr>
        <w:ind w:left="5280" w:hanging="540"/>
      </w:pPr>
      <w:rPr>
        <w:rFonts w:hint="default"/>
        <w:lang w:val="ru-RU" w:eastAsia="en-US" w:bidi="ar-SA"/>
      </w:rPr>
    </w:lvl>
    <w:lvl w:ilvl="6">
      <w:start w:val="0"/>
      <w:numFmt w:val="bullet"/>
      <w:lvlText w:val="•"/>
      <w:lvlJc w:val="left"/>
      <w:pPr>
        <w:ind w:left="6210" w:hanging="540"/>
      </w:pPr>
      <w:rPr>
        <w:rFonts w:hint="default"/>
        <w:lang w:val="ru-RU" w:eastAsia="en-US" w:bidi="ar-SA"/>
      </w:rPr>
    </w:lvl>
    <w:lvl w:ilvl="7">
      <w:start w:val="0"/>
      <w:numFmt w:val="bullet"/>
      <w:lvlText w:val="•"/>
      <w:lvlJc w:val="left"/>
      <w:pPr>
        <w:ind w:left="7140" w:hanging="540"/>
      </w:pPr>
      <w:rPr>
        <w:rFonts w:hint="default"/>
        <w:lang w:val="ru-RU" w:eastAsia="en-US" w:bidi="ar-SA"/>
      </w:rPr>
    </w:lvl>
    <w:lvl w:ilvl="8">
      <w:start w:val="0"/>
      <w:numFmt w:val="bullet"/>
      <w:lvlText w:val="•"/>
      <w:lvlJc w:val="left"/>
      <w:pPr>
        <w:ind w:left="8070" w:hanging="540"/>
      </w:pPr>
      <w:rPr>
        <w:rFonts w:hint="default"/>
        <w:lang w:val="ru-RU" w:eastAsia="en-US" w:bidi="ar-SA"/>
      </w:rPr>
    </w:lvl>
  </w:abstractNum>
  <w:abstractNum w:abstractNumId="26">
    <w:multiLevelType w:val="hybridMultilevel"/>
    <w:lvl w:ilvl="0">
      <w:start w:val="1"/>
      <w:numFmt w:val="decimal"/>
      <w:lvlText w:val="%1."/>
      <w:lvlJc w:val="left"/>
      <w:pPr>
        <w:ind w:left="1041" w:hanging="360"/>
        <w:jc w:val="left"/>
      </w:pPr>
      <w:rPr>
        <w:rFonts w:hint="default" w:ascii="Times New Roman" w:hAnsi="Times New Roman" w:eastAsia="Times New Roman" w:cs="Times New Roman"/>
        <w:spacing w:val="-30"/>
        <w:w w:val="100"/>
        <w:sz w:val="24"/>
        <w:szCs w:val="24"/>
        <w:lang w:val="ru-RU" w:eastAsia="en-US" w:bidi="ar-SA"/>
      </w:rPr>
    </w:lvl>
    <w:lvl w:ilvl="1">
      <w:start w:val="0"/>
      <w:numFmt w:val="bullet"/>
      <w:lvlText w:val="•"/>
      <w:lvlJc w:val="left"/>
      <w:pPr>
        <w:ind w:left="1320" w:hanging="360"/>
      </w:pPr>
      <w:rPr>
        <w:rFonts w:hint="default"/>
        <w:lang w:val="ru-RU" w:eastAsia="en-US" w:bidi="ar-SA"/>
      </w:rPr>
    </w:lvl>
    <w:lvl w:ilvl="2">
      <w:start w:val="0"/>
      <w:numFmt w:val="bullet"/>
      <w:lvlText w:val="•"/>
      <w:lvlJc w:val="left"/>
      <w:pPr>
        <w:ind w:left="2276" w:hanging="360"/>
      </w:pPr>
      <w:rPr>
        <w:rFonts w:hint="default"/>
        <w:lang w:val="ru-RU" w:eastAsia="en-US" w:bidi="ar-SA"/>
      </w:rPr>
    </w:lvl>
    <w:lvl w:ilvl="3">
      <w:start w:val="0"/>
      <w:numFmt w:val="bullet"/>
      <w:lvlText w:val="•"/>
      <w:lvlJc w:val="left"/>
      <w:pPr>
        <w:ind w:left="3233" w:hanging="360"/>
      </w:pPr>
      <w:rPr>
        <w:rFonts w:hint="default"/>
        <w:lang w:val="ru-RU" w:eastAsia="en-US" w:bidi="ar-SA"/>
      </w:rPr>
    </w:lvl>
    <w:lvl w:ilvl="4">
      <w:start w:val="0"/>
      <w:numFmt w:val="bullet"/>
      <w:lvlText w:val="•"/>
      <w:lvlJc w:val="left"/>
      <w:pPr>
        <w:ind w:left="4190" w:hanging="360"/>
      </w:pPr>
      <w:rPr>
        <w:rFonts w:hint="default"/>
        <w:lang w:val="ru-RU" w:eastAsia="en-US" w:bidi="ar-SA"/>
      </w:rPr>
    </w:lvl>
    <w:lvl w:ilvl="5">
      <w:start w:val="0"/>
      <w:numFmt w:val="bullet"/>
      <w:lvlText w:val="•"/>
      <w:lvlJc w:val="left"/>
      <w:pPr>
        <w:ind w:left="5147" w:hanging="360"/>
      </w:pPr>
      <w:rPr>
        <w:rFonts w:hint="default"/>
        <w:lang w:val="ru-RU" w:eastAsia="en-US" w:bidi="ar-SA"/>
      </w:rPr>
    </w:lvl>
    <w:lvl w:ilvl="6">
      <w:start w:val="0"/>
      <w:numFmt w:val="bullet"/>
      <w:lvlText w:val="•"/>
      <w:lvlJc w:val="left"/>
      <w:pPr>
        <w:ind w:left="6104" w:hanging="360"/>
      </w:pPr>
      <w:rPr>
        <w:rFonts w:hint="default"/>
        <w:lang w:val="ru-RU" w:eastAsia="en-US" w:bidi="ar-SA"/>
      </w:rPr>
    </w:lvl>
    <w:lvl w:ilvl="7">
      <w:start w:val="0"/>
      <w:numFmt w:val="bullet"/>
      <w:lvlText w:val="•"/>
      <w:lvlJc w:val="left"/>
      <w:pPr>
        <w:ind w:left="7060" w:hanging="360"/>
      </w:pPr>
      <w:rPr>
        <w:rFonts w:hint="default"/>
        <w:lang w:val="ru-RU" w:eastAsia="en-US" w:bidi="ar-SA"/>
      </w:rPr>
    </w:lvl>
    <w:lvl w:ilvl="8">
      <w:start w:val="0"/>
      <w:numFmt w:val="bullet"/>
      <w:lvlText w:val="•"/>
      <w:lvlJc w:val="left"/>
      <w:pPr>
        <w:ind w:left="8017" w:hanging="360"/>
      </w:pPr>
      <w:rPr>
        <w:rFonts w:hint="default"/>
        <w:lang w:val="ru-RU" w:eastAsia="en-US" w:bidi="ar-SA"/>
      </w:rPr>
    </w:lvl>
  </w:abstractNum>
  <w:abstractNum w:abstractNumId="25">
    <w:multiLevelType w:val="hybridMultilevel"/>
    <w:lvl w:ilvl="0">
      <w:start w:val="1"/>
      <w:numFmt w:val="decimal"/>
      <w:lvlText w:val="%1."/>
      <w:lvlJc w:val="left"/>
      <w:pPr>
        <w:ind w:left="1315" w:hanging="286"/>
        <w:jc w:val="left"/>
      </w:pPr>
      <w:rPr>
        <w:rFonts w:hint="default" w:ascii="Times New Roman" w:hAnsi="Times New Roman" w:eastAsia="Times New Roman" w:cs="Times New Roman"/>
        <w:spacing w:val="-15"/>
        <w:w w:val="100"/>
        <w:position w:val="2"/>
        <w:sz w:val="24"/>
        <w:szCs w:val="24"/>
        <w:lang w:val="ru-RU" w:eastAsia="en-US" w:bidi="ar-SA"/>
      </w:rPr>
    </w:lvl>
    <w:lvl w:ilvl="1">
      <w:start w:val="0"/>
      <w:numFmt w:val="bullet"/>
      <w:lvlText w:val="•"/>
      <w:lvlJc w:val="left"/>
      <w:pPr>
        <w:ind w:left="2181" w:hanging="286"/>
      </w:pPr>
      <w:rPr>
        <w:rFonts w:hint="default"/>
        <w:lang w:val="ru-RU" w:eastAsia="en-US" w:bidi="ar-SA"/>
      </w:rPr>
    </w:lvl>
    <w:lvl w:ilvl="2">
      <w:start w:val="0"/>
      <w:numFmt w:val="bullet"/>
      <w:lvlText w:val="•"/>
      <w:lvlJc w:val="left"/>
      <w:pPr>
        <w:ind w:left="3042" w:hanging="286"/>
      </w:pPr>
      <w:rPr>
        <w:rFonts w:hint="default"/>
        <w:lang w:val="ru-RU" w:eastAsia="en-US" w:bidi="ar-SA"/>
      </w:rPr>
    </w:lvl>
    <w:lvl w:ilvl="3">
      <w:start w:val="0"/>
      <w:numFmt w:val="bullet"/>
      <w:lvlText w:val="•"/>
      <w:lvlJc w:val="left"/>
      <w:pPr>
        <w:ind w:left="3903" w:hanging="286"/>
      </w:pPr>
      <w:rPr>
        <w:rFonts w:hint="default"/>
        <w:lang w:val="ru-RU" w:eastAsia="en-US" w:bidi="ar-SA"/>
      </w:rPr>
    </w:lvl>
    <w:lvl w:ilvl="4">
      <w:start w:val="0"/>
      <w:numFmt w:val="bullet"/>
      <w:lvlText w:val="•"/>
      <w:lvlJc w:val="left"/>
      <w:pPr>
        <w:ind w:left="4764" w:hanging="286"/>
      </w:pPr>
      <w:rPr>
        <w:rFonts w:hint="default"/>
        <w:lang w:val="ru-RU" w:eastAsia="en-US" w:bidi="ar-SA"/>
      </w:rPr>
    </w:lvl>
    <w:lvl w:ilvl="5">
      <w:start w:val="0"/>
      <w:numFmt w:val="bullet"/>
      <w:lvlText w:val="•"/>
      <w:lvlJc w:val="left"/>
      <w:pPr>
        <w:ind w:left="5625" w:hanging="286"/>
      </w:pPr>
      <w:rPr>
        <w:rFonts w:hint="default"/>
        <w:lang w:val="ru-RU" w:eastAsia="en-US" w:bidi="ar-SA"/>
      </w:rPr>
    </w:lvl>
    <w:lvl w:ilvl="6">
      <w:start w:val="0"/>
      <w:numFmt w:val="bullet"/>
      <w:lvlText w:val="•"/>
      <w:lvlJc w:val="left"/>
      <w:pPr>
        <w:ind w:left="6486" w:hanging="286"/>
      </w:pPr>
      <w:rPr>
        <w:rFonts w:hint="default"/>
        <w:lang w:val="ru-RU" w:eastAsia="en-US" w:bidi="ar-SA"/>
      </w:rPr>
    </w:lvl>
    <w:lvl w:ilvl="7">
      <w:start w:val="0"/>
      <w:numFmt w:val="bullet"/>
      <w:lvlText w:val="•"/>
      <w:lvlJc w:val="left"/>
      <w:pPr>
        <w:ind w:left="7347" w:hanging="286"/>
      </w:pPr>
      <w:rPr>
        <w:rFonts w:hint="default"/>
        <w:lang w:val="ru-RU" w:eastAsia="en-US" w:bidi="ar-SA"/>
      </w:rPr>
    </w:lvl>
    <w:lvl w:ilvl="8">
      <w:start w:val="0"/>
      <w:numFmt w:val="bullet"/>
      <w:lvlText w:val="•"/>
      <w:lvlJc w:val="left"/>
      <w:pPr>
        <w:ind w:left="8208" w:hanging="286"/>
      </w:pPr>
      <w:rPr>
        <w:rFonts w:hint="default"/>
        <w:lang w:val="ru-RU" w:eastAsia="en-US" w:bidi="ar-SA"/>
      </w:rPr>
    </w:lvl>
  </w:abstractNum>
  <w:abstractNum w:abstractNumId="24">
    <w:multiLevelType w:val="hybridMultilevel"/>
    <w:lvl w:ilvl="0">
      <w:start w:val="1"/>
      <w:numFmt w:val="decimal"/>
      <w:lvlText w:val="%1"/>
      <w:lvlJc w:val="left"/>
      <w:pPr>
        <w:ind w:left="321" w:hanging="180"/>
        <w:jc w:val="left"/>
      </w:pPr>
      <w:rPr>
        <w:rFonts w:hint="default" w:ascii="Times New Roman" w:hAnsi="Times New Roman" w:eastAsia="Times New Roman" w:cs="Times New Roman"/>
        <w:b/>
        <w:bCs/>
        <w:spacing w:val="-8"/>
        <w:w w:val="100"/>
        <w:position w:val="2"/>
        <w:sz w:val="24"/>
        <w:szCs w:val="24"/>
        <w:lang w:val="ru-RU" w:eastAsia="en-US" w:bidi="ar-SA"/>
      </w:rPr>
    </w:lvl>
    <w:lvl w:ilvl="1">
      <w:start w:val="0"/>
      <w:numFmt w:val="bullet"/>
      <w:lvlText w:val="•"/>
      <w:lvlJc w:val="left"/>
      <w:pPr>
        <w:ind w:left="1281" w:hanging="180"/>
      </w:pPr>
      <w:rPr>
        <w:rFonts w:hint="default"/>
        <w:lang w:val="ru-RU" w:eastAsia="en-US" w:bidi="ar-SA"/>
      </w:rPr>
    </w:lvl>
    <w:lvl w:ilvl="2">
      <w:start w:val="0"/>
      <w:numFmt w:val="bullet"/>
      <w:lvlText w:val="•"/>
      <w:lvlJc w:val="left"/>
      <w:pPr>
        <w:ind w:left="2242" w:hanging="180"/>
      </w:pPr>
      <w:rPr>
        <w:rFonts w:hint="default"/>
        <w:lang w:val="ru-RU" w:eastAsia="en-US" w:bidi="ar-SA"/>
      </w:rPr>
    </w:lvl>
    <w:lvl w:ilvl="3">
      <w:start w:val="0"/>
      <w:numFmt w:val="bullet"/>
      <w:lvlText w:val="•"/>
      <w:lvlJc w:val="left"/>
      <w:pPr>
        <w:ind w:left="3203" w:hanging="180"/>
      </w:pPr>
      <w:rPr>
        <w:rFonts w:hint="default"/>
        <w:lang w:val="ru-RU" w:eastAsia="en-US" w:bidi="ar-SA"/>
      </w:rPr>
    </w:lvl>
    <w:lvl w:ilvl="4">
      <w:start w:val="0"/>
      <w:numFmt w:val="bullet"/>
      <w:lvlText w:val="•"/>
      <w:lvlJc w:val="left"/>
      <w:pPr>
        <w:ind w:left="4164" w:hanging="180"/>
      </w:pPr>
      <w:rPr>
        <w:rFonts w:hint="default"/>
        <w:lang w:val="ru-RU" w:eastAsia="en-US" w:bidi="ar-SA"/>
      </w:rPr>
    </w:lvl>
    <w:lvl w:ilvl="5">
      <w:start w:val="0"/>
      <w:numFmt w:val="bullet"/>
      <w:lvlText w:val="•"/>
      <w:lvlJc w:val="left"/>
      <w:pPr>
        <w:ind w:left="5125" w:hanging="180"/>
      </w:pPr>
      <w:rPr>
        <w:rFonts w:hint="default"/>
        <w:lang w:val="ru-RU" w:eastAsia="en-US" w:bidi="ar-SA"/>
      </w:rPr>
    </w:lvl>
    <w:lvl w:ilvl="6">
      <w:start w:val="0"/>
      <w:numFmt w:val="bullet"/>
      <w:lvlText w:val="•"/>
      <w:lvlJc w:val="left"/>
      <w:pPr>
        <w:ind w:left="6086" w:hanging="180"/>
      </w:pPr>
      <w:rPr>
        <w:rFonts w:hint="default"/>
        <w:lang w:val="ru-RU" w:eastAsia="en-US" w:bidi="ar-SA"/>
      </w:rPr>
    </w:lvl>
    <w:lvl w:ilvl="7">
      <w:start w:val="0"/>
      <w:numFmt w:val="bullet"/>
      <w:lvlText w:val="•"/>
      <w:lvlJc w:val="left"/>
      <w:pPr>
        <w:ind w:left="7047" w:hanging="180"/>
      </w:pPr>
      <w:rPr>
        <w:rFonts w:hint="default"/>
        <w:lang w:val="ru-RU" w:eastAsia="en-US" w:bidi="ar-SA"/>
      </w:rPr>
    </w:lvl>
    <w:lvl w:ilvl="8">
      <w:start w:val="0"/>
      <w:numFmt w:val="bullet"/>
      <w:lvlText w:val="•"/>
      <w:lvlJc w:val="left"/>
      <w:pPr>
        <w:ind w:left="8008" w:hanging="180"/>
      </w:pPr>
      <w:rPr>
        <w:rFonts w:hint="default"/>
        <w:lang w:val="ru-RU" w:eastAsia="en-US" w:bidi="ar-SA"/>
      </w:rPr>
    </w:lvl>
  </w:abstractNum>
  <w:abstractNum w:abstractNumId="23">
    <w:multiLevelType w:val="hybridMultilevel"/>
    <w:lvl w:ilvl="0">
      <w:start w:val="0"/>
      <w:numFmt w:val="bullet"/>
      <w:lvlText w:val="*"/>
      <w:lvlJc w:val="left"/>
      <w:pPr>
        <w:ind w:left="470" w:hanging="149"/>
      </w:pPr>
      <w:rPr>
        <w:rFonts w:hint="default" w:ascii="Times New Roman" w:hAnsi="Times New Roman" w:eastAsia="Times New Roman" w:cs="Times New Roman"/>
        <w:w w:val="99"/>
        <w:sz w:val="20"/>
        <w:szCs w:val="20"/>
        <w:lang w:val="ru-RU" w:eastAsia="en-US" w:bidi="ar-SA"/>
      </w:rPr>
    </w:lvl>
    <w:lvl w:ilvl="1">
      <w:start w:val="0"/>
      <w:numFmt w:val="bullet"/>
      <w:lvlText w:val=""/>
      <w:lvlJc w:val="left"/>
      <w:pPr>
        <w:ind w:left="1000" w:hanging="339"/>
      </w:pPr>
      <w:rPr>
        <w:rFonts w:hint="default" w:ascii="Symbol" w:hAnsi="Symbol" w:eastAsia="Symbol" w:cs="Symbol"/>
        <w:w w:val="100"/>
        <w:sz w:val="24"/>
        <w:szCs w:val="24"/>
        <w:lang w:val="ru-RU" w:eastAsia="en-US" w:bidi="ar-SA"/>
      </w:rPr>
    </w:lvl>
    <w:lvl w:ilvl="2">
      <w:start w:val="0"/>
      <w:numFmt w:val="bullet"/>
      <w:lvlText w:val=""/>
      <w:lvlJc w:val="left"/>
      <w:pPr>
        <w:ind w:left="604" w:hanging="286"/>
      </w:pPr>
      <w:rPr>
        <w:rFonts w:hint="default" w:ascii="Symbol" w:hAnsi="Symbol" w:eastAsia="Symbol" w:cs="Symbol"/>
        <w:w w:val="100"/>
        <w:position w:val="2"/>
        <w:sz w:val="24"/>
        <w:szCs w:val="24"/>
        <w:lang w:val="ru-RU" w:eastAsia="en-US" w:bidi="ar-SA"/>
      </w:rPr>
    </w:lvl>
    <w:lvl w:ilvl="3">
      <w:start w:val="0"/>
      <w:numFmt w:val="bullet"/>
      <w:lvlText w:val="•"/>
      <w:lvlJc w:val="left"/>
      <w:pPr>
        <w:ind w:left="1380" w:hanging="286"/>
      </w:pPr>
      <w:rPr>
        <w:rFonts w:hint="default"/>
        <w:lang w:val="ru-RU" w:eastAsia="en-US" w:bidi="ar-SA"/>
      </w:rPr>
    </w:lvl>
    <w:lvl w:ilvl="4">
      <w:start w:val="0"/>
      <w:numFmt w:val="bullet"/>
      <w:lvlText w:val="•"/>
      <w:lvlJc w:val="left"/>
      <w:pPr>
        <w:ind w:left="1420" w:hanging="286"/>
      </w:pPr>
      <w:rPr>
        <w:rFonts w:hint="default"/>
        <w:lang w:val="ru-RU" w:eastAsia="en-US" w:bidi="ar-SA"/>
      </w:rPr>
    </w:lvl>
    <w:lvl w:ilvl="5">
      <w:start w:val="0"/>
      <w:numFmt w:val="bullet"/>
      <w:lvlText w:val="•"/>
      <w:lvlJc w:val="left"/>
      <w:pPr>
        <w:ind w:left="2838" w:hanging="286"/>
      </w:pPr>
      <w:rPr>
        <w:rFonts w:hint="default"/>
        <w:lang w:val="ru-RU" w:eastAsia="en-US" w:bidi="ar-SA"/>
      </w:rPr>
    </w:lvl>
    <w:lvl w:ilvl="6">
      <w:start w:val="0"/>
      <w:numFmt w:val="bullet"/>
      <w:lvlText w:val="•"/>
      <w:lvlJc w:val="left"/>
      <w:pPr>
        <w:ind w:left="4257" w:hanging="286"/>
      </w:pPr>
      <w:rPr>
        <w:rFonts w:hint="default"/>
        <w:lang w:val="ru-RU" w:eastAsia="en-US" w:bidi="ar-SA"/>
      </w:rPr>
    </w:lvl>
    <w:lvl w:ilvl="7">
      <w:start w:val="0"/>
      <w:numFmt w:val="bullet"/>
      <w:lvlText w:val="•"/>
      <w:lvlJc w:val="left"/>
      <w:pPr>
        <w:ind w:left="5675" w:hanging="286"/>
      </w:pPr>
      <w:rPr>
        <w:rFonts w:hint="default"/>
        <w:lang w:val="ru-RU" w:eastAsia="en-US" w:bidi="ar-SA"/>
      </w:rPr>
    </w:lvl>
    <w:lvl w:ilvl="8">
      <w:start w:val="0"/>
      <w:numFmt w:val="bullet"/>
      <w:lvlText w:val="•"/>
      <w:lvlJc w:val="left"/>
      <w:pPr>
        <w:ind w:left="7094" w:hanging="286"/>
      </w:pPr>
      <w:rPr>
        <w:rFonts w:hint="default"/>
        <w:lang w:val="ru-RU" w:eastAsia="en-US" w:bidi="ar-SA"/>
      </w:rPr>
    </w:lvl>
  </w:abstractNum>
  <w:abstractNum w:abstractNumId="22">
    <w:multiLevelType w:val="hybridMultilevel"/>
    <w:lvl w:ilvl="0">
      <w:start w:val="1"/>
      <w:numFmt w:val="decimal"/>
      <w:lvlText w:val="%1."/>
      <w:lvlJc w:val="left"/>
      <w:pPr>
        <w:ind w:left="321" w:hanging="240"/>
        <w:jc w:val="left"/>
      </w:pPr>
      <w:rPr>
        <w:rFonts w:hint="default" w:ascii="Times New Roman" w:hAnsi="Times New Roman" w:eastAsia="Times New Roman" w:cs="Times New Roman"/>
        <w:spacing w:val="-25"/>
        <w:w w:val="100"/>
        <w:sz w:val="24"/>
        <w:szCs w:val="24"/>
        <w:lang w:val="ru-RU" w:eastAsia="en-US" w:bidi="ar-SA"/>
      </w:rPr>
    </w:lvl>
    <w:lvl w:ilvl="1">
      <w:start w:val="0"/>
      <w:numFmt w:val="bullet"/>
      <w:lvlText w:val="•"/>
      <w:lvlJc w:val="left"/>
      <w:pPr>
        <w:ind w:left="1281" w:hanging="240"/>
      </w:pPr>
      <w:rPr>
        <w:rFonts w:hint="default"/>
        <w:lang w:val="ru-RU" w:eastAsia="en-US" w:bidi="ar-SA"/>
      </w:rPr>
    </w:lvl>
    <w:lvl w:ilvl="2">
      <w:start w:val="0"/>
      <w:numFmt w:val="bullet"/>
      <w:lvlText w:val="•"/>
      <w:lvlJc w:val="left"/>
      <w:pPr>
        <w:ind w:left="2242" w:hanging="240"/>
      </w:pPr>
      <w:rPr>
        <w:rFonts w:hint="default"/>
        <w:lang w:val="ru-RU" w:eastAsia="en-US" w:bidi="ar-SA"/>
      </w:rPr>
    </w:lvl>
    <w:lvl w:ilvl="3">
      <w:start w:val="0"/>
      <w:numFmt w:val="bullet"/>
      <w:lvlText w:val="•"/>
      <w:lvlJc w:val="left"/>
      <w:pPr>
        <w:ind w:left="3203" w:hanging="240"/>
      </w:pPr>
      <w:rPr>
        <w:rFonts w:hint="default"/>
        <w:lang w:val="ru-RU" w:eastAsia="en-US" w:bidi="ar-SA"/>
      </w:rPr>
    </w:lvl>
    <w:lvl w:ilvl="4">
      <w:start w:val="0"/>
      <w:numFmt w:val="bullet"/>
      <w:lvlText w:val="•"/>
      <w:lvlJc w:val="left"/>
      <w:pPr>
        <w:ind w:left="4164" w:hanging="240"/>
      </w:pPr>
      <w:rPr>
        <w:rFonts w:hint="default"/>
        <w:lang w:val="ru-RU" w:eastAsia="en-US" w:bidi="ar-SA"/>
      </w:rPr>
    </w:lvl>
    <w:lvl w:ilvl="5">
      <w:start w:val="0"/>
      <w:numFmt w:val="bullet"/>
      <w:lvlText w:val="•"/>
      <w:lvlJc w:val="left"/>
      <w:pPr>
        <w:ind w:left="5125" w:hanging="240"/>
      </w:pPr>
      <w:rPr>
        <w:rFonts w:hint="default"/>
        <w:lang w:val="ru-RU" w:eastAsia="en-US" w:bidi="ar-SA"/>
      </w:rPr>
    </w:lvl>
    <w:lvl w:ilvl="6">
      <w:start w:val="0"/>
      <w:numFmt w:val="bullet"/>
      <w:lvlText w:val="•"/>
      <w:lvlJc w:val="left"/>
      <w:pPr>
        <w:ind w:left="6086" w:hanging="240"/>
      </w:pPr>
      <w:rPr>
        <w:rFonts w:hint="default"/>
        <w:lang w:val="ru-RU" w:eastAsia="en-US" w:bidi="ar-SA"/>
      </w:rPr>
    </w:lvl>
    <w:lvl w:ilvl="7">
      <w:start w:val="0"/>
      <w:numFmt w:val="bullet"/>
      <w:lvlText w:val="•"/>
      <w:lvlJc w:val="left"/>
      <w:pPr>
        <w:ind w:left="7047" w:hanging="240"/>
      </w:pPr>
      <w:rPr>
        <w:rFonts w:hint="default"/>
        <w:lang w:val="ru-RU" w:eastAsia="en-US" w:bidi="ar-SA"/>
      </w:rPr>
    </w:lvl>
    <w:lvl w:ilvl="8">
      <w:start w:val="0"/>
      <w:numFmt w:val="bullet"/>
      <w:lvlText w:val="•"/>
      <w:lvlJc w:val="left"/>
      <w:pPr>
        <w:ind w:left="8008" w:hanging="240"/>
      </w:pPr>
      <w:rPr>
        <w:rFonts w:hint="default"/>
        <w:lang w:val="ru-RU" w:eastAsia="en-US" w:bidi="ar-SA"/>
      </w:rPr>
    </w:lvl>
  </w:abstractNum>
  <w:abstractNum w:abstractNumId="21">
    <w:multiLevelType w:val="hybridMultilevel"/>
    <w:lvl w:ilvl="0">
      <w:start w:val="1"/>
      <w:numFmt w:val="decimal"/>
      <w:lvlText w:val="%1."/>
      <w:lvlJc w:val="left"/>
      <w:pPr>
        <w:ind w:left="321" w:hanging="240"/>
        <w:jc w:val="left"/>
      </w:pPr>
      <w:rPr>
        <w:rFonts w:hint="default" w:ascii="Times New Roman" w:hAnsi="Times New Roman" w:eastAsia="Times New Roman" w:cs="Times New Roman"/>
        <w:spacing w:val="-8"/>
        <w:w w:val="100"/>
        <w:sz w:val="24"/>
        <w:szCs w:val="24"/>
        <w:lang w:val="ru-RU" w:eastAsia="en-US" w:bidi="ar-SA"/>
      </w:rPr>
    </w:lvl>
    <w:lvl w:ilvl="1">
      <w:start w:val="0"/>
      <w:numFmt w:val="bullet"/>
      <w:lvlText w:val="•"/>
      <w:lvlJc w:val="left"/>
      <w:pPr>
        <w:ind w:left="1281" w:hanging="240"/>
      </w:pPr>
      <w:rPr>
        <w:rFonts w:hint="default"/>
        <w:lang w:val="ru-RU" w:eastAsia="en-US" w:bidi="ar-SA"/>
      </w:rPr>
    </w:lvl>
    <w:lvl w:ilvl="2">
      <w:start w:val="0"/>
      <w:numFmt w:val="bullet"/>
      <w:lvlText w:val="•"/>
      <w:lvlJc w:val="left"/>
      <w:pPr>
        <w:ind w:left="2242" w:hanging="240"/>
      </w:pPr>
      <w:rPr>
        <w:rFonts w:hint="default"/>
        <w:lang w:val="ru-RU" w:eastAsia="en-US" w:bidi="ar-SA"/>
      </w:rPr>
    </w:lvl>
    <w:lvl w:ilvl="3">
      <w:start w:val="0"/>
      <w:numFmt w:val="bullet"/>
      <w:lvlText w:val="•"/>
      <w:lvlJc w:val="left"/>
      <w:pPr>
        <w:ind w:left="3203" w:hanging="240"/>
      </w:pPr>
      <w:rPr>
        <w:rFonts w:hint="default"/>
        <w:lang w:val="ru-RU" w:eastAsia="en-US" w:bidi="ar-SA"/>
      </w:rPr>
    </w:lvl>
    <w:lvl w:ilvl="4">
      <w:start w:val="0"/>
      <w:numFmt w:val="bullet"/>
      <w:lvlText w:val="•"/>
      <w:lvlJc w:val="left"/>
      <w:pPr>
        <w:ind w:left="4164" w:hanging="240"/>
      </w:pPr>
      <w:rPr>
        <w:rFonts w:hint="default"/>
        <w:lang w:val="ru-RU" w:eastAsia="en-US" w:bidi="ar-SA"/>
      </w:rPr>
    </w:lvl>
    <w:lvl w:ilvl="5">
      <w:start w:val="0"/>
      <w:numFmt w:val="bullet"/>
      <w:lvlText w:val="•"/>
      <w:lvlJc w:val="left"/>
      <w:pPr>
        <w:ind w:left="5125" w:hanging="240"/>
      </w:pPr>
      <w:rPr>
        <w:rFonts w:hint="default"/>
        <w:lang w:val="ru-RU" w:eastAsia="en-US" w:bidi="ar-SA"/>
      </w:rPr>
    </w:lvl>
    <w:lvl w:ilvl="6">
      <w:start w:val="0"/>
      <w:numFmt w:val="bullet"/>
      <w:lvlText w:val="•"/>
      <w:lvlJc w:val="left"/>
      <w:pPr>
        <w:ind w:left="6086" w:hanging="240"/>
      </w:pPr>
      <w:rPr>
        <w:rFonts w:hint="default"/>
        <w:lang w:val="ru-RU" w:eastAsia="en-US" w:bidi="ar-SA"/>
      </w:rPr>
    </w:lvl>
    <w:lvl w:ilvl="7">
      <w:start w:val="0"/>
      <w:numFmt w:val="bullet"/>
      <w:lvlText w:val="•"/>
      <w:lvlJc w:val="left"/>
      <w:pPr>
        <w:ind w:left="7047" w:hanging="240"/>
      </w:pPr>
      <w:rPr>
        <w:rFonts w:hint="default"/>
        <w:lang w:val="ru-RU" w:eastAsia="en-US" w:bidi="ar-SA"/>
      </w:rPr>
    </w:lvl>
    <w:lvl w:ilvl="8">
      <w:start w:val="0"/>
      <w:numFmt w:val="bullet"/>
      <w:lvlText w:val="•"/>
      <w:lvlJc w:val="left"/>
      <w:pPr>
        <w:ind w:left="8008" w:hanging="240"/>
      </w:pPr>
      <w:rPr>
        <w:rFonts w:hint="default"/>
        <w:lang w:val="ru-RU" w:eastAsia="en-US" w:bidi="ar-SA"/>
      </w:rPr>
    </w:lvl>
  </w:abstractNum>
  <w:abstractNum w:abstractNumId="20">
    <w:multiLevelType w:val="hybridMultilevel"/>
    <w:lvl w:ilvl="0">
      <w:start w:val="0"/>
      <w:numFmt w:val="bullet"/>
      <w:lvlText w:val="-"/>
      <w:lvlJc w:val="left"/>
      <w:pPr>
        <w:ind w:left="321" w:hanging="317"/>
      </w:pPr>
      <w:rPr>
        <w:rFonts w:hint="default" w:ascii="Times New Roman" w:hAnsi="Times New Roman" w:eastAsia="Times New Roman" w:cs="Times New Roman"/>
        <w:spacing w:val="-21"/>
        <w:w w:val="100"/>
        <w:sz w:val="24"/>
        <w:szCs w:val="24"/>
        <w:lang w:val="ru-RU" w:eastAsia="en-US" w:bidi="ar-SA"/>
      </w:rPr>
    </w:lvl>
    <w:lvl w:ilvl="1">
      <w:start w:val="0"/>
      <w:numFmt w:val="bullet"/>
      <w:lvlText w:val="•"/>
      <w:lvlJc w:val="left"/>
      <w:pPr>
        <w:ind w:left="1281" w:hanging="317"/>
      </w:pPr>
      <w:rPr>
        <w:rFonts w:hint="default"/>
        <w:lang w:val="ru-RU" w:eastAsia="en-US" w:bidi="ar-SA"/>
      </w:rPr>
    </w:lvl>
    <w:lvl w:ilvl="2">
      <w:start w:val="0"/>
      <w:numFmt w:val="bullet"/>
      <w:lvlText w:val="•"/>
      <w:lvlJc w:val="left"/>
      <w:pPr>
        <w:ind w:left="2242" w:hanging="317"/>
      </w:pPr>
      <w:rPr>
        <w:rFonts w:hint="default"/>
        <w:lang w:val="ru-RU" w:eastAsia="en-US" w:bidi="ar-SA"/>
      </w:rPr>
    </w:lvl>
    <w:lvl w:ilvl="3">
      <w:start w:val="0"/>
      <w:numFmt w:val="bullet"/>
      <w:lvlText w:val="•"/>
      <w:lvlJc w:val="left"/>
      <w:pPr>
        <w:ind w:left="3203" w:hanging="317"/>
      </w:pPr>
      <w:rPr>
        <w:rFonts w:hint="default"/>
        <w:lang w:val="ru-RU" w:eastAsia="en-US" w:bidi="ar-SA"/>
      </w:rPr>
    </w:lvl>
    <w:lvl w:ilvl="4">
      <w:start w:val="0"/>
      <w:numFmt w:val="bullet"/>
      <w:lvlText w:val="•"/>
      <w:lvlJc w:val="left"/>
      <w:pPr>
        <w:ind w:left="4164" w:hanging="317"/>
      </w:pPr>
      <w:rPr>
        <w:rFonts w:hint="default"/>
        <w:lang w:val="ru-RU" w:eastAsia="en-US" w:bidi="ar-SA"/>
      </w:rPr>
    </w:lvl>
    <w:lvl w:ilvl="5">
      <w:start w:val="0"/>
      <w:numFmt w:val="bullet"/>
      <w:lvlText w:val="•"/>
      <w:lvlJc w:val="left"/>
      <w:pPr>
        <w:ind w:left="5125" w:hanging="317"/>
      </w:pPr>
      <w:rPr>
        <w:rFonts w:hint="default"/>
        <w:lang w:val="ru-RU" w:eastAsia="en-US" w:bidi="ar-SA"/>
      </w:rPr>
    </w:lvl>
    <w:lvl w:ilvl="6">
      <w:start w:val="0"/>
      <w:numFmt w:val="bullet"/>
      <w:lvlText w:val="•"/>
      <w:lvlJc w:val="left"/>
      <w:pPr>
        <w:ind w:left="6086" w:hanging="317"/>
      </w:pPr>
      <w:rPr>
        <w:rFonts w:hint="default"/>
        <w:lang w:val="ru-RU" w:eastAsia="en-US" w:bidi="ar-SA"/>
      </w:rPr>
    </w:lvl>
    <w:lvl w:ilvl="7">
      <w:start w:val="0"/>
      <w:numFmt w:val="bullet"/>
      <w:lvlText w:val="•"/>
      <w:lvlJc w:val="left"/>
      <w:pPr>
        <w:ind w:left="7047" w:hanging="317"/>
      </w:pPr>
      <w:rPr>
        <w:rFonts w:hint="default"/>
        <w:lang w:val="ru-RU" w:eastAsia="en-US" w:bidi="ar-SA"/>
      </w:rPr>
    </w:lvl>
    <w:lvl w:ilvl="8">
      <w:start w:val="0"/>
      <w:numFmt w:val="bullet"/>
      <w:lvlText w:val="•"/>
      <w:lvlJc w:val="left"/>
      <w:pPr>
        <w:ind w:left="8008" w:hanging="317"/>
      </w:pPr>
      <w:rPr>
        <w:rFonts w:hint="default"/>
        <w:lang w:val="ru-RU" w:eastAsia="en-US" w:bidi="ar-SA"/>
      </w:rPr>
    </w:lvl>
  </w:abstractNum>
  <w:abstractNum w:abstractNumId="19">
    <w:multiLevelType w:val="hybridMultilevel"/>
    <w:lvl w:ilvl="0">
      <w:start w:val="1"/>
      <w:numFmt w:val="decimal"/>
      <w:lvlText w:val="%1."/>
      <w:lvlJc w:val="left"/>
      <w:pPr>
        <w:ind w:left="321" w:hanging="286"/>
        <w:jc w:val="left"/>
      </w:pPr>
      <w:rPr>
        <w:rFonts w:hint="default" w:ascii="Times New Roman" w:hAnsi="Times New Roman" w:eastAsia="Times New Roman" w:cs="Times New Roman"/>
        <w:spacing w:val="-15"/>
        <w:w w:val="100"/>
        <w:sz w:val="24"/>
        <w:szCs w:val="24"/>
        <w:lang w:val="ru-RU" w:eastAsia="en-US" w:bidi="ar-SA"/>
      </w:rPr>
    </w:lvl>
    <w:lvl w:ilvl="1">
      <w:start w:val="0"/>
      <w:numFmt w:val="bullet"/>
      <w:lvlText w:val="•"/>
      <w:lvlJc w:val="left"/>
      <w:pPr>
        <w:ind w:left="1281" w:hanging="286"/>
      </w:pPr>
      <w:rPr>
        <w:rFonts w:hint="default"/>
        <w:lang w:val="ru-RU" w:eastAsia="en-US" w:bidi="ar-SA"/>
      </w:rPr>
    </w:lvl>
    <w:lvl w:ilvl="2">
      <w:start w:val="0"/>
      <w:numFmt w:val="bullet"/>
      <w:lvlText w:val="•"/>
      <w:lvlJc w:val="left"/>
      <w:pPr>
        <w:ind w:left="2242" w:hanging="286"/>
      </w:pPr>
      <w:rPr>
        <w:rFonts w:hint="default"/>
        <w:lang w:val="ru-RU" w:eastAsia="en-US" w:bidi="ar-SA"/>
      </w:rPr>
    </w:lvl>
    <w:lvl w:ilvl="3">
      <w:start w:val="0"/>
      <w:numFmt w:val="bullet"/>
      <w:lvlText w:val="•"/>
      <w:lvlJc w:val="left"/>
      <w:pPr>
        <w:ind w:left="3203" w:hanging="286"/>
      </w:pPr>
      <w:rPr>
        <w:rFonts w:hint="default"/>
        <w:lang w:val="ru-RU" w:eastAsia="en-US" w:bidi="ar-SA"/>
      </w:rPr>
    </w:lvl>
    <w:lvl w:ilvl="4">
      <w:start w:val="0"/>
      <w:numFmt w:val="bullet"/>
      <w:lvlText w:val="•"/>
      <w:lvlJc w:val="left"/>
      <w:pPr>
        <w:ind w:left="4164" w:hanging="286"/>
      </w:pPr>
      <w:rPr>
        <w:rFonts w:hint="default"/>
        <w:lang w:val="ru-RU" w:eastAsia="en-US" w:bidi="ar-SA"/>
      </w:rPr>
    </w:lvl>
    <w:lvl w:ilvl="5">
      <w:start w:val="0"/>
      <w:numFmt w:val="bullet"/>
      <w:lvlText w:val="•"/>
      <w:lvlJc w:val="left"/>
      <w:pPr>
        <w:ind w:left="5125" w:hanging="286"/>
      </w:pPr>
      <w:rPr>
        <w:rFonts w:hint="default"/>
        <w:lang w:val="ru-RU" w:eastAsia="en-US" w:bidi="ar-SA"/>
      </w:rPr>
    </w:lvl>
    <w:lvl w:ilvl="6">
      <w:start w:val="0"/>
      <w:numFmt w:val="bullet"/>
      <w:lvlText w:val="•"/>
      <w:lvlJc w:val="left"/>
      <w:pPr>
        <w:ind w:left="6086" w:hanging="286"/>
      </w:pPr>
      <w:rPr>
        <w:rFonts w:hint="default"/>
        <w:lang w:val="ru-RU" w:eastAsia="en-US" w:bidi="ar-SA"/>
      </w:rPr>
    </w:lvl>
    <w:lvl w:ilvl="7">
      <w:start w:val="0"/>
      <w:numFmt w:val="bullet"/>
      <w:lvlText w:val="•"/>
      <w:lvlJc w:val="left"/>
      <w:pPr>
        <w:ind w:left="7047" w:hanging="286"/>
      </w:pPr>
      <w:rPr>
        <w:rFonts w:hint="default"/>
        <w:lang w:val="ru-RU" w:eastAsia="en-US" w:bidi="ar-SA"/>
      </w:rPr>
    </w:lvl>
    <w:lvl w:ilvl="8">
      <w:start w:val="0"/>
      <w:numFmt w:val="bullet"/>
      <w:lvlText w:val="•"/>
      <w:lvlJc w:val="left"/>
      <w:pPr>
        <w:ind w:left="8008" w:hanging="286"/>
      </w:pPr>
      <w:rPr>
        <w:rFonts w:hint="default"/>
        <w:lang w:val="ru-RU" w:eastAsia="en-US" w:bidi="ar-SA"/>
      </w:rPr>
    </w:lvl>
  </w:abstractNum>
  <w:abstractNum w:abstractNumId="17">
    <w:multiLevelType w:val="hybridMultilevel"/>
    <w:lvl w:ilvl="0">
      <w:start w:val="5"/>
      <w:numFmt w:val="decimal"/>
      <w:lvlText w:val="%1."/>
      <w:lvlJc w:val="left"/>
      <w:pPr>
        <w:ind w:left="1310" w:hanging="281"/>
        <w:jc w:val="left"/>
      </w:pPr>
      <w:rPr>
        <w:rFonts w:hint="default" w:ascii="Times New Roman" w:hAnsi="Times New Roman" w:eastAsia="Times New Roman" w:cs="Times New Roman"/>
        <w:b/>
        <w:bCs/>
        <w:color w:val="1F487C"/>
        <w:spacing w:val="0"/>
        <w:w w:val="100"/>
        <w:sz w:val="28"/>
        <w:szCs w:val="28"/>
        <w:lang w:val="ru-RU" w:eastAsia="en-US" w:bidi="ar-SA"/>
      </w:rPr>
    </w:lvl>
    <w:lvl w:ilvl="1">
      <w:start w:val="1"/>
      <w:numFmt w:val="decimal"/>
      <w:lvlText w:val="%1.%2."/>
      <w:lvlJc w:val="left"/>
      <w:pPr>
        <w:ind w:left="1521" w:hanging="492"/>
        <w:jc w:val="left"/>
      </w:pPr>
      <w:rPr>
        <w:rFonts w:hint="default"/>
        <w:b/>
        <w:bCs/>
        <w:spacing w:val="-1"/>
        <w:w w:val="100"/>
        <w:lang w:val="ru-RU" w:eastAsia="en-US" w:bidi="ar-SA"/>
      </w:rPr>
    </w:lvl>
    <w:lvl w:ilvl="2">
      <w:start w:val="1"/>
      <w:numFmt w:val="decimal"/>
      <w:lvlText w:val="%1.%2.%3."/>
      <w:lvlJc w:val="left"/>
      <w:pPr>
        <w:ind w:left="1629" w:hanging="600"/>
        <w:jc w:val="left"/>
      </w:pPr>
      <w:rPr>
        <w:rFonts w:hint="default" w:ascii="Times New Roman" w:hAnsi="Times New Roman" w:eastAsia="Times New Roman" w:cs="Times New Roman"/>
        <w:b/>
        <w:bCs/>
        <w:color w:val="1F487C"/>
        <w:spacing w:val="-3"/>
        <w:w w:val="100"/>
        <w:sz w:val="24"/>
        <w:szCs w:val="24"/>
        <w:lang w:val="ru-RU" w:eastAsia="en-US" w:bidi="ar-SA"/>
      </w:rPr>
    </w:lvl>
    <w:lvl w:ilvl="3">
      <w:start w:val="0"/>
      <w:numFmt w:val="bullet"/>
      <w:lvlText w:val="•"/>
      <w:lvlJc w:val="left"/>
      <w:pPr>
        <w:ind w:left="2658" w:hanging="600"/>
      </w:pPr>
      <w:rPr>
        <w:rFonts w:hint="default"/>
        <w:lang w:val="ru-RU" w:eastAsia="en-US" w:bidi="ar-SA"/>
      </w:rPr>
    </w:lvl>
    <w:lvl w:ilvl="4">
      <w:start w:val="0"/>
      <w:numFmt w:val="bullet"/>
      <w:lvlText w:val="•"/>
      <w:lvlJc w:val="left"/>
      <w:pPr>
        <w:ind w:left="3697" w:hanging="600"/>
      </w:pPr>
      <w:rPr>
        <w:rFonts w:hint="default"/>
        <w:lang w:val="ru-RU" w:eastAsia="en-US" w:bidi="ar-SA"/>
      </w:rPr>
    </w:lvl>
    <w:lvl w:ilvl="5">
      <w:start w:val="0"/>
      <w:numFmt w:val="bullet"/>
      <w:lvlText w:val="•"/>
      <w:lvlJc w:val="left"/>
      <w:pPr>
        <w:ind w:left="4736" w:hanging="600"/>
      </w:pPr>
      <w:rPr>
        <w:rFonts w:hint="default"/>
        <w:lang w:val="ru-RU" w:eastAsia="en-US" w:bidi="ar-SA"/>
      </w:rPr>
    </w:lvl>
    <w:lvl w:ilvl="6">
      <w:start w:val="0"/>
      <w:numFmt w:val="bullet"/>
      <w:lvlText w:val="•"/>
      <w:lvlJc w:val="left"/>
      <w:pPr>
        <w:ind w:left="5775" w:hanging="600"/>
      </w:pPr>
      <w:rPr>
        <w:rFonts w:hint="default"/>
        <w:lang w:val="ru-RU" w:eastAsia="en-US" w:bidi="ar-SA"/>
      </w:rPr>
    </w:lvl>
    <w:lvl w:ilvl="7">
      <w:start w:val="0"/>
      <w:numFmt w:val="bullet"/>
      <w:lvlText w:val="•"/>
      <w:lvlJc w:val="left"/>
      <w:pPr>
        <w:ind w:left="6814" w:hanging="600"/>
      </w:pPr>
      <w:rPr>
        <w:rFonts w:hint="default"/>
        <w:lang w:val="ru-RU" w:eastAsia="en-US" w:bidi="ar-SA"/>
      </w:rPr>
    </w:lvl>
    <w:lvl w:ilvl="8">
      <w:start w:val="0"/>
      <w:numFmt w:val="bullet"/>
      <w:lvlText w:val="•"/>
      <w:lvlJc w:val="left"/>
      <w:pPr>
        <w:ind w:left="7853" w:hanging="600"/>
      </w:pPr>
      <w:rPr>
        <w:rFonts w:hint="default"/>
        <w:lang w:val="ru-RU" w:eastAsia="en-US" w:bidi="ar-SA"/>
      </w:rPr>
    </w:lvl>
  </w:abstractNum>
  <w:abstractNum w:abstractNumId="16">
    <w:multiLevelType w:val="hybridMultilevel"/>
    <w:lvl w:ilvl="0">
      <w:start w:val="0"/>
      <w:numFmt w:val="bullet"/>
      <w:lvlText w:val="-"/>
      <w:lvlJc w:val="left"/>
      <w:pPr>
        <w:ind w:left="1168" w:hanging="140"/>
      </w:pPr>
      <w:rPr>
        <w:rFonts w:hint="default" w:ascii="Times New Roman" w:hAnsi="Times New Roman" w:eastAsia="Times New Roman" w:cs="Times New Roman"/>
        <w:w w:val="100"/>
        <w:sz w:val="24"/>
        <w:szCs w:val="24"/>
        <w:lang w:val="ru-RU" w:eastAsia="en-US" w:bidi="ar-SA"/>
      </w:rPr>
    </w:lvl>
    <w:lvl w:ilvl="1">
      <w:start w:val="0"/>
      <w:numFmt w:val="bullet"/>
      <w:lvlText w:val="•"/>
      <w:lvlJc w:val="left"/>
      <w:pPr>
        <w:ind w:left="2037" w:hanging="140"/>
      </w:pPr>
      <w:rPr>
        <w:rFonts w:hint="default"/>
        <w:lang w:val="ru-RU" w:eastAsia="en-US" w:bidi="ar-SA"/>
      </w:rPr>
    </w:lvl>
    <w:lvl w:ilvl="2">
      <w:start w:val="0"/>
      <w:numFmt w:val="bullet"/>
      <w:lvlText w:val="•"/>
      <w:lvlJc w:val="left"/>
      <w:pPr>
        <w:ind w:left="2914" w:hanging="140"/>
      </w:pPr>
      <w:rPr>
        <w:rFonts w:hint="default"/>
        <w:lang w:val="ru-RU" w:eastAsia="en-US" w:bidi="ar-SA"/>
      </w:rPr>
    </w:lvl>
    <w:lvl w:ilvl="3">
      <w:start w:val="0"/>
      <w:numFmt w:val="bullet"/>
      <w:lvlText w:val="•"/>
      <w:lvlJc w:val="left"/>
      <w:pPr>
        <w:ind w:left="3791" w:hanging="140"/>
      </w:pPr>
      <w:rPr>
        <w:rFonts w:hint="default"/>
        <w:lang w:val="ru-RU" w:eastAsia="en-US" w:bidi="ar-SA"/>
      </w:rPr>
    </w:lvl>
    <w:lvl w:ilvl="4">
      <w:start w:val="0"/>
      <w:numFmt w:val="bullet"/>
      <w:lvlText w:val="•"/>
      <w:lvlJc w:val="left"/>
      <w:pPr>
        <w:ind w:left="4668" w:hanging="140"/>
      </w:pPr>
      <w:rPr>
        <w:rFonts w:hint="default"/>
        <w:lang w:val="ru-RU" w:eastAsia="en-US" w:bidi="ar-SA"/>
      </w:rPr>
    </w:lvl>
    <w:lvl w:ilvl="5">
      <w:start w:val="0"/>
      <w:numFmt w:val="bullet"/>
      <w:lvlText w:val="•"/>
      <w:lvlJc w:val="left"/>
      <w:pPr>
        <w:ind w:left="5545" w:hanging="140"/>
      </w:pPr>
      <w:rPr>
        <w:rFonts w:hint="default"/>
        <w:lang w:val="ru-RU" w:eastAsia="en-US" w:bidi="ar-SA"/>
      </w:rPr>
    </w:lvl>
    <w:lvl w:ilvl="6">
      <w:start w:val="0"/>
      <w:numFmt w:val="bullet"/>
      <w:lvlText w:val="•"/>
      <w:lvlJc w:val="left"/>
      <w:pPr>
        <w:ind w:left="6422" w:hanging="140"/>
      </w:pPr>
      <w:rPr>
        <w:rFonts w:hint="default"/>
        <w:lang w:val="ru-RU" w:eastAsia="en-US" w:bidi="ar-SA"/>
      </w:rPr>
    </w:lvl>
    <w:lvl w:ilvl="7">
      <w:start w:val="0"/>
      <w:numFmt w:val="bullet"/>
      <w:lvlText w:val="•"/>
      <w:lvlJc w:val="left"/>
      <w:pPr>
        <w:ind w:left="7299" w:hanging="140"/>
      </w:pPr>
      <w:rPr>
        <w:rFonts w:hint="default"/>
        <w:lang w:val="ru-RU" w:eastAsia="en-US" w:bidi="ar-SA"/>
      </w:rPr>
    </w:lvl>
    <w:lvl w:ilvl="8">
      <w:start w:val="0"/>
      <w:numFmt w:val="bullet"/>
      <w:lvlText w:val="•"/>
      <w:lvlJc w:val="left"/>
      <w:pPr>
        <w:ind w:left="8176" w:hanging="140"/>
      </w:pPr>
      <w:rPr>
        <w:rFonts w:hint="default"/>
        <w:lang w:val="ru-RU" w:eastAsia="en-US" w:bidi="ar-SA"/>
      </w:rPr>
    </w:lvl>
  </w:abstractNum>
  <w:abstractNum w:abstractNumId="15">
    <w:multiLevelType w:val="hybridMultilevel"/>
    <w:lvl w:ilvl="0">
      <w:start w:val="0"/>
      <w:numFmt w:val="bullet"/>
      <w:lvlText w:val="−"/>
      <w:lvlJc w:val="left"/>
      <w:pPr>
        <w:ind w:left="321" w:hanging="286"/>
      </w:pPr>
      <w:rPr>
        <w:rFonts w:hint="default" w:ascii="Times New Roman" w:hAnsi="Times New Roman" w:eastAsia="Times New Roman" w:cs="Times New Roman"/>
        <w:spacing w:val="-30"/>
        <w:w w:val="100"/>
        <w:sz w:val="24"/>
        <w:szCs w:val="24"/>
        <w:lang w:val="ru-RU" w:eastAsia="en-US" w:bidi="ar-SA"/>
      </w:rPr>
    </w:lvl>
    <w:lvl w:ilvl="1">
      <w:start w:val="0"/>
      <w:numFmt w:val="bullet"/>
      <w:lvlText w:val="•"/>
      <w:lvlJc w:val="left"/>
      <w:pPr>
        <w:ind w:left="1281" w:hanging="286"/>
      </w:pPr>
      <w:rPr>
        <w:rFonts w:hint="default"/>
        <w:lang w:val="ru-RU" w:eastAsia="en-US" w:bidi="ar-SA"/>
      </w:rPr>
    </w:lvl>
    <w:lvl w:ilvl="2">
      <w:start w:val="0"/>
      <w:numFmt w:val="bullet"/>
      <w:lvlText w:val="•"/>
      <w:lvlJc w:val="left"/>
      <w:pPr>
        <w:ind w:left="2242" w:hanging="286"/>
      </w:pPr>
      <w:rPr>
        <w:rFonts w:hint="default"/>
        <w:lang w:val="ru-RU" w:eastAsia="en-US" w:bidi="ar-SA"/>
      </w:rPr>
    </w:lvl>
    <w:lvl w:ilvl="3">
      <w:start w:val="0"/>
      <w:numFmt w:val="bullet"/>
      <w:lvlText w:val="•"/>
      <w:lvlJc w:val="left"/>
      <w:pPr>
        <w:ind w:left="3203" w:hanging="286"/>
      </w:pPr>
      <w:rPr>
        <w:rFonts w:hint="default"/>
        <w:lang w:val="ru-RU" w:eastAsia="en-US" w:bidi="ar-SA"/>
      </w:rPr>
    </w:lvl>
    <w:lvl w:ilvl="4">
      <w:start w:val="0"/>
      <w:numFmt w:val="bullet"/>
      <w:lvlText w:val="•"/>
      <w:lvlJc w:val="left"/>
      <w:pPr>
        <w:ind w:left="4164" w:hanging="286"/>
      </w:pPr>
      <w:rPr>
        <w:rFonts w:hint="default"/>
        <w:lang w:val="ru-RU" w:eastAsia="en-US" w:bidi="ar-SA"/>
      </w:rPr>
    </w:lvl>
    <w:lvl w:ilvl="5">
      <w:start w:val="0"/>
      <w:numFmt w:val="bullet"/>
      <w:lvlText w:val="•"/>
      <w:lvlJc w:val="left"/>
      <w:pPr>
        <w:ind w:left="5125" w:hanging="286"/>
      </w:pPr>
      <w:rPr>
        <w:rFonts w:hint="default"/>
        <w:lang w:val="ru-RU" w:eastAsia="en-US" w:bidi="ar-SA"/>
      </w:rPr>
    </w:lvl>
    <w:lvl w:ilvl="6">
      <w:start w:val="0"/>
      <w:numFmt w:val="bullet"/>
      <w:lvlText w:val="•"/>
      <w:lvlJc w:val="left"/>
      <w:pPr>
        <w:ind w:left="6086" w:hanging="286"/>
      </w:pPr>
      <w:rPr>
        <w:rFonts w:hint="default"/>
        <w:lang w:val="ru-RU" w:eastAsia="en-US" w:bidi="ar-SA"/>
      </w:rPr>
    </w:lvl>
    <w:lvl w:ilvl="7">
      <w:start w:val="0"/>
      <w:numFmt w:val="bullet"/>
      <w:lvlText w:val="•"/>
      <w:lvlJc w:val="left"/>
      <w:pPr>
        <w:ind w:left="7047" w:hanging="286"/>
      </w:pPr>
      <w:rPr>
        <w:rFonts w:hint="default"/>
        <w:lang w:val="ru-RU" w:eastAsia="en-US" w:bidi="ar-SA"/>
      </w:rPr>
    </w:lvl>
    <w:lvl w:ilvl="8">
      <w:start w:val="0"/>
      <w:numFmt w:val="bullet"/>
      <w:lvlText w:val="•"/>
      <w:lvlJc w:val="left"/>
      <w:pPr>
        <w:ind w:left="8008" w:hanging="286"/>
      </w:pPr>
      <w:rPr>
        <w:rFonts w:hint="default"/>
        <w:lang w:val="ru-RU" w:eastAsia="en-US" w:bidi="ar-SA"/>
      </w:rPr>
    </w:lvl>
  </w:abstractNum>
  <w:abstractNum w:abstractNumId="14">
    <w:multiLevelType w:val="hybridMultilevel"/>
    <w:lvl w:ilvl="0">
      <w:start w:val="0"/>
      <w:numFmt w:val="bullet"/>
      <w:lvlText w:val="o"/>
      <w:lvlJc w:val="left"/>
      <w:pPr>
        <w:ind w:left="1761" w:hanging="360"/>
      </w:pPr>
      <w:rPr>
        <w:rFonts w:hint="default" w:ascii="Courier New" w:hAnsi="Courier New" w:eastAsia="Courier New" w:cs="Courier New"/>
        <w:w w:val="100"/>
        <w:sz w:val="24"/>
        <w:szCs w:val="24"/>
        <w:lang w:val="ru-RU" w:eastAsia="en-US" w:bidi="ar-SA"/>
      </w:rPr>
    </w:lvl>
    <w:lvl w:ilvl="1">
      <w:start w:val="0"/>
      <w:numFmt w:val="bullet"/>
      <w:lvlText w:val="•"/>
      <w:lvlJc w:val="left"/>
      <w:pPr>
        <w:ind w:left="2577" w:hanging="360"/>
      </w:pPr>
      <w:rPr>
        <w:rFonts w:hint="default"/>
        <w:lang w:val="ru-RU" w:eastAsia="en-US" w:bidi="ar-SA"/>
      </w:rPr>
    </w:lvl>
    <w:lvl w:ilvl="2">
      <w:start w:val="0"/>
      <w:numFmt w:val="bullet"/>
      <w:lvlText w:val="•"/>
      <w:lvlJc w:val="left"/>
      <w:pPr>
        <w:ind w:left="3394" w:hanging="360"/>
      </w:pPr>
      <w:rPr>
        <w:rFonts w:hint="default"/>
        <w:lang w:val="ru-RU" w:eastAsia="en-US" w:bidi="ar-SA"/>
      </w:rPr>
    </w:lvl>
    <w:lvl w:ilvl="3">
      <w:start w:val="0"/>
      <w:numFmt w:val="bullet"/>
      <w:lvlText w:val="•"/>
      <w:lvlJc w:val="left"/>
      <w:pPr>
        <w:ind w:left="4211" w:hanging="360"/>
      </w:pPr>
      <w:rPr>
        <w:rFonts w:hint="default"/>
        <w:lang w:val="ru-RU" w:eastAsia="en-US" w:bidi="ar-SA"/>
      </w:rPr>
    </w:lvl>
    <w:lvl w:ilvl="4">
      <w:start w:val="0"/>
      <w:numFmt w:val="bullet"/>
      <w:lvlText w:val="•"/>
      <w:lvlJc w:val="left"/>
      <w:pPr>
        <w:ind w:left="5028" w:hanging="360"/>
      </w:pPr>
      <w:rPr>
        <w:rFonts w:hint="default"/>
        <w:lang w:val="ru-RU" w:eastAsia="en-US" w:bidi="ar-SA"/>
      </w:rPr>
    </w:lvl>
    <w:lvl w:ilvl="5">
      <w:start w:val="0"/>
      <w:numFmt w:val="bullet"/>
      <w:lvlText w:val="•"/>
      <w:lvlJc w:val="left"/>
      <w:pPr>
        <w:ind w:left="5845" w:hanging="360"/>
      </w:pPr>
      <w:rPr>
        <w:rFonts w:hint="default"/>
        <w:lang w:val="ru-RU" w:eastAsia="en-US" w:bidi="ar-SA"/>
      </w:rPr>
    </w:lvl>
    <w:lvl w:ilvl="6">
      <w:start w:val="0"/>
      <w:numFmt w:val="bullet"/>
      <w:lvlText w:val="•"/>
      <w:lvlJc w:val="left"/>
      <w:pPr>
        <w:ind w:left="6662" w:hanging="360"/>
      </w:pPr>
      <w:rPr>
        <w:rFonts w:hint="default"/>
        <w:lang w:val="ru-RU" w:eastAsia="en-US" w:bidi="ar-SA"/>
      </w:rPr>
    </w:lvl>
    <w:lvl w:ilvl="7">
      <w:start w:val="0"/>
      <w:numFmt w:val="bullet"/>
      <w:lvlText w:val="•"/>
      <w:lvlJc w:val="left"/>
      <w:pPr>
        <w:ind w:left="7479" w:hanging="360"/>
      </w:pPr>
      <w:rPr>
        <w:rFonts w:hint="default"/>
        <w:lang w:val="ru-RU" w:eastAsia="en-US" w:bidi="ar-SA"/>
      </w:rPr>
    </w:lvl>
    <w:lvl w:ilvl="8">
      <w:start w:val="0"/>
      <w:numFmt w:val="bullet"/>
      <w:lvlText w:val="•"/>
      <w:lvlJc w:val="left"/>
      <w:pPr>
        <w:ind w:left="8296" w:hanging="360"/>
      </w:pPr>
      <w:rPr>
        <w:rFonts w:hint="default"/>
        <w:lang w:val="ru-RU" w:eastAsia="en-US" w:bidi="ar-SA"/>
      </w:rPr>
    </w:lvl>
  </w:abstractNum>
  <w:abstractNum w:abstractNumId="13">
    <w:multiLevelType w:val="hybridMultilevel"/>
    <w:lvl w:ilvl="0">
      <w:start w:val="9"/>
      <w:numFmt w:val="decimal"/>
      <w:lvlText w:val="%1."/>
      <w:lvlJc w:val="left"/>
      <w:pPr>
        <w:ind w:left="321" w:hanging="255"/>
        <w:jc w:val="left"/>
      </w:pPr>
      <w:rPr>
        <w:rFonts w:hint="default" w:ascii="Times New Roman" w:hAnsi="Times New Roman" w:eastAsia="Times New Roman" w:cs="Times New Roman"/>
        <w:w w:val="100"/>
        <w:sz w:val="24"/>
        <w:szCs w:val="24"/>
        <w:lang w:val="ru-RU" w:eastAsia="en-US" w:bidi="ar-SA"/>
      </w:rPr>
    </w:lvl>
    <w:lvl w:ilvl="1">
      <w:start w:val="0"/>
      <w:numFmt w:val="bullet"/>
      <w:lvlText w:val="•"/>
      <w:lvlJc w:val="left"/>
      <w:pPr>
        <w:ind w:left="1281" w:hanging="255"/>
      </w:pPr>
      <w:rPr>
        <w:rFonts w:hint="default"/>
        <w:lang w:val="ru-RU" w:eastAsia="en-US" w:bidi="ar-SA"/>
      </w:rPr>
    </w:lvl>
    <w:lvl w:ilvl="2">
      <w:start w:val="0"/>
      <w:numFmt w:val="bullet"/>
      <w:lvlText w:val="•"/>
      <w:lvlJc w:val="left"/>
      <w:pPr>
        <w:ind w:left="2242" w:hanging="255"/>
      </w:pPr>
      <w:rPr>
        <w:rFonts w:hint="default"/>
        <w:lang w:val="ru-RU" w:eastAsia="en-US" w:bidi="ar-SA"/>
      </w:rPr>
    </w:lvl>
    <w:lvl w:ilvl="3">
      <w:start w:val="0"/>
      <w:numFmt w:val="bullet"/>
      <w:lvlText w:val="•"/>
      <w:lvlJc w:val="left"/>
      <w:pPr>
        <w:ind w:left="3203" w:hanging="255"/>
      </w:pPr>
      <w:rPr>
        <w:rFonts w:hint="default"/>
        <w:lang w:val="ru-RU" w:eastAsia="en-US" w:bidi="ar-SA"/>
      </w:rPr>
    </w:lvl>
    <w:lvl w:ilvl="4">
      <w:start w:val="0"/>
      <w:numFmt w:val="bullet"/>
      <w:lvlText w:val="•"/>
      <w:lvlJc w:val="left"/>
      <w:pPr>
        <w:ind w:left="4164" w:hanging="255"/>
      </w:pPr>
      <w:rPr>
        <w:rFonts w:hint="default"/>
        <w:lang w:val="ru-RU" w:eastAsia="en-US" w:bidi="ar-SA"/>
      </w:rPr>
    </w:lvl>
    <w:lvl w:ilvl="5">
      <w:start w:val="0"/>
      <w:numFmt w:val="bullet"/>
      <w:lvlText w:val="•"/>
      <w:lvlJc w:val="left"/>
      <w:pPr>
        <w:ind w:left="5125" w:hanging="255"/>
      </w:pPr>
      <w:rPr>
        <w:rFonts w:hint="default"/>
        <w:lang w:val="ru-RU" w:eastAsia="en-US" w:bidi="ar-SA"/>
      </w:rPr>
    </w:lvl>
    <w:lvl w:ilvl="6">
      <w:start w:val="0"/>
      <w:numFmt w:val="bullet"/>
      <w:lvlText w:val="•"/>
      <w:lvlJc w:val="left"/>
      <w:pPr>
        <w:ind w:left="6086" w:hanging="255"/>
      </w:pPr>
      <w:rPr>
        <w:rFonts w:hint="default"/>
        <w:lang w:val="ru-RU" w:eastAsia="en-US" w:bidi="ar-SA"/>
      </w:rPr>
    </w:lvl>
    <w:lvl w:ilvl="7">
      <w:start w:val="0"/>
      <w:numFmt w:val="bullet"/>
      <w:lvlText w:val="•"/>
      <w:lvlJc w:val="left"/>
      <w:pPr>
        <w:ind w:left="7047" w:hanging="255"/>
      </w:pPr>
      <w:rPr>
        <w:rFonts w:hint="default"/>
        <w:lang w:val="ru-RU" w:eastAsia="en-US" w:bidi="ar-SA"/>
      </w:rPr>
    </w:lvl>
    <w:lvl w:ilvl="8">
      <w:start w:val="0"/>
      <w:numFmt w:val="bullet"/>
      <w:lvlText w:val="•"/>
      <w:lvlJc w:val="left"/>
      <w:pPr>
        <w:ind w:left="8008" w:hanging="255"/>
      </w:pPr>
      <w:rPr>
        <w:rFonts w:hint="default"/>
        <w:lang w:val="ru-RU" w:eastAsia="en-US" w:bidi="ar-SA"/>
      </w:rPr>
    </w:lvl>
  </w:abstractNum>
  <w:abstractNum w:abstractNumId="12">
    <w:multiLevelType w:val="hybridMultilevel"/>
    <w:lvl w:ilvl="0">
      <w:start w:val="1"/>
      <w:numFmt w:val="decimal"/>
      <w:lvlText w:val="%1."/>
      <w:lvlJc w:val="left"/>
      <w:pPr>
        <w:ind w:left="321" w:hanging="181"/>
        <w:jc w:val="left"/>
      </w:pPr>
      <w:rPr>
        <w:rFonts w:hint="default" w:ascii="Times New Roman" w:hAnsi="Times New Roman" w:eastAsia="Times New Roman" w:cs="Times New Roman"/>
        <w:i/>
        <w:w w:val="100"/>
        <w:sz w:val="22"/>
        <w:szCs w:val="22"/>
        <w:lang w:val="ru-RU" w:eastAsia="en-US" w:bidi="ar-SA"/>
      </w:rPr>
    </w:lvl>
    <w:lvl w:ilvl="1">
      <w:start w:val="0"/>
      <w:numFmt w:val="bullet"/>
      <w:lvlText w:val="•"/>
      <w:lvlJc w:val="left"/>
      <w:pPr>
        <w:ind w:left="1281" w:hanging="181"/>
      </w:pPr>
      <w:rPr>
        <w:rFonts w:hint="default"/>
        <w:lang w:val="ru-RU" w:eastAsia="en-US" w:bidi="ar-SA"/>
      </w:rPr>
    </w:lvl>
    <w:lvl w:ilvl="2">
      <w:start w:val="0"/>
      <w:numFmt w:val="bullet"/>
      <w:lvlText w:val="•"/>
      <w:lvlJc w:val="left"/>
      <w:pPr>
        <w:ind w:left="2242" w:hanging="181"/>
      </w:pPr>
      <w:rPr>
        <w:rFonts w:hint="default"/>
        <w:lang w:val="ru-RU" w:eastAsia="en-US" w:bidi="ar-SA"/>
      </w:rPr>
    </w:lvl>
    <w:lvl w:ilvl="3">
      <w:start w:val="0"/>
      <w:numFmt w:val="bullet"/>
      <w:lvlText w:val="•"/>
      <w:lvlJc w:val="left"/>
      <w:pPr>
        <w:ind w:left="3203" w:hanging="181"/>
      </w:pPr>
      <w:rPr>
        <w:rFonts w:hint="default"/>
        <w:lang w:val="ru-RU" w:eastAsia="en-US" w:bidi="ar-SA"/>
      </w:rPr>
    </w:lvl>
    <w:lvl w:ilvl="4">
      <w:start w:val="0"/>
      <w:numFmt w:val="bullet"/>
      <w:lvlText w:val="•"/>
      <w:lvlJc w:val="left"/>
      <w:pPr>
        <w:ind w:left="4164" w:hanging="181"/>
      </w:pPr>
      <w:rPr>
        <w:rFonts w:hint="default"/>
        <w:lang w:val="ru-RU" w:eastAsia="en-US" w:bidi="ar-SA"/>
      </w:rPr>
    </w:lvl>
    <w:lvl w:ilvl="5">
      <w:start w:val="0"/>
      <w:numFmt w:val="bullet"/>
      <w:lvlText w:val="•"/>
      <w:lvlJc w:val="left"/>
      <w:pPr>
        <w:ind w:left="5125" w:hanging="181"/>
      </w:pPr>
      <w:rPr>
        <w:rFonts w:hint="default"/>
        <w:lang w:val="ru-RU" w:eastAsia="en-US" w:bidi="ar-SA"/>
      </w:rPr>
    </w:lvl>
    <w:lvl w:ilvl="6">
      <w:start w:val="0"/>
      <w:numFmt w:val="bullet"/>
      <w:lvlText w:val="•"/>
      <w:lvlJc w:val="left"/>
      <w:pPr>
        <w:ind w:left="6086" w:hanging="181"/>
      </w:pPr>
      <w:rPr>
        <w:rFonts w:hint="default"/>
        <w:lang w:val="ru-RU" w:eastAsia="en-US" w:bidi="ar-SA"/>
      </w:rPr>
    </w:lvl>
    <w:lvl w:ilvl="7">
      <w:start w:val="0"/>
      <w:numFmt w:val="bullet"/>
      <w:lvlText w:val="•"/>
      <w:lvlJc w:val="left"/>
      <w:pPr>
        <w:ind w:left="7047" w:hanging="181"/>
      </w:pPr>
      <w:rPr>
        <w:rFonts w:hint="default"/>
        <w:lang w:val="ru-RU" w:eastAsia="en-US" w:bidi="ar-SA"/>
      </w:rPr>
    </w:lvl>
    <w:lvl w:ilvl="8">
      <w:start w:val="0"/>
      <w:numFmt w:val="bullet"/>
      <w:lvlText w:val="•"/>
      <w:lvlJc w:val="left"/>
      <w:pPr>
        <w:ind w:left="8008" w:hanging="181"/>
      </w:pPr>
      <w:rPr>
        <w:rFonts w:hint="default"/>
        <w:lang w:val="ru-RU" w:eastAsia="en-US" w:bidi="ar-SA"/>
      </w:rPr>
    </w:lvl>
  </w:abstractNum>
  <w:abstractNum w:abstractNumId="11">
    <w:multiLevelType w:val="hybridMultilevel"/>
    <w:lvl w:ilvl="0">
      <w:start w:val="1"/>
      <w:numFmt w:val="decimal"/>
      <w:lvlText w:val="%1."/>
      <w:lvlJc w:val="left"/>
      <w:pPr>
        <w:ind w:left="321" w:hanging="490"/>
        <w:jc w:val="left"/>
      </w:pPr>
      <w:rPr>
        <w:rFonts w:hint="default" w:ascii="Times New Roman" w:hAnsi="Times New Roman" w:eastAsia="Times New Roman" w:cs="Times New Roman"/>
        <w:spacing w:val="-8"/>
        <w:w w:val="100"/>
        <w:sz w:val="24"/>
        <w:szCs w:val="24"/>
        <w:lang w:val="ru-RU" w:eastAsia="en-US" w:bidi="ar-SA"/>
      </w:rPr>
    </w:lvl>
    <w:lvl w:ilvl="1">
      <w:start w:val="0"/>
      <w:numFmt w:val="bullet"/>
      <w:lvlText w:val="•"/>
      <w:lvlJc w:val="left"/>
      <w:pPr>
        <w:ind w:left="1281" w:hanging="490"/>
      </w:pPr>
      <w:rPr>
        <w:rFonts w:hint="default"/>
        <w:lang w:val="ru-RU" w:eastAsia="en-US" w:bidi="ar-SA"/>
      </w:rPr>
    </w:lvl>
    <w:lvl w:ilvl="2">
      <w:start w:val="0"/>
      <w:numFmt w:val="bullet"/>
      <w:lvlText w:val="•"/>
      <w:lvlJc w:val="left"/>
      <w:pPr>
        <w:ind w:left="2242" w:hanging="490"/>
      </w:pPr>
      <w:rPr>
        <w:rFonts w:hint="default"/>
        <w:lang w:val="ru-RU" w:eastAsia="en-US" w:bidi="ar-SA"/>
      </w:rPr>
    </w:lvl>
    <w:lvl w:ilvl="3">
      <w:start w:val="0"/>
      <w:numFmt w:val="bullet"/>
      <w:lvlText w:val="•"/>
      <w:lvlJc w:val="left"/>
      <w:pPr>
        <w:ind w:left="3203" w:hanging="490"/>
      </w:pPr>
      <w:rPr>
        <w:rFonts w:hint="default"/>
        <w:lang w:val="ru-RU" w:eastAsia="en-US" w:bidi="ar-SA"/>
      </w:rPr>
    </w:lvl>
    <w:lvl w:ilvl="4">
      <w:start w:val="0"/>
      <w:numFmt w:val="bullet"/>
      <w:lvlText w:val="•"/>
      <w:lvlJc w:val="left"/>
      <w:pPr>
        <w:ind w:left="4164" w:hanging="490"/>
      </w:pPr>
      <w:rPr>
        <w:rFonts w:hint="default"/>
        <w:lang w:val="ru-RU" w:eastAsia="en-US" w:bidi="ar-SA"/>
      </w:rPr>
    </w:lvl>
    <w:lvl w:ilvl="5">
      <w:start w:val="0"/>
      <w:numFmt w:val="bullet"/>
      <w:lvlText w:val="•"/>
      <w:lvlJc w:val="left"/>
      <w:pPr>
        <w:ind w:left="5125" w:hanging="490"/>
      </w:pPr>
      <w:rPr>
        <w:rFonts w:hint="default"/>
        <w:lang w:val="ru-RU" w:eastAsia="en-US" w:bidi="ar-SA"/>
      </w:rPr>
    </w:lvl>
    <w:lvl w:ilvl="6">
      <w:start w:val="0"/>
      <w:numFmt w:val="bullet"/>
      <w:lvlText w:val="•"/>
      <w:lvlJc w:val="left"/>
      <w:pPr>
        <w:ind w:left="6086" w:hanging="490"/>
      </w:pPr>
      <w:rPr>
        <w:rFonts w:hint="default"/>
        <w:lang w:val="ru-RU" w:eastAsia="en-US" w:bidi="ar-SA"/>
      </w:rPr>
    </w:lvl>
    <w:lvl w:ilvl="7">
      <w:start w:val="0"/>
      <w:numFmt w:val="bullet"/>
      <w:lvlText w:val="•"/>
      <w:lvlJc w:val="left"/>
      <w:pPr>
        <w:ind w:left="7047" w:hanging="490"/>
      </w:pPr>
      <w:rPr>
        <w:rFonts w:hint="default"/>
        <w:lang w:val="ru-RU" w:eastAsia="en-US" w:bidi="ar-SA"/>
      </w:rPr>
    </w:lvl>
    <w:lvl w:ilvl="8">
      <w:start w:val="0"/>
      <w:numFmt w:val="bullet"/>
      <w:lvlText w:val="•"/>
      <w:lvlJc w:val="left"/>
      <w:pPr>
        <w:ind w:left="8008" w:hanging="490"/>
      </w:pPr>
      <w:rPr>
        <w:rFonts w:hint="default"/>
        <w:lang w:val="ru-RU" w:eastAsia="en-US" w:bidi="ar-SA"/>
      </w:rPr>
    </w:lvl>
  </w:abstractNum>
  <w:abstractNum w:abstractNumId="9">
    <w:multiLevelType w:val="hybridMultilevel"/>
    <w:lvl w:ilvl="0">
      <w:start w:val="1"/>
      <w:numFmt w:val="decimal"/>
      <w:lvlText w:val="%1."/>
      <w:lvlJc w:val="left"/>
      <w:pPr>
        <w:ind w:left="321" w:hanging="708"/>
        <w:jc w:val="left"/>
      </w:pPr>
      <w:rPr>
        <w:rFonts w:hint="default" w:ascii="Times New Roman" w:hAnsi="Times New Roman" w:eastAsia="Times New Roman" w:cs="Times New Roman"/>
        <w:b/>
        <w:bCs/>
        <w:color w:val="1F487C"/>
        <w:spacing w:val="0"/>
        <w:w w:val="100"/>
        <w:sz w:val="28"/>
        <w:szCs w:val="28"/>
        <w:lang w:val="ru-RU" w:eastAsia="en-US" w:bidi="ar-SA"/>
      </w:rPr>
    </w:lvl>
    <w:lvl w:ilvl="1">
      <w:start w:val="0"/>
      <w:numFmt w:val="bullet"/>
      <w:lvlText w:val="•"/>
      <w:lvlJc w:val="left"/>
      <w:pPr>
        <w:ind w:left="1281" w:hanging="708"/>
      </w:pPr>
      <w:rPr>
        <w:rFonts w:hint="default"/>
        <w:lang w:val="ru-RU" w:eastAsia="en-US" w:bidi="ar-SA"/>
      </w:rPr>
    </w:lvl>
    <w:lvl w:ilvl="2">
      <w:start w:val="0"/>
      <w:numFmt w:val="bullet"/>
      <w:lvlText w:val="•"/>
      <w:lvlJc w:val="left"/>
      <w:pPr>
        <w:ind w:left="2242" w:hanging="708"/>
      </w:pPr>
      <w:rPr>
        <w:rFonts w:hint="default"/>
        <w:lang w:val="ru-RU" w:eastAsia="en-US" w:bidi="ar-SA"/>
      </w:rPr>
    </w:lvl>
    <w:lvl w:ilvl="3">
      <w:start w:val="0"/>
      <w:numFmt w:val="bullet"/>
      <w:lvlText w:val="•"/>
      <w:lvlJc w:val="left"/>
      <w:pPr>
        <w:ind w:left="3203" w:hanging="708"/>
      </w:pPr>
      <w:rPr>
        <w:rFonts w:hint="default"/>
        <w:lang w:val="ru-RU" w:eastAsia="en-US" w:bidi="ar-SA"/>
      </w:rPr>
    </w:lvl>
    <w:lvl w:ilvl="4">
      <w:start w:val="0"/>
      <w:numFmt w:val="bullet"/>
      <w:lvlText w:val="•"/>
      <w:lvlJc w:val="left"/>
      <w:pPr>
        <w:ind w:left="4164" w:hanging="708"/>
      </w:pPr>
      <w:rPr>
        <w:rFonts w:hint="default"/>
        <w:lang w:val="ru-RU" w:eastAsia="en-US" w:bidi="ar-SA"/>
      </w:rPr>
    </w:lvl>
    <w:lvl w:ilvl="5">
      <w:start w:val="0"/>
      <w:numFmt w:val="bullet"/>
      <w:lvlText w:val="•"/>
      <w:lvlJc w:val="left"/>
      <w:pPr>
        <w:ind w:left="5125" w:hanging="708"/>
      </w:pPr>
      <w:rPr>
        <w:rFonts w:hint="default"/>
        <w:lang w:val="ru-RU" w:eastAsia="en-US" w:bidi="ar-SA"/>
      </w:rPr>
    </w:lvl>
    <w:lvl w:ilvl="6">
      <w:start w:val="0"/>
      <w:numFmt w:val="bullet"/>
      <w:lvlText w:val="•"/>
      <w:lvlJc w:val="left"/>
      <w:pPr>
        <w:ind w:left="6086" w:hanging="708"/>
      </w:pPr>
      <w:rPr>
        <w:rFonts w:hint="default"/>
        <w:lang w:val="ru-RU" w:eastAsia="en-US" w:bidi="ar-SA"/>
      </w:rPr>
    </w:lvl>
    <w:lvl w:ilvl="7">
      <w:start w:val="0"/>
      <w:numFmt w:val="bullet"/>
      <w:lvlText w:val="•"/>
      <w:lvlJc w:val="left"/>
      <w:pPr>
        <w:ind w:left="7047" w:hanging="708"/>
      </w:pPr>
      <w:rPr>
        <w:rFonts w:hint="default"/>
        <w:lang w:val="ru-RU" w:eastAsia="en-US" w:bidi="ar-SA"/>
      </w:rPr>
    </w:lvl>
    <w:lvl w:ilvl="8">
      <w:start w:val="0"/>
      <w:numFmt w:val="bullet"/>
      <w:lvlText w:val="•"/>
      <w:lvlJc w:val="left"/>
      <w:pPr>
        <w:ind w:left="8008" w:hanging="708"/>
      </w:pPr>
      <w:rPr>
        <w:rFonts w:hint="default"/>
        <w:lang w:val="ru-RU" w:eastAsia="en-US" w:bidi="ar-SA"/>
      </w:rPr>
    </w:lvl>
  </w:abstractNum>
  <w:abstractNum w:abstractNumId="8">
    <w:multiLevelType w:val="hybridMultilevel"/>
    <w:lvl w:ilvl="0">
      <w:start w:val="1"/>
      <w:numFmt w:val="decimal"/>
      <w:lvlText w:val="%1."/>
      <w:lvlJc w:val="left"/>
      <w:pPr>
        <w:ind w:left="275" w:hanging="221"/>
        <w:jc w:val="left"/>
      </w:pPr>
      <w:rPr>
        <w:rFonts w:hint="default" w:ascii="Times New Roman" w:hAnsi="Times New Roman" w:eastAsia="Times New Roman" w:cs="Times New Roman"/>
        <w:w w:val="100"/>
        <w:sz w:val="22"/>
        <w:szCs w:val="22"/>
        <w:lang w:val="ru-RU" w:eastAsia="en-US" w:bidi="ar-SA"/>
      </w:rPr>
    </w:lvl>
    <w:lvl w:ilvl="1">
      <w:start w:val="0"/>
      <w:numFmt w:val="bullet"/>
      <w:lvlText w:val="•"/>
      <w:lvlJc w:val="left"/>
      <w:pPr>
        <w:ind w:left="888" w:hanging="221"/>
      </w:pPr>
      <w:rPr>
        <w:rFonts w:hint="default"/>
        <w:lang w:val="ru-RU" w:eastAsia="en-US" w:bidi="ar-SA"/>
      </w:rPr>
    </w:lvl>
    <w:lvl w:ilvl="2">
      <w:start w:val="0"/>
      <w:numFmt w:val="bullet"/>
      <w:lvlText w:val="•"/>
      <w:lvlJc w:val="left"/>
      <w:pPr>
        <w:ind w:left="1496" w:hanging="221"/>
      </w:pPr>
      <w:rPr>
        <w:rFonts w:hint="default"/>
        <w:lang w:val="ru-RU" w:eastAsia="en-US" w:bidi="ar-SA"/>
      </w:rPr>
    </w:lvl>
    <w:lvl w:ilvl="3">
      <w:start w:val="0"/>
      <w:numFmt w:val="bullet"/>
      <w:lvlText w:val="•"/>
      <w:lvlJc w:val="left"/>
      <w:pPr>
        <w:ind w:left="2105" w:hanging="221"/>
      </w:pPr>
      <w:rPr>
        <w:rFonts w:hint="default"/>
        <w:lang w:val="ru-RU" w:eastAsia="en-US" w:bidi="ar-SA"/>
      </w:rPr>
    </w:lvl>
    <w:lvl w:ilvl="4">
      <w:start w:val="0"/>
      <w:numFmt w:val="bullet"/>
      <w:lvlText w:val="•"/>
      <w:lvlJc w:val="left"/>
      <w:pPr>
        <w:ind w:left="2713" w:hanging="221"/>
      </w:pPr>
      <w:rPr>
        <w:rFonts w:hint="default"/>
        <w:lang w:val="ru-RU" w:eastAsia="en-US" w:bidi="ar-SA"/>
      </w:rPr>
    </w:lvl>
    <w:lvl w:ilvl="5">
      <w:start w:val="0"/>
      <w:numFmt w:val="bullet"/>
      <w:lvlText w:val="•"/>
      <w:lvlJc w:val="left"/>
      <w:pPr>
        <w:ind w:left="3322" w:hanging="221"/>
      </w:pPr>
      <w:rPr>
        <w:rFonts w:hint="default"/>
        <w:lang w:val="ru-RU" w:eastAsia="en-US" w:bidi="ar-SA"/>
      </w:rPr>
    </w:lvl>
    <w:lvl w:ilvl="6">
      <w:start w:val="0"/>
      <w:numFmt w:val="bullet"/>
      <w:lvlText w:val="•"/>
      <w:lvlJc w:val="left"/>
      <w:pPr>
        <w:ind w:left="3930" w:hanging="221"/>
      </w:pPr>
      <w:rPr>
        <w:rFonts w:hint="default"/>
        <w:lang w:val="ru-RU" w:eastAsia="en-US" w:bidi="ar-SA"/>
      </w:rPr>
    </w:lvl>
    <w:lvl w:ilvl="7">
      <w:start w:val="0"/>
      <w:numFmt w:val="bullet"/>
      <w:lvlText w:val="•"/>
      <w:lvlJc w:val="left"/>
      <w:pPr>
        <w:ind w:left="4538" w:hanging="221"/>
      </w:pPr>
      <w:rPr>
        <w:rFonts w:hint="default"/>
        <w:lang w:val="ru-RU" w:eastAsia="en-US" w:bidi="ar-SA"/>
      </w:rPr>
    </w:lvl>
    <w:lvl w:ilvl="8">
      <w:start w:val="0"/>
      <w:numFmt w:val="bullet"/>
      <w:lvlText w:val="•"/>
      <w:lvlJc w:val="left"/>
      <w:pPr>
        <w:ind w:left="5147" w:hanging="221"/>
      </w:pPr>
      <w:rPr>
        <w:rFonts w:hint="default"/>
        <w:lang w:val="ru-RU" w:eastAsia="en-US" w:bidi="ar-SA"/>
      </w:rPr>
    </w:lvl>
  </w:abstractNum>
  <w:abstractNum w:abstractNumId="7">
    <w:multiLevelType w:val="hybridMultilevel"/>
    <w:lvl w:ilvl="0">
      <w:start w:val="1"/>
      <w:numFmt w:val="decimal"/>
      <w:lvlText w:val="%1"/>
      <w:lvlJc w:val="left"/>
      <w:pPr>
        <w:ind w:left="321" w:hanging="202"/>
        <w:jc w:val="left"/>
      </w:pPr>
      <w:rPr>
        <w:rFonts w:hint="default" w:ascii="Times New Roman" w:hAnsi="Times New Roman" w:eastAsia="Times New Roman" w:cs="Times New Roman"/>
        <w:b/>
        <w:bCs/>
        <w:w w:val="100"/>
        <w:sz w:val="24"/>
        <w:szCs w:val="24"/>
        <w:lang w:val="ru-RU" w:eastAsia="en-US" w:bidi="ar-SA"/>
      </w:rPr>
    </w:lvl>
    <w:lvl w:ilvl="1">
      <w:start w:val="0"/>
      <w:numFmt w:val="bullet"/>
      <w:lvlText w:val="•"/>
      <w:lvlJc w:val="left"/>
      <w:pPr>
        <w:ind w:left="1281" w:hanging="202"/>
      </w:pPr>
      <w:rPr>
        <w:rFonts w:hint="default"/>
        <w:lang w:val="ru-RU" w:eastAsia="en-US" w:bidi="ar-SA"/>
      </w:rPr>
    </w:lvl>
    <w:lvl w:ilvl="2">
      <w:start w:val="0"/>
      <w:numFmt w:val="bullet"/>
      <w:lvlText w:val="•"/>
      <w:lvlJc w:val="left"/>
      <w:pPr>
        <w:ind w:left="2242" w:hanging="202"/>
      </w:pPr>
      <w:rPr>
        <w:rFonts w:hint="default"/>
        <w:lang w:val="ru-RU" w:eastAsia="en-US" w:bidi="ar-SA"/>
      </w:rPr>
    </w:lvl>
    <w:lvl w:ilvl="3">
      <w:start w:val="0"/>
      <w:numFmt w:val="bullet"/>
      <w:lvlText w:val="•"/>
      <w:lvlJc w:val="left"/>
      <w:pPr>
        <w:ind w:left="3203" w:hanging="202"/>
      </w:pPr>
      <w:rPr>
        <w:rFonts w:hint="default"/>
        <w:lang w:val="ru-RU" w:eastAsia="en-US" w:bidi="ar-SA"/>
      </w:rPr>
    </w:lvl>
    <w:lvl w:ilvl="4">
      <w:start w:val="0"/>
      <w:numFmt w:val="bullet"/>
      <w:lvlText w:val="•"/>
      <w:lvlJc w:val="left"/>
      <w:pPr>
        <w:ind w:left="4164" w:hanging="202"/>
      </w:pPr>
      <w:rPr>
        <w:rFonts w:hint="default"/>
        <w:lang w:val="ru-RU" w:eastAsia="en-US" w:bidi="ar-SA"/>
      </w:rPr>
    </w:lvl>
    <w:lvl w:ilvl="5">
      <w:start w:val="0"/>
      <w:numFmt w:val="bullet"/>
      <w:lvlText w:val="•"/>
      <w:lvlJc w:val="left"/>
      <w:pPr>
        <w:ind w:left="5125" w:hanging="202"/>
      </w:pPr>
      <w:rPr>
        <w:rFonts w:hint="default"/>
        <w:lang w:val="ru-RU" w:eastAsia="en-US" w:bidi="ar-SA"/>
      </w:rPr>
    </w:lvl>
    <w:lvl w:ilvl="6">
      <w:start w:val="0"/>
      <w:numFmt w:val="bullet"/>
      <w:lvlText w:val="•"/>
      <w:lvlJc w:val="left"/>
      <w:pPr>
        <w:ind w:left="6086" w:hanging="202"/>
      </w:pPr>
      <w:rPr>
        <w:rFonts w:hint="default"/>
        <w:lang w:val="ru-RU" w:eastAsia="en-US" w:bidi="ar-SA"/>
      </w:rPr>
    </w:lvl>
    <w:lvl w:ilvl="7">
      <w:start w:val="0"/>
      <w:numFmt w:val="bullet"/>
      <w:lvlText w:val="•"/>
      <w:lvlJc w:val="left"/>
      <w:pPr>
        <w:ind w:left="7047" w:hanging="202"/>
      </w:pPr>
      <w:rPr>
        <w:rFonts w:hint="default"/>
        <w:lang w:val="ru-RU" w:eastAsia="en-US" w:bidi="ar-SA"/>
      </w:rPr>
    </w:lvl>
    <w:lvl w:ilvl="8">
      <w:start w:val="0"/>
      <w:numFmt w:val="bullet"/>
      <w:lvlText w:val="•"/>
      <w:lvlJc w:val="left"/>
      <w:pPr>
        <w:ind w:left="8008" w:hanging="202"/>
      </w:pPr>
      <w:rPr>
        <w:rFonts w:hint="default"/>
        <w:lang w:val="ru-RU" w:eastAsia="en-US" w:bidi="ar-SA"/>
      </w:rPr>
    </w:lvl>
  </w:abstractNum>
  <w:abstractNum w:abstractNumId="6">
    <w:multiLevelType w:val="hybridMultilevel"/>
    <w:lvl w:ilvl="0">
      <w:start w:val="1"/>
      <w:numFmt w:val="decimal"/>
      <w:lvlText w:val="%1."/>
      <w:lvlJc w:val="left"/>
      <w:pPr>
        <w:ind w:left="1389" w:hanging="286"/>
        <w:jc w:val="left"/>
      </w:pPr>
      <w:rPr>
        <w:rFonts w:hint="default"/>
        <w:spacing w:val="-28"/>
        <w:w w:val="100"/>
        <w:lang w:val="ru-RU" w:eastAsia="en-US" w:bidi="ar-SA"/>
      </w:rPr>
    </w:lvl>
    <w:lvl w:ilvl="1">
      <w:start w:val="1"/>
      <w:numFmt w:val="decimal"/>
      <w:lvlText w:val="%1.%2."/>
      <w:lvlJc w:val="left"/>
      <w:pPr>
        <w:ind w:left="1029" w:hanging="492"/>
        <w:jc w:val="left"/>
      </w:pPr>
      <w:rPr>
        <w:rFonts w:hint="default"/>
        <w:b/>
        <w:bCs/>
        <w:spacing w:val="-1"/>
        <w:w w:val="100"/>
        <w:lang w:val="ru-RU" w:eastAsia="en-US" w:bidi="ar-SA"/>
      </w:rPr>
    </w:lvl>
    <w:lvl w:ilvl="2">
      <w:start w:val="0"/>
      <w:numFmt w:val="bullet"/>
      <w:lvlText w:val="•"/>
      <w:lvlJc w:val="left"/>
      <w:pPr>
        <w:ind w:left="2330" w:hanging="492"/>
      </w:pPr>
      <w:rPr>
        <w:rFonts w:hint="default"/>
        <w:lang w:val="ru-RU" w:eastAsia="en-US" w:bidi="ar-SA"/>
      </w:rPr>
    </w:lvl>
    <w:lvl w:ilvl="3">
      <w:start w:val="0"/>
      <w:numFmt w:val="bullet"/>
      <w:lvlText w:val="•"/>
      <w:lvlJc w:val="left"/>
      <w:pPr>
        <w:ind w:left="3280" w:hanging="492"/>
      </w:pPr>
      <w:rPr>
        <w:rFonts w:hint="default"/>
        <w:lang w:val="ru-RU" w:eastAsia="en-US" w:bidi="ar-SA"/>
      </w:rPr>
    </w:lvl>
    <w:lvl w:ilvl="4">
      <w:start w:val="0"/>
      <w:numFmt w:val="bullet"/>
      <w:lvlText w:val="•"/>
      <w:lvlJc w:val="left"/>
      <w:pPr>
        <w:ind w:left="4230" w:hanging="492"/>
      </w:pPr>
      <w:rPr>
        <w:rFonts w:hint="default"/>
        <w:lang w:val="ru-RU" w:eastAsia="en-US" w:bidi="ar-SA"/>
      </w:rPr>
    </w:lvl>
    <w:lvl w:ilvl="5">
      <w:start w:val="0"/>
      <w:numFmt w:val="bullet"/>
      <w:lvlText w:val="•"/>
      <w:lvlJc w:val="left"/>
      <w:pPr>
        <w:ind w:left="5180" w:hanging="492"/>
      </w:pPr>
      <w:rPr>
        <w:rFonts w:hint="default"/>
        <w:lang w:val="ru-RU" w:eastAsia="en-US" w:bidi="ar-SA"/>
      </w:rPr>
    </w:lvl>
    <w:lvl w:ilvl="6">
      <w:start w:val="0"/>
      <w:numFmt w:val="bullet"/>
      <w:lvlText w:val="•"/>
      <w:lvlJc w:val="left"/>
      <w:pPr>
        <w:ind w:left="6130" w:hanging="492"/>
      </w:pPr>
      <w:rPr>
        <w:rFonts w:hint="default"/>
        <w:lang w:val="ru-RU" w:eastAsia="en-US" w:bidi="ar-SA"/>
      </w:rPr>
    </w:lvl>
    <w:lvl w:ilvl="7">
      <w:start w:val="0"/>
      <w:numFmt w:val="bullet"/>
      <w:lvlText w:val="•"/>
      <w:lvlJc w:val="left"/>
      <w:pPr>
        <w:ind w:left="7080" w:hanging="492"/>
      </w:pPr>
      <w:rPr>
        <w:rFonts w:hint="default"/>
        <w:lang w:val="ru-RU" w:eastAsia="en-US" w:bidi="ar-SA"/>
      </w:rPr>
    </w:lvl>
    <w:lvl w:ilvl="8">
      <w:start w:val="0"/>
      <w:numFmt w:val="bullet"/>
      <w:lvlText w:val="•"/>
      <w:lvlJc w:val="left"/>
      <w:pPr>
        <w:ind w:left="8030" w:hanging="492"/>
      </w:pPr>
      <w:rPr>
        <w:rFonts w:hint="default"/>
        <w:lang w:val="ru-RU" w:eastAsia="en-US" w:bidi="ar-SA"/>
      </w:rPr>
    </w:lvl>
  </w:abstractNum>
  <w:abstractNum w:abstractNumId="5">
    <w:multiLevelType w:val="hybridMultilevel"/>
    <w:lvl w:ilvl="0">
      <w:start w:val="0"/>
      <w:numFmt w:val="bullet"/>
      <w:lvlText w:val=""/>
      <w:lvlJc w:val="left"/>
      <w:pPr>
        <w:ind w:left="1041" w:hanging="360"/>
      </w:pPr>
      <w:rPr>
        <w:rFonts w:hint="default" w:ascii="Symbol" w:hAnsi="Symbol" w:eastAsia="Symbol" w:cs="Symbol"/>
        <w:w w:val="100"/>
        <w:sz w:val="24"/>
        <w:szCs w:val="24"/>
        <w:lang w:val="ru-RU" w:eastAsia="en-US" w:bidi="ar-SA"/>
      </w:rPr>
    </w:lvl>
    <w:lvl w:ilvl="1">
      <w:start w:val="0"/>
      <w:numFmt w:val="bullet"/>
      <w:lvlText w:val="•"/>
      <w:lvlJc w:val="left"/>
      <w:pPr>
        <w:ind w:left="1929" w:hanging="360"/>
      </w:pPr>
      <w:rPr>
        <w:rFonts w:hint="default"/>
        <w:lang w:val="ru-RU" w:eastAsia="en-US" w:bidi="ar-SA"/>
      </w:rPr>
    </w:lvl>
    <w:lvl w:ilvl="2">
      <w:start w:val="0"/>
      <w:numFmt w:val="bullet"/>
      <w:lvlText w:val="•"/>
      <w:lvlJc w:val="left"/>
      <w:pPr>
        <w:ind w:left="2818" w:hanging="360"/>
      </w:pPr>
      <w:rPr>
        <w:rFonts w:hint="default"/>
        <w:lang w:val="ru-RU" w:eastAsia="en-US" w:bidi="ar-SA"/>
      </w:rPr>
    </w:lvl>
    <w:lvl w:ilvl="3">
      <w:start w:val="0"/>
      <w:numFmt w:val="bullet"/>
      <w:lvlText w:val="•"/>
      <w:lvlJc w:val="left"/>
      <w:pPr>
        <w:ind w:left="3707" w:hanging="360"/>
      </w:pPr>
      <w:rPr>
        <w:rFonts w:hint="default"/>
        <w:lang w:val="ru-RU" w:eastAsia="en-US" w:bidi="ar-SA"/>
      </w:rPr>
    </w:lvl>
    <w:lvl w:ilvl="4">
      <w:start w:val="0"/>
      <w:numFmt w:val="bullet"/>
      <w:lvlText w:val="•"/>
      <w:lvlJc w:val="left"/>
      <w:pPr>
        <w:ind w:left="4596" w:hanging="360"/>
      </w:pPr>
      <w:rPr>
        <w:rFonts w:hint="default"/>
        <w:lang w:val="ru-RU" w:eastAsia="en-US" w:bidi="ar-SA"/>
      </w:rPr>
    </w:lvl>
    <w:lvl w:ilvl="5">
      <w:start w:val="0"/>
      <w:numFmt w:val="bullet"/>
      <w:lvlText w:val="•"/>
      <w:lvlJc w:val="left"/>
      <w:pPr>
        <w:ind w:left="5485" w:hanging="360"/>
      </w:pPr>
      <w:rPr>
        <w:rFonts w:hint="default"/>
        <w:lang w:val="ru-RU" w:eastAsia="en-US" w:bidi="ar-SA"/>
      </w:rPr>
    </w:lvl>
    <w:lvl w:ilvl="6">
      <w:start w:val="0"/>
      <w:numFmt w:val="bullet"/>
      <w:lvlText w:val="•"/>
      <w:lvlJc w:val="left"/>
      <w:pPr>
        <w:ind w:left="6374" w:hanging="360"/>
      </w:pPr>
      <w:rPr>
        <w:rFonts w:hint="default"/>
        <w:lang w:val="ru-RU" w:eastAsia="en-US" w:bidi="ar-SA"/>
      </w:rPr>
    </w:lvl>
    <w:lvl w:ilvl="7">
      <w:start w:val="0"/>
      <w:numFmt w:val="bullet"/>
      <w:lvlText w:val="•"/>
      <w:lvlJc w:val="left"/>
      <w:pPr>
        <w:ind w:left="7263" w:hanging="360"/>
      </w:pPr>
      <w:rPr>
        <w:rFonts w:hint="default"/>
        <w:lang w:val="ru-RU" w:eastAsia="en-US" w:bidi="ar-SA"/>
      </w:rPr>
    </w:lvl>
    <w:lvl w:ilvl="8">
      <w:start w:val="0"/>
      <w:numFmt w:val="bullet"/>
      <w:lvlText w:val="•"/>
      <w:lvlJc w:val="left"/>
      <w:pPr>
        <w:ind w:left="8152" w:hanging="360"/>
      </w:pPr>
      <w:rPr>
        <w:rFonts w:hint="default"/>
        <w:lang w:val="ru-RU" w:eastAsia="en-US" w:bidi="ar-SA"/>
      </w:rPr>
    </w:lvl>
  </w:abstractNum>
  <w:abstractNum w:abstractNumId="4">
    <w:multiLevelType w:val="hybridMultilevel"/>
    <w:lvl w:ilvl="0">
      <w:start w:val="20"/>
      <w:numFmt w:val="lowerLetter"/>
      <w:lvlText w:val="(%1)"/>
      <w:lvlJc w:val="left"/>
      <w:pPr>
        <w:ind w:left="321" w:hanging="298"/>
        <w:jc w:val="left"/>
      </w:pPr>
      <w:rPr>
        <w:rFonts w:hint="default" w:ascii="Times New Roman" w:hAnsi="Times New Roman" w:eastAsia="Times New Roman" w:cs="Times New Roman"/>
        <w:spacing w:val="-1"/>
        <w:w w:val="100"/>
        <w:sz w:val="24"/>
        <w:szCs w:val="24"/>
        <w:lang w:val="ru-RU" w:eastAsia="en-US" w:bidi="ar-SA"/>
      </w:rPr>
    </w:lvl>
    <w:lvl w:ilvl="1">
      <w:start w:val="1"/>
      <w:numFmt w:val="decimal"/>
      <w:lvlText w:val="%2."/>
      <w:lvlJc w:val="left"/>
      <w:pPr>
        <w:ind w:left="321" w:hanging="286"/>
        <w:jc w:val="left"/>
      </w:pPr>
      <w:rPr>
        <w:rFonts w:hint="default" w:ascii="Times New Roman" w:hAnsi="Times New Roman" w:eastAsia="Times New Roman" w:cs="Times New Roman"/>
        <w:spacing w:val="-30"/>
        <w:w w:val="100"/>
        <w:sz w:val="24"/>
        <w:szCs w:val="24"/>
        <w:lang w:val="ru-RU" w:eastAsia="en-US" w:bidi="ar-SA"/>
      </w:rPr>
    </w:lvl>
    <w:lvl w:ilvl="2">
      <w:start w:val="0"/>
      <w:numFmt w:val="bullet"/>
      <w:lvlText w:val="•"/>
      <w:lvlJc w:val="left"/>
      <w:pPr>
        <w:ind w:left="2242" w:hanging="286"/>
      </w:pPr>
      <w:rPr>
        <w:rFonts w:hint="default"/>
        <w:lang w:val="ru-RU" w:eastAsia="en-US" w:bidi="ar-SA"/>
      </w:rPr>
    </w:lvl>
    <w:lvl w:ilvl="3">
      <w:start w:val="0"/>
      <w:numFmt w:val="bullet"/>
      <w:lvlText w:val="•"/>
      <w:lvlJc w:val="left"/>
      <w:pPr>
        <w:ind w:left="3203" w:hanging="286"/>
      </w:pPr>
      <w:rPr>
        <w:rFonts w:hint="default"/>
        <w:lang w:val="ru-RU" w:eastAsia="en-US" w:bidi="ar-SA"/>
      </w:rPr>
    </w:lvl>
    <w:lvl w:ilvl="4">
      <w:start w:val="0"/>
      <w:numFmt w:val="bullet"/>
      <w:lvlText w:val="•"/>
      <w:lvlJc w:val="left"/>
      <w:pPr>
        <w:ind w:left="4164" w:hanging="286"/>
      </w:pPr>
      <w:rPr>
        <w:rFonts w:hint="default"/>
        <w:lang w:val="ru-RU" w:eastAsia="en-US" w:bidi="ar-SA"/>
      </w:rPr>
    </w:lvl>
    <w:lvl w:ilvl="5">
      <w:start w:val="0"/>
      <w:numFmt w:val="bullet"/>
      <w:lvlText w:val="•"/>
      <w:lvlJc w:val="left"/>
      <w:pPr>
        <w:ind w:left="5125" w:hanging="286"/>
      </w:pPr>
      <w:rPr>
        <w:rFonts w:hint="default"/>
        <w:lang w:val="ru-RU" w:eastAsia="en-US" w:bidi="ar-SA"/>
      </w:rPr>
    </w:lvl>
    <w:lvl w:ilvl="6">
      <w:start w:val="0"/>
      <w:numFmt w:val="bullet"/>
      <w:lvlText w:val="•"/>
      <w:lvlJc w:val="left"/>
      <w:pPr>
        <w:ind w:left="6086" w:hanging="286"/>
      </w:pPr>
      <w:rPr>
        <w:rFonts w:hint="default"/>
        <w:lang w:val="ru-RU" w:eastAsia="en-US" w:bidi="ar-SA"/>
      </w:rPr>
    </w:lvl>
    <w:lvl w:ilvl="7">
      <w:start w:val="0"/>
      <w:numFmt w:val="bullet"/>
      <w:lvlText w:val="•"/>
      <w:lvlJc w:val="left"/>
      <w:pPr>
        <w:ind w:left="7047" w:hanging="286"/>
      </w:pPr>
      <w:rPr>
        <w:rFonts w:hint="default"/>
        <w:lang w:val="ru-RU" w:eastAsia="en-US" w:bidi="ar-SA"/>
      </w:rPr>
    </w:lvl>
    <w:lvl w:ilvl="8">
      <w:start w:val="0"/>
      <w:numFmt w:val="bullet"/>
      <w:lvlText w:val="•"/>
      <w:lvlJc w:val="left"/>
      <w:pPr>
        <w:ind w:left="8008" w:hanging="286"/>
      </w:pPr>
      <w:rPr>
        <w:rFonts w:hint="default"/>
        <w:lang w:val="ru-RU" w:eastAsia="en-US" w:bidi="ar-SA"/>
      </w:rPr>
    </w:lvl>
  </w:abstractNum>
  <w:abstractNum w:abstractNumId="3">
    <w:multiLevelType w:val="hybridMultilevel"/>
    <w:lvl w:ilvl="0">
      <w:start w:val="1"/>
      <w:numFmt w:val="decimal"/>
      <w:lvlText w:val="%1."/>
      <w:lvlJc w:val="left"/>
      <w:pPr>
        <w:ind w:left="1389" w:hanging="360"/>
        <w:jc w:val="left"/>
      </w:pPr>
      <w:rPr>
        <w:rFonts w:hint="default" w:ascii="Times New Roman" w:hAnsi="Times New Roman" w:eastAsia="Times New Roman" w:cs="Times New Roman"/>
        <w:b/>
        <w:bCs/>
        <w:color w:val="1F487C"/>
        <w:spacing w:val="0"/>
        <w:w w:val="100"/>
        <w:sz w:val="28"/>
        <w:szCs w:val="28"/>
        <w:lang w:val="ru-RU" w:eastAsia="en-US" w:bidi="ar-SA"/>
      </w:rPr>
    </w:lvl>
    <w:lvl w:ilvl="1">
      <w:start w:val="0"/>
      <w:numFmt w:val="bullet"/>
      <w:lvlText w:val="•"/>
      <w:lvlJc w:val="left"/>
      <w:pPr>
        <w:ind w:left="2235" w:hanging="360"/>
      </w:pPr>
      <w:rPr>
        <w:rFonts w:hint="default"/>
        <w:lang w:val="ru-RU" w:eastAsia="en-US" w:bidi="ar-SA"/>
      </w:rPr>
    </w:lvl>
    <w:lvl w:ilvl="2">
      <w:start w:val="0"/>
      <w:numFmt w:val="bullet"/>
      <w:lvlText w:val="•"/>
      <w:lvlJc w:val="left"/>
      <w:pPr>
        <w:ind w:left="3090" w:hanging="360"/>
      </w:pPr>
      <w:rPr>
        <w:rFonts w:hint="default"/>
        <w:lang w:val="ru-RU" w:eastAsia="en-US" w:bidi="ar-SA"/>
      </w:rPr>
    </w:lvl>
    <w:lvl w:ilvl="3">
      <w:start w:val="0"/>
      <w:numFmt w:val="bullet"/>
      <w:lvlText w:val="•"/>
      <w:lvlJc w:val="left"/>
      <w:pPr>
        <w:ind w:left="3945" w:hanging="360"/>
      </w:pPr>
      <w:rPr>
        <w:rFonts w:hint="default"/>
        <w:lang w:val="ru-RU" w:eastAsia="en-US" w:bidi="ar-SA"/>
      </w:rPr>
    </w:lvl>
    <w:lvl w:ilvl="4">
      <w:start w:val="0"/>
      <w:numFmt w:val="bullet"/>
      <w:lvlText w:val="•"/>
      <w:lvlJc w:val="left"/>
      <w:pPr>
        <w:ind w:left="4800" w:hanging="360"/>
      </w:pPr>
      <w:rPr>
        <w:rFonts w:hint="default"/>
        <w:lang w:val="ru-RU" w:eastAsia="en-US" w:bidi="ar-SA"/>
      </w:rPr>
    </w:lvl>
    <w:lvl w:ilvl="5">
      <w:start w:val="0"/>
      <w:numFmt w:val="bullet"/>
      <w:lvlText w:val="•"/>
      <w:lvlJc w:val="left"/>
      <w:pPr>
        <w:ind w:left="5655" w:hanging="360"/>
      </w:pPr>
      <w:rPr>
        <w:rFonts w:hint="default"/>
        <w:lang w:val="ru-RU" w:eastAsia="en-US" w:bidi="ar-SA"/>
      </w:rPr>
    </w:lvl>
    <w:lvl w:ilvl="6">
      <w:start w:val="0"/>
      <w:numFmt w:val="bullet"/>
      <w:lvlText w:val="•"/>
      <w:lvlJc w:val="left"/>
      <w:pPr>
        <w:ind w:left="6510" w:hanging="360"/>
      </w:pPr>
      <w:rPr>
        <w:rFonts w:hint="default"/>
        <w:lang w:val="ru-RU" w:eastAsia="en-US" w:bidi="ar-SA"/>
      </w:rPr>
    </w:lvl>
    <w:lvl w:ilvl="7">
      <w:start w:val="0"/>
      <w:numFmt w:val="bullet"/>
      <w:lvlText w:val="•"/>
      <w:lvlJc w:val="left"/>
      <w:pPr>
        <w:ind w:left="7365" w:hanging="360"/>
      </w:pPr>
      <w:rPr>
        <w:rFonts w:hint="default"/>
        <w:lang w:val="ru-RU" w:eastAsia="en-US" w:bidi="ar-SA"/>
      </w:rPr>
    </w:lvl>
    <w:lvl w:ilvl="8">
      <w:start w:val="0"/>
      <w:numFmt w:val="bullet"/>
      <w:lvlText w:val="•"/>
      <w:lvlJc w:val="left"/>
      <w:pPr>
        <w:ind w:left="8220" w:hanging="360"/>
      </w:pPr>
      <w:rPr>
        <w:rFonts w:hint="default"/>
        <w:lang w:val="ru-RU" w:eastAsia="en-US" w:bidi="ar-SA"/>
      </w:rPr>
    </w:lvl>
  </w:abstractNum>
  <w:abstractNum w:abstractNumId="2">
    <w:multiLevelType w:val="hybridMultilevel"/>
    <w:lvl w:ilvl="0">
      <w:start w:val="9"/>
      <w:numFmt w:val="decimal"/>
      <w:lvlText w:val="%1"/>
      <w:lvlJc w:val="left"/>
      <w:pPr>
        <w:ind w:left="1291" w:hanging="560"/>
        <w:jc w:val="left"/>
      </w:pPr>
      <w:rPr>
        <w:rFonts w:hint="default"/>
        <w:lang w:val="ru-RU" w:eastAsia="en-US" w:bidi="ar-SA"/>
      </w:rPr>
    </w:lvl>
    <w:lvl w:ilvl="1">
      <w:start w:val="4"/>
      <w:numFmt w:val="decimal"/>
      <w:lvlText w:val="%1.%2."/>
      <w:lvlJc w:val="left"/>
      <w:pPr>
        <w:ind w:left="1291" w:hanging="560"/>
        <w:jc w:val="left"/>
      </w:pPr>
      <w:rPr>
        <w:rFonts w:hint="default" w:ascii="Times New Roman" w:hAnsi="Times New Roman" w:eastAsia="Times New Roman" w:cs="Times New Roman"/>
        <w:spacing w:val="-1"/>
        <w:w w:val="99"/>
        <w:sz w:val="32"/>
        <w:szCs w:val="32"/>
        <w:lang w:val="ru-RU" w:eastAsia="en-US" w:bidi="ar-SA"/>
      </w:rPr>
    </w:lvl>
    <w:lvl w:ilvl="2">
      <w:start w:val="0"/>
      <w:numFmt w:val="bullet"/>
      <w:lvlText w:val="•"/>
      <w:lvlJc w:val="left"/>
      <w:pPr>
        <w:ind w:left="3026" w:hanging="560"/>
      </w:pPr>
      <w:rPr>
        <w:rFonts w:hint="default"/>
        <w:lang w:val="ru-RU" w:eastAsia="en-US" w:bidi="ar-SA"/>
      </w:rPr>
    </w:lvl>
    <w:lvl w:ilvl="3">
      <w:start w:val="0"/>
      <w:numFmt w:val="bullet"/>
      <w:lvlText w:val="•"/>
      <w:lvlJc w:val="left"/>
      <w:pPr>
        <w:ind w:left="3889" w:hanging="560"/>
      </w:pPr>
      <w:rPr>
        <w:rFonts w:hint="default"/>
        <w:lang w:val="ru-RU" w:eastAsia="en-US" w:bidi="ar-SA"/>
      </w:rPr>
    </w:lvl>
    <w:lvl w:ilvl="4">
      <w:start w:val="0"/>
      <w:numFmt w:val="bullet"/>
      <w:lvlText w:val="•"/>
      <w:lvlJc w:val="left"/>
      <w:pPr>
        <w:ind w:left="4752" w:hanging="560"/>
      </w:pPr>
      <w:rPr>
        <w:rFonts w:hint="default"/>
        <w:lang w:val="ru-RU" w:eastAsia="en-US" w:bidi="ar-SA"/>
      </w:rPr>
    </w:lvl>
    <w:lvl w:ilvl="5">
      <w:start w:val="0"/>
      <w:numFmt w:val="bullet"/>
      <w:lvlText w:val="•"/>
      <w:lvlJc w:val="left"/>
      <w:pPr>
        <w:ind w:left="5615" w:hanging="560"/>
      </w:pPr>
      <w:rPr>
        <w:rFonts w:hint="default"/>
        <w:lang w:val="ru-RU" w:eastAsia="en-US" w:bidi="ar-SA"/>
      </w:rPr>
    </w:lvl>
    <w:lvl w:ilvl="6">
      <w:start w:val="0"/>
      <w:numFmt w:val="bullet"/>
      <w:lvlText w:val="•"/>
      <w:lvlJc w:val="left"/>
      <w:pPr>
        <w:ind w:left="6478" w:hanging="560"/>
      </w:pPr>
      <w:rPr>
        <w:rFonts w:hint="default"/>
        <w:lang w:val="ru-RU" w:eastAsia="en-US" w:bidi="ar-SA"/>
      </w:rPr>
    </w:lvl>
    <w:lvl w:ilvl="7">
      <w:start w:val="0"/>
      <w:numFmt w:val="bullet"/>
      <w:lvlText w:val="•"/>
      <w:lvlJc w:val="left"/>
      <w:pPr>
        <w:ind w:left="7341" w:hanging="560"/>
      </w:pPr>
      <w:rPr>
        <w:rFonts w:hint="default"/>
        <w:lang w:val="ru-RU" w:eastAsia="en-US" w:bidi="ar-SA"/>
      </w:rPr>
    </w:lvl>
    <w:lvl w:ilvl="8">
      <w:start w:val="0"/>
      <w:numFmt w:val="bullet"/>
      <w:lvlText w:val="•"/>
      <w:lvlJc w:val="left"/>
      <w:pPr>
        <w:ind w:left="8204" w:hanging="560"/>
      </w:pPr>
      <w:rPr>
        <w:rFonts w:hint="default"/>
        <w:lang w:val="ru-RU" w:eastAsia="en-US" w:bidi="ar-SA"/>
      </w:rPr>
    </w:lvl>
  </w:abstractNum>
  <w:abstractNum w:abstractNumId="1">
    <w:multiLevelType w:val="hybridMultilevel"/>
    <w:lvl w:ilvl="0">
      <w:start w:val="9"/>
      <w:numFmt w:val="decimal"/>
      <w:lvlText w:val="%1"/>
      <w:lvlJc w:val="left"/>
      <w:pPr>
        <w:ind w:left="1761" w:hanging="481"/>
        <w:jc w:val="left"/>
      </w:pPr>
      <w:rPr>
        <w:rFonts w:hint="default"/>
        <w:lang w:val="ru-RU" w:eastAsia="en-US" w:bidi="ar-SA"/>
      </w:rPr>
    </w:lvl>
    <w:lvl w:ilvl="1">
      <w:start w:val="2"/>
      <w:numFmt w:val="decimal"/>
      <w:lvlText w:val="%1.%2"/>
      <w:lvlJc w:val="left"/>
      <w:pPr>
        <w:ind w:left="1761" w:hanging="481"/>
        <w:jc w:val="left"/>
      </w:pPr>
      <w:rPr>
        <w:rFonts w:hint="default" w:ascii="Times New Roman" w:hAnsi="Times New Roman" w:eastAsia="Times New Roman" w:cs="Times New Roman"/>
        <w:spacing w:val="-1"/>
        <w:w w:val="99"/>
        <w:sz w:val="32"/>
        <w:szCs w:val="32"/>
        <w:lang w:val="ru-RU" w:eastAsia="en-US" w:bidi="ar-SA"/>
      </w:rPr>
    </w:lvl>
    <w:lvl w:ilvl="2">
      <w:start w:val="0"/>
      <w:numFmt w:val="bullet"/>
      <w:lvlText w:val="•"/>
      <w:lvlJc w:val="left"/>
      <w:pPr>
        <w:ind w:left="3394" w:hanging="481"/>
      </w:pPr>
      <w:rPr>
        <w:rFonts w:hint="default"/>
        <w:lang w:val="ru-RU" w:eastAsia="en-US" w:bidi="ar-SA"/>
      </w:rPr>
    </w:lvl>
    <w:lvl w:ilvl="3">
      <w:start w:val="0"/>
      <w:numFmt w:val="bullet"/>
      <w:lvlText w:val="•"/>
      <w:lvlJc w:val="left"/>
      <w:pPr>
        <w:ind w:left="4211" w:hanging="481"/>
      </w:pPr>
      <w:rPr>
        <w:rFonts w:hint="default"/>
        <w:lang w:val="ru-RU" w:eastAsia="en-US" w:bidi="ar-SA"/>
      </w:rPr>
    </w:lvl>
    <w:lvl w:ilvl="4">
      <w:start w:val="0"/>
      <w:numFmt w:val="bullet"/>
      <w:lvlText w:val="•"/>
      <w:lvlJc w:val="left"/>
      <w:pPr>
        <w:ind w:left="5028" w:hanging="481"/>
      </w:pPr>
      <w:rPr>
        <w:rFonts w:hint="default"/>
        <w:lang w:val="ru-RU" w:eastAsia="en-US" w:bidi="ar-SA"/>
      </w:rPr>
    </w:lvl>
    <w:lvl w:ilvl="5">
      <w:start w:val="0"/>
      <w:numFmt w:val="bullet"/>
      <w:lvlText w:val="•"/>
      <w:lvlJc w:val="left"/>
      <w:pPr>
        <w:ind w:left="5845" w:hanging="481"/>
      </w:pPr>
      <w:rPr>
        <w:rFonts w:hint="default"/>
        <w:lang w:val="ru-RU" w:eastAsia="en-US" w:bidi="ar-SA"/>
      </w:rPr>
    </w:lvl>
    <w:lvl w:ilvl="6">
      <w:start w:val="0"/>
      <w:numFmt w:val="bullet"/>
      <w:lvlText w:val="•"/>
      <w:lvlJc w:val="left"/>
      <w:pPr>
        <w:ind w:left="6662" w:hanging="481"/>
      </w:pPr>
      <w:rPr>
        <w:rFonts w:hint="default"/>
        <w:lang w:val="ru-RU" w:eastAsia="en-US" w:bidi="ar-SA"/>
      </w:rPr>
    </w:lvl>
    <w:lvl w:ilvl="7">
      <w:start w:val="0"/>
      <w:numFmt w:val="bullet"/>
      <w:lvlText w:val="•"/>
      <w:lvlJc w:val="left"/>
      <w:pPr>
        <w:ind w:left="7479" w:hanging="481"/>
      </w:pPr>
      <w:rPr>
        <w:rFonts w:hint="default"/>
        <w:lang w:val="ru-RU" w:eastAsia="en-US" w:bidi="ar-SA"/>
      </w:rPr>
    </w:lvl>
    <w:lvl w:ilvl="8">
      <w:start w:val="0"/>
      <w:numFmt w:val="bullet"/>
      <w:lvlText w:val="•"/>
      <w:lvlJc w:val="left"/>
      <w:pPr>
        <w:ind w:left="8296" w:hanging="481"/>
      </w:pPr>
      <w:rPr>
        <w:rFonts w:hint="default"/>
        <w:lang w:val="ru-RU" w:eastAsia="en-US" w:bidi="ar-SA"/>
      </w:rPr>
    </w:lvl>
  </w:abstractNum>
  <w:abstractNum w:abstractNumId="0">
    <w:multiLevelType w:val="hybridMultilevel"/>
    <w:lvl w:ilvl="0">
      <w:start w:val="1"/>
      <w:numFmt w:val="decimal"/>
      <w:lvlText w:val="%1."/>
      <w:lvlJc w:val="left"/>
      <w:pPr>
        <w:ind w:left="895" w:hanging="291"/>
        <w:jc w:val="left"/>
      </w:pPr>
      <w:rPr>
        <w:rFonts w:hint="default" w:ascii="Times New Roman" w:hAnsi="Times New Roman" w:eastAsia="Times New Roman" w:cs="Times New Roman"/>
        <w:color w:val="2D74B5"/>
        <w:spacing w:val="0"/>
        <w:w w:val="99"/>
        <w:sz w:val="32"/>
        <w:szCs w:val="32"/>
        <w:lang w:val="ru-RU" w:eastAsia="en-US" w:bidi="ar-SA"/>
      </w:rPr>
    </w:lvl>
    <w:lvl w:ilvl="1">
      <w:start w:val="1"/>
      <w:numFmt w:val="decimal"/>
      <w:lvlText w:val="%1.%2."/>
      <w:lvlJc w:val="left"/>
      <w:pPr>
        <w:ind w:left="1840" w:hanging="560"/>
        <w:jc w:val="left"/>
      </w:pPr>
      <w:rPr>
        <w:rFonts w:hint="default" w:ascii="Times New Roman" w:hAnsi="Times New Roman" w:eastAsia="Times New Roman" w:cs="Times New Roman"/>
        <w:spacing w:val="-1"/>
        <w:w w:val="99"/>
        <w:sz w:val="32"/>
        <w:szCs w:val="32"/>
        <w:lang w:val="ru-RU" w:eastAsia="en-US" w:bidi="ar-SA"/>
      </w:rPr>
    </w:lvl>
    <w:lvl w:ilvl="2">
      <w:start w:val="0"/>
      <w:numFmt w:val="bullet"/>
      <w:lvlText w:val="•"/>
      <w:lvlJc w:val="left"/>
      <w:pPr>
        <w:ind w:left="2739" w:hanging="560"/>
      </w:pPr>
      <w:rPr>
        <w:rFonts w:hint="default"/>
        <w:lang w:val="ru-RU" w:eastAsia="en-US" w:bidi="ar-SA"/>
      </w:rPr>
    </w:lvl>
    <w:lvl w:ilvl="3">
      <w:start w:val="0"/>
      <w:numFmt w:val="bullet"/>
      <w:lvlText w:val="•"/>
      <w:lvlJc w:val="left"/>
      <w:pPr>
        <w:ind w:left="3638" w:hanging="560"/>
      </w:pPr>
      <w:rPr>
        <w:rFonts w:hint="default"/>
        <w:lang w:val="ru-RU" w:eastAsia="en-US" w:bidi="ar-SA"/>
      </w:rPr>
    </w:lvl>
    <w:lvl w:ilvl="4">
      <w:start w:val="0"/>
      <w:numFmt w:val="bullet"/>
      <w:lvlText w:val="•"/>
      <w:lvlJc w:val="left"/>
      <w:pPr>
        <w:ind w:left="4537" w:hanging="560"/>
      </w:pPr>
      <w:rPr>
        <w:rFonts w:hint="default"/>
        <w:lang w:val="ru-RU" w:eastAsia="en-US" w:bidi="ar-SA"/>
      </w:rPr>
    </w:lvl>
    <w:lvl w:ilvl="5">
      <w:start w:val="0"/>
      <w:numFmt w:val="bullet"/>
      <w:lvlText w:val="•"/>
      <w:lvlJc w:val="left"/>
      <w:pPr>
        <w:ind w:left="5436" w:hanging="560"/>
      </w:pPr>
      <w:rPr>
        <w:rFonts w:hint="default"/>
        <w:lang w:val="ru-RU" w:eastAsia="en-US" w:bidi="ar-SA"/>
      </w:rPr>
    </w:lvl>
    <w:lvl w:ilvl="6">
      <w:start w:val="0"/>
      <w:numFmt w:val="bullet"/>
      <w:lvlText w:val="•"/>
      <w:lvlJc w:val="left"/>
      <w:pPr>
        <w:ind w:left="6335" w:hanging="560"/>
      </w:pPr>
      <w:rPr>
        <w:rFonts w:hint="default"/>
        <w:lang w:val="ru-RU" w:eastAsia="en-US" w:bidi="ar-SA"/>
      </w:rPr>
    </w:lvl>
    <w:lvl w:ilvl="7">
      <w:start w:val="0"/>
      <w:numFmt w:val="bullet"/>
      <w:lvlText w:val="•"/>
      <w:lvlJc w:val="left"/>
      <w:pPr>
        <w:ind w:left="7234" w:hanging="560"/>
      </w:pPr>
      <w:rPr>
        <w:rFonts w:hint="default"/>
        <w:lang w:val="ru-RU" w:eastAsia="en-US" w:bidi="ar-SA"/>
      </w:rPr>
    </w:lvl>
    <w:lvl w:ilvl="8">
      <w:start w:val="0"/>
      <w:numFmt w:val="bullet"/>
      <w:lvlText w:val="•"/>
      <w:lvlJc w:val="left"/>
      <w:pPr>
        <w:ind w:left="8133" w:hanging="560"/>
      </w:pPr>
      <w:rPr>
        <w:rFonts w:hint="default"/>
        <w:lang w:val="ru-RU" w:eastAsia="en-US" w:bidi="ar-SA"/>
      </w:rPr>
    </w:lvl>
  </w:abstractNum>
  <w:num w:numId="38">
    <w:abstractNumId w:val="37"/>
  </w:num>
  <w:num w:numId="30">
    <w:abstractNumId w:val="29"/>
  </w:num>
  <w:num w:numId="19">
    <w:abstractNumId w:val="18"/>
  </w:num>
  <w:num w:numId="11">
    <w:abstractNumId w:val="10"/>
  </w:num>
  <w:num w:numId="75">
    <w:abstractNumId w:val="74"/>
  </w:num>
  <w:num w:numId="74">
    <w:abstractNumId w:val="73"/>
  </w:num>
  <w:num w:numId="73">
    <w:abstractNumId w:val="72"/>
  </w:num>
  <w:num w:numId="72">
    <w:abstractNumId w:val="71"/>
  </w:num>
  <w:num w:numId="71">
    <w:abstractNumId w:val="70"/>
  </w:num>
  <w:num w:numId="70">
    <w:abstractNumId w:val="69"/>
  </w:num>
  <w:num w:numId="69">
    <w:abstractNumId w:val="68"/>
  </w:num>
  <w:num w:numId="68">
    <w:abstractNumId w:val="67"/>
  </w:num>
  <w:num w:numId="67">
    <w:abstractNumId w:val="66"/>
  </w:num>
  <w:num w:numId="66">
    <w:abstractNumId w:val="65"/>
  </w:num>
  <w:num w:numId="65">
    <w:abstractNumId w:val="64"/>
  </w:num>
  <w:num w:numId="64">
    <w:abstractNumId w:val="63"/>
  </w:num>
  <w:num w:numId="63">
    <w:abstractNumId w:val="62"/>
  </w:num>
  <w:num w:numId="62">
    <w:abstractNumId w:val="61"/>
  </w:num>
  <w:num w:numId="61">
    <w:abstractNumId w:val="60"/>
  </w:num>
  <w:num w:numId="60">
    <w:abstractNumId w:val="59"/>
  </w:num>
  <w:num w:numId="59">
    <w:abstractNumId w:val="58"/>
  </w:num>
  <w:num w:numId="58">
    <w:abstractNumId w:val="57"/>
  </w:num>
  <w:num w:numId="57">
    <w:abstractNumId w:val="56"/>
  </w:num>
  <w:num w:numId="56">
    <w:abstractNumId w:val="55"/>
  </w:num>
  <w:num w:numId="55">
    <w:abstractNumId w:val="54"/>
  </w:num>
  <w:num w:numId="54">
    <w:abstractNumId w:val="53"/>
  </w:num>
  <w:num w:numId="53">
    <w:abstractNumId w:val="52"/>
  </w:num>
  <w:num w:numId="52">
    <w:abstractNumId w:val="51"/>
  </w:num>
  <w:num w:numId="51">
    <w:abstractNumId w:val="50"/>
  </w:num>
  <w:num w:numId="50">
    <w:abstractNumId w:val="49"/>
  </w:num>
  <w:num w:numId="49">
    <w:abstractNumId w:val="48"/>
  </w:num>
  <w:num w:numId="48">
    <w:abstractNumId w:val="47"/>
  </w:num>
  <w:num w:numId="47">
    <w:abstractNumId w:val="46"/>
  </w:num>
  <w:num w:numId="46">
    <w:abstractNumId w:val="45"/>
  </w:num>
  <w:num w:numId="45">
    <w:abstractNumId w:val="44"/>
  </w:num>
  <w:num w:numId="44">
    <w:abstractNumId w:val="43"/>
  </w:num>
  <w:num w:numId="43">
    <w:abstractNumId w:val="42"/>
  </w:num>
  <w:num w:numId="42">
    <w:abstractNumId w:val="41"/>
  </w:num>
  <w:num w:numId="41">
    <w:abstractNumId w:val="40"/>
  </w:num>
  <w:num w:numId="40">
    <w:abstractNumId w:val="39"/>
  </w:num>
  <w:num w:numId="39">
    <w:abstractNumId w:val="38"/>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Times New Roman" w:hAnsi="Times New Roman" w:eastAsia="Times New Roman" w:cs="Times New Roman"/>
      <w:lang w:val="ru-RU" w:eastAsia="en-US" w:bidi="ar-SA"/>
    </w:rPr>
  </w:style>
  <w:style w:styleId="TOC1" w:type="paragraph">
    <w:name w:val="TOC 1"/>
    <w:basedOn w:val="Normal"/>
    <w:uiPriority w:val="1"/>
    <w:qFormat/>
    <w:pPr>
      <w:spacing w:before="109"/>
      <w:ind w:left="924" w:hanging="320"/>
    </w:pPr>
    <w:rPr>
      <w:rFonts w:ascii="Times New Roman" w:hAnsi="Times New Roman" w:eastAsia="Times New Roman" w:cs="Times New Roman"/>
      <w:sz w:val="32"/>
      <w:szCs w:val="32"/>
      <w:lang w:val="ru-RU" w:eastAsia="en-US" w:bidi="ar-SA"/>
    </w:rPr>
  </w:style>
  <w:style w:styleId="TOC2" w:type="paragraph">
    <w:name w:val="TOC 2"/>
    <w:basedOn w:val="Normal"/>
    <w:uiPriority w:val="1"/>
    <w:qFormat/>
    <w:pPr>
      <w:spacing w:before="139"/>
      <w:ind w:left="1291" w:hanging="560"/>
    </w:pPr>
    <w:rPr>
      <w:rFonts w:ascii="Times New Roman" w:hAnsi="Times New Roman" w:eastAsia="Times New Roman" w:cs="Times New Roman"/>
      <w:sz w:val="32"/>
      <w:szCs w:val="32"/>
      <w:lang w:val="ru-RU" w:eastAsia="en-US" w:bidi="ar-SA"/>
    </w:rPr>
  </w:style>
  <w:style w:styleId="TOC3" w:type="paragraph">
    <w:name w:val="TOC 3"/>
    <w:basedOn w:val="Normal"/>
    <w:uiPriority w:val="1"/>
    <w:qFormat/>
    <w:pPr>
      <w:spacing w:before="112"/>
      <w:ind w:left="1315"/>
    </w:pPr>
    <w:rPr>
      <w:rFonts w:ascii="Times New Roman" w:hAnsi="Times New Roman" w:eastAsia="Times New Roman" w:cs="Times New Roman"/>
      <w:sz w:val="28"/>
      <w:szCs w:val="28"/>
      <w:lang w:val="ru-RU" w:eastAsia="en-US" w:bidi="ar-SA"/>
    </w:rPr>
  </w:style>
  <w:style w:styleId="BodyText" w:type="paragraph">
    <w:name w:val="Body Text"/>
    <w:basedOn w:val="Normal"/>
    <w:uiPriority w:val="1"/>
    <w:qFormat/>
    <w:pPr>
      <w:ind w:left="321"/>
      <w:jc w:val="both"/>
    </w:pPr>
    <w:rPr>
      <w:rFonts w:ascii="Times New Roman" w:hAnsi="Times New Roman" w:eastAsia="Times New Roman" w:cs="Times New Roman"/>
      <w:sz w:val="24"/>
      <w:szCs w:val="24"/>
      <w:lang w:val="ru-RU" w:eastAsia="en-US" w:bidi="ar-SA"/>
    </w:rPr>
  </w:style>
  <w:style w:styleId="Heading1" w:type="paragraph">
    <w:name w:val="Heading 1"/>
    <w:basedOn w:val="Normal"/>
    <w:uiPriority w:val="1"/>
    <w:qFormat/>
    <w:pPr>
      <w:spacing w:before="100"/>
      <w:ind w:left="4276"/>
      <w:outlineLvl w:val="1"/>
    </w:pPr>
    <w:rPr>
      <w:rFonts w:ascii="Franklin Gothic Book" w:hAnsi="Franklin Gothic Book" w:eastAsia="Franklin Gothic Book" w:cs="Franklin Gothic Book"/>
      <w:sz w:val="32"/>
      <w:szCs w:val="32"/>
      <w:lang w:val="ru-RU" w:eastAsia="en-US" w:bidi="ar-SA"/>
    </w:rPr>
  </w:style>
  <w:style w:styleId="Heading2" w:type="paragraph">
    <w:name w:val="Heading 2"/>
    <w:basedOn w:val="Normal"/>
    <w:uiPriority w:val="1"/>
    <w:qFormat/>
    <w:pPr>
      <w:ind w:left="1029"/>
      <w:outlineLvl w:val="2"/>
    </w:pPr>
    <w:rPr>
      <w:rFonts w:ascii="Times New Roman" w:hAnsi="Times New Roman" w:eastAsia="Times New Roman" w:cs="Times New Roman"/>
      <w:b/>
      <w:bCs/>
      <w:sz w:val="28"/>
      <w:szCs w:val="28"/>
      <w:lang w:val="ru-RU" w:eastAsia="en-US" w:bidi="ar-SA"/>
    </w:rPr>
  </w:style>
  <w:style w:styleId="Heading3" w:type="paragraph">
    <w:name w:val="Heading 3"/>
    <w:basedOn w:val="Normal"/>
    <w:uiPriority w:val="1"/>
    <w:qFormat/>
    <w:pPr>
      <w:ind w:left="1029"/>
      <w:jc w:val="both"/>
      <w:outlineLvl w:val="3"/>
    </w:pPr>
    <w:rPr>
      <w:rFonts w:ascii="Times New Roman" w:hAnsi="Times New Roman" w:eastAsia="Times New Roman" w:cs="Times New Roman"/>
      <w:b/>
      <w:bCs/>
      <w:sz w:val="24"/>
      <w:szCs w:val="24"/>
      <w:lang w:val="ru-RU" w:eastAsia="en-US" w:bidi="ar-SA"/>
    </w:rPr>
  </w:style>
  <w:style w:styleId="Title" w:type="paragraph">
    <w:name w:val="Title"/>
    <w:basedOn w:val="Normal"/>
    <w:uiPriority w:val="1"/>
    <w:qFormat/>
    <w:pPr>
      <w:spacing w:before="162"/>
      <w:ind w:left="1881" w:right="4031"/>
    </w:pPr>
    <w:rPr>
      <w:rFonts w:ascii="Times New Roman" w:hAnsi="Times New Roman" w:eastAsia="Times New Roman" w:cs="Times New Roman"/>
      <w:sz w:val="48"/>
      <w:szCs w:val="48"/>
      <w:lang w:val="ru-RU" w:eastAsia="en-US" w:bidi="ar-SA"/>
    </w:rPr>
  </w:style>
  <w:style w:styleId="ListParagraph" w:type="paragraph">
    <w:name w:val="List Paragraph"/>
    <w:basedOn w:val="Normal"/>
    <w:uiPriority w:val="1"/>
    <w:qFormat/>
    <w:pPr>
      <w:ind w:left="1000" w:hanging="339"/>
      <w:jc w:val="both"/>
    </w:pPr>
    <w:rPr>
      <w:rFonts w:ascii="Times New Roman" w:hAnsi="Times New Roman" w:eastAsia="Times New Roman" w:cs="Times New Roman"/>
      <w:lang w:val="ru-RU" w:eastAsia="en-US" w:bidi="ar-SA"/>
    </w:rPr>
  </w:style>
  <w:style w:styleId="TableParagraph" w:type="paragraph">
    <w:name w:val="Table Paragraph"/>
    <w:basedOn w:val="Normal"/>
    <w:uiPriority w:val="1"/>
    <w:qFormat/>
    <w:pPr/>
    <w:rPr>
      <w:rFonts w:ascii="Times New Roman" w:hAnsi="Times New Roman" w:eastAsia="Times New Roman" w:cs="Times New Roman"/>
      <w:lang w:val="ru-RU"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2.jpeg"/><Relationship Id="rId7" Type="http://schemas.openxmlformats.org/officeDocument/2006/relationships/footer" Target="footer1.xml"/><Relationship Id="rId8" Type="http://schemas.openxmlformats.org/officeDocument/2006/relationships/hyperlink" Target="http://www.rasudm.org/" TargetMode="External"/><Relationship Id="rId9" Type="http://schemas.openxmlformats.org/officeDocument/2006/relationships/hyperlink" Target="https://roszdravnadzor.gov.ru/services/misearch" TargetMode="External"/><Relationship Id="rId10" Type="http://schemas.openxmlformats.org/officeDocument/2006/relationships/hyperlink" Target="http://www.roszdravnadzor.ru/" TargetMode="External"/><Relationship Id="rId11" Type="http://schemas.openxmlformats.org/officeDocument/2006/relationships/hyperlink" Target="http://www.roszdravnadzor.ru/services/misearch" TargetMode="External"/><Relationship Id="rId12" Type="http://schemas.openxmlformats.org/officeDocument/2006/relationships/hyperlink" Target="https://www.covid19-druginteractions.org/" TargetMode="External"/><Relationship Id="rId13" Type="http://schemas.openxmlformats.org/officeDocument/2006/relationships/hyperlink" Target="https://www.rosminzdrav.ru/ministry/med_covid19" TargetMode="External"/><Relationship Id="rId14" Type="http://schemas.openxmlformats.org/officeDocument/2006/relationships/image" Target="media/image3.jpeg"/><Relationship Id="rId15" Type="http://schemas.openxmlformats.org/officeDocument/2006/relationships/hyperlink" Target="http://far.org.ru/newsfar/496-metreccovid19" TargetMode="External"/><Relationship Id="rId16" Type="http://schemas.openxmlformats.org/officeDocument/2006/relationships/hyperlink" Target="https://grls.rosminzdrav.ru/Grls_View_v2.aspx?routingGuid=d494c688-0bc6-4c30-9e81-23f043ceb43e&amp;t" TargetMode="External"/><Relationship Id="rId17" Type="http://schemas.openxmlformats.org/officeDocument/2006/relationships/hyperlink" Target="https://grls.rosminzdrav.ru/Grls_View_v2.aspx?routingGuid=d8f07c35-7edc-49ab-8647-6b6865449167&amp;t" TargetMode="External"/><Relationship Id="rId18" Type="http://schemas.openxmlformats.org/officeDocument/2006/relationships/hyperlink" Target="http://portal.egisz.rosminzdrav.ru/materials/3557" TargetMode="External"/><Relationship Id="rId19" Type="http://schemas.openxmlformats.org/officeDocument/2006/relationships/hyperlink" Target="mailto:egisz@rt-eu.ru" TargetMode="External"/><Relationship Id="rId20" Type="http://schemas.openxmlformats.org/officeDocument/2006/relationships/hyperlink" Target="http://www.rasudm.org/files/WFUMB-Position-Statement-COVID.pdf" TargetMode="External"/><Relationship Id="rId21" Type="http://schemas.openxmlformats.org/officeDocument/2006/relationships/hyperlink" Target="http://www.canada.ca/en/public-health/services/diseases/2019-novel-" TargetMode="External"/><Relationship Id="rId22" Type="http://schemas.openxmlformats.org/officeDocument/2006/relationships/hyperlink" Target="http://www.cdc.gov/coronavirus/2019-ncov/index.html" TargetMode="External"/><Relationship Id="rId23" Type="http://schemas.openxmlformats.org/officeDocument/2006/relationships/hyperlink" Target="http://www.health.gov.au/health-topics/novel-coronavirus-2019-ncov" TargetMode="External"/><Relationship Id="rId24" Type="http://schemas.openxmlformats.org/officeDocument/2006/relationships/hyperlink" Target="https://www.evms.edu/covid-19/covid_care_for_clinicians/#covidcare" TargetMode="External"/><Relationship Id="rId25" Type="http://schemas.openxmlformats.org/officeDocument/2006/relationships/hyperlink" Target="http://www.fda.gov/emergency-preparedness-" TargetMode="External"/><Relationship Id="rId26" Type="http://schemas.openxmlformats.org/officeDocument/2006/relationships/hyperlink" Target="https://www.bundesgesundheitsministerium.de/en/en/press/2020/coronavirus.html" TargetMode="External"/><Relationship Id="rId27" Type="http://schemas.openxmlformats.org/officeDocument/2006/relationships/hyperlink" Target="https://ped-rheum.biomedcentral.com/" TargetMode="External"/><Relationship Id="rId28" Type="http://schemas.openxmlformats.org/officeDocument/2006/relationships/hyperlink" Target="https://ped-rheum.biomedcentral.com/articles/10.1186/s12969-019-0309-6" TargetMode="External"/><Relationship Id="rId29" Type="http://schemas.openxmlformats.org/officeDocument/2006/relationships/hyperlink" Target="https://www.vmeda.org/wp-content/uploads/2020/03/koronavirus-metod-rekomendaczii.pdf" TargetMode="External"/><Relationship Id="rId30" Type="http://schemas.openxmlformats.org/officeDocument/2006/relationships/hyperlink" Target="https://www.idsociety.org/practice-guideline/covid-19-guideline-treatment-and-management/" TargetMode="External"/><Relationship Id="rId31" Type="http://schemas.openxmlformats.org/officeDocument/2006/relationships/hyperlink" Target="https://journals.lww.com/ccejournal/pages/currenttoc.aspx" TargetMode="External"/><Relationship Id="rId32" Type="http://schemas.openxmlformats.org/officeDocument/2006/relationships/hyperlink" Target="https://link.springer.com/article/10.1007/s10875-017-0439-x#auth-1" TargetMode="External"/><Relationship Id="rId33" Type="http://schemas.openxmlformats.org/officeDocument/2006/relationships/hyperlink" Target="https://link.springer.com/journal/10875" TargetMode="External"/><Relationship Id="rId34" Type="http://schemas.openxmlformats.org/officeDocument/2006/relationships/hyperlink" Target="https://link.springer.com/article/10.1007/s10875-017-0439-x" TargetMode="External"/><Relationship Id="rId35" Type="http://schemas.openxmlformats.org/officeDocument/2006/relationships/hyperlink" Target="http://en.nhc.gov.cn/" TargetMode="External"/><Relationship Id="rId36" Type="http://schemas.openxmlformats.org/officeDocument/2006/relationships/hyperlink" Target="http://www.nhs.uk/conditions/wuhan-novel-coronavirus/" TargetMode="External"/><Relationship Id="rId37" Type="http://schemas.openxmlformats.org/officeDocument/2006/relationships/hyperlink" Target="http://www.ecdc.europa.eu/sites/default/files/documents/novel-coronavirus-risk-assessment-china-" TargetMode="External"/><Relationship Id="rId38" Type="http://schemas.openxmlformats.org/officeDocument/2006/relationships/hyperlink" Target="https://doi.org/10.1182/blood.2018894618" TargetMode="External"/><Relationship Id="rId39" Type="http://schemas.openxmlformats.org/officeDocument/2006/relationships/hyperlink" Target="http://www.gov.uk/government/publications/wuhan-" TargetMode="External"/><Relationship Id="rId40" Type="http://schemas.openxmlformats.org/officeDocument/2006/relationships/hyperlink" Target="https://www.sciencedirect.com/science/article/pii/S1477893920300910?via%3Dihub&amp;!" TargetMode="External"/><Relationship Id="rId41" Type="http://schemas.openxmlformats.org/officeDocument/2006/relationships/hyperlink" Target="https://www.sciencedirect.com/science/journal/14778939" TargetMode="External"/><Relationship Id="rId42" Type="http://schemas.openxmlformats.org/officeDocument/2006/relationships/hyperlink" Target="https://www.sciencedirect.com/science/journal/14778939/34/supp/C" TargetMode="External"/><Relationship Id="rId43" Type="http://schemas.openxmlformats.org/officeDocument/2006/relationships/hyperlink" Target="https://doi.org/10.1016/j.tmaid.2020.101623" TargetMode="External"/><Relationship Id="rId44" Type="http://schemas.openxmlformats.org/officeDocument/2006/relationships/hyperlink" Target="http://www.rpharms.com/resources/pharmacy-guides/wuhan-novel-coronavirus" TargetMode="External"/><Relationship Id="rId45" Type="http://schemas.openxmlformats.org/officeDocument/2006/relationships/hyperlink" Target="https://doi.org/10.1093/eurheartj/ehaa286" TargetMode="External"/><Relationship Id="rId46" Type="http://schemas.openxmlformats.org/officeDocument/2006/relationships/hyperlink" Target="https://www.cdc.gov/coronavirus/2019-nCoV/hcp/index.html" TargetMode="External"/><Relationship Id="rId47" Type="http://schemas.openxmlformats.org/officeDocument/2006/relationships/hyperlink" Target="http://english.www.gov.cn/" TargetMode="External"/><Relationship Id="rId48" Type="http://schemas.openxmlformats.org/officeDocument/2006/relationships/hyperlink" Target="http://www.who.int/ethics/publications/infectious-disease-outbreaks/en/" TargetMode="External"/><Relationship Id="rId49" Type="http://schemas.openxmlformats.org/officeDocument/2006/relationships/hyperlink" Target="https://www.who.int/bloodproducts/brn/2017_BRN_PositionPaper_ConvalescentPlasma.pdf" TargetMode="External"/><Relationship Id="rId50" Type="http://schemas.openxmlformats.org/officeDocument/2006/relationships/hyperlink" Target="https://apps.who.int/iris/handle/10665/331498" TargetMode="External"/><Relationship Id="rId51" Type="http://schemas.openxmlformats.org/officeDocument/2006/relationships/hyperlink" Target="http://www.euro.who.int/" TargetMode="External"/><Relationship Id="rId52" Type="http://schemas.openxmlformats.org/officeDocument/2006/relationships/hyperlink" Target="http://www.who.int/csr/disease/coronavirus_infections/case-management-ipc/ru/" TargetMode="External"/><Relationship Id="rId53" Type="http://schemas.openxmlformats.org/officeDocument/2006/relationships/hyperlink" Target="http://www.rasudm.org/files/RASUDM-Consensus-Statement-COVID.pdf" TargetMode="External"/><Relationship Id="rId54" Type="http://schemas.openxmlformats.org/officeDocument/2006/relationships/hyperlink" Target="https://nmfo/" TargetMode="External"/><Relationship Id="rId55" Type="http://schemas.openxmlformats.org/officeDocument/2006/relationships/hyperlink" Target="https://nmfo-vo.edu.rosminzdrav.ru/%23/user-account/view-iom/e8b1f2ca-6be5-9125-4a1e-0d99867e2f21" TargetMode="External"/><Relationship Id="rId56" Type="http://schemas.openxmlformats.org/officeDocument/2006/relationships/hyperlink" Target="https://doi.org/10.20862/0042-4676-2020-101-2-" TargetMode="External"/><Relationship Id="rId57" Type="http://schemas.openxmlformats.org/officeDocument/2006/relationships/hyperlink" Target="mailto:edizioni@aiporicerche.it" TargetMode="External"/><Relationship Id="rId58" Type="http://schemas.openxmlformats.org/officeDocument/2006/relationships/hyperlink" Target="http://www.nice.org./uk/guidancr/ng167" TargetMode="External"/><Relationship Id="rId59" Type="http://schemas.openxmlformats.org/officeDocument/2006/relationships/hyperlink" Target="http://www.rheumatology.org.uk/" TargetMode="External"/><Relationship Id="rId60" Type="http://schemas.openxmlformats.org/officeDocument/2006/relationships/hyperlink" Target="https://www.covid19treatmentguidelines.nih.gov/" TargetMode="External"/><Relationship Id="rId61" Type="http://schemas.openxmlformats.org/officeDocument/2006/relationships/image" Target="media/image4.jpeg"/><Relationship Id="rId62" Type="http://schemas.openxmlformats.org/officeDocument/2006/relationships/image" Target="media/image5.jpeg"/><Relationship Id="rId63" Type="http://schemas.openxmlformats.org/officeDocument/2006/relationships/image" Target="media/image6.png"/><Relationship Id="rId64" Type="http://schemas.openxmlformats.org/officeDocument/2006/relationships/image" Target="media/image7.jpeg"/><Relationship Id="rId65" Type="http://schemas.openxmlformats.org/officeDocument/2006/relationships/image" Target="media/image8.png"/><Relationship Id="rId66" Type="http://schemas.openxmlformats.org/officeDocument/2006/relationships/image" Target="media/image9.png"/><Relationship Id="rId67" Type="http://schemas.openxmlformats.org/officeDocument/2006/relationships/image" Target="media/image10.png"/><Relationship Id="rId68" Type="http://schemas.openxmlformats.org/officeDocument/2006/relationships/image" Target="media/image11.png"/><Relationship Id="rId69" Type="http://schemas.openxmlformats.org/officeDocument/2006/relationships/image" Target="media/image12.png"/><Relationship Id="rId70" Type="http://schemas.openxmlformats.org/officeDocument/2006/relationships/image" Target="media/image13.png"/><Relationship Id="rId71" Type="http://schemas.openxmlformats.org/officeDocument/2006/relationships/image" Target="media/image14.png"/><Relationship Id="rId72" Type="http://schemas.openxmlformats.org/officeDocument/2006/relationships/image" Target="media/image15.png"/><Relationship Id="rId73" Type="http://schemas.openxmlformats.org/officeDocument/2006/relationships/image" Target="media/image16.png"/><Relationship Id="rId74" Type="http://schemas.openxmlformats.org/officeDocument/2006/relationships/image" Target="media/image17.jpeg"/><Relationship Id="rId75" Type="http://schemas.openxmlformats.org/officeDocument/2006/relationships/image" Target="media/image18.jpeg"/><Relationship Id="rId76" Type="http://schemas.openxmlformats.org/officeDocument/2006/relationships/image" Target="media/image19.jpeg"/><Relationship Id="rId77" Type="http://schemas.openxmlformats.org/officeDocument/2006/relationships/image" Target="media/image20.jpeg"/><Relationship Id="rId78" Type="http://schemas.openxmlformats.org/officeDocument/2006/relationships/image" Target="media/image21.jpeg"/><Relationship Id="rId79" Type="http://schemas.openxmlformats.org/officeDocument/2006/relationships/image" Target="media/image22.jpeg"/><Relationship Id="rId80" Type="http://schemas.openxmlformats.org/officeDocument/2006/relationships/image" Target="media/image23.jpeg"/><Relationship Id="rId81" Type="http://schemas.openxmlformats.org/officeDocument/2006/relationships/image" Target="media/image24.jpeg"/><Relationship Id="rId82" Type="http://schemas.openxmlformats.org/officeDocument/2006/relationships/image" Target="media/image25.jpeg"/><Relationship Id="rId83" Type="http://schemas.openxmlformats.org/officeDocument/2006/relationships/image" Target="media/image26.jpeg"/><Relationship Id="rId84" Type="http://schemas.openxmlformats.org/officeDocument/2006/relationships/image" Target="media/image27.jpeg"/><Relationship Id="rId85" Type="http://schemas.openxmlformats.org/officeDocument/2006/relationships/image" Target="media/image28.jpeg"/><Relationship Id="rId86" Type="http://schemas.openxmlformats.org/officeDocument/2006/relationships/image" Target="media/image29.jpeg"/><Relationship Id="rId87" Type="http://schemas.openxmlformats.org/officeDocument/2006/relationships/image" Target="media/image30.jpeg"/><Relationship Id="rId88" Type="http://schemas.openxmlformats.org/officeDocument/2006/relationships/image" Target="media/image31.jpeg"/><Relationship Id="rId89" Type="http://schemas.openxmlformats.org/officeDocument/2006/relationships/image" Target="media/image32.jpeg"/><Relationship Id="rId90" Type="http://schemas.openxmlformats.org/officeDocument/2006/relationships/hyperlink" Target="http://www.rasudm.org/files/WFUMB-Position-Statement-" TargetMode="External"/><Relationship Id="rId91" Type="http://schemas.openxmlformats.org/officeDocument/2006/relationships/hyperlink" Target="http://www.rasudm.org/files/RASUDM-Consensus-" TargetMode="External"/><Relationship Id="rId92" Type="http://schemas.openxmlformats.org/officeDocument/2006/relationships/footer" Target="footer2.xml"/><Relationship Id="rId93" Type="http://schemas.openxmlformats.org/officeDocument/2006/relationships/image" Target="media/image33.png"/><Relationship Id="rId94" Type="http://schemas.openxmlformats.org/officeDocument/2006/relationships/footer" Target="footer3.xml"/><Relationship Id="rId95" Type="http://schemas.openxmlformats.org/officeDocument/2006/relationships/image" Target="media/image34.png"/><Relationship Id="rId96" Type="http://schemas.openxmlformats.org/officeDocument/2006/relationships/footer" Target="footer4.xml"/><Relationship Id="rId97" Type="http://schemas.openxmlformats.org/officeDocument/2006/relationships/footer" Target="footer5.xml"/><Relationship Id="rId98" Type="http://schemas.openxmlformats.org/officeDocument/2006/relationships/footer" Target="footer6.xml"/><Relationship Id="rId99" Type="http://schemas.openxmlformats.org/officeDocument/2006/relationships/hyperlink" Target="http://www.antibiotic.ru/ab/013-22.shtml#aminopen" TargetMode="External"/><Relationship Id="rId100" Type="http://schemas.openxmlformats.org/officeDocument/2006/relationships/hyperlink" Target="http://www.antibiotic.ru/ab/038-42.shtml" TargetMode="External"/><Relationship Id="rId101" Type="http://schemas.openxmlformats.org/officeDocument/2006/relationships/hyperlink" Target="http://www.antibiotic.ru/ab/042-47.shtml" TargetMode="External"/><Relationship Id="rId102" Type="http://schemas.openxmlformats.org/officeDocument/2006/relationships/footer" Target="footer7.xml"/><Relationship Id="rId103" Type="http://schemas.openxmlformats.org/officeDocument/2006/relationships/image" Target="media/image35.png"/><Relationship Id="rId104" Type="http://schemas.openxmlformats.org/officeDocument/2006/relationships/image" Target="media/image36.png"/><Relationship Id="rId105" Type="http://schemas.openxmlformats.org/officeDocument/2006/relationships/image" Target="media/image37.png"/><Relationship Id="rId106" Type="http://schemas.openxmlformats.org/officeDocument/2006/relationships/image" Target="media/image38.png"/><Relationship Id="rId107" Type="http://schemas.openxmlformats.org/officeDocument/2006/relationships/image" Target="media/image39.png"/><Relationship Id="rId108" Type="http://schemas.openxmlformats.org/officeDocument/2006/relationships/hyperlink" Target="https://static-0.minzdrav.gov.ru/system/attachments/attaches/000/050/914/original/03062020_%D0%B4%D0%B5%D1%82%D0%B8_COVID-19_v2.pdf" TargetMode="External"/><Relationship Id="rId109" Type="http://schemas.openxmlformats.org/officeDocument/2006/relationships/hyperlink" Target="https://static-3.rosminzdrav.ru/system/attachments/attaches/000/050/533/original/28052020_Preg_COVID-19_2.pdf" TargetMode="External"/><Relationship Id="rId110" Type="http://schemas.openxmlformats.org/officeDocument/2006/relationships/hyperlink" Target="https://static-0.minzdrav.gov.ru/system/attachments/attaches/000/051/187/original/31072020_Reab_COVID-19_v1.pdf" TargetMode="External"/><Relationship Id="rId111" Type="http://schemas.openxmlformats.org/officeDocument/2006/relationships/hyperlink" Target="https://static-0.rosminzdrav.ru/system/attachments/attaches/000/050/033/original/RESP_REC_V2.pdf" TargetMode="External"/><Relationship Id="rId112" Type="http://schemas.openxmlformats.org/officeDocument/2006/relationships/hyperlink" Target="https://static-0.minzdrav.gov.ru/system/attachments/attaches/000/050/945/original/06072020_MR_DISP_v1.pdf" TargetMode="External"/><Relationship Id="rId113" Type="http://schemas.openxmlformats.org/officeDocument/2006/relationships/hyperlink" Target="https://static-1.rosminzdrav.ru/system/attachments/attaches/000/050/527/original/27052020_MR_STAT_1.pdf" TargetMode="External"/><Relationship Id="rId114" Type="http://schemas.openxmlformats.org/officeDocument/2006/relationships/hyperlink" Target="https://ru.wikipedia.org/w/index.php?title=Positive_End_Expiratory_Pressure&amp;action=edit&amp;redlink=1" TargetMode="External"/><Relationship Id="rId115" Type="http://schemas.openxmlformats.org/officeDocument/2006/relationships/footer" Target="footer8.xml"/><Relationship Id="rId116" Type="http://schemas.openxmlformats.org/officeDocument/2006/relationships/image" Target="media/image40.jpeg"/><Relationship Id="rId117"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2020-11-13T08:34:36Z</dcterms:created>
  <dcterms:modified xsi:type="dcterms:W3CDTF">2020-11-13T08:34:36Z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2020-10-26T00:00:00Z</vt:filetime>
  </property>
  <property fmtid="{D5CDD505-2E9C-101B-9397-08002B2CF9AE}" pid="3" name="Creator">
    <vt:lpwstr>Acrobat PDFMaker 20 для Word</vt:lpwstr>
  </property>
  <property fmtid="{D5CDD505-2E9C-101B-9397-08002B2CF9AE}" pid="4" name="LastSaved">
    <vt:filetime>2020-11-13T00:00:00Z</vt:filetime>
  </property>
</Properties>
</file>