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D5C2A" w:rsidRDefault="00280B42">
      <w:pPr>
        <w:tabs>
          <w:tab w:val="right" w:pos="9638"/>
        </w:tabs>
        <w:spacing w:after="731" w:line="241" w:lineRule="auto"/>
        <w:ind w:left="-15"/>
      </w:pPr>
      <w:bookmarkStart w:id="0" w:name="_GoBack"/>
      <w:bookmarkEnd w:id="0"/>
      <w:r>
        <w:rPr>
          <w:rFonts w:ascii="Times New Roman" w:eastAsia="Times New Roman" w:hAnsi="Times New Roman" w:cs="Times New Roman"/>
          <w:color w:val="000003"/>
          <w:sz w:val="16"/>
        </w:rPr>
        <w:t>https://doi.org/10.22416/1382-4376-2020-30-5-63-83</w:t>
      </w:r>
      <w:r>
        <w:rPr>
          <w:rFonts w:ascii="Times New Roman" w:eastAsia="Times New Roman" w:hAnsi="Times New Roman" w:cs="Times New Roman"/>
          <w:color w:val="000003"/>
          <w:sz w:val="16"/>
        </w:rPr>
        <w:tab/>
      </w:r>
      <w:r>
        <w:rPr>
          <w:noProof/>
        </w:rPr>
        <mc:AlternateContent>
          <mc:Choice Requires="wpg">
            <w:drawing>
              <wp:inline distT="0" distB="0" distL="0" distR="0">
                <wp:extent cx="791992" cy="277795"/>
                <wp:effectExtent l="0" t="0" r="0" b="0"/>
                <wp:docPr id="39904" name="Group 39904"/>
                <wp:cNvGraphicFramePr/>
                <a:graphic xmlns:a="http://schemas.openxmlformats.org/drawingml/2006/main">
                  <a:graphicData uri="http://schemas.microsoft.com/office/word/2010/wordprocessingGroup">
                    <wpg:wgp>
                      <wpg:cNvGrpSpPr/>
                      <wpg:grpSpPr>
                        <a:xfrm>
                          <a:off x="0" y="0"/>
                          <a:ext cx="791992" cy="277795"/>
                          <a:chOff x="0" y="0"/>
                          <a:chExt cx="791992" cy="277795"/>
                        </a:xfrm>
                      </wpg:grpSpPr>
                      <wps:wsp>
                        <wps:cNvPr id="87" name="Shape 87"/>
                        <wps:cNvSpPr/>
                        <wps:spPr>
                          <a:xfrm>
                            <a:off x="0" y="0"/>
                            <a:ext cx="791992" cy="277795"/>
                          </a:xfrm>
                          <a:custGeom>
                            <a:avLst/>
                            <a:gdLst/>
                            <a:ahLst/>
                            <a:cxnLst/>
                            <a:rect l="0" t="0" r="0" b="0"/>
                            <a:pathLst>
                              <a:path w="791992" h="277795">
                                <a:moveTo>
                                  <a:pt x="14028" y="0"/>
                                </a:moveTo>
                                <a:lnTo>
                                  <a:pt x="777959" y="0"/>
                                </a:lnTo>
                                <a:cubicBezTo>
                                  <a:pt x="785668" y="0"/>
                                  <a:pt x="791992" y="6299"/>
                                  <a:pt x="791992" y="14008"/>
                                </a:cubicBezTo>
                                <a:lnTo>
                                  <a:pt x="791992" y="263779"/>
                                </a:lnTo>
                                <a:cubicBezTo>
                                  <a:pt x="791992" y="267633"/>
                                  <a:pt x="790411" y="271139"/>
                                  <a:pt x="787866" y="273680"/>
                                </a:cubicBezTo>
                                <a:lnTo>
                                  <a:pt x="777970" y="277795"/>
                                </a:lnTo>
                                <a:lnTo>
                                  <a:pt x="14017" y="277795"/>
                                </a:lnTo>
                                <a:lnTo>
                                  <a:pt x="4116" y="273680"/>
                                </a:lnTo>
                                <a:lnTo>
                                  <a:pt x="0" y="263792"/>
                                </a:lnTo>
                                <a:lnTo>
                                  <a:pt x="0" y="13995"/>
                                </a:lnTo>
                                <a:lnTo>
                                  <a:pt x="4116" y="4113"/>
                                </a:lnTo>
                                <a:cubicBezTo>
                                  <a:pt x="6659" y="1575"/>
                                  <a:pt x="10168" y="0"/>
                                  <a:pt x="14028" y="0"/>
                                </a:cubicBezTo>
                                <a:close/>
                              </a:path>
                            </a:pathLst>
                          </a:custGeom>
                          <a:ln w="0" cap="flat">
                            <a:miter lim="127000"/>
                          </a:ln>
                        </wps:spPr>
                        <wps:style>
                          <a:lnRef idx="0">
                            <a:srgbClr val="000000">
                              <a:alpha val="0"/>
                            </a:srgbClr>
                          </a:lnRef>
                          <a:fillRef idx="1">
                            <a:srgbClr val="000003"/>
                          </a:fillRef>
                          <a:effectRef idx="0">
                            <a:scrgbClr r="0" g="0" b="0"/>
                          </a:effectRef>
                          <a:fontRef idx="none"/>
                        </wps:style>
                        <wps:bodyPr/>
                      </wps:wsp>
                      <wps:wsp>
                        <wps:cNvPr id="88" name="Shape 88"/>
                        <wps:cNvSpPr/>
                        <wps:spPr>
                          <a:xfrm>
                            <a:off x="8770" y="8768"/>
                            <a:ext cx="774446" cy="260261"/>
                          </a:xfrm>
                          <a:custGeom>
                            <a:avLst/>
                            <a:gdLst/>
                            <a:ahLst/>
                            <a:cxnLst/>
                            <a:rect l="0" t="0" r="0" b="0"/>
                            <a:pathLst>
                              <a:path w="774446" h="260261">
                                <a:moveTo>
                                  <a:pt x="5258" y="0"/>
                                </a:moveTo>
                                <a:lnTo>
                                  <a:pt x="769188" y="0"/>
                                </a:lnTo>
                                <a:cubicBezTo>
                                  <a:pt x="772033" y="0"/>
                                  <a:pt x="774446" y="2413"/>
                                  <a:pt x="774446" y="5232"/>
                                </a:cubicBezTo>
                                <a:lnTo>
                                  <a:pt x="774446" y="255003"/>
                                </a:lnTo>
                                <a:cubicBezTo>
                                  <a:pt x="774446" y="257848"/>
                                  <a:pt x="772033" y="260261"/>
                                  <a:pt x="769188" y="260261"/>
                                </a:cubicBezTo>
                                <a:lnTo>
                                  <a:pt x="5258" y="260261"/>
                                </a:lnTo>
                                <a:cubicBezTo>
                                  <a:pt x="2413" y="260261"/>
                                  <a:pt x="0" y="257848"/>
                                  <a:pt x="0" y="255003"/>
                                </a:cubicBezTo>
                                <a:lnTo>
                                  <a:pt x="0" y="5232"/>
                                </a:lnTo>
                                <a:cubicBezTo>
                                  <a:pt x="0" y="2413"/>
                                  <a:pt x="2413" y="0"/>
                                  <a:pt x="5258" y="0"/>
                                </a:cubicBezTo>
                                <a:close/>
                              </a:path>
                            </a:pathLst>
                          </a:custGeom>
                          <a:ln w="0" cap="flat">
                            <a:miter lim="127000"/>
                          </a:ln>
                        </wps:spPr>
                        <wps:style>
                          <a:lnRef idx="0">
                            <a:srgbClr val="000000">
                              <a:alpha val="0"/>
                            </a:srgbClr>
                          </a:lnRef>
                          <a:fillRef idx="1">
                            <a:srgbClr val="D7D7D9"/>
                          </a:fillRef>
                          <a:effectRef idx="0">
                            <a:scrgbClr r="0" g="0" b="0"/>
                          </a:effectRef>
                          <a:fontRef idx="none"/>
                        </wps:style>
                        <wps:bodyPr/>
                      </wps:wsp>
                      <wps:wsp>
                        <wps:cNvPr id="47485" name="Shape 47485"/>
                        <wps:cNvSpPr/>
                        <wps:spPr>
                          <a:xfrm>
                            <a:off x="5702" y="194077"/>
                            <a:ext cx="782295" cy="78892"/>
                          </a:xfrm>
                          <a:custGeom>
                            <a:avLst/>
                            <a:gdLst/>
                            <a:ahLst/>
                            <a:cxnLst/>
                            <a:rect l="0" t="0" r="0" b="0"/>
                            <a:pathLst>
                              <a:path w="782295" h="78892">
                                <a:moveTo>
                                  <a:pt x="0" y="0"/>
                                </a:moveTo>
                                <a:lnTo>
                                  <a:pt x="782295" y="0"/>
                                </a:lnTo>
                                <a:lnTo>
                                  <a:pt x="782295" y="78892"/>
                                </a:lnTo>
                                <a:lnTo>
                                  <a:pt x="0" y="78892"/>
                                </a:lnTo>
                                <a:lnTo>
                                  <a:pt x="0" y="0"/>
                                </a:lnTo>
                              </a:path>
                            </a:pathLst>
                          </a:custGeom>
                          <a:ln w="0" cap="flat">
                            <a:miter lim="127000"/>
                          </a:ln>
                        </wps:spPr>
                        <wps:style>
                          <a:lnRef idx="0">
                            <a:srgbClr val="000000">
                              <a:alpha val="0"/>
                            </a:srgbClr>
                          </a:lnRef>
                          <a:fillRef idx="1">
                            <a:srgbClr val="000003"/>
                          </a:fillRef>
                          <a:effectRef idx="0">
                            <a:scrgbClr r="0" g="0" b="0"/>
                          </a:effectRef>
                          <a:fontRef idx="none"/>
                        </wps:style>
                        <wps:bodyPr/>
                      </wps:wsp>
                      <wps:wsp>
                        <wps:cNvPr id="90" name="Shape 90"/>
                        <wps:cNvSpPr/>
                        <wps:spPr>
                          <a:xfrm>
                            <a:off x="16080" y="8985"/>
                            <a:ext cx="240474" cy="240487"/>
                          </a:xfrm>
                          <a:custGeom>
                            <a:avLst/>
                            <a:gdLst/>
                            <a:ahLst/>
                            <a:cxnLst/>
                            <a:rect l="0" t="0" r="0" b="0"/>
                            <a:pathLst>
                              <a:path w="240474" h="240487">
                                <a:moveTo>
                                  <a:pt x="120243" y="0"/>
                                </a:moveTo>
                                <a:cubicBezTo>
                                  <a:pt x="186652" y="0"/>
                                  <a:pt x="240474" y="53835"/>
                                  <a:pt x="240474" y="120244"/>
                                </a:cubicBezTo>
                                <a:cubicBezTo>
                                  <a:pt x="240474" y="186639"/>
                                  <a:pt x="186652" y="240487"/>
                                  <a:pt x="120243" y="240487"/>
                                </a:cubicBezTo>
                                <a:cubicBezTo>
                                  <a:pt x="53822" y="240487"/>
                                  <a:pt x="0" y="186639"/>
                                  <a:pt x="0" y="120244"/>
                                </a:cubicBezTo>
                                <a:cubicBezTo>
                                  <a:pt x="0" y="53835"/>
                                  <a:pt x="53822" y="0"/>
                                  <a:pt x="120243" y="0"/>
                                </a:cubicBezTo>
                                <a:close/>
                              </a:path>
                            </a:pathLst>
                          </a:custGeom>
                          <a:ln w="0" cap="flat">
                            <a:miter lim="127000"/>
                          </a:ln>
                        </wps:spPr>
                        <wps:style>
                          <a:lnRef idx="0">
                            <a:srgbClr val="000000">
                              <a:alpha val="0"/>
                            </a:srgbClr>
                          </a:lnRef>
                          <a:fillRef idx="1">
                            <a:srgbClr val="D7D7D9"/>
                          </a:fillRef>
                          <a:effectRef idx="0">
                            <a:scrgbClr r="0" g="0" b="0"/>
                          </a:effectRef>
                          <a:fontRef idx="none"/>
                        </wps:style>
                        <wps:bodyPr/>
                      </wps:wsp>
                      <wps:wsp>
                        <wps:cNvPr id="91" name="Shape 91"/>
                        <wps:cNvSpPr/>
                        <wps:spPr>
                          <a:xfrm>
                            <a:off x="268388" y="21424"/>
                            <a:ext cx="152883" cy="152895"/>
                          </a:xfrm>
                          <a:custGeom>
                            <a:avLst/>
                            <a:gdLst/>
                            <a:ahLst/>
                            <a:cxnLst/>
                            <a:rect l="0" t="0" r="0" b="0"/>
                            <a:pathLst>
                              <a:path w="152883" h="152895">
                                <a:moveTo>
                                  <a:pt x="76441" y="0"/>
                                </a:moveTo>
                                <a:cubicBezTo>
                                  <a:pt x="118656" y="0"/>
                                  <a:pt x="152883" y="34226"/>
                                  <a:pt x="152883" y="76454"/>
                                </a:cubicBezTo>
                                <a:cubicBezTo>
                                  <a:pt x="152883" y="118669"/>
                                  <a:pt x="118656" y="152895"/>
                                  <a:pt x="76441" y="152895"/>
                                </a:cubicBezTo>
                                <a:cubicBezTo>
                                  <a:pt x="34227" y="152895"/>
                                  <a:pt x="0" y="118669"/>
                                  <a:pt x="0" y="76454"/>
                                </a:cubicBezTo>
                                <a:cubicBezTo>
                                  <a:pt x="0" y="34226"/>
                                  <a:pt x="34227" y="0"/>
                                  <a:pt x="76441" y="0"/>
                                </a:cubicBezTo>
                                <a:close/>
                              </a:path>
                            </a:pathLst>
                          </a:custGeom>
                          <a:ln w="0" cap="flat">
                            <a:miter lim="127000"/>
                          </a:ln>
                        </wps:spPr>
                        <wps:style>
                          <a:lnRef idx="0">
                            <a:srgbClr val="000000">
                              <a:alpha val="0"/>
                            </a:srgbClr>
                          </a:lnRef>
                          <a:fillRef idx="1">
                            <a:srgbClr val="000003"/>
                          </a:fillRef>
                          <a:effectRef idx="0">
                            <a:scrgbClr r="0" g="0" b="0"/>
                          </a:effectRef>
                          <a:fontRef idx="none"/>
                        </wps:style>
                        <wps:bodyPr/>
                      </wps:wsp>
                      <wps:wsp>
                        <wps:cNvPr id="92" name="Shape 92"/>
                        <wps:cNvSpPr/>
                        <wps:spPr>
                          <a:xfrm>
                            <a:off x="31383" y="24289"/>
                            <a:ext cx="209855" cy="209868"/>
                          </a:xfrm>
                          <a:custGeom>
                            <a:avLst/>
                            <a:gdLst/>
                            <a:ahLst/>
                            <a:cxnLst/>
                            <a:rect l="0" t="0" r="0" b="0"/>
                            <a:pathLst>
                              <a:path w="209855" h="209868">
                                <a:moveTo>
                                  <a:pt x="104940" y="0"/>
                                </a:moveTo>
                                <a:cubicBezTo>
                                  <a:pt x="162890" y="0"/>
                                  <a:pt x="209855" y="46977"/>
                                  <a:pt x="209855" y="104940"/>
                                </a:cubicBezTo>
                                <a:cubicBezTo>
                                  <a:pt x="209855" y="162890"/>
                                  <a:pt x="162890" y="209868"/>
                                  <a:pt x="104940" y="209868"/>
                                </a:cubicBezTo>
                                <a:cubicBezTo>
                                  <a:pt x="46977" y="209868"/>
                                  <a:pt x="0" y="162890"/>
                                  <a:pt x="0" y="104940"/>
                                </a:cubicBezTo>
                                <a:cubicBezTo>
                                  <a:pt x="0" y="46977"/>
                                  <a:pt x="46977" y="0"/>
                                  <a:pt x="104940" y="0"/>
                                </a:cubicBezTo>
                                <a:close/>
                              </a:path>
                            </a:pathLst>
                          </a:custGeom>
                          <a:ln w="0" cap="flat">
                            <a:miter lim="127000"/>
                          </a:ln>
                        </wps:spPr>
                        <wps:style>
                          <a:lnRef idx="0">
                            <a:srgbClr val="000000">
                              <a:alpha val="0"/>
                            </a:srgbClr>
                          </a:lnRef>
                          <a:fillRef idx="1">
                            <a:srgbClr val="000003"/>
                          </a:fillRef>
                          <a:effectRef idx="0">
                            <a:scrgbClr r="0" g="0" b="0"/>
                          </a:effectRef>
                          <a:fontRef idx="none"/>
                        </wps:style>
                        <wps:bodyPr/>
                      </wps:wsp>
                      <wps:wsp>
                        <wps:cNvPr id="93" name="Shape 93"/>
                        <wps:cNvSpPr/>
                        <wps:spPr>
                          <a:xfrm>
                            <a:off x="437473" y="21424"/>
                            <a:ext cx="152896" cy="152895"/>
                          </a:xfrm>
                          <a:custGeom>
                            <a:avLst/>
                            <a:gdLst/>
                            <a:ahLst/>
                            <a:cxnLst/>
                            <a:rect l="0" t="0" r="0" b="0"/>
                            <a:pathLst>
                              <a:path w="152896" h="152895">
                                <a:moveTo>
                                  <a:pt x="76441" y="0"/>
                                </a:moveTo>
                                <a:cubicBezTo>
                                  <a:pt x="118656" y="0"/>
                                  <a:pt x="152896" y="34226"/>
                                  <a:pt x="152896" y="76454"/>
                                </a:cubicBezTo>
                                <a:cubicBezTo>
                                  <a:pt x="152896" y="118669"/>
                                  <a:pt x="118656" y="152895"/>
                                  <a:pt x="76441" y="152895"/>
                                </a:cubicBezTo>
                                <a:cubicBezTo>
                                  <a:pt x="34227" y="152895"/>
                                  <a:pt x="0" y="118669"/>
                                  <a:pt x="0" y="76454"/>
                                </a:cubicBezTo>
                                <a:cubicBezTo>
                                  <a:pt x="0" y="34226"/>
                                  <a:pt x="34227" y="0"/>
                                  <a:pt x="76441" y="0"/>
                                </a:cubicBezTo>
                                <a:close/>
                              </a:path>
                            </a:pathLst>
                          </a:custGeom>
                          <a:ln w="0" cap="flat">
                            <a:miter lim="127000"/>
                          </a:ln>
                        </wps:spPr>
                        <wps:style>
                          <a:lnRef idx="0">
                            <a:srgbClr val="000000">
                              <a:alpha val="0"/>
                            </a:srgbClr>
                          </a:lnRef>
                          <a:fillRef idx="1">
                            <a:srgbClr val="000003"/>
                          </a:fillRef>
                          <a:effectRef idx="0">
                            <a:scrgbClr r="0" g="0" b="0"/>
                          </a:effectRef>
                          <a:fontRef idx="none"/>
                        </wps:style>
                        <wps:bodyPr/>
                      </wps:wsp>
                      <wps:wsp>
                        <wps:cNvPr id="94" name="Shape 94"/>
                        <wps:cNvSpPr/>
                        <wps:spPr>
                          <a:xfrm>
                            <a:off x="607042" y="21424"/>
                            <a:ext cx="152882" cy="152895"/>
                          </a:xfrm>
                          <a:custGeom>
                            <a:avLst/>
                            <a:gdLst/>
                            <a:ahLst/>
                            <a:cxnLst/>
                            <a:rect l="0" t="0" r="0" b="0"/>
                            <a:pathLst>
                              <a:path w="152882" h="152895">
                                <a:moveTo>
                                  <a:pt x="76441" y="0"/>
                                </a:moveTo>
                                <a:cubicBezTo>
                                  <a:pt x="118656" y="0"/>
                                  <a:pt x="152882" y="34226"/>
                                  <a:pt x="152882" y="76454"/>
                                </a:cubicBezTo>
                                <a:cubicBezTo>
                                  <a:pt x="152882" y="118669"/>
                                  <a:pt x="118656" y="152895"/>
                                  <a:pt x="76441" y="152895"/>
                                </a:cubicBezTo>
                                <a:cubicBezTo>
                                  <a:pt x="34227" y="152895"/>
                                  <a:pt x="0" y="118669"/>
                                  <a:pt x="0" y="76454"/>
                                </a:cubicBezTo>
                                <a:cubicBezTo>
                                  <a:pt x="0" y="34226"/>
                                  <a:pt x="34227" y="0"/>
                                  <a:pt x="76441" y="0"/>
                                </a:cubicBezTo>
                                <a:close/>
                              </a:path>
                            </a:pathLst>
                          </a:custGeom>
                          <a:ln w="0" cap="flat">
                            <a:miter lim="127000"/>
                          </a:ln>
                        </wps:spPr>
                        <wps:style>
                          <a:lnRef idx="0">
                            <a:srgbClr val="000000">
                              <a:alpha val="0"/>
                            </a:srgbClr>
                          </a:lnRef>
                          <a:fillRef idx="1">
                            <a:srgbClr val="000003"/>
                          </a:fillRef>
                          <a:effectRef idx="0">
                            <a:scrgbClr r="0" g="0" b="0"/>
                          </a:effectRef>
                          <a:fontRef idx="none"/>
                        </wps:style>
                        <wps:bodyPr/>
                      </wps:wsp>
                      <wps:wsp>
                        <wps:cNvPr id="95" name="Shape 95"/>
                        <wps:cNvSpPr/>
                        <wps:spPr>
                          <a:xfrm>
                            <a:off x="282239" y="35277"/>
                            <a:ext cx="125171" cy="125184"/>
                          </a:xfrm>
                          <a:custGeom>
                            <a:avLst/>
                            <a:gdLst/>
                            <a:ahLst/>
                            <a:cxnLst/>
                            <a:rect l="0" t="0" r="0" b="0"/>
                            <a:pathLst>
                              <a:path w="125171" h="125184">
                                <a:moveTo>
                                  <a:pt x="62585" y="0"/>
                                </a:moveTo>
                                <a:cubicBezTo>
                                  <a:pt x="97155" y="0"/>
                                  <a:pt x="125171" y="28016"/>
                                  <a:pt x="125171" y="62598"/>
                                </a:cubicBezTo>
                                <a:cubicBezTo>
                                  <a:pt x="125171" y="97168"/>
                                  <a:pt x="97155" y="125184"/>
                                  <a:pt x="62585" y="125184"/>
                                </a:cubicBezTo>
                                <a:cubicBezTo>
                                  <a:pt x="28016" y="125184"/>
                                  <a:pt x="0" y="97168"/>
                                  <a:pt x="0" y="62598"/>
                                </a:cubicBezTo>
                                <a:cubicBezTo>
                                  <a:pt x="0" y="28016"/>
                                  <a:pt x="28016" y="0"/>
                                  <a:pt x="62585" y="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96" name="Shape 96"/>
                        <wps:cNvSpPr/>
                        <wps:spPr>
                          <a:xfrm>
                            <a:off x="50406" y="43316"/>
                            <a:ext cx="171831" cy="171818"/>
                          </a:xfrm>
                          <a:custGeom>
                            <a:avLst/>
                            <a:gdLst/>
                            <a:ahLst/>
                            <a:cxnLst/>
                            <a:rect l="0" t="0" r="0" b="0"/>
                            <a:pathLst>
                              <a:path w="171831" h="171818">
                                <a:moveTo>
                                  <a:pt x="85915" y="0"/>
                                </a:moveTo>
                                <a:cubicBezTo>
                                  <a:pt x="133363" y="0"/>
                                  <a:pt x="171831" y="38456"/>
                                  <a:pt x="171831" y="85915"/>
                                </a:cubicBezTo>
                                <a:cubicBezTo>
                                  <a:pt x="171831" y="133363"/>
                                  <a:pt x="133363" y="171818"/>
                                  <a:pt x="85915" y="171818"/>
                                </a:cubicBezTo>
                                <a:cubicBezTo>
                                  <a:pt x="38468" y="171818"/>
                                  <a:pt x="0" y="133363"/>
                                  <a:pt x="0" y="85915"/>
                                </a:cubicBezTo>
                                <a:cubicBezTo>
                                  <a:pt x="0" y="38456"/>
                                  <a:pt x="38468" y="0"/>
                                  <a:pt x="85915" y="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97" name="Shape 97"/>
                        <wps:cNvSpPr/>
                        <wps:spPr>
                          <a:xfrm>
                            <a:off x="451338" y="35277"/>
                            <a:ext cx="125171" cy="125184"/>
                          </a:xfrm>
                          <a:custGeom>
                            <a:avLst/>
                            <a:gdLst/>
                            <a:ahLst/>
                            <a:cxnLst/>
                            <a:rect l="0" t="0" r="0" b="0"/>
                            <a:pathLst>
                              <a:path w="125171" h="125184">
                                <a:moveTo>
                                  <a:pt x="62573" y="0"/>
                                </a:moveTo>
                                <a:cubicBezTo>
                                  <a:pt x="97155" y="0"/>
                                  <a:pt x="125171" y="28016"/>
                                  <a:pt x="125171" y="62598"/>
                                </a:cubicBezTo>
                                <a:cubicBezTo>
                                  <a:pt x="125171" y="97168"/>
                                  <a:pt x="97155" y="125184"/>
                                  <a:pt x="62573" y="125184"/>
                                </a:cubicBezTo>
                                <a:cubicBezTo>
                                  <a:pt x="28029" y="125184"/>
                                  <a:pt x="0" y="97168"/>
                                  <a:pt x="0" y="62598"/>
                                </a:cubicBezTo>
                                <a:cubicBezTo>
                                  <a:pt x="0" y="28016"/>
                                  <a:pt x="28029" y="0"/>
                                  <a:pt x="62573" y="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98" name="Shape 98"/>
                        <wps:cNvSpPr/>
                        <wps:spPr>
                          <a:xfrm>
                            <a:off x="620886" y="35277"/>
                            <a:ext cx="125184" cy="125184"/>
                          </a:xfrm>
                          <a:custGeom>
                            <a:avLst/>
                            <a:gdLst/>
                            <a:ahLst/>
                            <a:cxnLst/>
                            <a:rect l="0" t="0" r="0" b="0"/>
                            <a:pathLst>
                              <a:path w="125184" h="125184">
                                <a:moveTo>
                                  <a:pt x="62599" y="0"/>
                                </a:moveTo>
                                <a:cubicBezTo>
                                  <a:pt x="97168" y="0"/>
                                  <a:pt x="125184" y="28016"/>
                                  <a:pt x="125184" y="62598"/>
                                </a:cubicBezTo>
                                <a:cubicBezTo>
                                  <a:pt x="125184" y="97168"/>
                                  <a:pt x="97168" y="125184"/>
                                  <a:pt x="62599" y="125184"/>
                                </a:cubicBezTo>
                                <a:cubicBezTo>
                                  <a:pt x="28029" y="125184"/>
                                  <a:pt x="0" y="97168"/>
                                  <a:pt x="0" y="62598"/>
                                </a:cubicBezTo>
                                <a:cubicBezTo>
                                  <a:pt x="0" y="28016"/>
                                  <a:pt x="28029" y="0"/>
                                  <a:pt x="62599" y="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99" name="Shape 99"/>
                        <wps:cNvSpPr/>
                        <wps:spPr>
                          <a:xfrm>
                            <a:off x="326390" y="73960"/>
                            <a:ext cx="37109" cy="73317"/>
                          </a:xfrm>
                          <a:custGeom>
                            <a:avLst/>
                            <a:gdLst/>
                            <a:ahLst/>
                            <a:cxnLst/>
                            <a:rect l="0" t="0" r="0" b="0"/>
                            <a:pathLst>
                              <a:path w="37109" h="73317">
                                <a:moveTo>
                                  <a:pt x="7747" y="0"/>
                                </a:moveTo>
                                <a:lnTo>
                                  <a:pt x="29121" y="0"/>
                                </a:lnTo>
                                <a:cubicBezTo>
                                  <a:pt x="37109" y="0"/>
                                  <a:pt x="36398" y="5448"/>
                                  <a:pt x="36398" y="7099"/>
                                </a:cubicBezTo>
                                <a:lnTo>
                                  <a:pt x="36398" y="36652"/>
                                </a:lnTo>
                                <a:lnTo>
                                  <a:pt x="29121" y="36652"/>
                                </a:lnTo>
                                <a:lnTo>
                                  <a:pt x="29121" y="73317"/>
                                </a:lnTo>
                                <a:lnTo>
                                  <a:pt x="6579" y="73317"/>
                                </a:lnTo>
                                <a:lnTo>
                                  <a:pt x="6579" y="37147"/>
                                </a:lnTo>
                                <a:lnTo>
                                  <a:pt x="0" y="37147"/>
                                </a:lnTo>
                                <a:lnTo>
                                  <a:pt x="0" y="7734"/>
                                </a:lnTo>
                                <a:cubicBezTo>
                                  <a:pt x="0" y="1626"/>
                                  <a:pt x="3061" y="0"/>
                                  <a:pt x="7747" y="0"/>
                                </a:cubicBezTo>
                                <a:close/>
                              </a:path>
                            </a:pathLst>
                          </a:custGeom>
                          <a:ln w="0" cap="flat">
                            <a:miter lim="127000"/>
                          </a:ln>
                        </wps:spPr>
                        <wps:style>
                          <a:lnRef idx="0">
                            <a:srgbClr val="000000">
                              <a:alpha val="0"/>
                            </a:srgbClr>
                          </a:lnRef>
                          <a:fillRef idx="1">
                            <a:srgbClr val="000003"/>
                          </a:fillRef>
                          <a:effectRef idx="0">
                            <a:scrgbClr r="0" g="0" b="0"/>
                          </a:effectRef>
                          <a:fontRef idx="none"/>
                        </wps:style>
                        <wps:bodyPr/>
                      </wps:wsp>
                      <wps:wsp>
                        <wps:cNvPr id="100" name="Shape 100"/>
                        <wps:cNvSpPr/>
                        <wps:spPr>
                          <a:xfrm>
                            <a:off x="333687" y="48993"/>
                            <a:ext cx="21818" cy="21844"/>
                          </a:xfrm>
                          <a:custGeom>
                            <a:avLst/>
                            <a:gdLst/>
                            <a:ahLst/>
                            <a:cxnLst/>
                            <a:rect l="0" t="0" r="0" b="0"/>
                            <a:pathLst>
                              <a:path w="21818" h="21844">
                                <a:moveTo>
                                  <a:pt x="10897" y="0"/>
                                </a:moveTo>
                                <a:cubicBezTo>
                                  <a:pt x="16942" y="0"/>
                                  <a:pt x="21818" y="4902"/>
                                  <a:pt x="21818" y="10922"/>
                                </a:cubicBezTo>
                                <a:cubicBezTo>
                                  <a:pt x="21818" y="16942"/>
                                  <a:pt x="16942" y="21844"/>
                                  <a:pt x="10897" y="21844"/>
                                </a:cubicBezTo>
                                <a:cubicBezTo>
                                  <a:pt x="4889" y="21844"/>
                                  <a:pt x="0" y="16942"/>
                                  <a:pt x="0" y="10922"/>
                                </a:cubicBezTo>
                                <a:cubicBezTo>
                                  <a:pt x="0" y="4902"/>
                                  <a:pt x="4889" y="0"/>
                                  <a:pt x="10897" y="0"/>
                                </a:cubicBezTo>
                                <a:close/>
                              </a:path>
                            </a:pathLst>
                          </a:custGeom>
                          <a:ln w="0" cap="flat">
                            <a:miter lim="127000"/>
                          </a:ln>
                        </wps:spPr>
                        <wps:style>
                          <a:lnRef idx="0">
                            <a:srgbClr val="000000">
                              <a:alpha val="0"/>
                            </a:srgbClr>
                          </a:lnRef>
                          <a:fillRef idx="1">
                            <a:srgbClr val="000003"/>
                          </a:fillRef>
                          <a:effectRef idx="0">
                            <a:scrgbClr r="0" g="0" b="0"/>
                          </a:effectRef>
                          <a:fontRef idx="none"/>
                        </wps:style>
                        <wps:bodyPr/>
                      </wps:wsp>
                      <wps:wsp>
                        <wps:cNvPr id="101" name="Shape 101"/>
                        <wps:cNvSpPr/>
                        <wps:spPr>
                          <a:xfrm>
                            <a:off x="448180" y="62403"/>
                            <a:ext cx="134392" cy="71450"/>
                          </a:xfrm>
                          <a:custGeom>
                            <a:avLst/>
                            <a:gdLst/>
                            <a:ahLst/>
                            <a:cxnLst/>
                            <a:rect l="0" t="0" r="0" b="0"/>
                            <a:pathLst>
                              <a:path w="134392" h="71450">
                                <a:moveTo>
                                  <a:pt x="6172" y="0"/>
                                </a:moveTo>
                                <a:lnTo>
                                  <a:pt x="134392" y="57747"/>
                                </a:lnTo>
                                <a:lnTo>
                                  <a:pt x="128219" y="71450"/>
                                </a:lnTo>
                                <a:lnTo>
                                  <a:pt x="0" y="13703"/>
                                </a:lnTo>
                                <a:lnTo>
                                  <a:pt x="6172" y="0"/>
                                </a:lnTo>
                                <a:close/>
                              </a:path>
                            </a:pathLst>
                          </a:custGeom>
                          <a:ln w="0" cap="flat">
                            <a:miter lim="127000"/>
                          </a:ln>
                        </wps:spPr>
                        <wps:style>
                          <a:lnRef idx="0">
                            <a:srgbClr val="000000">
                              <a:alpha val="0"/>
                            </a:srgbClr>
                          </a:lnRef>
                          <a:fillRef idx="1">
                            <a:srgbClr val="000003"/>
                          </a:fillRef>
                          <a:effectRef idx="0">
                            <a:scrgbClr r="0" g="0" b="0"/>
                          </a:effectRef>
                          <a:fontRef idx="none"/>
                        </wps:style>
                        <wps:bodyPr/>
                      </wps:wsp>
                      <wps:wsp>
                        <wps:cNvPr id="102" name="Shape 102"/>
                        <wps:cNvSpPr/>
                        <wps:spPr>
                          <a:xfrm>
                            <a:off x="305237" y="209846"/>
                            <a:ext cx="18116" cy="51130"/>
                          </a:xfrm>
                          <a:custGeom>
                            <a:avLst/>
                            <a:gdLst/>
                            <a:ahLst/>
                            <a:cxnLst/>
                            <a:rect l="0" t="0" r="0" b="0"/>
                            <a:pathLst>
                              <a:path w="18116" h="51130">
                                <a:moveTo>
                                  <a:pt x="14211" y="0"/>
                                </a:moveTo>
                                <a:lnTo>
                                  <a:pt x="18116" y="827"/>
                                </a:lnTo>
                                <a:lnTo>
                                  <a:pt x="18116" y="7465"/>
                                </a:lnTo>
                                <a:lnTo>
                                  <a:pt x="15151" y="6782"/>
                                </a:lnTo>
                                <a:cubicBezTo>
                                  <a:pt x="12306" y="6782"/>
                                  <a:pt x="10655" y="6934"/>
                                  <a:pt x="9627" y="7163"/>
                                </a:cubicBezTo>
                                <a:lnTo>
                                  <a:pt x="9627" y="20930"/>
                                </a:lnTo>
                                <a:lnTo>
                                  <a:pt x="14592" y="20930"/>
                                </a:lnTo>
                                <a:lnTo>
                                  <a:pt x="18116" y="20022"/>
                                </a:lnTo>
                                <a:lnTo>
                                  <a:pt x="18116" y="28395"/>
                                </a:lnTo>
                                <a:lnTo>
                                  <a:pt x="14453" y="27572"/>
                                </a:lnTo>
                                <a:lnTo>
                                  <a:pt x="9627" y="27572"/>
                                </a:lnTo>
                                <a:lnTo>
                                  <a:pt x="9627" y="43967"/>
                                </a:lnTo>
                                <a:cubicBezTo>
                                  <a:pt x="10884" y="44196"/>
                                  <a:pt x="12548" y="44196"/>
                                  <a:pt x="14757" y="44196"/>
                                </a:cubicBezTo>
                                <a:lnTo>
                                  <a:pt x="18116" y="43443"/>
                                </a:lnTo>
                                <a:lnTo>
                                  <a:pt x="18116" y="50534"/>
                                </a:lnTo>
                                <a:lnTo>
                                  <a:pt x="11912" y="51130"/>
                                </a:lnTo>
                                <a:cubicBezTo>
                                  <a:pt x="6553" y="51130"/>
                                  <a:pt x="2515" y="50749"/>
                                  <a:pt x="0" y="50457"/>
                                </a:cubicBezTo>
                                <a:lnTo>
                                  <a:pt x="0" y="1143"/>
                                </a:lnTo>
                                <a:cubicBezTo>
                                  <a:pt x="3061" y="521"/>
                                  <a:pt x="8687" y="0"/>
                                  <a:pt x="14211" y="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3" name="Shape 103"/>
                        <wps:cNvSpPr/>
                        <wps:spPr>
                          <a:xfrm>
                            <a:off x="323353" y="210674"/>
                            <a:ext cx="18676" cy="49706"/>
                          </a:xfrm>
                          <a:custGeom>
                            <a:avLst/>
                            <a:gdLst/>
                            <a:ahLst/>
                            <a:cxnLst/>
                            <a:rect l="0" t="0" r="0" b="0"/>
                            <a:pathLst>
                              <a:path w="18676" h="49706">
                                <a:moveTo>
                                  <a:pt x="0" y="0"/>
                                </a:moveTo>
                                <a:lnTo>
                                  <a:pt x="11259" y="2386"/>
                                </a:lnTo>
                                <a:cubicBezTo>
                                  <a:pt x="14574" y="4253"/>
                                  <a:pt x="16783" y="7529"/>
                                  <a:pt x="16783" y="11834"/>
                                </a:cubicBezTo>
                                <a:cubicBezTo>
                                  <a:pt x="16783" y="16470"/>
                                  <a:pt x="13710" y="20648"/>
                                  <a:pt x="7944" y="22655"/>
                                </a:cubicBezTo>
                                <a:lnTo>
                                  <a:pt x="7944" y="22883"/>
                                </a:lnTo>
                                <a:cubicBezTo>
                                  <a:pt x="13557" y="24217"/>
                                  <a:pt x="18676" y="28395"/>
                                  <a:pt x="18676" y="35253"/>
                                </a:cubicBezTo>
                                <a:cubicBezTo>
                                  <a:pt x="18676" y="39711"/>
                                  <a:pt x="16618" y="43216"/>
                                  <a:pt x="13634" y="45667"/>
                                </a:cubicBezTo>
                                <a:cubicBezTo>
                                  <a:pt x="11735" y="47198"/>
                                  <a:pt x="9227" y="48356"/>
                                  <a:pt x="5967" y="49133"/>
                                </a:cubicBezTo>
                                <a:lnTo>
                                  <a:pt x="0" y="49706"/>
                                </a:lnTo>
                                <a:lnTo>
                                  <a:pt x="0" y="42616"/>
                                </a:lnTo>
                                <a:lnTo>
                                  <a:pt x="4909" y="41516"/>
                                </a:lnTo>
                                <a:cubicBezTo>
                                  <a:pt x="7090" y="40203"/>
                                  <a:pt x="8490" y="38117"/>
                                  <a:pt x="8490" y="35025"/>
                                </a:cubicBezTo>
                                <a:cubicBezTo>
                                  <a:pt x="8490" y="32078"/>
                                  <a:pt x="7128" y="30008"/>
                                  <a:pt x="4928" y="28675"/>
                                </a:cubicBezTo>
                                <a:lnTo>
                                  <a:pt x="0" y="27567"/>
                                </a:lnTo>
                                <a:lnTo>
                                  <a:pt x="0" y="19195"/>
                                </a:lnTo>
                                <a:lnTo>
                                  <a:pt x="4287" y="18091"/>
                                </a:lnTo>
                                <a:cubicBezTo>
                                  <a:pt x="6064" y="16819"/>
                                  <a:pt x="6991" y="15016"/>
                                  <a:pt x="6991" y="12888"/>
                                </a:cubicBezTo>
                                <a:cubicBezTo>
                                  <a:pt x="6991" y="10507"/>
                                  <a:pt x="6045" y="8774"/>
                                  <a:pt x="4328" y="7635"/>
                                </a:cubicBezTo>
                                <a:lnTo>
                                  <a:pt x="0" y="6638"/>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4" name="Shape 104"/>
                        <wps:cNvSpPr/>
                        <wps:spPr>
                          <a:xfrm>
                            <a:off x="343219" y="210217"/>
                            <a:ext cx="44234" cy="50229"/>
                          </a:xfrm>
                          <a:custGeom>
                            <a:avLst/>
                            <a:gdLst/>
                            <a:ahLst/>
                            <a:cxnLst/>
                            <a:rect l="0" t="0" r="0" b="0"/>
                            <a:pathLst>
                              <a:path w="44234" h="50229">
                                <a:moveTo>
                                  <a:pt x="0" y="0"/>
                                </a:moveTo>
                                <a:lnTo>
                                  <a:pt x="11138" y="0"/>
                                </a:lnTo>
                                <a:lnTo>
                                  <a:pt x="17450" y="12890"/>
                                </a:lnTo>
                                <a:cubicBezTo>
                                  <a:pt x="19279" y="16624"/>
                                  <a:pt x="20612" y="19456"/>
                                  <a:pt x="22123" y="22885"/>
                                </a:cubicBezTo>
                                <a:lnTo>
                                  <a:pt x="22276" y="22885"/>
                                </a:lnTo>
                                <a:cubicBezTo>
                                  <a:pt x="23533" y="19672"/>
                                  <a:pt x="25032" y="16548"/>
                                  <a:pt x="26848" y="12890"/>
                                </a:cubicBezTo>
                                <a:lnTo>
                                  <a:pt x="33262" y="0"/>
                                </a:lnTo>
                                <a:lnTo>
                                  <a:pt x="44234" y="0"/>
                                </a:lnTo>
                                <a:lnTo>
                                  <a:pt x="26531" y="29070"/>
                                </a:lnTo>
                                <a:lnTo>
                                  <a:pt x="26531" y="50229"/>
                                </a:lnTo>
                                <a:lnTo>
                                  <a:pt x="16828" y="50229"/>
                                </a:lnTo>
                                <a:lnTo>
                                  <a:pt x="16828" y="29299"/>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5" name="Shape 105"/>
                        <wps:cNvSpPr/>
                        <wps:spPr>
                          <a:xfrm>
                            <a:off x="469681" y="210217"/>
                            <a:ext cx="40259" cy="50229"/>
                          </a:xfrm>
                          <a:custGeom>
                            <a:avLst/>
                            <a:gdLst/>
                            <a:ahLst/>
                            <a:cxnLst/>
                            <a:rect l="0" t="0" r="0" b="0"/>
                            <a:pathLst>
                              <a:path w="40259" h="50229">
                                <a:moveTo>
                                  <a:pt x="0" y="0"/>
                                </a:moveTo>
                                <a:lnTo>
                                  <a:pt x="10605" y="0"/>
                                </a:lnTo>
                                <a:lnTo>
                                  <a:pt x="23711" y="21539"/>
                                </a:lnTo>
                                <a:cubicBezTo>
                                  <a:pt x="27013" y="27140"/>
                                  <a:pt x="30023" y="32944"/>
                                  <a:pt x="32359" y="38379"/>
                                </a:cubicBezTo>
                                <a:lnTo>
                                  <a:pt x="32512" y="38379"/>
                                </a:lnTo>
                                <a:cubicBezTo>
                                  <a:pt x="31839" y="31674"/>
                                  <a:pt x="31686" y="25184"/>
                                  <a:pt x="31686" y="17501"/>
                                </a:cubicBezTo>
                                <a:lnTo>
                                  <a:pt x="31686" y="0"/>
                                </a:lnTo>
                                <a:lnTo>
                                  <a:pt x="40259" y="0"/>
                                </a:lnTo>
                                <a:lnTo>
                                  <a:pt x="40259" y="50229"/>
                                </a:lnTo>
                                <a:lnTo>
                                  <a:pt x="30620" y="50229"/>
                                </a:lnTo>
                                <a:lnTo>
                                  <a:pt x="17387" y="28092"/>
                                </a:lnTo>
                                <a:cubicBezTo>
                                  <a:pt x="14148" y="22581"/>
                                  <a:pt x="10846" y="16472"/>
                                  <a:pt x="8357" y="10808"/>
                                </a:cubicBezTo>
                                <a:lnTo>
                                  <a:pt x="8051" y="10884"/>
                                </a:lnTo>
                                <a:cubicBezTo>
                                  <a:pt x="8433" y="17374"/>
                                  <a:pt x="8586" y="24003"/>
                                  <a:pt x="8586" y="32271"/>
                                </a:cubicBezTo>
                                <a:lnTo>
                                  <a:pt x="8586" y="50229"/>
                                </a:lnTo>
                                <a:lnTo>
                                  <a:pt x="0" y="50229"/>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6" name="Shape 106"/>
                        <wps:cNvSpPr/>
                        <wps:spPr>
                          <a:xfrm>
                            <a:off x="517179" y="209408"/>
                            <a:ext cx="39421" cy="51867"/>
                          </a:xfrm>
                          <a:custGeom>
                            <a:avLst/>
                            <a:gdLst/>
                            <a:ahLst/>
                            <a:cxnLst/>
                            <a:rect l="0" t="0" r="0" b="0"/>
                            <a:pathLst>
                              <a:path w="39421" h="51867">
                                <a:moveTo>
                                  <a:pt x="27166" y="0"/>
                                </a:moveTo>
                                <a:cubicBezTo>
                                  <a:pt x="33262" y="0"/>
                                  <a:pt x="37541" y="1257"/>
                                  <a:pt x="39421" y="2235"/>
                                </a:cubicBezTo>
                                <a:lnTo>
                                  <a:pt x="37478" y="9538"/>
                                </a:lnTo>
                                <a:cubicBezTo>
                                  <a:pt x="35052" y="8496"/>
                                  <a:pt x="31674" y="7595"/>
                                  <a:pt x="27534" y="7595"/>
                                </a:cubicBezTo>
                                <a:cubicBezTo>
                                  <a:pt x="17234" y="7595"/>
                                  <a:pt x="9779" y="14008"/>
                                  <a:pt x="9779" y="26073"/>
                                </a:cubicBezTo>
                                <a:cubicBezTo>
                                  <a:pt x="9779" y="37173"/>
                                  <a:pt x="16243" y="44183"/>
                                  <a:pt x="27457" y="44183"/>
                                </a:cubicBezTo>
                                <a:cubicBezTo>
                                  <a:pt x="31141" y="44183"/>
                                  <a:pt x="35052" y="43434"/>
                                  <a:pt x="37541" y="42405"/>
                                </a:cubicBezTo>
                                <a:lnTo>
                                  <a:pt x="39053" y="49619"/>
                                </a:lnTo>
                                <a:cubicBezTo>
                                  <a:pt x="36868" y="50673"/>
                                  <a:pt x="32055" y="51867"/>
                                  <a:pt x="25883" y="51867"/>
                                </a:cubicBezTo>
                                <a:cubicBezTo>
                                  <a:pt x="9779" y="51867"/>
                                  <a:pt x="0" y="41859"/>
                                  <a:pt x="0" y="26530"/>
                                </a:cubicBezTo>
                                <a:cubicBezTo>
                                  <a:pt x="0" y="9982"/>
                                  <a:pt x="11659" y="0"/>
                                  <a:pt x="27166" y="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7" name="Shape 107"/>
                        <wps:cNvSpPr/>
                        <wps:spPr>
                          <a:xfrm>
                            <a:off x="638418" y="210217"/>
                            <a:ext cx="40259" cy="50229"/>
                          </a:xfrm>
                          <a:custGeom>
                            <a:avLst/>
                            <a:gdLst/>
                            <a:ahLst/>
                            <a:cxnLst/>
                            <a:rect l="0" t="0" r="0" b="0"/>
                            <a:pathLst>
                              <a:path w="40259" h="50229">
                                <a:moveTo>
                                  <a:pt x="0" y="0"/>
                                </a:moveTo>
                                <a:lnTo>
                                  <a:pt x="10617" y="0"/>
                                </a:lnTo>
                                <a:lnTo>
                                  <a:pt x="23711" y="21539"/>
                                </a:lnTo>
                                <a:cubicBezTo>
                                  <a:pt x="27013" y="27140"/>
                                  <a:pt x="30023" y="32944"/>
                                  <a:pt x="32359" y="38379"/>
                                </a:cubicBezTo>
                                <a:lnTo>
                                  <a:pt x="32512" y="38379"/>
                                </a:lnTo>
                                <a:cubicBezTo>
                                  <a:pt x="31826" y="31674"/>
                                  <a:pt x="31686" y="25184"/>
                                  <a:pt x="31686" y="17501"/>
                                </a:cubicBezTo>
                                <a:lnTo>
                                  <a:pt x="31686" y="0"/>
                                </a:lnTo>
                                <a:lnTo>
                                  <a:pt x="40259" y="0"/>
                                </a:lnTo>
                                <a:lnTo>
                                  <a:pt x="40259" y="50229"/>
                                </a:lnTo>
                                <a:lnTo>
                                  <a:pt x="30645" y="50229"/>
                                </a:lnTo>
                                <a:lnTo>
                                  <a:pt x="17387" y="28092"/>
                                </a:lnTo>
                                <a:cubicBezTo>
                                  <a:pt x="14148" y="22581"/>
                                  <a:pt x="10846" y="16472"/>
                                  <a:pt x="8357" y="10808"/>
                                </a:cubicBezTo>
                                <a:lnTo>
                                  <a:pt x="8051" y="10884"/>
                                </a:lnTo>
                                <a:cubicBezTo>
                                  <a:pt x="8433" y="17374"/>
                                  <a:pt x="8586" y="24003"/>
                                  <a:pt x="8586" y="32271"/>
                                </a:cubicBezTo>
                                <a:lnTo>
                                  <a:pt x="8586" y="50229"/>
                                </a:lnTo>
                                <a:lnTo>
                                  <a:pt x="0" y="50229"/>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8" name="Shape 108"/>
                        <wps:cNvSpPr/>
                        <wps:spPr>
                          <a:xfrm>
                            <a:off x="688560" y="209837"/>
                            <a:ext cx="21203" cy="51130"/>
                          </a:xfrm>
                          <a:custGeom>
                            <a:avLst/>
                            <a:gdLst/>
                            <a:ahLst/>
                            <a:cxnLst/>
                            <a:rect l="0" t="0" r="0" b="0"/>
                            <a:pathLst>
                              <a:path w="21203" h="51130">
                                <a:moveTo>
                                  <a:pt x="14605" y="0"/>
                                </a:moveTo>
                                <a:lnTo>
                                  <a:pt x="21203" y="1885"/>
                                </a:lnTo>
                                <a:lnTo>
                                  <a:pt x="21203" y="9164"/>
                                </a:lnTo>
                                <a:lnTo>
                                  <a:pt x="15430" y="7163"/>
                                </a:lnTo>
                                <a:cubicBezTo>
                                  <a:pt x="12522" y="7163"/>
                                  <a:pt x="10502" y="7404"/>
                                  <a:pt x="9169" y="7684"/>
                                </a:cubicBezTo>
                                <a:lnTo>
                                  <a:pt x="9169" y="43675"/>
                                </a:lnTo>
                                <a:cubicBezTo>
                                  <a:pt x="10426" y="43904"/>
                                  <a:pt x="12370" y="43904"/>
                                  <a:pt x="14236" y="43904"/>
                                </a:cubicBezTo>
                                <a:lnTo>
                                  <a:pt x="21203" y="41487"/>
                                </a:lnTo>
                                <a:lnTo>
                                  <a:pt x="21203" y="48464"/>
                                </a:lnTo>
                                <a:lnTo>
                                  <a:pt x="12370" y="51130"/>
                                </a:lnTo>
                                <a:cubicBezTo>
                                  <a:pt x="7086" y="51130"/>
                                  <a:pt x="3060" y="50838"/>
                                  <a:pt x="0" y="50457"/>
                                </a:cubicBezTo>
                                <a:lnTo>
                                  <a:pt x="0" y="1054"/>
                                </a:lnTo>
                                <a:cubicBezTo>
                                  <a:pt x="4102" y="470"/>
                                  <a:pt x="9169" y="0"/>
                                  <a:pt x="14605" y="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9" name="Shape 109"/>
                        <wps:cNvSpPr/>
                        <wps:spPr>
                          <a:xfrm>
                            <a:off x="709763" y="211722"/>
                            <a:ext cx="21723" cy="46579"/>
                          </a:xfrm>
                          <a:custGeom>
                            <a:avLst/>
                            <a:gdLst/>
                            <a:ahLst/>
                            <a:cxnLst/>
                            <a:rect l="0" t="0" r="0" b="0"/>
                            <a:pathLst>
                              <a:path w="21723" h="46579">
                                <a:moveTo>
                                  <a:pt x="0" y="0"/>
                                </a:moveTo>
                                <a:lnTo>
                                  <a:pt x="13810" y="3945"/>
                                </a:lnTo>
                                <a:cubicBezTo>
                                  <a:pt x="18738" y="7882"/>
                                  <a:pt x="21723" y="13927"/>
                                  <a:pt x="21723" y="22423"/>
                                </a:cubicBezTo>
                                <a:cubicBezTo>
                                  <a:pt x="21723" y="31440"/>
                                  <a:pt x="18662" y="38057"/>
                                  <a:pt x="13887" y="42387"/>
                                </a:cubicBezTo>
                                <a:lnTo>
                                  <a:pt x="0" y="46579"/>
                                </a:lnTo>
                                <a:lnTo>
                                  <a:pt x="0" y="39602"/>
                                </a:lnTo>
                                <a:lnTo>
                                  <a:pt x="7000" y="37174"/>
                                </a:lnTo>
                                <a:cubicBezTo>
                                  <a:pt x="10261" y="33932"/>
                                  <a:pt x="12033" y="29091"/>
                                  <a:pt x="12033" y="22728"/>
                                </a:cubicBezTo>
                                <a:cubicBezTo>
                                  <a:pt x="12071" y="17210"/>
                                  <a:pt x="10486" y="12847"/>
                                  <a:pt x="7458" y="9864"/>
                                </a:cubicBezTo>
                                <a:lnTo>
                                  <a:pt x="0" y="7279"/>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10" name="Shape 110"/>
                        <wps:cNvSpPr/>
                        <wps:spPr>
                          <a:xfrm>
                            <a:off x="488190" y="62218"/>
                            <a:ext cx="55220" cy="70025"/>
                          </a:xfrm>
                          <a:custGeom>
                            <a:avLst/>
                            <a:gdLst/>
                            <a:ahLst/>
                            <a:cxnLst/>
                            <a:rect l="0" t="0" r="0" b="0"/>
                            <a:pathLst>
                              <a:path w="55220" h="70025">
                                <a:moveTo>
                                  <a:pt x="23100" y="71"/>
                                </a:moveTo>
                                <a:cubicBezTo>
                                  <a:pt x="26260" y="0"/>
                                  <a:pt x="29788" y="702"/>
                                  <a:pt x="35700" y="1686"/>
                                </a:cubicBezTo>
                                <a:cubicBezTo>
                                  <a:pt x="44171" y="3096"/>
                                  <a:pt x="47447" y="8265"/>
                                  <a:pt x="47447" y="8265"/>
                                </a:cubicBezTo>
                                <a:lnTo>
                                  <a:pt x="39942" y="16951"/>
                                </a:lnTo>
                                <a:cubicBezTo>
                                  <a:pt x="39942" y="16951"/>
                                  <a:pt x="35243" y="13205"/>
                                  <a:pt x="26734" y="13205"/>
                                </a:cubicBezTo>
                                <a:cubicBezTo>
                                  <a:pt x="19380" y="13205"/>
                                  <a:pt x="16688" y="16011"/>
                                  <a:pt x="16688" y="18602"/>
                                </a:cubicBezTo>
                                <a:cubicBezTo>
                                  <a:pt x="16688" y="21193"/>
                                  <a:pt x="19279" y="22361"/>
                                  <a:pt x="23038" y="24000"/>
                                </a:cubicBezTo>
                                <a:cubicBezTo>
                                  <a:pt x="26798" y="25651"/>
                                  <a:pt x="31941" y="27543"/>
                                  <a:pt x="37364" y="28927"/>
                                </a:cubicBezTo>
                                <a:cubicBezTo>
                                  <a:pt x="42761" y="30337"/>
                                  <a:pt x="48387" y="34338"/>
                                  <a:pt x="50635" y="38236"/>
                                </a:cubicBezTo>
                                <a:cubicBezTo>
                                  <a:pt x="52883" y="42110"/>
                                  <a:pt x="55220" y="37614"/>
                                  <a:pt x="51448" y="50784"/>
                                </a:cubicBezTo>
                                <a:cubicBezTo>
                                  <a:pt x="47689" y="63929"/>
                                  <a:pt x="40881" y="70025"/>
                                  <a:pt x="23737" y="70025"/>
                                </a:cubicBezTo>
                                <a:cubicBezTo>
                                  <a:pt x="6592" y="70025"/>
                                  <a:pt x="0" y="59928"/>
                                  <a:pt x="0" y="59928"/>
                                </a:cubicBezTo>
                                <a:lnTo>
                                  <a:pt x="9640" y="51483"/>
                                </a:lnTo>
                                <a:cubicBezTo>
                                  <a:pt x="9640" y="51483"/>
                                  <a:pt x="15049" y="57820"/>
                                  <a:pt x="25730" y="57820"/>
                                </a:cubicBezTo>
                                <a:cubicBezTo>
                                  <a:pt x="36424" y="57820"/>
                                  <a:pt x="37123" y="52435"/>
                                  <a:pt x="37123" y="50543"/>
                                </a:cubicBezTo>
                                <a:cubicBezTo>
                                  <a:pt x="37123" y="48650"/>
                                  <a:pt x="37592" y="41361"/>
                                  <a:pt x="37592" y="41361"/>
                                </a:cubicBezTo>
                                <a:cubicBezTo>
                                  <a:pt x="37592" y="41361"/>
                                  <a:pt x="3073" y="27289"/>
                                  <a:pt x="2591" y="19771"/>
                                </a:cubicBezTo>
                                <a:cubicBezTo>
                                  <a:pt x="2134" y="12265"/>
                                  <a:pt x="8243" y="5216"/>
                                  <a:pt x="12700" y="3096"/>
                                </a:cubicBezTo>
                                <a:cubicBezTo>
                                  <a:pt x="17145" y="987"/>
                                  <a:pt x="19939" y="143"/>
                                  <a:pt x="23100" y="71"/>
                                </a:cubicBezTo>
                                <a:close/>
                              </a:path>
                            </a:pathLst>
                          </a:custGeom>
                          <a:ln w="0" cap="flat">
                            <a:miter lim="127000"/>
                          </a:ln>
                        </wps:spPr>
                        <wps:style>
                          <a:lnRef idx="0">
                            <a:srgbClr val="000000">
                              <a:alpha val="0"/>
                            </a:srgbClr>
                          </a:lnRef>
                          <a:fillRef idx="1">
                            <a:srgbClr val="000003"/>
                          </a:fillRef>
                          <a:effectRef idx="0">
                            <a:scrgbClr r="0" g="0" b="0"/>
                          </a:effectRef>
                          <a:fontRef idx="none"/>
                        </wps:style>
                        <wps:bodyPr/>
                      </wps:wsp>
                      <wps:wsp>
                        <wps:cNvPr id="47486" name="Shape 47486"/>
                        <wps:cNvSpPr/>
                        <wps:spPr>
                          <a:xfrm>
                            <a:off x="509105" y="50528"/>
                            <a:ext cx="9144" cy="15494"/>
                          </a:xfrm>
                          <a:custGeom>
                            <a:avLst/>
                            <a:gdLst/>
                            <a:ahLst/>
                            <a:cxnLst/>
                            <a:rect l="0" t="0" r="0" b="0"/>
                            <a:pathLst>
                              <a:path w="9144" h="15494">
                                <a:moveTo>
                                  <a:pt x="0" y="0"/>
                                </a:moveTo>
                                <a:lnTo>
                                  <a:pt x="9144" y="0"/>
                                </a:lnTo>
                                <a:lnTo>
                                  <a:pt x="9144" y="15494"/>
                                </a:lnTo>
                                <a:lnTo>
                                  <a:pt x="0" y="15494"/>
                                </a:lnTo>
                                <a:lnTo>
                                  <a:pt x="0" y="0"/>
                                </a:lnTo>
                              </a:path>
                            </a:pathLst>
                          </a:custGeom>
                          <a:ln w="0" cap="flat">
                            <a:miter lim="127000"/>
                          </a:ln>
                        </wps:spPr>
                        <wps:style>
                          <a:lnRef idx="0">
                            <a:srgbClr val="000000">
                              <a:alpha val="0"/>
                            </a:srgbClr>
                          </a:lnRef>
                          <a:fillRef idx="1">
                            <a:srgbClr val="000003"/>
                          </a:fillRef>
                          <a:effectRef idx="0">
                            <a:scrgbClr r="0" g="0" b="0"/>
                          </a:effectRef>
                          <a:fontRef idx="none"/>
                        </wps:style>
                        <wps:bodyPr/>
                      </wps:wsp>
                      <wps:wsp>
                        <wps:cNvPr id="47487" name="Shape 47487"/>
                        <wps:cNvSpPr/>
                        <wps:spPr>
                          <a:xfrm>
                            <a:off x="509105" y="128240"/>
                            <a:ext cx="9144" cy="15519"/>
                          </a:xfrm>
                          <a:custGeom>
                            <a:avLst/>
                            <a:gdLst/>
                            <a:ahLst/>
                            <a:cxnLst/>
                            <a:rect l="0" t="0" r="0" b="0"/>
                            <a:pathLst>
                              <a:path w="9144" h="15519">
                                <a:moveTo>
                                  <a:pt x="0" y="0"/>
                                </a:moveTo>
                                <a:lnTo>
                                  <a:pt x="9144" y="0"/>
                                </a:lnTo>
                                <a:lnTo>
                                  <a:pt x="9144" y="15519"/>
                                </a:lnTo>
                                <a:lnTo>
                                  <a:pt x="0" y="15519"/>
                                </a:lnTo>
                                <a:lnTo>
                                  <a:pt x="0" y="0"/>
                                </a:lnTo>
                              </a:path>
                            </a:pathLst>
                          </a:custGeom>
                          <a:ln w="0" cap="flat">
                            <a:miter lim="127000"/>
                          </a:ln>
                        </wps:spPr>
                        <wps:style>
                          <a:lnRef idx="0">
                            <a:srgbClr val="000000">
                              <a:alpha val="0"/>
                            </a:srgbClr>
                          </a:lnRef>
                          <a:fillRef idx="1">
                            <a:srgbClr val="000003"/>
                          </a:fillRef>
                          <a:effectRef idx="0">
                            <a:scrgbClr r="0" g="0" b="0"/>
                          </a:effectRef>
                          <a:fontRef idx="none"/>
                        </wps:style>
                        <wps:bodyPr/>
                      </wps:wsp>
                      <wps:wsp>
                        <wps:cNvPr id="47488" name="Shape 47488"/>
                        <wps:cNvSpPr/>
                        <wps:spPr>
                          <a:xfrm>
                            <a:off x="654723" y="76576"/>
                            <a:ext cx="57531" cy="14795"/>
                          </a:xfrm>
                          <a:custGeom>
                            <a:avLst/>
                            <a:gdLst/>
                            <a:ahLst/>
                            <a:cxnLst/>
                            <a:rect l="0" t="0" r="0" b="0"/>
                            <a:pathLst>
                              <a:path w="57531" h="14795">
                                <a:moveTo>
                                  <a:pt x="0" y="0"/>
                                </a:moveTo>
                                <a:lnTo>
                                  <a:pt x="57531" y="0"/>
                                </a:lnTo>
                                <a:lnTo>
                                  <a:pt x="57531" y="14795"/>
                                </a:lnTo>
                                <a:lnTo>
                                  <a:pt x="0" y="14795"/>
                                </a:lnTo>
                                <a:lnTo>
                                  <a:pt x="0" y="0"/>
                                </a:lnTo>
                              </a:path>
                            </a:pathLst>
                          </a:custGeom>
                          <a:ln w="0" cap="flat">
                            <a:miter lim="127000"/>
                          </a:ln>
                        </wps:spPr>
                        <wps:style>
                          <a:lnRef idx="0">
                            <a:srgbClr val="000000">
                              <a:alpha val="0"/>
                            </a:srgbClr>
                          </a:lnRef>
                          <a:fillRef idx="1">
                            <a:srgbClr val="000003"/>
                          </a:fillRef>
                          <a:effectRef idx="0">
                            <a:scrgbClr r="0" g="0" b="0"/>
                          </a:effectRef>
                          <a:fontRef idx="none"/>
                        </wps:style>
                        <wps:bodyPr/>
                      </wps:wsp>
                      <wps:wsp>
                        <wps:cNvPr id="47489" name="Shape 47489"/>
                        <wps:cNvSpPr/>
                        <wps:spPr>
                          <a:xfrm>
                            <a:off x="654723" y="102434"/>
                            <a:ext cx="57531" cy="14795"/>
                          </a:xfrm>
                          <a:custGeom>
                            <a:avLst/>
                            <a:gdLst/>
                            <a:ahLst/>
                            <a:cxnLst/>
                            <a:rect l="0" t="0" r="0" b="0"/>
                            <a:pathLst>
                              <a:path w="57531" h="14795">
                                <a:moveTo>
                                  <a:pt x="0" y="0"/>
                                </a:moveTo>
                                <a:lnTo>
                                  <a:pt x="57531" y="0"/>
                                </a:lnTo>
                                <a:lnTo>
                                  <a:pt x="57531" y="14795"/>
                                </a:lnTo>
                                <a:lnTo>
                                  <a:pt x="0" y="14795"/>
                                </a:lnTo>
                                <a:lnTo>
                                  <a:pt x="0" y="0"/>
                                </a:lnTo>
                              </a:path>
                            </a:pathLst>
                          </a:custGeom>
                          <a:ln w="0" cap="flat">
                            <a:miter lim="127000"/>
                          </a:ln>
                        </wps:spPr>
                        <wps:style>
                          <a:lnRef idx="0">
                            <a:srgbClr val="000000">
                              <a:alpha val="0"/>
                            </a:srgbClr>
                          </a:lnRef>
                          <a:fillRef idx="1">
                            <a:srgbClr val="000003"/>
                          </a:fillRef>
                          <a:effectRef idx="0">
                            <a:scrgbClr r="0" g="0" b="0"/>
                          </a:effectRef>
                          <a:fontRef idx="none"/>
                        </wps:style>
                        <wps:bodyPr/>
                      </wps:wsp>
                      <wps:wsp>
                        <wps:cNvPr id="115" name="Shape 115"/>
                        <wps:cNvSpPr/>
                        <wps:spPr>
                          <a:xfrm>
                            <a:off x="77522" y="97084"/>
                            <a:ext cx="57569" cy="64427"/>
                          </a:xfrm>
                          <a:custGeom>
                            <a:avLst/>
                            <a:gdLst/>
                            <a:ahLst/>
                            <a:cxnLst/>
                            <a:rect l="0" t="0" r="0" b="0"/>
                            <a:pathLst>
                              <a:path w="57569" h="64427">
                                <a:moveTo>
                                  <a:pt x="31699" y="0"/>
                                </a:moveTo>
                                <a:cubicBezTo>
                                  <a:pt x="39649" y="0"/>
                                  <a:pt x="45199" y="2324"/>
                                  <a:pt x="49797" y="5702"/>
                                </a:cubicBezTo>
                                <a:cubicBezTo>
                                  <a:pt x="53797" y="8661"/>
                                  <a:pt x="57302" y="14796"/>
                                  <a:pt x="57302" y="14796"/>
                                </a:cubicBezTo>
                                <a:lnTo>
                                  <a:pt x="43624" y="22123"/>
                                </a:lnTo>
                                <a:cubicBezTo>
                                  <a:pt x="43332" y="20409"/>
                                  <a:pt x="40754" y="17120"/>
                                  <a:pt x="39344" y="15977"/>
                                </a:cubicBezTo>
                                <a:cubicBezTo>
                                  <a:pt x="37312" y="14351"/>
                                  <a:pt x="33032" y="13259"/>
                                  <a:pt x="31204" y="13259"/>
                                </a:cubicBezTo>
                                <a:cubicBezTo>
                                  <a:pt x="26898" y="13259"/>
                                  <a:pt x="24193" y="14300"/>
                                  <a:pt x="21628" y="17132"/>
                                </a:cubicBezTo>
                                <a:cubicBezTo>
                                  <a:pt x="19063" y="19952"/>
                                  <a:pt x="17780" y="24663"/>
                                  <a:pt x="17780" y="31280"/>
                                </a:cubicBezTo>
                                <a:cubicBezTo>
                                  <a:pt x="17780" y="38633"/>
                                  <a:pt x="19139" y="43129"/>
                                  <a:pt x="21755" y="46152"/>
                                </a:cubicBezTo>
                                <a:cubicBezTo>
                                  <a:pt x="24359" y="49200"/>
                                  <a:pt x="27775" y="50889"/>
                                  <a:pt x="32156" y="50889"/>
                                </a:cubicBezTo>
                                <a:cubicBezTo>
                                  <a:pt x="35433" y="50889"/>
                                  <a:pt x="37325" y="50292"/>
                                  <a:pt x="39611" y="48819"/>
                                </a:cubicBezTo>
                                <a:cubicBezTo>
                                  <a:pt x="41123" y="47866"/>
                                  <a:pt x="43917" y="44323"/>
                                  <a:pt x="44844" y="41808"/>
                                </a:cubicBezTo>
                                <a:lnTo>
                                  <a:pt x="57569" y="48476"/>
                                </a:lnTo>
                                <a:cubicBezTo>
                                  <a:pt x="57569" y="48476"/>
                                  <a:pt x="53327" y="56248"/>
                                  <a:pt x="46431" y="60058"/>
                                </a:cubicBezTo>
                                <a:cubicBezTo>
                                  <a:pt x="39421" y="63945"/>
                                  <a:pt x="36982" y="64427"/>
                                  <a:pt x="29476" y="64427"/>
                                </a:cubicBezTo>
                                <a:cubicBezTo>
                                  <a:pt x="19926" y="64427"/>
                                  <a:pt x="14198" y="61913"/>
                                  <a:pt x="8522" y="56198"/>
                                </a:cubicBezTo>
                                <a:cubicBezTo>
                                  <a:pt x="2845" y="50470"/>
                                  <a:pt x="0" y="42558"/>
                                  <a:pt x="0" y="32449"/>
                                </a:cubicBezTo>
                                <a:cubicBezTo>
                                  <a:pt x="0" y="22225"/>
                                  <a:pt x="2870" y="14237"/>
                                  <a:pt x="8560" y="8547"/>
                                </a:cubicBezTo>
                                <a:cubicBezTo>
                                  <a:pt x="14262" y="2845"/>
                                  <a:pt x="21958" y="0"/>
                                  <a:pt x="31699" y="0"/>
                                </a:cubicBezTo>
                                <a:close/>
                              </a:path>
                            </a:pathLst>
                          </a:custGeom>
                          <a:ln w="0" cap="flat">
                            <a:miter lim="127000"/>
                          </a:ln>
                        </wps:spPr>
                        <wps:style>
                          <a:lnRef idx="0">
                            <a:srgbClr val="000000">
                              <a:alpha val="0"/>
                            </a:srgbClr>
                          </a:lnRef>
                          <a:fillRef idx="1">
                            <a:srgbClr val="000003"/>
                          </a:fillRef>
                          <a:effectRef idx="0">
                            <a:scrgbClr r="0" g="0" b="0"/>
                          </a:effectRef>
                          <a:fontRef idx="none"/>
                        </wps:style>
                        <wps:bodyPr/>
                      </wps:wsp>
                      <wps:wsp>
                        <wps:cNvPr id="116" name="Shape 116"/>
                        <wps:cNvSpPr/>
                        <wps:spPr>
                          <a:xfrm>
                            <a:off x="137367" y="97084"/>
                            <a:ext cx="57569" cy="64427"/>
                          </a:xfrm>
                          <a:custGeom>
                            <a:avLst/>
                            <a:gdLst/>
                            <a:ahLst/>
                            <a:cxnLst/>
                            <a:rect l="0" t="0" r="0" b="0"/>
                            <a:pathLst>
                              <a:path w="57569" h="64427">
                                <a:moveTo>
                                  <a:pt x="31699" y="0"/>
                                </a:moveTo>
                                <a:cubicBezTo>
                                  <a:pt x="39649" y="0"/>
                                  <a:pt x="45199" y="2324"/>
                                  <a:pt x="49797" y="5702"/>
                                </a:cubicBezTo>
                                <a:cubicBezTo>
                                  <a:pt x="53797" y="8661"/>
                                  <a:pt x="57302" y="14796"/>
                                  <a:pt x="57302" y="14796"/>
                                </a:cubicBezTo>
                                <a:lnTo>
                                  <a:pt x="43624" y="22123"/>
                                </a:lnTo>
                                <a:cubicBezTo>
                                  <a:pt x="43332" y="20409"/>
                                  <a:pt x="40767" y="17120"/>
                                  <a:pt x="39344" y="15977"/>
                                </a:cubicBezTo>
                                <a:cubicBezTo>
                                  <a:pt x="37325" y="14351"/>
                                  <a:pt x="33032" y="13259"/>
                                  <a:pt x="31217" y="13259"/>
                                </a:cubicBezTo>
                                <a:cubicBezTo>
                                  <a:pt x="26898" y="13259"/>
                                  <a:pt x="24206" y="14300"/>
                                  <a:pt x="21628" y="17132"/>
                                </a:cubicBezTo>
                                <a:cubicBezTo>
                                  <a:pt x="19063" y="19952"/>
                                  <a:pt x="17793" y="24663"/>
                                  <a:pt x="17793" y="31280"/>
                                </a:cubicBezTo>
                                <a:cubicBezTo>
                                  <a:pt x="17793" y="38633"/>
                                  <a:pt x="19164" y="43129"/>
                                  <a:pt x="21755" y="46152"/>
                                </a:cubicBezTo>
                                <a:cubicBezTo>
                                  <a:pt x="24359" y="49200"/>
                                  <a:pt x="27775" y="50889"/>
                                  <a:pt x="32169" y="50889"/>
                                </a:cubicBezTo>
                                <a:cubicBezTo>
                                  <a:pt x="35458" y="50889"/>
                                  <a:pt x="37325" y="50292"/>
                                  <a:pt x="39637" y="48819"/>
                                </a:cubicBezTo>
                                <a:cubicBezTo>
                                  <a:pt x="41123" y="47866"/>
                                  <a:pt x="43917" y="44323"/>
                                  <a:pt x="44856" y="41808"/>
                                </a:cubicBezTo>
                                <a:lnTo>
                                  <a:pt x="57569" y="48476"/>
                                </a:lnTo>
                                <a:cubicBezTo>
                                  <a:pt x="57569" y="48476"/>
                                  <a:pt x="53353" y="56248"/>
                                  <a:pt x="46431" y="60058"/>
                                </a:cubicBezTo>
                                <a:cubicBezTo>
                                  <a:pt x="39421" y="63945"/>
                                  <a:pt x="36982" y="64427"/>
                                  <a:pt x="29476" y="64427"/>
                                </a:cubicBezTo>
                                <a:cubicBezTo>
                                  <a:pt x="19926" y="64427"/>
                                  <a:pt x="14211" y="61913"/>
                                  <a:pt x="8522" y="56198"/>
                                </a:cubicBezTo>
                                <a:cubicBezTo>
                                  <a:pt x="2845" y="50470"/>
                                  <a:pt x="0" y="42558"/>
                                  <a:pt x="0" y="32449"/>
                                </a:cubicBezTo>
                                <a:cubicBezTo>
                                  <a:pt x="0" y="22225"/>
                                  <a:pt x="2870" y="14237"/>
                                  <a:pt x="8572" y="8547"/>
                                </a:cubicBezTo>
                                <a:cubicBezTo>
                                  <a:pt x="14262" y="2845"/>
                                  <a:pt x="21971" y="0"/>
                                  <a:pt x="31699" y="0"/>
                                </a:cubicBezTo>
                                <a:close/>
                              </a:path>
                            </a:pathLst>
                          </a:custGeom>
                          <a:ln w="0" cap="flat">
                            <a:miter lim="127000"/>
                          </a:ln>
                        </wps:spPr>
                        <wps:style>
                          <a:lnRef idx="0">
                            <a:srgbClr val="000000">
                              <a:alpha val="0"/>
                            </a:srgbClr>
                          </a:lnRef>
                          <a:fillRef idx="1">
                            <a:srgbClr val="000003"/>
                          </a:fillRef>
                          <a:effectRef idx="0">
                            <a:scrgbClr r="0" g="0" b="0"/>
                          </a:effectRef>
                          <a:fontRef idx="none"/>
                        </wps:style>
                        <wps:bodyPr/>
                      </wps:wsp>
                    </wpg:wgp>
                  </a:graphicData>
                </a:graphic>
              </wp:inline>
            </w:drawing>
          </mc:Choice>
          <mc:Fallback xmlns:a="http://schemas.openxmlformats.org/drawingml/2006/main">
            <w:pict>
              <v:group id="Group 39904" style="width:62.3616pt;height:21.8736pt;mso-position-horizontal-relative:char;mso-position-vertical-relative:line" coordsize="7919,2777">
                <v:shape id="Shape 87" style="position:absolute;width:7919;height:2777;left:0;top:0;" coordsize="791992,277795" path="m14028,0l777959,0c785668,0,791992,6299,791992,14008l791992,263779c791992,267633,790411,271139,787866,273680l777970,277795l14017,277795l4116,273680l0,263792l0,13995l4116,4113c6659,1575,10168,0,14028,0x">
                  <v:stroke weight="0pt" endcap="flat" joinstyle="miter" miterlimit="10" on="false" color="#000000" opacity="0"/>
                  <v:fill on="true" color="#000003"/>
                </v:shape>
                <v:shape id="Shape 88" style="position:absolute;width:7744;height:2602;left:87;top:87;" coordsize="774446,260261" path="m5258,0l769188,0c772033,0,774446,2413,774446,5232l774446,255003c774446,257848,772033,260261,769188,260261l5258,260261c2413,260261,0,257848,0,255003l0,5232c0,2413,2413,0,5258,0x">
                  <v:stroke weight="0pt" endcap="flat" joinstyle="miter" miterlimit="10" on="false" color="#000000" opacity="0"/>
                  <v:fill on="true" color="#d7d7d9"/>
                </v:shape>
                <v:shape id="Shape 47490" style="position:absolute;width:7822;height:788;left:57;top:1940;" coordsize="782295,78892" path="m0,0l782295,0l782295,78892l0,78892l0,0">
                  <v:stroke weight="0pt" endcap="flat" joinstyle="miter" miterlimit="10" on="false" color="#000000" opacity="0"/>
                  <v:fill on="true" color="#000003"/>
                </v:shape>
                <v:shape id="Shape 90" style="position:absolute;width:2404;height:2404;left:160;top:89;" coordsize="240474,240487" path="m120243,0c186652,0,240474,53835,240474,120244c240474,186639,186652,240487,120243,240487c53822,240487,0,186639,0,120244c0,53835,53822,0,120243,0x">
                  <v:stroke weight="0pt" endcap="flat" joinstyle="miter" miterlimit="10" on="false" color="#000000" opacity="0"/>
                  <v:fill on="true" color="#d7d7d9"/>
                </v:shape>
                <v:shape id="Shape 91" style="position:absolute;width:1528;height:1528;left:2683;top:214;" coordsize="152883,152895" path="m76441,0c118656,0,152883,34226,152883,76454c152883,118669,118656,152895,76441,152895c34227,152895,0,118669,0,76454c0,34226,34227,0,76441,0x">
                  <v:stroke weight="0pt" endcap="flat" joinstyle="miter" miterlimit="10" on="false" color="#000000" opacity="0"/>
                  <v:fill on="true" color="#000003"/>
                </v:shape>
                <v:shape id="Shape 92" style="position:absolute;width:2098;height:2098;left:313;top:242;" coordsize="209855,209868" path="m104940,0c162890,0,209855,46977,209855,104940c209855,162890,162890,209868,104940,209868c46977,209868,0,162890,0,104940c0,46977,46977,0,104940,0x">
                  <v:stroke weight="0pt" endcap="flat" joinstyle="miter" miterlimit="10" on="false" color="#000000" opacity="0"/>
                  <v:fill on="true" color="#000003"/>
                </v:shape>
                <v:shape id="Shape 93" style="position:absolute;width:1528;height:1528;left:4374;top:214;" coordsize="152896,152895" path="m76441,0c118656,0,152896,34226,152896,76454c152896,118669,118656,152895,76441,152895c34227,152895,0,118669,0,76454c0,34226,34227,0,76441,0x">
                  <v:stroke weight="0pt" endcap="flat" joinstyle="miter" miterlimit="10" on="false" color="#000000" opacity="0"/>
                  <v:fill on="true" color="#000003"/>
                </v:shape>
                <v:shape id="Shape 94" style="position:absolute;width:1528;height:1528;left:6070;top:214;" coordsize="152882,152895" path="m76441,0c118656,0,152882,34226,152882,76454c152882,118669,118656,152895,76441,152895c34227,152895,0,118669,0,76454c0,34226,34227,0,76441,0x">
                  <v:stroke weight="0pt" endcap="flat" joinstyle="miter" miterlimit="10" on="false" color="#000000" opacity="0"/>
                  <v:fill on="true" color="#000003"/>
                </v:shape>
                <v:shape id="Shape 95" style="position:absolute;width:1251;height:1251;left:2822;top:352;" coordsize="125171,125184" path="m62585,0c97155,0,125171,28016,125171,62598c125171,97168,97155,125184,62585,125184c28016,125184,0,97168,0,62598c0,28016,28016,0,62585,0x">
                  <v:stroke weight="0pt" endcap="flat" joinstyle="miter" miterlimit="10" on="false" color="#000000" opacity="0"/>
                  <v:fill on="true" color="#ffffff"/>
                </v:shape>
                <v:shape id="Shape 96" style="position:absolute;width:1718;height:1718;left:504;top:433;" coordsize="171831,171818" path="m85915,0c133363,0,171831,38456,171831,85915c171831,133363,133363,171818,85915,171818c38468,171818,0,133363,0,85915c0,38456,38468,0,85915,0x">
                  <v:stroke weight="0pt" endcap="flat" joinstyle="miter" miterlimit="10" on="false" color="#000000" opacity="0"/>
                  <v:fill on="true" color="#ffffff"/>
                </v:shape>
                <v:shape id="Shape 97" style="position:absolute;width:1251;height:1251;left:4513;top:352;" coordsize="125171,125184" path="m62573,0c97155,0,125171,28016,125171,62598c125171,97168,97155,125184,62573,125184c28029,125184,0,97168,0,62598c0,28016,28029,0,62573,0x">
                  <v:stroke weight="0pt" endcap="flat" joinstyle="miter" miterlimit="10" on="false" color="#000000" opacity="0"/>
                  <v:fill on="true" color="#ffffff"/>
                </v:shape>
                <v:shape id="Shape 98" style="position:absolute;width:1251;height:1251;left:6208;top:352;" coordsize="125184,125184" path="m62599,0c97168,0,125184,28016,125184,62598c125184,97168,97168,125184,62599,125184c28029,125184,0,97168,0,62598c0,28016,28029,0,62599,0x">
                  <v:stroke weight="0pt" endcap="flat" joinstyle="miter" miterlimit="10" on="false" color="#000000" opacity="0"/>
                  <v:fill on="true" color="#ffffff"/>
                </v:shape>
                <v:shape id="Shape 99" style="position:absolute;width:371;height:733;left:3263;top:739;" coordsize="37109,73317" path="m7747,0l29121,0c37109,0,36398,5448,36398,7099l36398,36652l29121,36652l29121,73317l6579,73317l6579,37147l0,37147l0,7734c0,1626,3061,0,7747,0x">
                  <v:stroke weight="0pt" endcap="flat" joinstyle="miter" miterlimit="10" on="false" color="#000000" opacity="0"/>
                  <v:fill on="true" color="#000003"/>
                </v:shape>
                <v:shape id="Shape 100" style="position:absolute;width:218;height:218;left:3336;top:489;" coordsize="21818,21844" path="m10897,0c16942,0,21818,4902,21818,10922c21818,16942,16942,21844,10897,21844c4889,21844,0,16942,0,10922c0,4902,4889,0,10897,0x">
                  <v:stroke weight="0pt" endcap="flat" joinstyle="miter" miterlimit="10" on="false" color="#000000" opacity="0"/>
                  <v:fill on="true" color="#000003"/>
                </v:shape>
                <v:shape id="Shape 101" style="position:absolute;width:1343;height:714;left:4481;top:624;" coordsize="134392,71450" path="m6172,0l134392,57747l128219,71450l0,13703l6172,0x">
                  <v:stroke weight="0pt" endcap="flat" joinstyle="miter" miterlimit="10" on="false" color="#000000" opacity="0"/>
                  <v:fill on="true" color="#000003"/>
                </v:shape>
                <v:shape id="Shape 102" style="position:absolute;width:181;height:511;left:3052;top:2098;" coordsize="18116,51130" path="m14211,0l18116,827l18116,7465l15151,6782c12306,6782,10655,6934,9627,7163l9627,20930l14592,20930l18116,20022l18116,28395l14453,27572l9627,27572l9627,43967c10884,44196,12548,44196,14757,44196l18116,43443l18116,50534l11912,51130c6553,51130,2515,50749,0,50457l0,1143c3061,521,8687,0,14211,0x">
                  <v:stroke weight="0pt" endcap="flat" joinstyle="miter" miterlimit="10" on="false" color="#000000" opacity="0"/>
                  <v:fill on="true" color="#ffffff"/>
                </v:shape>
                <v:shape id="Shape 103" style="position:absolute;width:186;height:497;left:3233;top:2106;" coordsize="18676,49706" path="m0,0l11259,2386c14574,4253,16783,7529,16783,11834c16783,16470,13710,20648,7944,22655l7944,22883c13557,24217,18676,28395,18676,35253c18676,39711,16618,43216,13634,45667c11735,47198,9227,48356,5967,49133l0,49706l0,42616l4909,41516c7090,40203,8490,38117,8490,35025c8490,32078,7128,30008,4928,28675l0,27567l0,19195l4287,18091c6064,16819,6991,15016,6991,12888c6991,10507,6045,8774,4328,7635l0,6638l0,0x">
                  <v:stroke weight="0pt" endcap="flat" joinstyle="miter" miterlimit="10" on="false" color="#000000" opacity="0"/>
                  <v:fill on="true" color="#ffffff"/>
                </v:shape>
                <v:shape id="Shape 104" style="position:absolute;width:442;height:502;left:3432;top:2102;" coordsize="44234,50229" path="m0,0l11138,0l17450,12890c19279,16624,20612,19456,22123,22885l22276,22885c23533,19672,25032,16548,26848,12890l33262,0l44234,0l26531,29070l26531,50229l16828,50229l16828,29299l0,0x">
                  <v:stroke weight="0pt" endcap="flat" joinstyle="miter" miterlimit="10" on="false" color="#000000" opacity="0"/>
                  <v:fill on="true" color="#ffffff"/>
                </v:shape>
                <v:shape id="Shape 105" style="position:absolute;width:402;height:502;left:4696;top:2102;" coordsize="40259,50229" path="m0,0l10605,0l23711,21539c27013,27140,30023,32944,32359,38379l32512,38379c31839,31674,31686,25184,31686,17501l31686,0l40259,0l40259,50229l30620,50229l17387,28092c14148,22581,10846,16472,8357,10808l8051,10884c8433,17374,8586,24003,8586,32271l8586,50229l0,50229l0,0x">
                  <v:stroke weight="0pt" endcap="flat" joinstyle="miter" miterlimit="10" on="false" color="#000000" opacity="0"/>
                  <v:fill on="true" color="#ffffff"/>
                </v:shape>
                <v:shape id="Shape 106" style="position:absolute;width:394;height:518;left:5171;top:2094;" coordsize="39421,51867" path="m27166,0c33262,0,37541,1257,39421,2235l37478,9538c35052,8496,31674,7595,27534,7595c17234,7595,9779,14008,9779,26073c9779,37173,16243,44183,27457,44183c31141,44183,35052,43434,37541,42405l39053,49619c36868,50673,32055,51867,25883,51867c9779,51867,0,41859,0,26530c0,9982,11659,0,27166,0x">
                  <v:stroke weight="0pt" endcap="flat" joinstyle="miter" miterlimit="10" on="false" color="#000000" opacity="0"/>
                  <v:fill on="true" color="#ffffff"/>
                </v:shape>
                <v:shape id="Shape 107" style="position:absolute;width:402;height:502;left:6384;top:2102;" coordsize="40259,50229" path="m0,0l10617,0l23711,21539c27013,27140,30023,32944,32359,38379l32512,38379c31826,31674,31686,25184,31686,17501l31686,0l40259,0l40259,50229l30645,50229l17387,28092c14148,22581,10846,16472,8357,10808l8051,10884c8433,17374,8586,24003,8586,32271l8586,50229l0,50229l0,0x">
                  <v:stroke weight="0pt" endcap="flat" joinstyle="miter" miterlimit="10" on="false" color="#000000" opacity="0"/>
                  <v:fill on="true" color="#ffffff"/>
                </v:shape>
                <v:shape id="Shape 108" style="position:absolute;width:212;height:511;left:6885;top:2098;" coordsize="21203,51130" path="m14605,0l21203,1885l21203,9164l15430,7163c12522,7163,10502,7404,9169,7684l9169,43675c10426,43904,12370,43904,14236,43904l21203,41487l21203,48464l12370,51130c7086,51130,3060,50838,0,50457l0,1054c4102,470,9169,0,14605,0x">
                  <v:stroke weight="0pt" endcap="flat" joinstyle="miter" miterlimit="10" on="false" color="#000000" opacity="0"/>
                  <v:fill on="true" color="#ffffff"/>
                </v:shape>
                <v:shape id="Shape 109" style="position:absolute;width:217;height:465;left:7097;top:2117;" coordsize="21723,46579" path="m0,0l13810,3945c18738,7882,21723,13927,21723,22423c21723,31440,18662,38057,13887,42387l0,46579l0,39602l7000,37174c10261,33932,12033,29091,12033,22728c12071,17210,10486,12847,7458,9864l0,7279l0,0x">
                  <v:stroke weight="0pt" endcap="flat" joinstyle="miter" miterlimit="10" on="false" color="#000000" opacity="0"/>
                  <v:fill on="true" color="#ffffff"/>
                </v:shape>
                <v:shape id="Shape 110" style="position:absolute;width:552;height:700;left:4881;top:622;" coordsize="55220,70025" path="m23100,71c26260,0,29788,702,35700,1686c44171,3096,47447,8265,47447,8265l39942,16951c39942,16951,35243,13205,26734,13205c19380,13205,16688,16011,16688,18602c16688,21193,19279,22361,23038,24000c26798,25651,31941,27543,37364,28927c42761,30337,48387,34338,50635,38236c52883,42110,55220,37614,51448,50784c47689,63929,40881,70025,23737,70025c6592,70025,0,59928,0,59928l9640,51483c9640,51483,15049,57820,25730,57820c36424,57820,37123,52435,37123,50543c37123,48650,37592,41361,37592,41361c37592,41361,3073,27289,2591,19771c2134,12265,8243,5216,12700,3096c17145,987,19939,143,23100,71x">
                  <v:stroke weight="0pt" endcap="flat" joinstyle="miter" miterlimit="10" on="false" color="#000000" opacity="0"/>
                  <v:fill on="true" color="#000003"/>
                </v:shape>
                <v:shape id="Shape 47491" style="position:absolute;width:91;height:154;left:5091;top:505;" coordsize="9144,15494" path="m0,0l9144,0l9144,15494l0,15494l0,0">
                  <v:stroke weight="0pt" endcap="flat" joinstyle="miter" miterlimit="10" on="false" color="#000000" opacity="0"/>
                  <v:fill on="true" color="#000003"/>
                </v:shape>
                <v:shape id="Shape 47492" style="position:absolute;width:91;height:155;left:5091;top:1282;" coordsize="9144,15519" path="m0,0l9144,0l9144,15519l0,15519l0,0">
                  <v:stroke weight="0pt" endcap="flat" joinstyle="miter" miterlimit="10" on="false" color="#000000" opacity="0"/>
                  <v:fill on="true" color="#000003"/>
                </v:shape>
                <v:shape id="Shape 47493" style="position:absolute;width:575;height:147;left:6547;top:765;" coordsize="57531,14795" path="m0,0l57531,0l57531,14795l0,14795l0,0">
                  <v:stroke weight="0pt" endcap="flat" joinstyle="miter" miterlimit="10" on="false" color="#000000" opacity="0"/>
                  <v:fill on="true" color="#000003"/>
                </v:shape>
                <v:shape id="Shape 47494" style="position:absolute;width:575;height:147;left:6547;top:1024;" coordsize="57531,14795" path="m0,0l57531,0l57531,14795l0,14795l0,0">
                  <v:stroke weight="0pt" endcap="flat" joinstyle="miter" miterlimit="10" on="false" color="#000000" opacity="0"/>
                  <v:fill on="true" color="#000003"/>
                </v:shape>
                <v:shape id="Shape 115" style="position:absolute;width:575;height:644;left:775;top:970;" coordsize="57569,64427" path="m31699,0c39649,0,45199,2324,49797,5702c53797,8661,57302,14796,57302,14796l43624,22123c43332,20409,40754,17120,39344,15977c37312,14351,33032,13259,31204,13259c26898,13259,24193,14300,21628,17132c19063,19952,17780,24663,17780,31280c17780,38633,19139,43129,21755,46152c24359,49200,27775,50889,32156,50889c35433,50889,37325,50292,39611,48819c41123,47866,43917,44323,44844,41808l57569,48476c57569,48476,53327,56248,46431,60058c39421,63945,36982,64427,29476,64427c19926,64427,14198,61913,8522,56198c2845,50470,0,42558,0,32449c0,22225,2870,14237,8560,8547c14262,2845,21958,0,31699,0x">
                  <v:stroke weight="0pt" endcap="flat" joinstyle="miter" miterlimit="10" on="false" color="#000000" opacity="0"/>
                  <v:fill on="true" color="#000003"/>
                </v:shape>
                <v:shape id="Shape 116" style="position:absolute;width:575;height:644;left:1373;top:970;" coordsize="57569,64427" path="m31699,0c39649,0,45199,2324,49797,5702c53797,8661,57302,14796,57302,14796l43624,22123c43332,20409,40767,17120,39344,15977c37325,14351,33032,13259,31217,13259c26898,13259,24206,14300,21628,17132c19063,19952,17793,24663,17793,31280c17793,38633,19164,43129,21755,46152c24359,49200,27775,50889,32169,50889c35458,50889,37325,50292,39637,48819c41123,47866,43917,44323,44856,41808l57569,48476c57569,48476,53353,56248,46431,60058c39421,63945,36982,64427,29476,64427c19926,64427,14211,61913,8522,56198c2845,50470,0,42558,0,32449c0,22225,2870,14237,8572,8547c14262,2845,21971,0,31699,0x">
                  <v:stroke weight="0pt" endcap="flat" joinstyle="miter" miterlimit="10" on="false" color="#000000" opacity="0"/>
                  <v:fill on="true" color="#000003"/>
                </v:shape>
              </v:group>
            </w:pict>
          </mc:Fallback>
        </mc:AlternateContent>
      </w:r>
    </w:p>
    <w:p w:rsidR="002D5C2A" w:rsidRDefault="00280B42">
      <w:pPr>
        <w:spacing w:after="0" w:line="249" w:lineRule="auto"/>
        <w:ind w:right="958"/>
      </w:pPr>
      <w:r>
        <w:rPr>
          <w:rFonts w:ascii="Times New Roman" w:eastAsia="Times New Roman" w:hAnsi="Times New Roman" w:cs="Times New Roman"/>
          <w:color w:val="009EE4"/>
          <w:sz w:val="44"/>
        </w:rPr>
        <w:t>Клинические рекомендации  Российской гастроэнтерологической ассоциации по диагностике и лечению инфекционного эзофагита</w:t>
      </w:r>
    </w:p>
    <w:p w:rsidR="002D5C2A" w:rsidRDefault="00280B42">
      <w:pPr>
        <w:spacing w:after="0"/>
        <w:ind w:left="-5" w:hanging="10"/>
      </w:pPr>
      <w:r>
        <w:rPr>
          <w:rFonts w:ascii="Times New Roman" w:eastAsia="Times New Roman" w:hAnsi="Times New Roman" w:cs="Times New Roman"/>
          <w:color w:val="000003"/>
        </w:rPr>
        <w:t>В.Т. Ивашкин</w:t>
      </w:r>
      <w:r>
        <w:rPr>
          <w:rFonts w:ascii="Times New Roman" w:eastAsia="Times New Roman" w:hAnsi="Times New Roman" w:cs="Times New Roman"/>
          <w:color w:val="000003"/>
          <w:sz w:val="20"/>
          <w:vertAlign w:val="superscript"/>
        </w:rPr>
        <w:t>1</w:t>
      </w:r>
      <w:r>
        <w:rPr>
          <w:rFonts w:ascii="Times New Roman" w:eastAsia="Times New Roman" w:hAnsi="Times New Roman" w:cs="Times New Roman"/>
          <w:color w:val="000003"/>
        </w:rPr>
        <w:t>, Н.Д. Ющук</w:t>
      </w:r>
      <w:r>
        <w:rPr>
          <w:rFonts w:ascii="Times New Roman" w:eastAsia="Times New Roman" w:hAnsi="Times New Roman" w:cs="Times New Roman"/>
          <w:color w:val="000003"/>
          <w:sz w:val="20"/>
          <w:vertAlign w:val="superscript"/>
        </w:rPr>
        <w:t>2</w:t>
      </w:r>
      <w:r>
        <w:rPr>
          <w:rFonts w:ascii="Times New Roman" w:eastAsia="Times New Roman" w:hAnsi="Times New Roman" w:cs="Times New Roman"/>
          <w:color w:val="000003"/>
        </w:rPr>
        <w:t>, И.В. Маев</w:t>
      </w:r>
      <w:r>
        <w:rPr>
          <w:rFonts w:ascii="Times New Roman" w:eastAsia="Times New Roman" w:hAnsi="Times New Roman" w:cs="Times New Roman"/>
          <w:color w:val="000003"/>
          <w:sz w:val="20"/>
          <w:vertAlign w:val="superscript"/>
        </w:rPr>
        <w:t>2</w:t>
      </w:r>
      <w:r>
        <w:rPr>
          <w:rFonts w:ascii="Times New Roman" w:eastAsia="Times New Roman" w:hAnsi="Times New Roman" w:cs="Times New Roman"/>
          <w:color w:val="000003"/>
        </w:rPr>
        <w:t>, А.С. Трухманов</w:t>
      </w:r>
      <w:r>
        <w:rPr>
          <w:rFonts w:ascii="Times New Roman" w:eastAsia="Times New Roman" w:hAnsi="Times New Roman" w:cs="Times New Roman"/>
          <w:color w:val="000003"/>
          <w:sz w:val="20"/>
          <w:vertAlign w:val="superscript"/>
        </w:rPr>
        <w:t>1</w:t>
      </w:r>
      <w:r>
        <w:rPr>
          <w:rFonts w:ascii="Times New Roman" w:eastAsia="Times New Roman" w:hAnsi="Times New Roman" w:cs="Times New Roman"/>
          <w:color w:val="000003"/>
        </w:rPr>
        <w:t>, О.А. Сторонова</w:t>
      </w:r>
      <w:r>
        <w:rPr>
          <w:rFonts w:ascii="Times New Roman" w:eastAsia="Times New Roman" w:hAnsi="Times New Roman" w:cs="Times New Roman"/>
          <w:color w:val="000003"/>
          <w:sz w:val="20"/>
          <w:vertAlign w:val="superscript"/>
        </w:rPr>
        <w:t>1,*</w:t>
      </w:r>
      <w:r>
        <w:rPr>
          <w:rFonts w:ascii="Times New Roman" w:eastAsia="Times New Roman" w:hAnsi="Times New Roman" w:cs="Times New Roman"/>
          <w:color w:val="000003"/>
        </w:rPr>
        <w:t xml:space="preserve">, </w:t>
      </w:r>
    </w:p>
    <w:p w:rsidR="002D5C2A" w:rsidRDefault="00280B42">
      <w:pPr>
        <w:spacing w:after="0"/>
        <w:ind w:left="-5" w:hanging="10"/>
      </w:pPr>
      <w:r>
        <w:rPr>
          <w:rFonts w:ascii="Times New Roman" w:eastAsia="Times New Roman" w:hAnsi="Times New Roman" w:cs="Times New Roman"/>
          <w:color w:val="000003"/>
        </w:rPr>
        <w:t>А.А. Макушина</w:t>
      </w:r>
      <w:r>
        <w:rPr>
          <w:rFonts w:ascii="Times New Roman" w:eastAsia="Times New Roman" w:hAnsi="Times New Roman" w:cs="Times New Roman"/>
          <w:color w:val="000003"/>
          <w:sz w:val="20"/>
          <w:vertAlign w:val="superscript"/>
        </w:rPr>
        <w:t>1</w:t>
      </w:r>
      <w:r>
        <w:rPr>
          <w:rFonts w:ascii="Times New Roman" w:eastAsia="Times New Roman" w:hAnsi="Times New Roman" w:cs="Times New Roman"/>
          <w:color w:val="000003"/>
        </w:rPr>
        <w:t>, С.С. Пирогов</w:t>
      </w:r>
      <w:r>
        <w:rPr>
          <w:rFonts w:ascii="Times New Roman" w:eastAsia="Times New Roman" w:hAnsi="Times New Roman" w:cs="Times New Roman"/>
          <w:color w:val="000003"/>
          <w:sz w:val="20"/>
          <w:vertAlign w:val="superscript"/>
        </w:rPr>
        <w:t>3</w:t>
      </w:r>
      <w:r>
        <w:rPr>
          <w:rFonts w:ascii="Times New Roman" w:eastAsia="Times New Roman" w:hAnsi="Times New Roman" w:cs="Times New Roman"/>
          <w:color w:val="000003"/>
        </w:rPr>
        <w:t>, О.В. Зайратьянц</w:t>
      </w:r>
      <w:r>
        <w:rPr>
          <w:rFonts w:ascii="Times New Roman" w:eastAsia="Times New Roman" w:hAnsi="Times New Roman" w:cs="Times New Roman"/>
          <w:color w:val="000003"/>
          <w:sz w:val="20"/>
          <w:vertAlign w:val="superscript"/>
        </w:rPr>
        <w:t>2</w:t>
      </w:r>
      <w:r>
        <w:rPr>
          <w:rFonts w:ascii="Times New Roman" w:eastAsia="Times New Roman" w:hAnsi="Times New Roman" w:cs="Times New Roman"/>
          <w:color w:val="000003"/>
        </w:rPr>
        <w:t>, О.П. Алексеева</w:t>
      </w:r>
      <w:r>
        <w:rPr>
          <w:rFonts w:ascii="Times New Roman" w:eastAsia="Times New Roman" w:hAnsi="Times New Roman" w:cs="Times New Roman"/>
          <w:color w:val="000003"/>
          <w:sz w:val="20"/>
          <w:vertAlign w:val="superscript"/>
        </w:rPr>
        <w:t>4</w:t>
      </w:r>
      <w:r>
        <w:rPr>
          <w:rFonts w:ascii="Times New Roman" w:eastAsia="Times New Roman" w:hAnsi="Times New Roman" w:cs="Times New Roman"/>
          <w:color w:val="000003"/>
        </w:rPr>
        <w:t>, Д.Н. Андреев</w:t>
      </w:r>
      <w:r>
        <w:rPr>
          <w:rFonts w:ascii="Times New Roman" w:eastAsia="Times New Roman" w:hAnsi="Times New Roman" w:cs="Times New Roman"/>
          <w:color w:val="000003"/>
          <w:sz w:val="20"/>
          <w:vertAlign w:val="superscript"/>
        </w:rPr>
        <w:t>2</w:t>
      </w:r>
      <w:r>
        <w:rPr>
          <w:rFonts w:ascii="Times New Roman" w:eastAsia="Times New Roman" w:hAnsi="Times New Roman" w:cs="Times New Roman"/>
          <w:color w:val="000003"/>
        </w:rPr>
        <w:t xml:space="preserve">, </w:t>
      </w:r>
    </w:p>
    <w:p w:rsidR="002D5C2A" w:rsidRDefault="00280B42">
      <w:pPr>
        <w:spacing w:after="132"/>
        <w:ind w:left="-5" w:hanging="10"/>
      </w:pPr>
      <w:r>
        <w:rPr>
          <w:rFonts w:ascii="Times New Roman" w:eastAsia="Times New Roman" w:hAnsi="Times New Roman" w:cs="Times New Roman"/>
          <w:color w:val="000003"/>
        </w:rPr>
        <w:t>Т.Л. Лапина</w:t>
      </w:r>
      <w:r>
        <w:rPr>
          <w:rFonts w:ascii="Times New Roman" w:eastAsia="Times New Roman" w:hAnsi="Times New Roman" w:cs="Times New Roman"/>
          <w:color w:val="000003"/>
          <w:sz w:val="20"/>
          <w:vertAlign w:val="superscript"/>
        </w:rPr>
        <w:t>1</w:t>
      </w:r>
      <w:r>
        <w:rPr>
          <w:rFonts w:ascii="Times New Roman" w:eastAsia="Times New Roman" w:hAnsi="Times New Roman" w:cs="Times New Roman"/>
          <w:color w:val="000003"/>
        </w:rPr>
        <w:t>, А.В. Ткачев</w:t>
      </w:r>
      <w:r>
        <w:rPr>
          <w:rFonts w:ascii="Times New Roman" w:eastAsia="Times New Roman" w:hAnsi="Times New Roman" w:cs="Times New Roman"/>
          <w:color w:val="000003"/>
          <w:sz w:val="20"/>
          <w:vertAlign w:val="superscript"/>
        </w:rPr>
        <w:t>5</w:t>
      </w:r>
      <w:r>
        <w:rPr>
          <w:rFonts w:ascii="Times New Roman" w:eastAsia="Times New Roman" w:hAnsi="Times New Roman" w:cs="Times New Roman"/>
          <w:color w:val="000003"/>
        </w:rPr>
        <w:t>, Ю.П. Успенский</w:t>
      </w:r>
      <w:r>
        <w:rPr>
          <w:rFonts w:ascii="Times New Roman" w:eastAsia="Times New Roman" w:hAnsi="Times New Roman" w:cs="Times New Roman"/>
          <w:color w:val="000003"/>
          <w:sz w:val="20"/>
          <w:vertAlign w:val="superscript"/>
        </w:rPr>
        <w:t>6,7</w:t>
      </w:r>
      <w:r>
        <w:rPr>
          <w:rFonts w:ascii="Times New Roman" w:eastAsia="Times New Roman" w:hAnsi="Times New Roman" w:cs="Times New Roman"/>
          <w:color w:val="000003"/>
        </w:rPr>
        <w:t>, А.А. Шептулин</w:t>
      </w:r>
      <w:r>
        <w:rPr>
          <w:rFonts w:ascii="Times New Roman" w:eastAsia="Times New Roman" w:hAnsi="Times New Roman" w:cs="Times New Roman"/>
          <w:color w:val="000003"/>
          <w:sz w:val="20"/>
          <w:vertAlign w:val="superscript"/>
        </w:rPr>
        <w:t>1</w:t>
      </w:r>
    </w:p>
    <w:p w:rsidR="002D5C2A" w:rsidRDefault="00280B42">
      <w:pPr>
        <w:numPr>
          <w:ilvl w:val="0"/>
          <w:numId w:val="1"/>
        </w:numPr>
        <w:spacing w:after="0"/>
        <w:ind w:hanging="112"/>
      </w:pPr>
      <w:r>
        <w:rPr>
          <w:rFonts w:ascii="Times New Roman" w:eastAsia="Times New Roman" w:hAnsi="Times New Roman" w:cs="Times New Roman"/>
          <w:i/>
          <w:color w:val="000002"/>
          <w:sz w:val="16"/>
        </w:rPr>
        <w:t xml:space="preserve">ФГАОУ ВО «Первый Московский государственный медицинский университет им. И.М. Сеченова»  </w:t>
      </w:r>
    </w:p>
    <w:p w:rsidR="002D5C2A" w:rsidRDefault="00280B42">
      <w:pPr>
        <w:spacing w:after="0"/>
        <w:ind w:left="-5" w:hanging="10"/>
      </w:pPr>
      <w:r>
        <w:rPr>
          <w:rFonts w:ascii="Times New Roman" w:eastAsia="Times New Roman" w:hAnsi="Times New Roman" w:cs="Times New Roman"/>
          <w:i/>
          <w:color w:val="000002"/>
          <w:sz w:val="16"/>
        </w:rPr>
        <w:t>(Сеченовский Университе</w:t>
      </w:r>
      <w:r>
        <w:rPr>
          <w:rFonts w:ascii="Times New Roman" w:eastAsia="Times New Roman" w:hAnsi="Times New Roman" w:cs="Times New Roman"/>
          <w:i/>
          <w:color w:val="000002"/>
          <w:sz w:val="16"/>
        </w:rPr>
        <w:t>т) Министерства здравоохранения Российской Федерации, Москва, Росси</w:t>
      </w:r>
      <w:r>
        <w:rPr>
          <w:rFonts w:ascii="Times New Roman" w:eastAsia="Times New Roman" w:hAnsi="Times New Roman" w:cs="Times New Roman"/>
          <w:i/>
          <w:color w:val="000003"/>
          <w:sz w:val="16"/>
        </w:rPr>
        <w:t>й</w:t>
      </w:r>
      <w:r>
        <w:rPr>
          <w:rFonts w:ascii="Times New Roman" w:eastAsia="Times New Roman" w:hAnsi="Times New Roman" w:cs="Times New Roman"/>
          <w:i/>
          <w:color w:val="000002"/>
          <w:sz w:val="16"/>
        </w:rPr>
        <w:t>ская Федерация</w:t>
      </w:r>
    </w:p>
    <w:p w:rsidR="002D5C2A" w:rsidRDefault="00280B42">
      <w:pPr>
        <w:numPr>
          <w:ilvl w:val="0"/>
          <w:numId w:val="1"/>
        </w:numPr>
        <w:spacing w:after="0"/>
        <w:ind w:hanging="112"/>
      </w:pPr>
      <w:r>
        <w:rPr>
          <w:rFonts w:ascii="Times New Roman" w:eastAsia="Times New Roman" w:hAnsi="Times New Roman" w:cs="Times New Roman"/>
          <w:i/>
          <w:color w:val="000002"/>
          <w:sz w:val="16"/>
        </w:rPr>
        <w:t xml:space="preserve">ФГБОУ ВО «Московский государственный медико-стоматологический университет им. А.И. Евдокимова» </w:t>
      </w:r>
    </w:p>
    <w:p w:rsidR="002D5C2A" w:rsidRDefault="00280B42">
      <w:pPr>
        <w:spacing w:after="20" w:line="254" w:lineRule="auto"/>
        <w:ind w:left="-5" w:right="2335" w:hanging="10"/>
      </w:pPr>
      <w:r>
        <w:rPr>
          <w:rFonts w:ascii="Times New Roman" w:eastAsia="Times New Roman" w:hAnsi="Times New Roman" w:cs="Times New Roman"/>
          <w:i/>
          <w:color w:val="000002"/>
          <w:sz w:val="16"/>
        </w:rPr>
        <w:t>Министерства здравоохранения Российской Федерации, Москва, Российская Федерац</w:t>
      </w:r>
      <w:r>
        <w:rPr>
          <w:rFonts w:ascii="Times New Roman" w:eastAsia="Times New Roman" w:hAnsi="Times New Roman" w:cs="Times New Roman"/>
          <w:i/>
          <w:color w:val="000002"/>
          <w:sz w:val="16"/>
        </w:rPr>
        <w:t xml:space="preserve">ия </w:t>
      </w:r>
      <w:r>
        <w:rPr>
          <w:rFonts w:ascii="Times New Roman" w:eastAsia="Times New Roman" w:hAnsi="Times New Roman" w:cs="Times New Roman"/>
          <w:i/>
          <w:color w:val="000003"/>
          <w:sz w:val="14"/>
          <w:vertAlign w:val="superscript"/>
        </w:rPr>
        <w:t xml:space="preserve">3 </w:t>
      </w:r>
      <w:r>
        <w:rPr>
          <w:rFonts w:ascii="Times New Roman" w:eastAsia="Times New Roman" w:hAnsi="Times New Roman" w:cs="Times New Roman"/>
          <w:i/>
          <w:color w:val="000003"/>
          <w:sz w:val="16"/>
        </w:rPr>
        <w:t xml:space="preserve">Московский научно-исследовательский онкологический институт им. П.А. Герцена,  филиал ФГБУ «Национальный медицинский исследовательский центр радиологии»   </w:t>
      </w:r>
      <w:r>
        <w:rPr>
          <w:rFonts w:ascii="Times New Roman" w:eastAsia="Times New Roman" w:hAnsi="Times New Roman" w:cs="Times New Roman"/>
          <w:i/>
          <w:color w:val="000002"/>
          <w:sz w:val="16"/>
        </w:rPr>
        <w:t>Министерства здравоохранения Российской Федерации</w:t>
      </w:r>
      <w:r>
        <w:rPr>
          <w:rFonts w:ascii="Times New Roman" w:eastAsia="Times New Roman" w:hAnsi="Times New Roman" w:cs="Times New Roman"/>
          <w:i/>
          <w:color w:val="000003"/>
          <w:sz w:val="16"/>
        </w:rPr>
        <w:t>, Москва, Российская Федерация</w:t>
      </w:r>
    </w:p>
    <w:p w:rsidR="002D5C2A" w:rsidRDefault="00280B42">
      <w:pPr>
        <w:numPr>
          <w:ilvl w:val="0"/>
          <w:numId w:val="2"/>
        </w:numPr>
        <w:spacing w:after="20" w:line="254" w:lineRule="auto"/>
        <w:ind w:hanging="87"/>
      </w:pPr>
      <w:r>
        <w:rPr>
          <w:rFonts w:ascii="Times New Roman" w:eastAsia="Times New Roman" w:hAnsi="Times New Roman" w:cs="Times New Roman"/>
          <w:i/>
          <w:color w:val="000003"/>
          <w:sz w:val="16"/>
        </w:rPr>
        <w:t xml:space="preserve">ФГБОУ ВО «Приволжский исследовательский медицинский университет»  </w:t>
      </w:r>
    </w:p>
    <w:p w:rsidR="002D5C2A" w:rsidRDefault="00280B42">
      <w:pPr>
        <w:spacing w:after="0"/>
        <w:ind w:left="-5" w:hanging="10"/>
      </w:pPr>
      <w:r>
        <w:rPr>
          <w:rFonts w:ascii="Times New Roman" w:eastAsia="Times New Roman" w:hAnsi="Times New Roman" w:cs="Times New Roman"/>
          <w:i/>
          <w:color w:val="000002"/>
          <w:sz w:val="16"/>
        </w:rPr>
        <w:t>Министерства здравоохранения Российской Федерации</w:t>
      </w:r>
      <w:r>
        <w:rPr>
          <w:rFonts w:ascii="Times New Roman" w:eastAsia="Times New Roman" w:hAnsi="Times New Roman" w:cs="Times New Roman"/>
          <w:i/>
          <w:color w:val="000003"/>
          <w:sz w:val="16"/>
        </w:rPr>
        <w:t>, Нижний Новгород, Российская Федерация</w:t>
      </w:r>
    </w:p>
    <w:p w:rsidR="002D5C2A" w:rsidRDefault="00280B42">
      <w:pPr>
        <w:numPr>
          <w:ilvl w:val="0"/>
          <w:numId w:val="2"/>
        </w:numPr>
        <w:spacing w:after="20" w:line="254" w:lineRule="auto"/>
        <w:ind w:hanging="87"/>
      </w:pPr>
      <w:r>
        <w:rPr>
          <w:rFonts w:ascii="Times New Roman" w:eastAsia="Times New Roman" w:hAnsi="Times New Roman" w:cs="Times New Roman"/>
          <w:i/>
          <w:color w:val="000003"/>
          <w:sz w:val="16"/>
        </w:rPr>
        <w:t xml:space="preserve">ФГБОУ ВО «Ростовский государственный медицинский университет»  </w:t>
      </w:r>
    </w:p>
    <w:p w:rsidR="002D5C2A" w:rsidRDefault="00280B42">
      <w:pPr>
        <w:spacing w:after="0"/>
        <w:ind w:left="-5" w:hanging="10"/>
      </w:pPr>
      <w:r>
        <w:rPr>
          <w:rFonts w:ascii="Times New Roman" w:eastAsia="Times New Roman" w:hAnsi="Times New Roman" w:cs="Times New Roman"/>
          <w:i/>
          <w:color w:val="000002"/>
          <w:sz w:val="16"/>
        </w:rPr>
        <w:t>Министерства здравоохранения Российс</w:t>
      </w:r>
      <w:r>
        <w:rPr>
          <w:rFonts w:ascii="Times New Roman" w:eastAsia="Times New Roman" w:hAnsi="Times New Roman" w:cs="Times New Roman"/>
          <w:i/>
          <w:color w:val="000002"/>
          <w:sz w:val="16"/>
        </w:rPr>
        <w:t>кой Федерации</w:t>
      </w:r>
      <w:r>
        <w:rPr>
          <w:rFonts w:ascii="Times New Roman" w:eastAsia="Times New Roman" w:hAnsi="Times New Roman" w:cs="Times New Roman"/>
          <w:i/>
          <w:color w:val="000003"/>
          <w:sz w:val="16"/>
        </w:rPr>
        <w:t>, Ростов-на-Дону, Российская Федерация</w:t>
      </w:r>
    </w:p>
    <w:p w:rsidR="002D5C2A" w:rsidRDefault="00280B42">
      <w:pPr>
        <w:numPr>
          <w:ilvl w:val="0"/>
          <w:numId w:val="2"/>
        </w:numPr>
        <w:spacing w:after="20" w:line="254" w:lineRule="auto"/>
        <w:ind w:hanging="87"/>
      </w:pPr>
      <w:r>
        <w:rPr>
          <w:rFonts w:ascii="Times New Roman" w:eastAsia="Times New Roman" w:hAnsi="Times New Roman" w:cs="Times New Roman"/>
          <w:i/>
          <w:color w:val="333333"/>
          <w:sz w:val="16"/>
        </w:rPr>
        <w:t>ФГБОУ ВО «</w:t>
      </w:r>
      <w:r>
        <w:rPr>
          <w:rFonts w:ascii="Times New Roman" w:eastAsia="Times New Roman" w:hAnsi="Times New Roman" w:cs="Times New Roman"/>
          <w:i/>
          <w:color w:val="000003"/>
          <w:sz w:val="16"/>
        </w:rPr>
        <w:t xml:space="preserve">Санкт-Петербургский государственный педиатрический медицинский университет»  </w:t>
      </w:r>
    </w:p>
    <w:p w:rsidR="002D5C2A" w:rsidRDefault="00280B42">
      <w:pPr>
        <w:spacing w:after="0"/>
        <w:ind w:left="-5" w:hanging="10"/>
      </w:pPr>
      <w:r>
        <w:rPr>
          <w:rFonts w:ascii="Times New Roman" w:eastAsia="Times New Roman" w:hAnsi="Times New Roman" w:cs="Times New Roman"/>
          <w:i/>
          <w:color w:val="000002"/>
          <w:sz w:val="16"/>
        </w:rPr>
        <w:t>Министерства здравоохранения Российской Федерации, Санкт-Петербург, Российская Федерация</w:t>
      </w:r>
    </w:p>
    <w:p w:rsidR="002D5C2A" w:rsidRDefault="00280B42">
      <w:pPr>
        <w:numPr>
          <w:ilvl w:val="0"/>
          <w:numId w:val="2"/>
        </w:numPr>
        <w:spacing w:after="20" w:line="254" w:lineRule="auto"/>
        <w:ind w:hanging="87"/>
      </w:pPr>
      <w:r>
        <w:rPr>
          <w:rFonts w:ascii="Times New Roman" w:eastAsia="Times New Roman" w:hAnsi="Times New Roman" w:cs="Times New Roman"/>
          <w:i/>
          <w:color w:val="000003"/>
          <w:sz w:val="16"/>
        </w:rPr>
        <w:t>ФГБОУ ВО «Первый Санкт-Пете</w:t>
      </w:r>
      <w:r>
        <w:rPr>
          <w:rFonts w:ascii="Times New Roman" w:eastAsia="Times New Roman" w:hAnsi="Times New Roman" w:cs="Times New Roman"/>
          <w:i/>
          <w:color w:val="000003"/>
          <w:sz w:val="16"/>
        </w:rPr>
        <w:t xml:space="preserve">рбургский государственный медицинский университет имени академика  </w:t>
      </w:r>
    </w:p>
    <w:p w:rsidR="002D5C2A" w:rsidRDefault="00280B42">
      <w:pPr>
        <w:spacing w:after="227" w:line="254" w:lineRule="auto"/>
        <w:ind w:left="-5" w:hanging="10"/>
      </w:pPr>
      <w:r>
        <w:rPr>
          <w:rFonts w:ascii="Times New Roman" w:eastAsia="Times New Roman" w:hAnsi="Times New Roman" w:cs="Times New Roman"/>
          <w:i/>
          <w:color w:val="000003"/>
          <w:sz w:val="16"/>
        </w:rPr>
        <w:t>И.П. Павлова» Министерства здравоохранения Российской Федерации, Санкт-Петербург, Российская Федерация</w:t>
      </w:r>
    </w:p>
    <w:p w:rsidR="002D5C2A" w:rsidRDefault="00280B42">
      <w:pPr>
        <w:shd w:val="clear" w:color="auto" w:fill="EFEFF0"/>
        <w:spacing w:after="0" w:line="248" w:lineRule="auto"/>
        <w:ind w:left="108" w:right="98" w:hanging="10"/>
        <w:jc w:val="both"/>
      </w:pPr>
      <w:r>
        <w:rPr>
          <w:b/>
          <w:color w:val="000003"/>
          <w:sz w:val="18"/>
        </w:rPr>
        <w:t>Цель представления</w:t>
      </w:r>
      <w:r>
        <w:rPr>
          <w:color w:val="000003"/>
          <w:sz w:val="18"/>
        </w:rPr>
        <w:t xml:space="preserve"> клинических рекомендаций, предназначенных для врачей-гастроэнтерологов, врачей общей практики (семейных врачей), врачей-терапевтов, врачей-эндоскопистов, врачей-инфекционистов заключается в изложении современных методов диагностики и лечения инфекционного</w:t>
      </w:r>
      <w:r>
        <w:rPr>
          <w:color w:val="000003"/>
          <w:sz w:val="18"/>
        </w:rPr>
        <w:t xml:space="preserve"> эзофагита. </w:t>
      </w:r>
      <w:r>
        <w:rPr>
          <w:b/>
          <w:color w:val="000003"/>
          <w:sz w:val="18"/>
        </w:rPr>
        <w:t>Основное содержание</w:t>
      </w:r>
      <w:r>
        <w:rPr>
          <w:color w:val="000003"/>
          <w:sz w:val="18"/>
        </w:rPr>
        <w:t>. Инфекционный эзофагит представляет собой заболевание пищевода, вызванное грибковыми, вирусными, бактериальными или паразитарными агентами. Пищевод может поражаться изолированно либо как часть распространенной инфекции желуд</w:t>
      </w:r>
      <w:r>
        <w:rPr>
          <w:color w:val="000003"/>
          <w:sz w:val="18"/>
        </w:rPr>
        <w:t>очно-кишечного тракта. Всем пациентам с подозрением на инфекционный эзофагит, при отсутствии противопоказаний, с целью подтверждения диагноза рекомендуется проведение эзофагогастродуоденоскопии со взятием биопсии. В ряде случаев пациентам с инфекционным эз</w:t>
      </w:r>
      <w:r>
        <w:rPr>
          <w:color w:val="000003"/>
          <w:sz w:val="18"/>
        </w:rPr>
        <w:t>офагитом с целью верификации инфекционного агента рекомендуется проведение гистологического исследования, иммуногистохимического исследования или анализа методом полимеразной цепной реакции. Пациенты с неосложненным течением инфекционного эзофагита подлежа</w:t>
      </w:r>
      <w:r>
        <w:rPr>
          <w:color w:val="000003"/>
          <w:sz w:val="18"/>
        </w:rPr>
        <w:t>т консервативному лечению. В большинстве случаев оно проводится амбулаторно. Однако при выраженной одинофагии, дисфагии, выраженном болевом синдроме, высоком риске развития осложнений (например, риск развития кровотечения из язв пищевода у пациентов с тром</w:t>
      </w:r>
      <w:r>
        <w:rPr>
          <w:color w:val="000003"/>
          <w:sz w:val="18"/>
        </w:rPr>
        <w:t>боцитопенией), тяжелой степени иммунодефицита, развитии генерализованных форм заболевания, тяжелых сопутствующих заболеваниях целесообразна госпитализация пациентов.</w:t>
      </w:r>
      <w:r>
        <w:rPr>
          <w:i/>
          <w:color w:val="000003"/>
          <w:sz w:val="18"/>
        </w:rPr>
        <w:t xml:space="preserve"> </w:t>
      </w:r>
      <w:r>
        <w:rPr>
          <w:color w:val="000003"/>
          <w:sz w:val="18"/>
        </w:rPr>
        <w:t>Клинические рекомендации содержат критерии оценки качества оказания медицинской помощи, ин</w:t>
      </w:r>
      <w:r>
        <w:rPr>
          <w:color w:val="000003"/>
          <w:sz w:val="18"/>
        </w:rPr>
        <w:t>формацию для пациента.</w:t>
      </w:r>
    </w:p>
    <w:p w:rsidR="002D5C2A" w:rsidRDefault="00280B42">
      <w:pPr>
        <w:shd w:val="clear" w:color="auto" w:fill="EFEFF0"/>
        <w:spacing w:after="0" w:line="248" w:lineRule="auto"/>
        <w:ind w:left="108" w:right="98" w:hanging="10"/>
        <w:jc w:val="both"/>
      </w:pPr>
      <w:r>
        <w:rPr>
          <w:b/>
          <w:color w:val="000003"/>
          <w:sz w:val="18"/>
        </w:rPr>
        <w:t>Заключение.</w:t>
      </w:r>
      <w:r>
        <w:rPr>
          <w:color w:val="000003"/>
          <w:sz w:val="18"/>
        </w:rPr>
        <w:t xml:space="preserve"> Диагностика инфекционного эзофагита опирается на клиническую картину (одинофагия, дисфагия), наличие иммуносупрессии, данные эндоскопического и гистологического исследования. Всем пациентам с инфекционным эзофагитом с вер</w:t>
      </w:r>
      <w:r>
        <w:rPr>
          <w:color w:val="000003"/>
          <w:sz w:val="18"/>
        </w:rPr>
        <w:t>ифицированным возбудителем рекомендуется проведение соответствующей этиотропной терапии.</w:t>
      </w:r>
    </w:p>
    <w:p w:rsidR="002D5C2A" w:rsidRDefault="00280B42">
      <w:pPr>
        <w:shd w:val="clear" w:color="auto" w:fill="EFEFF0"/>
        <w:spacing w:after="0" w:line="248" w:lineRule="auto"/>
        <w:ind w:left="108" w:right="98" w:hanging="10"/>
        <w:jc w:val="both"/>
      </w:pPr>
      <w:r>
        <w:rPr>
          <w:b/>
          <w:color w:val="000003"/>
          <w:sz w:val="18"/>
        </w:rPr>
        <w:t>Ключевые слова</w:t>
      </w:r>
      <w:r>
        <w:rPr>
          <w:color w:val="000003"/>
          <w:sz w:val="18"/>
        </w:rPr>
        <w:t>: инфекционный эзофагит, кандидоз, вирус простого герпеса, цитомегаловирус, иммунодефицит, одинофагия, дисфагия</w:t>
      </w:r>
    </w:p>
    <w:p w:rsidR="002D5C2A" w:rsidRDefault="00280B42">
      <w:pPr>
        <w:shd w:val="clear" w:color="auto" w:fill="EFEFF0"/>
        <w:spacing w:after="171" w:line="248" w:lineRule="auto"/>
        <w:ind w:left="108" w:right="98" w:hanging="10"/>
        <w:jc w:val="both"/>
      </w:pPr>
      <w:r>
        <w:rPr>
          <w:b/>
          <w:color w:val="000003"/>
          <w:sz w:val="18"/>
        </w:rPr>
        <w:t>Конфликт интересов</w:t>
      </w:r>
      <w:r>
        <w:rPr>
          <w:color w:val="000003"/>
          <w:sz w:val="18"/>
        </w:rPr>
        <w:t>: авторы заявляют об от</w:t>
      </w:r>
      <w:r>
        <w:rPr>
          <w:color w:val="000003"/>
          <w:sz w:val="18"/>
        </w:rPr>
        <w:t>сутствии конфликта интересов.</w:t>
      </w:r>
    </w:p>
    <w:p w:rsidR="002D5C2A" w:rsidRDefault="00280B42">
      <w:pPr>
        <w:spacing w:after="3" w:line="248" w:lineRule="auto"/>
        <w:ind w:left="108" w:right="98" w:hanging="10"/>
        <w:jc w:val="both"/>
      </w:pPr>
      <w:r>
        <w:rPr>
          <w:b/>
          <w:color w:val="000003"/>
          <w:sz w:val="16"/>
        </w:rPr>
        <w:t xml:space="preserve">Для цитирования: </w:t>
      </w:r>
      <w:r>
        <w:rPr>
          <w:color w:val="000003"/>
          <w:sz w:val="16"/>
        </w:rPr>
        <w:t>Ивашкин В.Т., Ющук Н.Д., Маев И.В., Трухманов А.С., Сторонова О.А., Макушина А.А., Пирогов С.С., Зайратьянц О.В., Алексеева О.П., Андреев Д.Н., Лапина Т.Л., Ткачев А.В., Успенский Ю.П., Шептулин А.А. Клиническ</w:t>
      </w:r>
      <w:r>
        <w:rPr>
          <w:color w:val="000003"/>
          <w:sz w:val="16"/>
        </w:rPr>
        <w:t>ие рекомендации Российской гастроэнтерологической ассоциации по диагностике и лечению инфекционного эзофагита. Российский журнал гастроэнтерологии, гепатологии, колопроктологии. 2020;30(5):63–83. https://doi.org/10.22416/13824376-2020-30-5-63-83</w:t>
      </w:r>
    </w:p>
    <w:p w:rsidR="002D5C2A" w:rsidRDefault="00280B42">
      <w:pPr>
        <w:pStyle w:val="Heading1"/>
      </w:pPr>
      <w:r>
        <w:lastRenderedPageBreak/>
        <w:t>Clinical R</w:t>
      </w:r>
      <w:r>
        <w:t>ecommendations of the Russian Gastroenterological Association on Diagnosis and Treatment of Infectious Esophagitis</w:t>
      </w:r>
    </w:p>
    <w:p w:rsidR="002D5C2A" w:rsidRDefault="00280B42">
      <w:pPr>
        <w:spacing w:after="0" w:line="251" w:lineRule="auto"/>
        <w:ind w:left="-5" w:right="281" w:hanging="10"/>
      </w:pPr>
      <w:r>
        <w:rPr>
          <w:color w:val="000003"/>
          <w:sz w:val="18"/>
        </w:rPr>
        <w:t>Vladimir T. Ivashkin</w:t>
      </w:r>
      <w:r>
        <w:rPr>
          <w:color w:val="000003"/>
          <w:sz w:val="16"/>
          <w:vertAlign w:val="superscript"/>
        </w:rPr>
        <w:t>1</w:t>
      </w:r>
      <w:r>
        <w:rPr>
          <w:color w:val="000003"/>
          <w:sz w:val="18"/>
        </w:rPr>
        <w:t>, Nikolay D. Yuschuk</w:t>
      </w:r>
      <w:r>
        <w:rPr>
          <w:color w:val="000003"/>
          <w:sz w:val="16"/>
          <w:vertAlign w:val="superscript"/>
        </w:rPr>
        <w:t>2</w:t>
      </w:r>
      <w:r>
        <w:rPr>
          <w:color w:val="000003"/>
          <w:sz w:val="18"/>
        </w:rPr>
        <w:t>, Igor V. Maev</w:t>
      </w:r>
      <w:r>
        <w:rPr>
          <w:color w:val="000003"/>
          <w:sz w:val="16"/>
          <w:vertAlign w:val="superscript"/>
        </w:rPr>
        <w:t>2</w:t>
      </w:r>
      <w:r>
        <w:rPr>
          <w:color w:val="000003"/>
          <w:sz w:val="18"/>
        </w:rPr>
        <w:t>, Alexander S. Trukhmanov</w:t>
      </w:r>
      <w:r>
        <w:rPr>
          <w:color w:val="000003"/>
          <w:sz w:val="16"/>
          <w:vertAlign w:val="superscript"/>
        </w:rPr>
        <w:t>1</w:t>
      </w:r>
      <w:r>
        <w:rPr>
          <w:color w:val="000003"/>
          <w:sz w:val="18"/>
        </w:rPr>
        <w:t>, Olga A. Storonova</w:t>
      </w:r>
      <w:r>
        <w:rPr>
          <w:color w:val="000003"/>
          <w:sz w:val="16"/>
          <w:vertAlign w:val="superscript"/>
        </w:rPr>
        <w:t>1,*</w:t>
      </w:r>
      <w:r>
        <w:rPr>
          <w:color w:val="000003"/>
          <w:sz w:val="18"/>
        </w:rPr>
        <w:t>,  Anastasia A. Makushina</w:t>
      </w:r>
      <w:r>
        <w:rPr>
          <w:color w:val="000003"/>
          <w:sz w:val="16"/>
          <w:vertAlign w:val="superscript"/>
        </w:rPr>
        <w:t>1</w:t>
      </w:r>
      <w:r>
        <w:rPr>
          <w:color w:val="000003"/>
          <w:sz w:val="18"/>
        </w:rPr>
        <w:t>, Sergey S. Pirogov</w:t>
      </w:r>
      <w:r>
        <w:rPr>
          <w:color w:val="000003"/>
          <w:sz w:val="16"/>
          <w:vertAlign w:val="superscript"/>
        </w:rPr>
        <w:t>3</w:t>
      </w:r>
      <w:r>
        <w:rPr>
          <w:color w:val="000003"/>
          <w:sz w:val="18"/>
        </w:rPr>
        <w:t>, Oleg V. Zayratyants</w:t>
      </w:r>
      <w:r>
        <w:rPr>
          <w:color w:val="000003"/>
          <w:sz w:val="16"/>
          <w:vertAlign w:val="superscript"/>
        </w:rPr>
        <w:t>2</w:t>
      </w:r>
      <w:r>
        <w:rPr>
          <w:color w:val="000003"/>
          <w:sz w:val="18"/>
        </w:rPr>
        <w:t>, Olga P. Alekseeva</w:t>
      </w:r>
      <w:r>
        <w:rPr>
          <w:color w:val="000003"/>
          <w:sz w:val="16"/>
          <w:vertAlign w:val="superscript"/>
        </w:rPr>
        <w:t>4</w:t>
      </w:r>
      <w:r>
        <w:rPr>
          <w:color w:val="000003"/>
          <w:sz w:val="18"/>
        </w:rPr>
        <w:t>, Dmitriy N. Andreyev</w:t>
      </w:r>
      <w:r>
        <w:rPr>
          <w:color w:val="000003"/>
          <w:sz w:val="16"/>
          <w:vertAlign w:val="superscript"/>
        </w:rPr>
        <w:t>2</w:t>
      </w:r>
      <w:r>
        <w:rPr>
          <w:color w:val="000003"/>
          <w:sz w:val="18"/>
        </w:rPr>
        <w:t xml:space="preserve">,  </w:t>
      </w:r>
    </w:p>
    <w:p w:rsidR="002D5C2A" w:rsidRDefault="00280B42">
      <w:pPr>
        <w:spacing w:after="210" w:line="251" w:lineRule="auto"/>
        <w:ind w:left="-5" w:right="281" w:hanging="10"/>
      </w:pPr>
      <w:r>
        <w:rPr>
          <w:color w:val="000003"/>
          <w:sz w:val="18"/>
        </w:rPr>
        <w:t>Tatyana L. Lapina</w:t>
      </w:r>
      <w:r>
        <w:rPr>
          <w:color w:val="000003"/>
          <w:sz w:val="16"/>
          <w:vertAlign w:val="superscript"/>
        </w:rPr>
        <w:t>1</w:t>
      </w:r>
      <w:r>
        <w:rPr>
          <w:color w:val="000003"/>
          <w:sz w:val="18"/>
        </w:rPr>
        <w:t>, Alexander V. Tkachev</w:t>
      </w:r>
      <w:r>
        <w:rPr>
          <w:color w:val="000003"/>
          <w:sz w:val="16"/>
          <w:vertAlign w:val="superscript"/>
        </w:rPr>
        <w:t>5</w:t>
      </w:r>
      <w:r>
        <w:rPr>
          <w:color w:val="000003"/>
          <w:sz w:val="18"/>
        </w:rPr>
        <w:t>, Yuriy P. Uspenskiy</w:t>
      </w:r>
      <w:r>
        <w:rPr>
          <w:color w:val="000003"/>
          <w:sz w:val="16"/>
          <w:vertAlign w:val="superscript"/>
        </w:rPr>
        <w:t>6,7</w:t>
      </w:r>
      <w:r>
        <w:rPr>
          <w:color w:val="000003"/>
          <w:sz w:val="18"/>
        </w:rPr>
        <w:t>, Arkadiy A. Sheptulin</w:t>
      </w:r>
      <w:r>
        <w:rPr>
          <w:color w:val="000003"/>
          <w:sz w:val="16"/>
          <w:vertAlign w:val="superscript"/>
        </w:rPr>
        <w:t>1</w:t>
      </w:r>
      <w:r>
        <w:rPr>
          <w:color w:val="000003"/>
          <w:sz w:val="18"/>
        </w:rPr>
        <w:t xml:space="preserve"> </w:t>
      </w:r>
    </w:p>
    <w:p w:rsidR="002D5C2A" w:rsidRDefault="00280B42">
      <w:pPr>
        <w:numPr>
          <w:ilvl w:val="0"/>
          <w:numId w:val="3"/>
        </w:numPr>
        <w:spacing w:after="35" w:line="265" w:lineRule="auto"/>
        <w:ind w:hanging="76"/>
      </w:pPr>
      <w:r>
        <w:rPr>
          <w:i/>
          <w:color w:val="000003"/>
          <w:sz w:val="16"/>
        </w:rPr>
        <w:t>Sechenov First Moscow State Medical University (Sechenov University), Moscow, R</w:t>
      </w:r>
      <w:r>
        <w:rPr>
          <w:i/>
          <w:color w:val="000003"/>
          <w:sz w:val="16"/>
        </w:rPr>
        <w:t>ussian Federation</w:t>
      </w:r>
    </w:p>
    <w:p w:rsidR="002D5C2A" w:rsidRDefault="00280B42">
      <w:pPr>
        <w:numPr>
          <w:ilvl w:val="0"/>
          <w:numId w:val="3"/>
        </w:numPr>
        <w:spacing w:after="35" w:line="265" w:lineRule="auto"/>
        <w:ind w:hanging="76"/>
      </w:pPr>
      <w:r>
        <w:rPr>
          <w:i/>
          <w:color w:val="000003"/>
          <w:sz w:val="16"/>
        </w:rPr>
        <w:t>Yevdokimov Moscow State University of Medicine and Dentistry, Moscow, Russian Federation</w:t>
      </w:r>
    </w:p>
    <w:p w:rsidR="002D5C2A" w:rsidRDefault="00280B42">
      <w:pPr>
        <w:numPr>
          <w:ilvl w:val="0"/>
          <w:numId w:val="3"/>
        </w:numPr>
        <w:spacing w:after="35" w:line="265" w:lineRule="auto"/>
        <w:ind w:hanging="76"/>
      </w:pPr>
      <w:r>
        <w:rPr>
          <w:i/>
          <w:color w:val="000003"/>
          <w:sz w:val="16"/>
        </w:rPr>
        <w:t>Herzen Moscow Oncology Research Center — Branch of the National Medical Research Radiology Center, Moscow, Russian Federation</w:t>
      </w:r>
    </w:p>
    <w:p w:rsidR="002D5C2A" w:rsidRDefault="00280B42">
      <w:pPr>
        <w:numPr>
          <w:ilvl w:val="0"/>
          <w:numId w:val="3"/>
        </w:numPr>
        <w:spacing w:after="35" w:line="265" w:lineRule="auto"/>
        <w:ind w:hanging="76"/>
      </w:pPr>
      <w:r>
        <w:rPr>
          <w:i/>
          <w:color w:val="000003"/>
          <w:sz w:val="16"/>
        </w:rPr>
        <w:t>Privolzhsky Research Medical University, Nizhny Novgorod, Russian Federation</w:t>
      </w:r>
    </w:p>
    <w:p w:rsidR="002D5C2A" w:rsidRDefault="00280B42">
      <w:pPr>
        <w:numPr>
          <w:ilvl w:val="0"/>
          <w:numId w:val="3"/>
        </w:numPr>
        <w:spacing w:after="35" w:line="265" w:lineRule="auto"/>
        <w:ind w:hanging="76"/>
      </w:pPr>
      <w:r>
        <w:rPr>
          <w:i/>
          <w:color w:val="000003"/>
          <w:sz w:val="16"/>
        </w:rPr>
        <w:t>Rostov State Medical University, Rostov-on-Don, Russian Federation</w:t>
      </w:r>
    </w:p>
    <w:p w:rsidR="002D5C2A" w:rsidRDefault="00280B42">
      <w:pPr>
        <w:numPr>
          <w:ilvl w:val="0"/>
          <w:numId w:val="3"/>
        </w:numPr>
        <w:spacing w:after="35" w:line="265" w:lineRule="auto"/>
        <w:ind w:hanging="76"/>
      </w:pPr>
      <w:r>
        <w:rPr>
          <w:i/>
          <w:color w:val="000003"/>
          <w:sz w:val="16"/>
        </w:rPr>
        <w:t>Saint-Petersburg State Pediatric Medical University, St. Petersburg, Russian Federation</w:t>
      </w:r>
    </w:p>
    <w:p w:rsidR="002D5C2A" w:rsidRDefault="00280B42">
      <w:pPr>
        <w:numPr>
          <w:ilvl w:val="0"/>
          <w:numId w:val="3"/>
        </w:numPr>
        <w:spacing w:after="361" w:line="265" w:lineRule="auto"/>
        <w:ind w:hanging="76"/>
      </w:pPr>
      <w:r>
        <w:rPr>
          <w:i/>
          <w:color w:val="000003"/>
          <w:sz w:val="16"/>
        </w:rPr>
        <w:t>Pavlov First Saint-Peter</w:t>
      </w:r>
      <w:r>
        <w:rPr>
          <w:i/>
          <w:color w:val="000003"/>
          <w:sz w:val="16"/>
        </w:rPr>
        <w:t>sburg State Medical University, St. Petersburg, Russian Federation</w:t>
      </w:r>
    </w:p>
    <w:p w:rsidR="002D5C2A" w:rsidRDefault="00280B42">
      <w:pPr>
        <w:shd w:val="clear" w:color="auto" w:fill="EFEFF0"/>
        <w:spacing w:after="0" w:line="248" w:lineRule="auto"/>
        <w:ind w:left="108" w:right="98" w:hanging="10"/>
        <w:jc w:val="both"/>
      </w:pPr>
      <w:r>
        <w:rPr>
          <w:b/>
          <w:color w:val="000003"/>
          <w:sz w:val="18"/>
        </w:rPr>
        <w:t>Aim.</w:t>
      </w:r>
      <w:r>
        <w:rPr>
          <w:color w:val="000003"/>
          <w:sz w:val="18"/>
        </w:rPr>
        <w:t xml:space="preserve"> Current clinical recommendations aim to provide gastroenterologists, general practitioners (family doctors), endoscopists and infectionists with modern methods for diagnosis and treatm</w:t>
      </w:r>
      <w:r>
        <w:rPr>
          <w:color w:val="000003"/>
          <w:sz w:val="18"/>
        </w:rPr>
        <w:t>ent of infectious esophagitis.</w:t>
      </w:r>
    </w:p>
    <w:p w:rsidR="002D5C2A" w:rsidRDefault="00280B42">
      <w:pPr>
        <w:shd w:val="clear" w:color="auto" w:fill="EFEFF0"/>
        <w:spacing w:after="0" w:line="248" w:lineRule="auto"/>
        <w:ind w:left="108" w:right="98" w:hanging="10"/>
        <w:jc w:val="both"/>
      </w:pPr>
      <w:r>
        <w:rPr>
          <w:b/>
          <w:color w:val="000003"/>
          <w:sz w:val="18"/>
        </w:rPr>
        <w:t>Key points.</w:t>
      </w:r>
      <w:r>
        <w:rPr>
          <w:color w:val="000003"/>
          <w:sz w:val="18"/>
        </w:rPr>
        <w:t xml:space="preserve"> Infectious esophagitis is an esophageal disease of fungal, viral, bacterial or parasitic origin. Esophagus may be affected per se or conjointly in a common gastrointestinal infection. All patients suspected for in</w:t>
      </w:r>
      <w:r>
        <w:rPr>
          <w:color w:val="000003"/>
          <w:sz w:val="18"/>
        </w:rPr>
        <w:t>fectious esophagitis, unless contraindicated, are advised an esophagogastroduodenoscopy with biopsy to confirm diagnosis. Selected incidents of infectious esophagitis require a histological, immunohistochemical examination or polymerase chain reaction-base</w:t>
      </w:r>
      <w:r>
        <w:rPr>
          <w:color w:val="000003"/>
          <w:sz w:val="18"/>
        </w:rPr>
        <w:t>d diagnosis to verify the infectious agent. Uncomplicated infectious esophagitis requires a conservative therapy, mostly on an outpatient basis. However, cases of severe odynophagia, dysphagia, severe pain syndrome, high complication risks (e.g., esophagea</w:t>
      </w:r>
      <w:r>
        <w:rPr>
          <w:color w:val="000003"/>
          <w:sz w:val="18"/>
        </w:rPr>
        <w:t>l ulcer bleeding in thrombocytopenia), severe immunodeficiency, generalised forms of disease and severe concomitant disorders are considered for hospital care. The clinical recommendations outline criteria for the medical care quality assessment and provid</w:t>
      </w:r>
      <w:r>
        <w:rPr>
          <w:color w:val="000003"/>
          <w:sz w:val="18"/>
        </w:rPr>
        <w:t>e relevant information to the patient.</w:t>
      </w:r>
    </w:p>
    <w:p w:rsidR="002D5C2A" w:rsidRDefault="00280B42">
      <w:pPr>
        <w:shd w:val="clear" w:color="auto" w:fill="EFEFF0"/>
        <w:spacing w:after="0" w:line="248" w:lineRule="auto"/>
        <w:ind w:left="108" w:right="98" w:hanging="10"/>
        <w:jc w:val="both"/>
      </w:pPr>
      <w:r>
        <w:rPr>
          <w:b/>
          <w:color w:val="000003"/>
          <w:sz w:val="18"/>
        </w:rPr>
        <w:t>Conclusion.</w:t>
      </w:r>
      <w:r>
        <w:rPr>
          <w:color w:val="000003"/>
          <w:sz w:val="18"/>
        </w:rPr>
        <w:t xml:space="preserve"> Diagnosis of infectious esophagitis capitalises on the clinical picture (odynophagia, dysphagia), presence of immunosuppression, endoscopic and histological evidence. All patients with infectious esophagit</w:t>
      </w:r>
      <w:r>
        <w:rPr>
          <w:color w:val="000003"/>
          <w:sz w:val="18"/>
        </w:rPr>
        <w:t>is of verified origin are recommended a suitable etiotropic therapy.</w:t>
      </w:r>
    </w:p>
    <w:p w:rsidR="002D5C2A" w:rsidRDefault="00280B42">
      <w:pPr>
        <w:shd w:val="clear" w:color="auto" w:fill="EFEFF0"/>
        <w:spacing w:after="0" w:line="248" w:lineRule="auto"/>
        <w:ind w:left="108" w:right="98" w:hanging="10"/>
        <w:jc w:val="both"/>
      </w:pPr>
      <w:r>
        <w:rPr>
          <w:b/>
          <w:color w:val="000003"/>
          <w:sz w:val="18"/>
        </w:rPr>
        <w:t>Keywords:</w:t>
      </w:r>
      <w:r>
        <w:rPr>
          <w:color w:val="000003"/>
          <w:sz w:val="18"/>
        </w:rPr>
        <w:t xml:space="preserve"> infectious esophagitis, candidiasis, herpes simplex virus, cytomegalovirus, immunodeficiency, odynophagia, dysphagia </w:t>
      </w:r>
    </w:p>
    <w:p w:rsidR="002D5C2A" w:rsidRDefault="00280B42">
      <w:pPr>
        <w:shd w:val="clear" w:color="auto" w:fill="EFEFF0"/>
        <w:spacing w:after="175" w:line="248" w:lineRule="auto"/>
        <w:ind w:left="108" w:right="98" w:hanging="10"/>
        <w:jc w:val="both"/>
      </w:pPr>
      <w:r>
        <w:rPr>
          <w:b/>
          <w:color w:val="000003"/>
          <w:sz w:val="18"/>
        </w:rPr>
        <w:t>Conflict of interest:</w:t>
      </w:r>
      <w:r>
        <w:rPr>
          <w:color w:val="000003"/>
          <w:sz w:val="18"/>
        </w:rPr>
        <w:t xml:space="preserve"> the authors declare no conflict of in</w:t>
      </w:r>
      <w:r>
        <w:rPr>
          <w:color w:val="000003"/>
          <w:sz w:val="18"/>
        </w:rPr>
        <w:t>terest.</w:t>
      </w:r>
    </w:p>
    <w:p w:rsidR="002D5C2A" w:rsidRDefault="00280B42">
      <w:pPr>
        <w:spacing w:after="3" w:line="248" w:lineRule="auto"/>
        <w:ind w:left="108" w:right="98" w:hanging="10"/>
        <w:jc w:val="both"/>
      </w:pPr>
      <w:r>
        <w:rPr>
          <w:b/>
          <w:color w:val="000003"/>
          <w:sz w:val="16"/>
        </w:rPr>
        <w:t xml:space="preserve">For citation: </w:t>
      </w:r>
      <w:r>
        <w:rPr>
          <w:color w:val="000003"/>
          <w:sz w:val="16"/>
        </w:rPr>
        <w:t>Ivashkin V.T., Yuschuk N.D., Maev I.V., Trukhmanov A.S., Storonova O.A., Makushina A.A., Pirogov S.S., Zayratyants O.V., Alekseeva O.P., Andreyev D.N., Lapina T.L., Tkachev A.V., Uspenskiy Y.P., Sheptulin A.A. Clinical Recommendations</w:t>
      </w:r>
      <w:r>
        <w:rPr>
          <w:color w:val="000003"/>
          <w:sz w:val="16"/>
        </w:rPr>
        <w:t xml:space="preserve"> of the Russian Gastroenterological Association on Diagnosis and Treatment of Infectious Esophagitis. Russian Journal of Gastroenterology, </w:t>
      </w:r>
    </w:p>
    <w:p w:rsidR="002D5C2A" w:rsidRDefault="00280B42">
      <w:pPr>
        <w:spacing w:after="3" w:line="248" w:lineRule="auto"/>
        <w:ind w:left="108" w:right="98" w:hanging="10"/>
        <w:jc w:val="both"/>
      </w:pPr>
      <w:r>
        <w:rPr>
          <w:color w:val="000003"/>
          <w:sz w:val="16"/>
        </w:rPr>
        <w:t>Hepatology, Coloproctology. 2020;30(5):63–83. https://doi.org/10.22416/1382-4376-2020-30-5-63-83</w:t>
      </w:r>
    </w:p>
    <w:p w:rsidR="002D5C2A" w:rsidRDefault="002D5C2A">
      <w:pPr>
        <w:sectPr w:rsidR="002D5C2A">
          <w:headerReference w:type="even" r:id="rId7"/>
          <w:headerReference w:type="default" r:id="rId8"/>
          <w:footerReference w:type="even" r:id="rId9"/>
          <w:footerReference w:type="default" r:id="rId10"/>
          <w:headerReference w:type="first" r:id="rId11"/>
          <w:footerReference w:type="first" r:id="rId12"/>
          <w:pgSz w:w="11906" w:h="15874"/>
          <w:pgMar w:top="1047" w:right="1134" w:bottom="1172" w:left="1134" w:header="454" w:footer="517" w:gutter="0"/>
          <w:pgNumType w:start="63"/>
          <w:cols w:space="720"/>
        </w:sectPr>
      </w:pPr>
    </w:p>
    <w:p w:rsidR="002D5C2A" w:rsidRDefault="00280B42">
      <w:pPr>
        <w:pStyle w:val="Heading2"/>
        <w:spacing w:after="46" w:line="254" w:lineRule="auto"/>
        <w:ind w:left="278"/>
        <w:jc w:val="left"/>
      </w:pPr>
      <w:r>
        <w:t>1. Краткая информация</w:t>
      </w:r>
    </w:p>
    <w:p w:rsidR="002D5C2A" w:rsidRDefault="00280B42">
      <w:pPr>
        <w:pStyle w:val="Heading3"/>
        <w:ind w:left="278"/>
      </w:pPr>
      <w:r>
        <w:t>1.1 Определение</w:t>
      </w:r>
    </w:p>
    <w:p w:rsidR="002D5C2A" w:rsidRDefault="00280B42">
      <w:pPr>
        <w:spacing w:after="166" w:line="254" w:lineRule="auto"/>
        <w:ind w:left="-13" w:right="73" w:firstLine="273"/>
        <w:jc w:val="both"/>
      </w:pPr>
      <w:r>
        <w:rPr>
          <w:rFonts w:ascii="Times New Roman" w:eastAsia="Times New Roman" w:hAnsi="Times New Roman" w:cs="Times New Roman"/>
          <w:color w:val="000003"/>
          <w:sz w:val="19"/>
        </w:rPr>
        <w:t>Эзофагит — это воспаление слизистой оболочки (СО) пищевода, развивающееся вследствие воздействия различных факторов как неинфекционной, так и инфекционной природы. Инфекционный эзофагит — заболевание пищевода, вызванное грибковыми, вирусными, бактериальным</w:t>
      </w:r>
      <w:r>
        <w:rPr>
          <w:rFonts w:ascii="Times New Roman" w:eastAsia="Times New Roman" w:hAnsi="Times New Roman" w:cs="Times New Roman"/>
          <w:color w:val="000003"/>
          <w:sz w:val="19"/>
        </w:rPr>
        <w:t>и или паразитарными агентами [1–4]. Пищевод может поражаться изолированно либо как часть распространенной инфекции желудочно-кишечного тракта [3].</w:t>
      </w:r>
    </w:p>
    <w:p w:rsidR="002D5C2A" w:rsidRDefault="00280B42">
      <w:pPr>
        <w:pStyle w:val="Heading3"/>
        <w:ind w:left="278"/>
      </w:pPr>
      <w:r>
        <w:t>1.2 Этиология и патогенез</w:t>
      </w:r>
    </w:p>
    <w:p w:rsidR="002D5C2A" w:rsidRDefault="00280B42">
      <w:pPr>
        <w:spacing w:after="5" w:line="254" w:lineRule="auto"/>
        <w:ind w:left="-13" w:right="73" w:firstLine="273"/>
        <w:jc w:val="both"/>
      </w:pPr>
      <w:r>
        <w:rPr>
          <w:rFonts w:ascii="Times New Roman" w:eastAsia="Times New Roman" w:hAnsi="Times New Roman" w:cs="Times New Roman"/>
          <w:color w:val="000003"/>
          <w:sz w:val="19"/>
        </w:rPr>
        <w:t>Развитие инфекционного эзофагита, как правило, происходит вследствие нарушения функ</w:t>
      </w:r>
      <w:r>
        <w:rPr>
          <w:rFonts w:ascii="Times New Roman" w:eastAsia="Times New Roman" w:hAnsi="Times New Roman" w:cs="Times New Roman"/>
          <w:color w:val="000003"/>
          <w:sz w:val="19"/>
        </w:rPr>
        <w:t>ции гуморального или клеточного иммунитета, реже — изменений микробиоты пищевода [1]. Множество состояний, ассоциированных с дисфункцией иммунной системы, могут послужить предрасполагающими факторами развития инфекционного поражения пищевода, включая сахар</w:t>
      </w:r>
      <w:r>
        <w:rPr>
          <w:rFonts w:ascii="Times New Roman" w:eastAsia="Times New Roman" w:hAnsi="Times New Roman" w:cs="Times New Roman"/>
          <w:color w:val="000003"/>
          <w:sz w:val="19"/>
        </w:rPr>
        <w:t xml:space="preserve">ный диабет, длительный прием антибиотиков и стероидных препаратов, злокачественные новообразования, химиотерапию и лучевую терапию области головы и шеи, синдром приобретенного иммунодефицита (СПИД), трансплантацию органов [1, 2, 5, 6]. В качестве факторов </w:t>
      </w:r>
      <w:r>
        <w:rPr>
          <w:rFonts w:ascii="Times New Roman" w:eastAsia="Times New Roman" w:hAnsi="Times New Roman" w:cs="Times New Roman"/>
          <w:color w:val="000003"/>
          <w:sz w:val="19"/>
        </w:rPr>
        <w:t>риска следует перечислить состояния, сопровождающиеся нарушением естественного защитного барьера пищевода: неэффективная моторика и замедление пищеводного клиренса, длительный прием антацидных препаратов, нарушение целостности СО пищевода [4]. Этиологическ</w:t>
      </w:r>
      <w:r>
        <w:rPr>
          <w:rFonts w:ascii="Times New Roman" w:eastAsia="Times New Roman" w:hAnsi="Times New Roman" w:cs="Times New Roman"/>
          <w:color w:val="000003"/>
          <w:sz w:val="19"/>
        </w:rPr>
        <w:t xml:space="preserve">ими агентами инфекционного эзофагита преимущественно считаются грибки рода </w:t>
      </w:r>
      <w:r>
        <w:rPr>
          <w:rFonts w:ascii="Times New Roman" w:eastAsia="Times New Roman" w:hAnsi="Times New Roman" w:cs="Times New Roman"/>
          <w:i/>
          <w:color w:val="000003"/>
          <w:sz w:val="19"/>
        </w:rPr>
        <w:t xml:space="preserve">Candida, </w:t>
      </w:r>
      <w:r>
        <w:rPr>
          <w:rFonts w:ascii="Times New Roman" w:eastAsia="Times New Roman" w:hAnsi="Times New Roman" w:cs="Times New Roman"/>
          <w:color w:val="000003"/>
          <w:sz w:val="19"/>
        </w:rPr>
        <w:t>цитомегаловирус (ЦМВ), вирус простого герпеса (ВПГ) [2], тогда как такие возбудители инфекций, как микобак</w:t>
      </w:r>
      <w:r>
        <w:rPr>
          <w:rFonts w:ascii="Times New Roman" w:eastAsia="Times New Roman" w:hAnsi="Times New Roman" w:cs="Times New Roman"/>
          <w:color w:val="000003"/>
          <w:sz w:val="19"/>
        </w:rPr>
        <w:t>терия туберкулеза, вирус опоясывающего лишая и ветряной оспы, вирус папилломы человека (ВПЧ), вирус Эпштейна — Барр, встречаются гораздо реже [1, 7–11].</w:t>
      </w:r>
    </w:p>
    <w:p w:rsidR="002D5C2A" w:rsidRDefault="00280B42">
      <w:pPr>
        <w:spacing w:after="5" w:line="254" w:lineRule="auto"/>
        <w:ind w:left="-13" w:right="73" w:firstLine="273"/>
        <w:jc w:val="both"/>
      </w:pPr>
      <w:r>
        <w:rPr>
          <w:rFonts w:ascii="Times New Roman" w:eastAsia="Times New Roman" w:hAnsi="Times New Roman" w:cs="Times New Roman"/>
          <w:i/>
          <w:color w:val="000003"/>
          <w:sz w:val="19"/>
        </w:rPr>
        <w:t>Candida</w:t>
      </w:r>
      <w:r>
        <w:rPr>
          <w:rFonts w:ascii="Times New Roman" w:eastAsia="Times New Roman" w:hAnsi="Times New Roman" w:cs="Times New Roman"/>
          <w:color w:val="000003"/>
          <w:sz w:val="19"/>
        </w:rPr>
        <w:t xml:space="preserve"> относится к представителям нормальной микробиоты желудочно-кишечного тракта, однако в результат</w:t>
      </w:r>
      <w:r>
        <w:rPr>
          <w:rFonts w:ascii="Times New Roman" w:eastAsia="Times New Roman" w:hAnsi="Times New Roman" w:cs="Times New Roman"/>
          <w:color w:val="000003"/>
          <w:sz w:val="19"/>
        </w:rPr>
        <w:t>е чрезмерного роста грибка в пищеводе, нарушения клеточного иммунитета или совокупности этих факторов данный микроорганизм может стать причиной эзофагита. Развитию кандидоза способствует повреждение СО пищевода [2]. Основным звеном патогенеза грибкового по</w:t>
      </w:r>
      <w:r>
        <w:rPr>
          <w:rFonts w:ascii="Times New Roman" w:eastAsia="Times New Roman" w:hAnsi="Times New Roman" w:cs="Times New Roman"/>
          <w:color w:val="000003"/>
          <w:sz w:val="19"/>
        </w:rPr>
        <w:t xml:space="preserve">ражения для рода </w:t>
      </w:r>
      <w:r>
        <w:rPr>
          <w:rFonts w:ascii="Times New Roman" w:eastAsia="Times New Roman" w:hAnsi="Times New Roman" w:cs="Times New Roman"/>
          <w:i/>
          <w:color w:val="000003"/>
          <w:sz w:val="19"/>
        </w:rPr>
        <w:t>Candida</w:t>
      </w:r>
      <w:r>
        <w:rPr>
          <w:rFonts w:ascii="Times New Roman" w:eastAsia="Times New Roman" w:hAnsi="Times New Roman" w:cs="Times New Roman"/>
          <w:color w:val="000003"/>
          <w:sz w:val="19"/>
        </w:rPr>
        <w:t xml:space="preserve"> служит продукция большого количества адгезинов и ферментов, определяющих инвазивность, а также способность формировать биопленки, которые снижают восприимчивость микроорганизма к противогрибковой терапии и к иммунному ответу [12]. </w:t>
      </w:r>
      <w:r>
        <w:rPr>
          <w:rFonts w:ascii="Times New Roman" w:eastAsia="Times New Roman" w:hAnsi="Times New Roman" w:cs="Times New Roman"/>
          <w:color w:val="000003"/>
          <w:sz w:val="19"/>
        </w:rPr>
        <w:t>В ряде исследований было показано, что у ВИЧ-инфицированных пациентов с развитием кандидозной инфекции пищевода наблюдалось более низкое количество CD4</w:t>
      </w:r>
      <w:r>
        <w:rPr>
          <w:rFonts w:ascii="Times New Roman" w:eastAsia="Times New Roman" w:hAnsi="Times New Roman" w:cs="Times New Roman"/>
          <w:color w:val="000003"/>
          <w:sz w:val="17"/>
          <w:vertAlign w:val="superscript"/>
        </w:rPr>
        <w:t>+</w:t>
      </w:r>
      <w:r>
        <w:rPr>
          <w:rFonts w:ascii="Times New Roman" w:eastAsia="Times New Roman" w:hAnsi="Times New Roman" w:cs="Times New Roman"/>
          <w:color w:val="000003"/>
          <w:sz w:val="19"/>
        </w:rPr>
        <w:t xml:space="preserve"> клеток, чем у пациентов с ограниченным поражением ротоглотки, что позволяет сделать вывод о корреляции </w:t>
      </w:r>
      <w:r>
        <w:rPr>
          <w:rFonts w:ascii="Times New Roman" w:eastAsia="Times New Roman" w:hAnsi="Times New Roman" w:cs="Times New Roman"/>
          <w:color w:val="000003"/>
          <w:sz w:val="19"/>
        </w:rPr>
        <w:t xml:space="preserve">тяжести иммунодефицита с распространением кандидозной инфекции [13]. </w:t>
      </w:r>
      <w:r>
        <w:rPr>
          <w:rFonts w:ascii="Times New Roman" w:eastAsia="Times New Roman" w:hAnsi="Times New Roman" w:cs="Times New Roman"/>
          <w:i/>
          <w:color w:val="000003"/>
          <w:sz w:val="19"/>
        </w:rPr>
        <w:t>Candida</w:t>
      </w:r>
      <w:r>
        <w:rPr>
          <w:rFonts w:ascii="Times New Roman" w:eastAsia="Times New Roman" w:hAnsi="Times New Roman" w:cs="Times New Roman"/>
          <w:color w:val="000003"/>
          <w:sz w:val="19"/>
        </w:rPr>
        <w:t xml:space="preserve"> склонна к чрезмерному росту в условиях, при которых происходит нарушение иммунной регуляции на уровне СО, структурной целостности пищевода или его двигательной функции [7]. Назнач</w:t>
      </w:r>
      <w:r>
        <w:rPr>
          <w:rFonts w:ascii="Times New Roman" w:eastAsia="Times New Roman" w:hAnsi="Times New Roman" w:cs="Times New Roman"/>
          <w:color w:val="000003"/>
          <w:sz w:val="19"/>
        </w:rPr>
        <w:t>ение топических кортикостероидов при эозинофильном эзофагите (ЭоЭ) служит важным фактором риска развития кандидозной инфекции, что связано с нарушением естественной защиты СО. В условиях длительной терапии кортикостероидами уровень заболеваемости кандидозн</w:t>
      </w:r>
      <w:r>
        <w:rPr>
          <w:rFonts w:ascii="Times New Roman" w:eastAsia="Times New Roman" w:hAnsi="Times New Roman" w:cs="Times New Roman"/>
          <w:color w:val="000003"/>
          <w:sz w:val="19"/>
        </w:rPr>
        <w:t>ым эзофагитом колеблется от 5 до 30 % [7, 14]. Препараты, подавляющие кислотность, в частности ингибиторы протонной помпы, также увеличивают риск развития кандидоза пищевода, что подтверждает гипотезу о защитной функции кислотного барьера желудочно-кишечно</w:t>
      </w:r>
      <w:r>
        <w:rPr>
          <w:rFonts w:ascii="Times New Roman" w:eastAsia="Times New Roman" w:hAnsi="Times New Roman" w:cs="Times New Roman"/>
          <w:color w:val="000003"/>
          <w:sz w:val="19"/>
        </w:rPr>
        <w:t>го тракта [15]. Структурные и функциональные заболевания пищевода, такие как ахалазия кардии, склеродермия, диффузный спазм пищевода, болезнь оперированного желудка, представляют собой предрасполагающие факторы развития кандидозной инфекции пищевода, так к</w:t>
      </w:r>
      <w:r>
        <w:rPr>
          <w:rFonts w:ascii="Times New Roman" w:eastAsia="Times New Roman" w:hAnsi="Times New Roman" w:cs="Times New Roman"/>
          <w:color w:val="000003"/>
          <w:sz w:val="19"/>
        </w:rPr>
        <w:t xml:space="preserve">ак способствуют локальному застою и, как следствие, усилению грибкового роста [7, 16]. Из всех видов </w:t>
      </w:r>
      <w:r>
        <w:rPr>
          <w:rFonts w:ascii="Times New Roman" w:eastAsia="Times New Roman" w:hAnsi="Times New Roman" w:cs="Times New Roman"/>
          <w:i/>
          <w:color w:val="000003"/>
          <w:sz w:val="19"/>
        </w:rPr>
        <w:t>Candida</w:t>
      </w:r>
      <w:r>
        <w:rPr>
          <w:rFonts w:ascii="Times New Roman" w:eastAsia="Times New Roman" w:hAnsi="Times New Roman" w:cs="Times New Roman"/>
          <w:color w:val="000003"/>
          <w:sz w:val="19"/>
        </w:rPr>
        <w:t xml:space="preserve"> наиболее распространена </w:t>
      </w:r>
      <w:r>
        <w:rPr>
          <w:rFonts w:ascii="Times New Roman" w:eastAsia="Times New Roman" w:hAnsi="Times New Roman" w:cs="Times New Roman"/>
          <w:i/>
          <w:color w:val="000003"/>
          <w:sz w:val="19"/>
        </w:rPr>
        <w:t>Candida</w:t>
      </w:r>
      <w:r>
        <w:rPr>
          <w:rFonts w:ascii="Times New Roman" w:eastAsia="Times New Roman" w:hAnsi="Times New Roman" w:cs="Times New Roman"/>
          <w:color w:val="000003"/>
          <w:sz w:val="19"/>
        </w:rPr>
        <w:t xml:space="preserve"> </w:t>
      </w:r>
      <w:r>
        <w:rPr>
          <w:rFonts w:ascii="Times New Roman" w:eastAsia="Times New Roman" w:hAnsi="Times New Roman" w:cs="Times New Roman"/>
          <w:i/>
          <w:color w:val="000003"/>
          <w:sz w:val="19"/>
        </w:rPr>
        <w:t>albicans</w:t>
      </w:r>
      <w:r>
        <w:rPr>
          <w:rFonts w:ascii="Times New Roman" w:eastAsia="Times New Roman" w:hAnsi="Times New Roman" w:cs="Times New Roman"/>
          <w:color w:val="000003"/>
          <w:sz w:val="19"/>
        </w:rPr>
        <w:t xml:space="preserve"> [1, 2].</w:t>
      </w:r>
    </w:p>
    <w:p w:rsidR="002D5C2A" w:rsidRDefault="00280B42">
      <w:pPr>
        <w:spacing w:after="5" w:line="254" w:lineRule="auto"/>
        <w:ind w:left="-13" w:right="73" w:firstLine="273"/>
        <w:jc w:val="both"/>
      </w:pPr>
      <w:r>
        <w:rPr>
          <w:rFonts w:ascii="Times New Roman" w:eastAsia="Times New Roman" w:hAnsi="Times New Roman" w:cs="Times New Roman"/>
          <w:color w:val="000003"/>
          <w:sz w:val="19"/>
        </w:rPr>
        <w:t>Герпесвирусы вызывают острую инфекцию с последующим развитием латентной фазы заболевания, во время</w:t>
      </w:r>
      <w:r>
        <w:rPr>
          <w:rFonts w:ascii="Times New Roman" w:eastAsia="Times New Roman" w:hAnsi="Times New Roman" w:cs="Times New Roman"/>
          <w:color w:val="000003"/>
          <w:sz w:val="19"/>
        </w:rPr>
        <w:t xml:space="preserve"> которой вирусы интегрируются в чувствительные нейроны и длительное время персистируют в неинфекционной (нереплицируемой) форме, однако в случае воздействия ряда внешних факторов (травма, стресс, иммуносупрессия), переходят в стадию реактивации [17, 18]. О</w:t>
      </w:r>
      <w:r>
        <w:rPr>
          <w:rFonts w:ascii="Times New Roman" w:eastAsia="Times New Roman" w:hAnsi="Times New Roman" w:cs="Times New Roman"/>
          <w:color w:val="000003"/>
          <w:sz w:val="19"/>
        </w:rPr>
        <w:t>т 40 до 60 % чувствительных нейронов могут быть латентно инфицированы [19]. Реактивация может происходить неоднократно, с возникновением симптомов или в бессимптомной форме, приводя к распространению вируса от нейронов к коже или слизистым оболочкам. Таким</w:t>
      </w:r>
      <w:r>
        <w:rPr>
          <w:rFonts w:ascii="Times New Roman" w:eastAsia="Times New Roman" w:hAnsi="Times New Roman" w:cs="Times New Roman"/>
          <w:color w:val="000003"/>
          <w:sz w:val="19"/>
        </w:rPr>
        <w:t xml:space="preserve"> образом, герпетический эзофагит может возникнуть вследствие как первичного инфицирования, так и реактивации латентной инфекции, особенно у людей с ослабленным иммунитетом [4]. Чаще всего заболевание обусловлено ВПГ типа 1, реже ВПГ типа 2 [1, 2]. В больши</w:t>
      </w:r>
      <w:r>
        <w:rPr>
          <w:rFonts w:ascii="Times New Roman" w:eastAsia="Times New Roman" w:hAnsi="Times New Roman" w:cs="Times New Roman"/>
          <w:color w:val="000003"/>
          <w:sz w:val="19"/>
        </w:rPr>
        <w:t>нстве случаев эзофагит, вызванный ВПГ, встречается у реципиентов, получающих иммуносупрессивные препараты после трансплантации органов и пересадки костного мозга, у пациентов с ВИЧ-инфекцией, лиц, получающих длительную терапию кортикостероидами [2, 4, 20–2</w:t>
      </w:r>
      <w:r>
        <w:rPr>
          <w:rFonts w:ascii="Times New Roman" w:eastAsia="Times New Roman" w:hAnsi="Times New Roman" w:cs="Times New Roman"/>
          <w:color w:val="000003"/>
          <w:sz w:val="19"/>
        </w:rPr>
        <w:t>2]. Имеются данные, свидетельствующие о том, что вирус герпеса имеет склонность к инфицированию тканей c нарушенным покровом [23]. Таким образом, в патогенезе развития заболевания возможно участие предрасполагающих факторов, нарушающих целостность СО пищев</w:t>
      </w:r>
      <w:r>
        <w:rPr>
          <w:rFonts w:ascii="Times New Roman" w:eastAsia="Times New Roman" w:hAnsi="Times New Roman" w:cs="Times New Roman"/>
          <w:color w:val="000003"/>
          <w:sz w:val="19"/>
        </w:rPr>
        <w:t>ода, таких как гастроэзофагеальный рефлюкс или инструментальные вмешательства [24, 25]. В таком случае инфекция пищевода развивается в результате контакта поврежденной СО с проглоченной слюной, содержащей вирус [26]. Роль стресса существенна как в реактива</w:t>
      </w:r>
      <w:r>
        <w:rPr>
          <w:rFonts w:ascii="Times New Roman" w:eastAsia="Times New Roman" w:hAnsi="Times New Roman" w:cs="Times New Roman"/>
          <w:color w:val="000003"/>
          <w:sz w:val="19"/>
        </w:rPr>
        <w:t>ции вируса, так и в развитии первичной инфекции, поскольку он представляет собой важный фактор иммуносупрессии, приводящий к снижению антивирусного иммунного ответа, к инвазии и персистированию вируса в клетках [27, 28].</w:t>
      </w:r>
    </w:p>
    <w:p w:rsidR="002D5C2A" w:rsidRDefault="00280B42">
      <w:pPr>
        <w:spacing w:after="5" w:line="254" w:lineRule="auto"/>
        <w:ind w:left="-13" w:firstLine="273"/>
        <w:jc w:val="both"/>
      </w:pPr>
      <w:r>
        <w:rPr>
          <w:rFonts w:ascii="Times New Roman" w:eastAsia="Times New Roman" w:hAnsi="Times New Roman" w:cs="Times New Roman"/>
          <w:color w:val="000003"/>
          <w:sz w:val="19"/>
        </w:rPr>
        <w:t>ЦМВ относится к β-группе герпесвиру</w:t>
      </w:r>
      <w:r>
        <w:rPr>
          <w:rFonts w:ascii="Times New Roman" w:eastAsia="Times New Roman" w:hAnsi="Times New Roman" w:cs="Times New Roman"/>
          <w:color w:val="000003"/>
          <w:sz w:val="19"/>
        </w:rPr>
        <w:t>сов, но, в отличие от ВПГ, очаг латентной инфекции формируется в моноцитах, лимфоцитах, эндотелиальных и эпителиальных клетках. Подобно ВПГ, ЦМВ может развиваться и как первичная инфекция, которая представляет около 60 % случаев, и как реактивация латентно</w:t>
      </w:r>
      <w:r>
        <w:rPr>
          <w:rFonts w:ascii="Times New Roman" w:eastAsia="Times New Roman" w:hAnsi="Times New Roman" w:cs="Times New Roman"/>
          <w:color w:val="000003"/>
          <w:sz w:val="19"/>
        </w:rPr>
        <w:t>го вируса — примерно в 10–20 % [2, 4]. Суперинфекция имеет место в 10–20 % случаев [2]. Реактивация инфекции происходит при снижении клеточного иммунитета, что ведет к возобновлению репликации вируса, виремии, диссеминации возбудителя и развитию клинически</w:t>
      </w:r>
      <w:r>
        <w:rPr>
          <w:rFonts w:ascii="Times New Roman" w:eastAsia="Times New Roman" w:hAnsi="Times New Roman" w:cs="Times New Roman"/>
          <w:color w:val="000003"/>
          <w:sz w:val="19"/>
        </w:rPr>
        <w:t xml:space="preserve"> выраженного заболевания. ЦМВ-эзофагит чаще всего наблюдается у пациентов со сниженным иммунитетом, перенесших трансплантацию, пациентов, находящихся на длительном диализе, а также у тех, кто получает длительную терапию стероидами, иммуносупрессивную терап</w:t>
      </w:r>
      <w:r>
        <w:rPr>
          <w:rFonts w:ascii="Times New Roman" w:eastAsia="Times New Roman" w:hAnsi="Times New Roman" w:cs="Times New Roman"/>
          <w:color w:val="000003"/>
          <w:sz w:val="19"/>
        </w:rPr>
        <w:t>ию или химиотерапию [2, 29–31].</w:t>
      </w:r>
    </w:p>
    <w:p w:rsidR="002D5C2A" w:rsidRDefault="00280B42">
      <w:pPr>
        <w:spacing w:after="5" w:line="254" w:lineRule="auto"/>
        <w:ind w:left="-13" w:firstLine="273"/>
        <w:jc w:val="both"/>
      </w:pPr>
      <w:r>
        <w:rPr>
          <w:rFonts w:ascii="Times New Roman" w:eastAsia="Times New Roman" w:hAnsi="Times New Roman" w:cs="Times New Roman"/>
          <w:color w:val="000003"/>
          <w:sz w:val="19"/>
        </w:rPr>
        <w:t>Туберкулез пищевода, как правило, оказывается вторичным поражением, при котором первичный очаг чаще всего располагается в легких и лимфатических узлах средостения [11]. Случаи первичного туберкулезного поражения пищевода вст</w:t>
      </w:r>
      <w:r>
        <w:rPr>
          <w:rFonts w:ascii="Times New Roman" w:eastAsia="Times New Roman" w:hAnsi="Times New Roman" w:cs="Times New Roman"/>
          <w:color w:val="000003"/>
          <w:sz w:val="19"/>
        </w:rPr>
        <w:t>речаются крайне редко ввиду того, что бактерицидное действие слюны, защитные свойства слизи и устойчивость многослойного плоского эпителия к инфекционному агенту препятствуют инфицированию СО микобактерией [32, 33].</w:t>
      </w:r>
    </w:p>
    <w:p w:rsidR="002D5C2A" w:rsidRDefault="00280B42">
      <w:pPr>
        <w:spacing w:after="5" w:line="254" w:lineRule="auto"/>
        <w:ind w:left="-13" w:firstLine="273"/>
        <w:jc w:val="both"/>
      </w:pPr>
      <w:r>
        <w:rPr>
          <w:rFonts w:ascii="Times New Roman" w:eastAsia="Times New Roman" w:hAnsi="Times New Roman" w:cs="Times New Roman"/>
          <w:color w:val="000003"/>
          <w:sz w:val="19"/>
        </w:rPr>
        <w:t>ВПЧ считается фактором риска развития пл</w:t>
      </w:r>
      <w:r>
        <w:rPr>
          <w:rFonts w:ascii="Times New Roman" w:eastAsia="Times New Roman" w:hAnsi="Times New Roman" w:cs="Times New Roman"/>
          <w:color w:val="000003"/>
          <w:sz w:val="19"/>
        </w:rPr>
        <w:t>оскоклеточных папиллом пищевода (ППП), которые представляют собой редкие доброкачественные поражения пищевода, однако в настоящее время взаимосвязь папилломавирусной инфекции и пищеводного папилломатоза все еще не доказана [34].</w:t>
      </w:r>
    </w:p>
    <w:p w:rsidR="002D5C2A" w:rsidRDefault="00280B42">
      <w:pPr>
        <w:spacing w:after="166" w:line="254" w:lineRule="auto"/>
        <w:ind w:left="-13" w:right="73" w:firstLine="273"/>
        <w:jc w:val="both"/>
      </w:pPr>
      <w:r>
        <w:rPr>
          <w:rFonts w:ascii="Times New Roman" w:eastAsia="Times New Roman" w:hAnsi="Times New Roman" w:cs="Times New Roman"/>
          <w:color w:val="000003"/>
          <w:sz w:val="19"/>
        </w:rPr>
        <w:t>Вирус опоясывающего лишая и</w:t>
      </w:r>
      <w:r>
        <w:rPr>
          <w:rFonts w:ascii="Times New Roman" w:eastAsia="Times New Roman" w:hAnsi="Times New Roman" w:cs="Times New Roman"/>
          <w:color w:val="000003"/>
          <w:sz w:val="19"/>
        </w:rPr>
        <w:t xml:space="preserve"> ветряной оспы относится к редким причинам развития инфекционного эзофагита у взрослых, и чаще всего инфицирование пищевода возникает уже при наличии поражения кожи, а не предшествует ему [1].</w:t>
      </w:r>
    </w:p>
    <w:p w:rsidR="002D5C2A" w:rsidRDefault="00280B42">
      <w:pPr>
        <w:pStyle w:val="Heading3"/>
        <w:ind w:left="278"/>
      </w:pPr>
      <w:r>
        <w:t>1.3 Эпидемиология</w:t>
      </w:r>
    </w:p>
    <w:p w:rsidR="002D5C2A" w:rsidRDefault="00280B42">
      <w:pPr>
        <w:spacing w:after="5" w:line="254" w:lineRule="auto"/>
        <w:ind w:left="-13" w:right="73" w:firstLine="273"/>
        <w:jc w:val="both"/>
      </w:pPr>
      <w:r>
        <w:rPr>
          <w:rFonts w:ascii="Times New Roman" w:eastAsia="Times New Roman" w:hAnsi="Times New Roman" w:cs="Times New Roman"/>
          <w:color w:val="000003"/>
          <w:sz w:val="19"/>
        </w:rPr>
        <w:t>Инфекционное поражение пищевода — третья по ч</w:t>
      </w:r>
      <w:r>
        <w:rPr>
          <w:rFonts w:ascii="Times New Roman" w:eastAsia="Times New Roman" w:hAnsi="Times New Roman" w:cs="Times New Roman"/>
          <w:color w:val="000003"/>
          <w:sz w:val="19"/>
        </w:rPr>
        <w:t xml:space="preserve">астоте причина развития эзофагита после гастроэзофагеальной рефлюксной болезни (ГЭРБ) и ЭоЭ [29]. Наиболее распространенный возбудитель инфекционного эзофагита — грибы рода </w:t>
      </w:r>
      <w:r>
        <w:rPr>
          <w:rFonts w:ascii="Times New Roman" w:eastAsia="Times New Roman" w:hAnsi="Times New Roman" w:cs="Times New Roman"/>
          <w:i/>
          <w:color w:val="000003"/>
          <w:sz w:val="19"/>
        </w:rPr>
        <w:t>Candida</w:t>
      </w:r>
      <w:r>
        <w:rPr>
          <w:rFonts w:ascii="Times New Roman" w:eastAsia="Times New Roman" w:hAnsi="Times New Roman" w:cs="Times New Roman"/>
          <w:color w:val="000003"/>
          <w:sz w:val="19"/>
        </w:rPr>
        <w:t xml:space="preserve"> [1, 2]. Согласно результатам крупного исследования, проведенного группой яп</w:t>
      </w:r>
      <w:r>
        <w:rPr>
          <w:rFonts w:ascii="Times New Roman" w:eastAsia="Times New Roman" w:hAnsi="Times New Roman" w:cs="Times New Roman"/>
          <w:color w:val="000003"/>
          <w:sz w:val="19"/>
        </w:rPr>
        <w:t>онских ученых, распространенность кандидоза пищевода среди когорты из 80 219 пациентов составила 1,7 %, также отмечалась тенденция к росту заболеваемости кандидозом пищевода среди пациентов без синдрома приобретенного иммунодефицита и снижение заболеваемос</w:t>
      </w:r>
      <w:r>
        <w:rPr>
          <w:rFonts w:ascii="Times New Roman" w:eastAsia="Times New Roman" w:hAnsi="Times New Roman" w:cs="Times New Roman"/>
          <w:color w:val="000003"/>
          <w:sz w:val="19"/>
        </w:rPr>
        <w:t>ти среди пациентов с синдромом приобретенного иммунодефицита, что, вероятно, связано с эффективностью антиретровирусной терапии (АРТ) [35]. До разработки АРТ и широкого применения противогрибковых препаратов во время серии проспективных исследований было в</w:t>
      </w:r>
      <w:r>
        <w:rPr>
          <w:rFonts w:ascii="Times New Roman" w:eastAsia="Times New Roman" w:hAnsi="Times New Roman" w:cs="Times New Roman"/>
          <w:color w:val="000003"/>
          <w:sz w:val="19"/>
        </w:rPr>
        <w:t xml:space="preserve">ыявлено, что инфицирование </w:t>
      </w:r>
      <w:r>
        <w:rPr>
          <w:rFonts w:ascii="Times New Roman" w:eastAsia="Times New Roman" w:hAnsi="Times New Roman" w:cs="Times New Roman"/>
          <w:i/>
          <w:color w:val="000003"/>
          <w:sz w:val="19"/>
        </w:rPr>
        <w:t xml:space="preserve">Candida </w:t>
      </w:r>
      <w:r>
        <w:rPr>
          <w:rFonts w:ascii="Times New Roman" w:eastAsia="Times New Roman" w:hAnsi="Times New Roman" w:cs="Times New Roman"/>
          <w:color w:val="000003"/>
          <w:sz w:val="19"/>
        </w:rPr>
        <w:t>было</w:t>
      </w:r>
      <w:r>
        <w:rPr>
          <w:rFonts w:ascii="Times New Roman" w:eastAsia="Times New Roman" w:hAnsi="Times New Roman" w:cs="Times New Roman"/>
          <w:i/>
          <w:color w:val="000003"/>
          <w:sz w:val="19"/>
        </w:rPr>
        <w:t xml:space="preserve"> </w:t>
      </w:r>
      <w:r>
        <w:rPr>
          <w:rFonts w:ascii="Times New Roman" w:eastAsia="Times New Roman" w:hAnsi="Times New Roman" w:cs="Times New Roman"/>
          <w:color w:val="000003"/>
          <w:sz w:val="19"/>
        </w:rPr>
        <w:t>наиболее часто ассоциированным фактором риска развития инфекционного эзофагита у пациентов с ВИЧинфекцией и обнаруживалось примерно у 50 % лиц c наличием жалоб [36–38]. Также показано, что применение иммуносупрессивн</w:t>
      </w:r>
      <w:r>
        <w:rPr>
          <w:rFonts w:ascii="Times New Roman" w:eastAsia="Times New Roman" w:hAnsi="Times New Roman" w:cs="Times New Roman"/>
          <w:color w:val="000003"/>
          <w:sz w:val="19"/>
        </w:rPr>
        <w:t>ых схем лечения в сочетании с профилактической противогрибковой терапией снизило частоту кандидозных эзофагитов у пациентов после трансплантации [1, 39].</w:t>
      </w:r>
    </w:p>
    <w:p w:rsidR="002D5C2A" w:rsidRDefault="00280B42">
      <w:pPr>
        <w:spacing w:after="5" w:line="254" w:lineRule="auto"/>
        <w:ind w:left="-13" w:right="73" w:firstLine="273"/>
        <w:jc w:val="both"/>
      </w:pPr>
      <w:r>
        <w:rPr>
          <w:rFonts w:ascii="Times New Roman" w:eastAsia="Times New Roman" w:hAnsi="Times New Roman" w:cs="Times New Roman"/>
          <w:color w:val="000003"/>
          <w:sz w:val="19"/>
        </w:rPr>
        <w:t xml:space="preserve">Второй наиболее распространенной причиной инфекционного эзофагита считается ВПГ [1, 2, 29]. Показано, </w:t>
      </w:r>
      <w:r>
        <w:rPr>
          <w:rFonts w:ascii="Times New Roman" w:eastAsia="Times New Roman" w:hAnsi="Times New Roman" w:cs="Times New Roman"/>
          <w:color w:val="000003"/>
          <w:sz w:val="19"/>
        </w:rPr>
        <w:t>что среди 1307 проведенных аутопсий ВПГ-эзофагит подтверждается в 1,8 % случаев [20]. В группе пациентов с гистологически подтвержденным диагнозом ВПГ-эзофагита 71,7 % составляют пациенты с иммунодефицитом, 28,3 % — иммунокомпетентные пациенты, причем 15,2</w:t>
      </w:r>
      <w:r>
        <w:rPr>
          <w:rFonts w:ascii="Times New Roman" w:eastAsia="Times New Roman" w:hAnsi="Times New Roman" w:cs="Times New Roman"/>
          <w:color w:val="000003"/>
          <w:sz w:val="19"/>
        </w:rPr>
        <w:t xml:space="preserve"> % из них не имеют в анамнезе предшествующих заболеваний пищевода [40]. Среди пациентов с эрозивной формой ГЭРБ хроническая вирусная инфекция СО пищевода диагностируется у 46,3 %, при этом наиболее часто определяют ВПГ (69,7 %)[41].</w:t>
      </w:r>
    </w:p>
    <w:p w:rsidR="002D5C2A" w:rsidRDefault="00280B42">
      <w:pPr>
        <w:spacing w:after="5" w:line="254" w:lineRule="auto"/>
        <w:ind w:left="-13" w:right="73" w:firstLine="273"/>
        <w:jc w:val="both"/>
      </w:pPr>
      <w:r>
        <w:rPr>
          <w:rFonts w:ascii="Times New Roman" w:eastAsia="Times New Roman" w:hAnsi="Times New Roman" w:cs="Times New Roman"/>
          <w:color w:val="000003"/>
          <w:sz w:val="19"/>
        </w:rPr>
        <w:t>Эзофагит представляет с</w:t>
      </w:r>
      <w:r>
        <w:rPr>
          <w:rFonts w:ascii="Times New Roman" w:eastAsia="Times New Roman" w:hAnsi="Times New Roman" w:cs="Times New Roman"/>
          <w:color w:val="000003"/>
          <w:sz w:val="19"/>
        </w:rPr>
        <w:t>обой одно из наиболее распространенных проявлений ЦМВ инфекции с поражением желудочно-кишечного тракта после колита [30]. Доля ЦМВ-серопозитивных лиц среди взрослого населения в мире составляет 50–100 %, на территории Российской Федерации 73–98 % [12, 42].</w:t>
      </w:r>
    </w:p>
    <w:p w:rsidR="002D5C2A" w:rsidRDefault="00280B42">
      <w:pPr>
        <w:spacing w:after="5" w:line="254" w:lineRule="auto"/>
        <w:ind w:left="-13" w:right="73" w:firstLine="273"/>
        <w:jc w:val="both"/>
      </w:pPr>
      <w:r>
        <w:rPr>
          <w:rFonts w:ascii="Times New Roman" w:eastAsia="Times New Roman" w:hAnsi="Times New Roman" w:cs="Times New Roman"/>
          <w:color w:val="000003"/>
          <w:sz w:val="19"/>
        </w:rPr>
        <w:t xml:space="preserve">В настоящее время в группе пациентов после проведенной трансплантации наметилась тенденция к снижению частоты клинически выраженных вирусных заболеваний пищевода, таких как ВПГ- и ЦМВ-эзофагит, что обусловлено профилактическим назначением противовирусных </w:t>
      </w:r>
      <w:r>
        <w:rPr>
          <w:rFonts w:ascii="Times New Roman" w:eastAsia="Times New Roman" w:hAnsi="Times New Roman" w:cs="Times New Roman"/>
          <w:color w:val="000003"/>
          <w:sz w:val="19"/>
        </w:rPr>
        <w:t>препаратов пациентам из группы высокого риска, а также пересадкой органов от ЦМВ-серонегативных доноров [43].</w:t>
      </w:r>
    </w:p>
    <w:p w:rsidR="002D5C2A" w:rsidRDefault="00280B42">
      <w:pPr>
        <w:spacing w:after="5" w:line="254" w:lineRule="auto"/>
        <w:ind w:left="-13" w:firstLine="273"/>
        <w:jc w:val="both"/>
      </w:pPr>
      <w:r>
        <w:rPr>
          <w:rFonts w:ascii="Times New Roman" w:eastAsia="Times New Roman" w:hAnsi="Times New Roman" w:cs="Times New Roman"/>
          <w:color w:val="000003"/>
          <w:sz w:val="19"/>
        </w:rPr>
        <w:t>В развитых странах туберкулез желудочно-кишечного тракта встречается крайне редко и в большинстве случаев диагностируется у пациентов с иммуносупр</w:t>
      </w:r>
      <w:r>
        <w:rPr>
          <w:rFonts w:ascii="Times New Roman" w:eastAsia="Times New Roman" w:hAnsi="Times New Roman" w:cs="Times New Roman"/>
          <w:color w:val="000003"/>
          <w:sz w:val="19"/>
        </w:rPr>
        <w:t>ессией [44]. В развивающихся странах частота туберкулеза намного выше, а внелегочные проявления, в том числе поражение пищевода, встречаются чаще [1]. Общая распространенность туберкулезного поражения пищевода составляет около 4,86 % от всех форм гастроинт</w:t>
      </w:r>
      <w:r>
        <w:rPr>
          <w:rFonts w:ascii="Times New Roman" w:eastAsia="Times New Roman" w:hAnsi="Times New Roman" w:cs="Times New Roman"/>
          <w:color w:val="000003"/>
          <w:sz w:val="19"/>
        </w:rPr>
        <w:t>естинального туберкулеза [45, 46].</w:t>
      </w:r>
    </w:p>
    <w:p w:rsidR="002D5C2A" w:rsidRDefault="00280B42">
      <w:pPr>
        <w:spacing w:after="166" w:line="254" w:lineRule="auto"/>
        <w:ind w:left="-13" w:firstLine="273"/>
        <w:jc w:val="both"/>
      </w:pPr>
      <w:r>
        <w:rPr>
          <w:rFonts w:ascii="Times New Roman" w:eastAsia="Times New Roman" w:hAnsi="Times New Roman" w:cs="Times New Roman"/>
          <w:color w:val="000003"/>
          <w:sz w:val="19"/>
        </w:rPr>
        <w:t xml:space="preserve">Частота поражений пищевода, вызванных вирусом опоясывающего лишая и ветряной оспы, вирусом Эпштейна—Барр, ВПЧ, неизвестна, и в клинической практике заболевания, вызванные данными инфекционными агентами, встречаются редко </w:t>
      </w:r>
      <w:r>
        <w:rPr>
          <w:rFonts w:ascii="Times New Roman" w:eastAsia="Times New Roman" w:hAnsi="Times New Roman" w:cs="Times New Roman"/>
          <w:color w:val="000003"/>
          <w:sz w:val="19"/>
        </w:rPr>
        <w:t>[10, 34, 47].</w:t>
      </w:r>
    </w:p>
    <w:p w:rsidR="002D5C2A" w:rsidRDefault="00280B42">
      <w:pPr>
        <w:pStyle w:val="Heading3"/>
        <w:ind w:left="278"/>
      </w:pPr>
      <w:r>
        <w:t>1.4 Классификация</w:t>
      </w:r>
    </w:p>
    <w:p w:rsidR="002D5C2A" w:rsidRDefault="00280B42">
      <w:pPr>
        <w:spacing w:after="166" w:line="254" w:lineRule="auto"/>
        <w:ind w:left="-13" w:firstLine="273"/>
        <w:jc w:val="both"/>
      </w:pPr>
      <w:r>
        <w:rPr>
          <w:rFonts w:ascii="Times New Roman" w:eastAsia="Times New Roman" w:hAnsi="Times New Roman" w:cs="Times New Roman"/>
          <w:color w:val="000003"/>
          <w:sz w:val="19"/>
        </w:rPr>
        <w:t>Общепринятой классификации инфекционных эзофагитов не существует. Различают изолированное поражение пищевода и поражение пищевода как часть распространенной инфекции желудочнокишечного тракта [3]. Дифференциальный диагноз до</w:t>
      </w:r>
      <w:r>
        <w:rPr>
          <w:rFonts w:ascii="Times New Roman" w:eastAsia="Times New Roman" w:hAnsi="Times New Roman" w:cs="Times New Roman"/>
          <w:color w:val="000003"/>
          <w:sz w:val="19"/>
        </w:rPr>
        <w:t>лжен основываться на причине, степени тяжести и продолжительности иммунодефицита, факторах риска для развития инфекции, характере жалоб и результатах физикального исследования, в частности осмотра ротоглотки. Окончательный диагноз формируется после установ</w:t>
      </w:r>
      <w:r>
        <w:rPr>
          <w:rFonts w:ascii="Times New Roman" w:eastAsia="Times New Roman" w:hAnsi="Times New Roman" w:cs="Times New Roman"/>
          <w:color w:val="000003"/>
          <w:sz w:val="19"/>
        </w:rPr>
        <w:t>ления этиологии заболевания. При формулировке диагноза описываются дефекты СО пищевода по результатам эндоскопического исследования, а также указывается наличие осложнений инфекционного эзофагита (кровотечение, пенетрация, фиброз, формирование стриктур, фи</w:t>
      </w:r>
      <w:r>
        <w:rPr>
          <w:rFonts w:ascii="Times New Roman" w:eastAsia="Times New Roman" w:hAnsi="Times New Roman" w:cs="Times New Roman"/>
          <w:color w:val="000003"/>
          <w:sz w:val="19"/>
        </w:rPr>
        <w:t>стул в трахеобронхиальное дерево) [1], характер оперативных вмешательств, если они проводились.</w:t>
      </w:r>
    </w:p>
    <w:p w:rsidR="002D5C2A" w:rsidRDefault="00280B42">
      <w:pPr>
        <w:pStyle w:val="Heading3"/>
        <w:ind w:left="278"/>
      </w:pPr>
      <w:r>
        <w:t>1.5 Клиническая картина</w:t>
      </w:r>
    </w:p>
    <w:p w:rsidR="002D5C2A" w:rsidRDefault="00280B42">
      <w:pPr>
        <w:spacing w:after="5" w:line="254" w:lineRule="auto"/>
        <w:ind w:left="-13" w:right="1" w:firstLine="273"/>
        <w:jc w:val="both"/>
      </w:pPr>
      <w:r>
        <w:rPr>
          <w:rFonts w:ascii="Times New Roman" w:eastAsia="Times New Roman" w:hAnsi="Times New Roman" w:cs="Times New Roman"/>
          <w:color w:val="000003"/>
          <w:sz w:val="19"/>
        </w:rPr>
        <w:t>Клиническая картина инфекционного эзофагита, вне зависимости от его возбудителя, может быть крайне разнообразной — от полного отсут</w:t>
      </w:r>
      <w:r>
        <w:rPr>
          <w:rFonts w:ascii="Times New Roman" w:eastAsia="Times New Roman" w:hAnsi="Times New Roman" w:cs="Times New Roman"/>
          <w:color w:val="000003"/>
          <w:sz w:val="19"/>
        </w:rPr>
        <w:t>ствия симптомов до крайне тяжелого течения заболевания с развитием осложнений, угрожающих жизни [1, 7].</w:t>
      </w:r>
    </w:p>
    <w:p w:rsidR="002D5C2A" w:rsidRDefault="00280B42">
      <w:pPr>
        <w:spacing w:after="5" w:line="254" w:lineRule="auto"/>
        <w:ind w:left="-13" w:firstLine="273"/>
        <w:jc w:val="both"/>
      </w:pPr>
      <w:r>
        <w:rPr>
          <w:rFonts w:ascii="Times New Roman" w:eastAsia="Times New Roman" w:hAnsi="Times New Roman" w:cs="Times New Roman"/>
          <w:color w:val="000003"/>
          <w:sz w:val="19"/>
        </w:rPr>
        <w:t xml:space="preserve">Для заболевания характерно острое начало. Ведущим симптомом при инфекционном поражении пищевода пациенты отмечают одинофагию (от др. греч. </w:t>
      </w:r>
      <w:r>
        <w:rPr>
          <w:rFonts w:ascii="Times New Roman" w:eastAsia="Times New Roman" w:hAnsi="Times New Roman" w:cs="Times New Roman"/>
          <w:i/>
          <w:color w:val="000003"/>
          <w:sz w:val="19"/>
        </w:rPr>
        <w:t>odyno</w:t>
      </w:r>
      <w:r>
        <w:rPr>
          <w:rFonts w:ascii="Times New Roman" w:eastAsia="Times New Roman" w:hAnsi="Times New Roman" w:cs="Times New Roman"/>
          <w:color w:val="000003"/>
          <w:sz w:val="19"/>
        </w:rPr>
        <w:t xml:space="preserve"> — боль </w:t>
      </w:r>
      <w:r>
        <w:rPr>
          <w:rFonts w:ascii="Times New Roman" w:eastAsia="Times New Roman" w:hAnsi="Times New Roman" w:cs="Times New Roman"/>
          <w:color w:val="000003"/>
          <w:sz w:val="19"/>
        </w:rPr>
        <w:t>и</w:t>
      </w:r>
      <w:r>
        <w:rPr>
          <w:rFonts w:ascii="Times New Roman" w:eastAsia="Times New Roman" w:hAnsi="Times New Roman" w:cs="Times New Roman"/>
          <w:i/>
          <w:color w:val="000003"/>
          <w:sz w:val="19"/>
        </w:rPr>
        <w:t xml:space="preserve"> φαγεῖν</w:t>
      </w:r>
      <w:r>
        <w:rPr>
          <w:rFonts w:ascii="Times New Roman" w:eastAsia="Times New Roman" w:hAnsi="Times New Roman" w:cs="Times New Roman"/>
          <w:color w:val="000003"/>
          <w:sz w:val="19"/>
        </w:rPr>
        <w:t xml:space="preserve"> — есть, глотать) — интенсивную боль при прохождении пищи по пищеводу. Причиной развития одинофагии служит эрозивно-язвенное поражение СО пищевода. Острая дисфагия также может быть частым проявлением инфекционного эзофагита. Симптомы варьируют по с</w:t>
      </w:r>
      <w:r>
        <w:rPr>
          <w:rFonts w:ascii="Times New Roman" w:eastAsia="Times New Roman" w:hAnsi="Times New Roman" w:cs="Times New Roman"/>
          <w:color w:val="000003"/>
          <w:sz w:val="19"/>
        </w:rPr>
        <w:t>тепени тяжести, начиная от легкого затруднения при глотании до развития острой одинофагии, приводящей к отказу от пищи [1].</w:t>
      </w:r>
    </w:p>
    <w:p w:rsidR="002D5C2A" w:rsidRDefault="00280B42">
      <w:pPr>
        <w:spacing w:after="5" w:line="254" w:lineRule="auto"/>
        <w:ind w:left="-13" w:right="73" w:firstLine="273"/>
        <w:jc w:val="both"/>
      </w:pPr>
      <w:r>
        <w:rPr>
          <w:rFonts w:ascii="Times New Roman" w:eastAsia="Times New Roman" w:hAnsi="Times New Roman" w:cs="Times New Roman"/>
          <w:color w:val="000003"/>
          <w:sz w:val="19"/>
        </w:rPr>
        <w:t>Также среди типичных жалоб можно выделить возникновение жгучей боли за грудиной, которая присутствует постоянно и усиливается при пр</w:t>
      </w:r>
      <w:r>
        <w:rPr>
          <w:rFonts w:ascii="Times New Roman" w:eastAsia="Times New Roman" w:hAnsi="Times New Roman" w:cs="Times New Roman"/>
          <w:color w:val="000003"/>
          <w:sz w:val="19"/>
        </w:rPr>
        <w:t>оглатывании пищи. Возможно развитие таких симптомов, как изжога, ощущение дискомфорта за грудиной, тошнота и рвота, не приносящая облегчения [1, 4].</w:t>
      </w:r>
    </w:p>
    <w:p w:rsidR="002D5C2A" w:rsidRDefault="00280B42">
      <w:pPr>
        <w:spacing w:after="5" w:line="254" w:lineRule="auto"/>
        <w:ind w:left="-13" w:right="73" w:firstLine="273"/>
        <w:jc w:val="both"/>
      </w:pPr>
      <w:r>
        <w:rPr>
          <w:rFonts w:ascii="Times New Roman" w:eastAsia="Times New Roman" w:hAnsi="Times New Roman" w:cs="Times New Roman"/>
          <w:color w:val="000003"/>
          <w:sz w:val="19"/>
        </w:rPr>
        <w:t>Появлению пищеводных жалоб может предшествовать ряд внепищеводных проявлений, включая субфебрильную темпера</w:t>
      </w:r>
      <w:r>
        <w:rPr>
          <w:rFonts w:ascii="Times New Roman" w:eastAsia="Times New Roman" w:hAnsi="Times New Roman" w:cs="Times New Roman"/>
          <w:color w:val="000003"/>
          <w:sz w:val="19"/>
        </w:rPr>
        <w:t>туру, респираторные симп томы, в том числе кашель [1].</w:t>
      </w:r>
    </w:p>
    <w:p w:rsidR="002D5C2A" w:rsidRDefault="00280B42">
      <w:pPr>
        <w:spacing w:after="5" w:line="254" w:lineRule="auto"/>
        <w:ind w:left="-13" w:right="73" w:firstLine="273"/>
        <w:jc w:val="both"/>
      </w:pPr>
      <w:r>
        <w:rPr>
          <w:rFonts w:ascii="Times New Roman" w:eastAsia="Times New Roman" w:hAnsi="Times New Roman" w:cs="Times New Roman"/>
          <w:color w:val="000003"/>
          <w:sz w:val="19"/>
        </w:rPr>
        <w:t>Поскольку заболевание часто протекает на фоне иммунодефицита, крайне важно провести тщательный сбор анамнеза, выявить причину, тяжесть и длительность иммунодефицитного состояния.</w:t>
      </w:r>
    </w:p>
    <w:p w:rsidR="002D5C2A" w:rsidRDefault="00280B42">
      <w:pPr>
        <w:spacing w:after="5" w:line="254" w:lineRule="auto"/>
        <w:ind w:left="-13" w:right="73" w:firstLine="273"/>
        <w:jc w:val="both"/>
      </w:pPr>
      <w:r>
        <w:rPr>
          <w:rFonts w:ascii="Times New Roman" w:eastAsia="Times New Roman" w:hAnsi="Times New Roman" w:cs="Times New Roman"/>
          <w:color w:val="000003"/>
          <w:sz w:val="19"/>
        </w:rPr>
        <w:t>При объективном исслед</w:t>
      </w:r>
      <w:r>
        <w:rPr>
          <w:rFonts w:ascii="Times New Roman" w:eastAsia="Times New Roman" w:hAnsi="Times New Roman" w:cs="Times New Roman"/>
          <w:color w:val="000003"/>
          <w:sz w:val="19"/>
        </w:rPr>
        <w:t xml:space="preserve">овании пациентов нередко отмечается похудание, поскольку они ограничивают себя в еде вследствие возникновения затруднения и боли при глотании. В некоторых случаях удается выявить болезненность в эпигастральной области при развитии инфекционного процесса в </w:t>
      </w:r>
      <w:r>
        <w:rPr>
          <w:rFonts w:ascii="Times New Roman" w:eastAsia="Times New Roman" w:hAnsi="Times New Roman" w:cs="Times New Roman"/>
          <w:color w:val="000003"/>
          <w:sz w:val="19"/>
        </w:rPr>
        <w:t>нижней трети пищевода [9]. Однако данные признаки не относятся к строго специфичным проявлениям инфекционного эзофагита.</w:t>
      </w:r>
    </w:p>
    <w:p w:rsidR="002D5C2A" w:rsidRDefault="00280B42">
      <w:pPr>
        <w:spacing w:after="5" w:line="254" w:lineRule="auto"/>
        <w:ind w:left="-13" w:right="73" w:firstLine="273"/>
        <w:jc w:val="both"/>
      </w:pPr>
      <w:r>
        <w:rPr>
          <w:rFonts w:ascii="Times New Roman" w:eastAsia="Times New Roman" w:hAnsi="Times New Roman" w:cs="Times New Roman"/>
          <w:color w:val="000003"/>
          <w:sz w:val="19"/>
        </w:rPr>
        <w:t>Кандидоз пищевода может быть обнаружен у лиц без явных предрасполагающих факторов риска и клинических симптомов. Типичные клинические п</w:t>
      </w:r>
      <w:r>
        <w:rPr>
          <w:rFonts w:ascii="Times New Roman" w:eastAsia="Times New Roman" w:hAnsi="Times New Roman" w:cs="Times New Roman"/>
          <w:color w:val="000003"/>
          <w:sz w:val="19"/>
        </w:rPr>
        <w:t xml:space="preserve">роявления кандидозного эзофагита — одинофагия и дисфагия [13, 48]. При тяжелом течении заболевания всегда следует учитывать отличные от </w:t>
      </w:r>
      <w:r>
        <w:rPr>
          <w:rFonts w:ascii="Times New Roman" w:eastAsia="Times New Roman" w:hAnsi="Times New Roman" w:cs="Times New Roman"/>
          <w:i/>
          <w:color w:val="000003"/>
          <w:sz w:val="19"/>
        </w:rPr>
        <w:t>Candida</w:t>
      </w:r>
      <w:r>
        <w:rPr>
          <w:rFonts w:ascii="Times New Roman" w:eastAsia="Times New Roman" w:hAnsi="Times New Roman" w:cs="Times New Roman"/>
          <w:color w:val="000003"/>
          <w:sz w:val="19"/>
        </w:rPr>
        <w:t xml:space="preserve"> причины развития симптоматики либо присутствие сопутствующих инфекционных агентов, особенно у пациентов со СПИДо</w:t>
      </w:r>
      <w:r>
        <w:rPr>
          <w:rFonts w:ascii="Times New Roman" w:eastAsia="Times New Roman" w:hAnsi="Times New Roman" w:cs="Times New Roman"/>
          <w:color w:val="000003"/>
          <w:sz w:val="19"/>
        </w:rPr>
        <w:t>м [1]. При объективном исследовании часто удается выявить ротоглоточный кандидоз, который, как правило, ассоциирован с кандидозом пищевода. Около 70 % пациентов со СПИДом и кандидозом пищевода также имеют орофарингеальный кандидоз [13, 49]. Тем не менее од</w:t>
      </w:r>
      <w:r>
        <w:rPr>
          <w:rFonts w:ascii="Times New Roman" w:eastAsia="Times New Roman" w:hAnsi="Times New Roman" w:cs="Times New Roman"/>
          <w:color w:val="000003"/>
          <w:sz w:val="19"/>
        </w:rPr>
        <w:t xml:space="preserve">но только наличие кандидоза ротоглотки не доказывает, что </w:t>
      </w:r>
      <w:r>
        <w:rPr>
          <w:rFonts w:ascii="Times New Roman" w:eastAsia="Times New Roman" w:hAnsi="Times New Roman" w:cs="Times New Roman"/>
          <w:i/>
          <w:color w:val="000003"/>
          <w:sz w:val="19"/>
        </w:rPr>
        <w:t>Candida</w:t>
      </w:r>
      <w:r>
        <w:rPr>
          <w:rFonts w:ascii="Times New Roman" w:eastAsia="Times New Roman" w:hAnsi="Times New Roman" w:cs="Times New Roman"/>
          <w:color w:val="000003"/>
          <w:sz w:val="19"/>
        </w:rPr>
        <w:t xml:space="preserve"> представляет собой основную причину развития симптоматики, а отсутствие кандидоза ротоглотки, в свою очередь, не исключает наличие кандидозного эзофагита [1]. Также у пациентов с хроническим</w:t>
      </w:r>
      <w:r>
        <w:rPr>
          <w:rFonts w:ascii="Times New Roman" w:eastAsia="Times New Roman" w:hAnsi="Times New Roman" w:cs="Times New Roman"/>
          <w:color w:val="000003"/>
          <w:sz w:val="19"/>
        </w:rPr>
        <w:t xml:space="preserve"> кожным кандидозом можно обнаружить грибковое поражение СО различной локализации, волос, ногтей, кожи, гипопаратиреоз и болезнь Аддисона в анамнезе [1].</w:t>
      </w:r>
    </w:p>
    <w:p w:rsidR="002D5C2A" w:rsidRDefault="00280B42">
      <w:pPr>
        <w:spacing w:after="5" w:line="254" w:lineRule="auto"/>
        <w:ind w:left="-13" w:right="73" w:firstLine="273"/>
        <w:jc w:val="both"/>
      </w:pPr>
      <w:r>
        <w:rPr>
          <w:rFonts w:ascii="Times New Roman" w:eastAsia="Times New Roman" w:hAnsi="Times New Roman" w:cs="Times New Roman"/>
          <w:color w:val="000003"/>
          <w:sz w:val="19"/>
        </w:rPr>
        <w:t xml:space="preserve">ВПГ-эзофагит обычно манифестирует внезапным возникновением острой одинофагии, изжоги или боли в груди. </w:t>
      </w:r>
      <w:r>
        <w:rPr>
          <w:rFonts w:ascii="Times New Roman" w:eastAsia="Times New Roman" w:hAnsi="Times New Roman" w:cs="Times New Roman"/>
          <w:color w:val="000003"/>
          <w:sz w:val="19"/>
        </w:rPr>
        <w:t xml:space="preserve">При объективном исследовании у пациентов могут выявляться сопутствующий </w:t>
      </w:r>
      <w:r>
        <w:rPr>
          <w:rFonts w:ascii="Times New Roman" w:eastAsia="Times New Roman" w:hAnsi="Times New Roman" w:cs="Times New Roman"/>
          <w:i/>
          <w:color w:val="000003"/>
          <w:sz w:val="19"/>
        </w:rPr>
        <w:t>Herpes labialis</w:t>
      </w:r>
      <w:r>
        <w:rPr>
          <w:rFonts w:ascii="Times New Roman" w:eastAsia="Times New Roman" w:hAnsi="Times New Roman" w:cs="Times New Roman"/>
          <w:color w:val="000003"/>
          <w:sz w:val="19"/>
        </w:rPr>
        <w:t xml:space="preserve"> или язвы ротоглотки [2].</w:t>
      </w:r>
    </w:p>
    <w:p w:rsidR="002D5C2A" w:rsidRDefault="00280B42">
      <w:pPr>
        <w:spacing w:after="5" w:line="254" w:lineRule="auto"/>
        <w:ind w:left="-13" w:right="73" w:firstLine="273"/>
        <w:jc w:val="both"/>
      </w:pPr>
      <w:r>
        <w:rPr>
          <w:rFonts w:ascii="Times New Roman" w:eastAsia="Times New Roman" w:hAnsi="Times New Roman" w:cs="Times New Roman"/>
          <w:color w:val="000003"/>
          <w:sz w:val="19"/>
        </w:rPr>
        <w:t>Основной симптом ЦМВ-эзофагита — одинофагия. Также могут быть жалобы на дисфагию, боли в груди, потерю веса, лихорадку. Однако проявление симпт</w:t>
      </w:r>
      <w:r>
        <w:rPr>
          <w:rFonts w:ascii="Times New Roman" w:eastAsia="Times New Roman" w:hAnsi="Times New Roman" w:cs="Times New Roman"/>
          <w:color w:val="000003"/>
          <w:sz w:val="19"/>
        </w:rPr>
        <w:t>омов менее острое, чем при ВПГ-эзофагите [1]. На момент постановки диагноза ЦМВ-эзофагита примерно у 15 % больных СПИДом при объективном исследовании может наблюдаться ретинит [50].</w:t>
      </w:r>
    </w:p>
    <w:p w:rsidR="002D5C2A" w:rsidRDefault="00280B42">
      <w:pPr>
        <w:spacing w:after="5" w:line="254" w:lineRule="auto"/>
        <w:ind w:left="-13" w:firstLine="273"/>
        <w:jc w:val="both"/>
      </w:pPr>
      <w:r>
        <w:rPr>
          <w:rFonts w:ascii="Times New Roman" w:eastAsia="Times New Roman" w:hAnsi="Times New Roman" w:cs="Times New Roman"/>
          <w:color w:val="000003"/>
          <w:sz w:val="19"/>
        </w:rPr>
        <w:t>При туберкулезе пищевода стойкая дисфагия служит основным симптомом, реже заболевание проявляется такими жалобами, как одинофагия, боль за грудиной, лихорадка неясного генеза, потеря веса [1, 11, 45]. Легочные жалобы могут преобладать при развитии осложнен</w:t>
      </w:r>
      <w:r>
        <w:rPr>
          <w:rFonts w:ascii="Times New Roman" w:eastAsia="Times New Roman" w:hAnsi="Times New Roman" w:cs="Times New Roman"/>
          <w:color w:val="000003"/>
          <w:sz w:val="19"/>
        </w:rPr>
        <w:t>ий в виде формировании свища в трахею, бронх или плевральное пространство [1].</w:t>
      </w:r>
    </w:p>
    <w:p w:rsidR="002D5C2A" w:rsidRDefault="00280B42">
      <w:pPr>
        <w:spacing w:after="5" w:line="254" w:lineRule="auto"/>
        <w:ind w:left="-13" w:right="1" w:firstLine="273"/>
        <w:jc w:val="both"/>
      </w:pPr>
      <w:r>
        <w:rPr>
          <w:rFonts w:ascii="Times New Roman" w:eastAsia="Times New Roman" w:hAnsi="Times New Roman" w:cs="Times New Roman"/>
          <w:color w:val="000003"/>
          <w:sz w:val="19"/>
        </w:rPr>
        <w:t>Поражение пищевода, вызванное вирусом папилломы человека, чаще всего протекает бессимптомно, однако в некоторых случаях развиваются дисфагия и одинофагия [1, 9, 51, 52].</w:t>
      </w:r>
    </w:p>
    <w:p w:rsidR="002D5C2A" w:rsidRDefault="00280B42">
      <w:pPr>
        <w:spacing w:after="5" w:line="254" w:lineRule="auto"/>
        <w:ind w:left="-13" w:firstLine="273"/>
        <w:jc w:val="both"/>
      </w:pPr>
      <w:r>
        <w:rPr>
          <w:rFonts w:ascii="Times New Roman" w:eastAsia="Times New Roman" w:hAnsi="Times New Roman" w:cs="Times New Roman"/>
          <w:color w:val="000003"/>
          <w:sz w:val="19"/>
        </w:rPr>
        <w:t>К основ</w:t>
      </w:r>
      <w:r>
        <w:rPr>
          <w:rFonts w:ascii="Times New Roman" w:eastAsia="Times New Roman" w:hAnsi="Times New Roman" w:cs="Times New Roman"/>
          <w:color w:val="000003"/>
          <w:sz w:val="19"/>
        </w:rPr>
        <w:t xml:space="preserve">ным жалобам пациентов с инфекционным эзофагитом, вызванном вирусом опоясывающего лишая и ветряной оспы, относятся дисфагия и одинофагия, при объективном обследовании наблюдаются дерматологические проявления заболевания с зудящими везикулярными поражениями </w:t>
      </w:r>
      <w:r>
        <w:rPr>
          <w:rFonts w:ascii="Times New Roman" w:eastAsia="Times New Roman" w:hAnsi="Times New Roman" w:cs="Times New Roman"/>
          <w:color w:val="000003"/>
          <w:sz w:val="19"/>
        </w:rPr>
        <w:t>[4, 9]. Инфекционный эзофагит, ассоциированный с вирусом опоясывающего лишая и ветряной оспы, часто может сопровождаться внепищеводными проявлениями, например такими, как пневмония, гепатит, энцефалит [4].</w:t>
      </w:r>
    </w:p>
    <w:p w:rsidR="002D5C2A" w:rsidRDefault="00280B42">
      <w:pPr>
        <w:spacing w:after="5" w:line="254" w:lineRule="auto"/>
        <w:ind w:left="-13" w:firstLine="273"/>
        <w:jc w:val="both"/>
      </w:pPr>
      <w:r>
        <w:rPr>
          <w:rFonts w:ascii="Times New Roman" w:eastAsia="Times New Roman" w:hAnsi="Times New Roman" w:cs="Times New Roman"/>
          <w:color w:val="000003"/>
          <w:sz w:val="19"/>
        </w:rPr>
        <w:t>Клинические симптомы, наблюдаемые при обострении и</w:t>
      </w:r>
      <w:r>
        <w:rPr>
          <w:rFonts w:ascii="Times New Roman" w:eastAsia="Times New Roman" w:hAnsi="Times New Roman" w:cs="Times New Roman"/>
          <w:color w:val="000003"/>
          <w:sz w:val="19"/>
        </w:rPr>
        <w:t>нфекционного эзофагита, не относятся к патогномоничным и могут встречаться при других заболеваниях (например, ГЭРБ, грыже пищеводного отверстия диафрагмы, нарушении двигательной функции грудного отдела пищевода, злокачественном новообразовании), поэтому ди</w:t>
      </w:r>
      <w:r>
        <w:rPr>
          <w:rFonts w:ascii="Times New Roman" w:eastAsia="Times New Roman" w:hAnsi="Times New Roman" w:cs="Times New Roman"/>
          <w:color w:val="000003"/>
          <w:sz w:val="19"/>
        </w:rPr>
        <w:t>агноз инфекционного эзофагита должен обязательно подтверждаться инструментальными методами исследования.</w:t>
      </w:r>
    </w:p>
    <w:p w:rsidR="002D5C2A" w:rsidRDefault="00280B42">
      <w:pPr>
        <w:spacing w:after="5" w:line="254" w:lineRule="auto"/>
        <w:ind w:left="-13" w:firstLine="273"/>
        <w:jc w:val="both"/>
      </w:pPr>
      <w:r>
        <w:rPr>
          <w:rFonts w:ascii="Times New Roman" w:eastAsia="Times New Roman" w:hAnsi="Times New Roman" w:cs="Times New Roman"/>
          <w:color w:val="000003"/>
          <w:sz w:val="19"/>
        </w:rPr>
        <w:t xml:space="preserve">Под влиянием неблагоприятных факторов (например, таких, как прием НПВП и/или препаратов, снижающих свертываемость крови, наличие у пациента в анамнезе </w:t>
      </w:r>
      <w:r>
        <w:rPr>
          <w:rFonts w:ascii="Times New Roman" w:eastAsia="Times New Roman" w:hAnsi="Times New Roman" w:cs="Times New Roman"/>
          <w:color w:val="000003"/>
          <w:sz w:val="19"/>
        </w:rPr>
        <w:t>коагулопатии, физическое перенапряжение) возможно развитие осложнений. К ним относятся пищеводное кровотечение, перфорация язвы, формирование свища в трахеобронхиальное дерево.</w:t>
      </w:r>
    </w:p>
    <w:p w:rsidR="002D5C2A" w:rsidRDefault="00280B42">
      <w:pPr>
        <w:spacing w:after="5" w:line="254" w:lineRule="auto"/>
        <w:ind w:left="-13" w:firstLine="273"/>
        <w:jc w:val="both"/>
      </w:pPr>
      <w:r>
        <w:rPr>
          <w:rFonts w:ascii="Times New Roman" w:eastAsia="Times New Roman" w:hAnsi="Times New Roman" w:cs="Times New Roman"/>
          <w:i/>
          <w:color w:val="000003"/>
          <w:sz w:val="19"/>
        </w:rPr>
        <w:t>Пищеводное кровотечение</w:t>
      </w:r>
      <w:r>
        <w:rPr>
          <w:rFonts w:ascii="Times New Roman" w:eastAsia="Times New Roman" w:hAnsi="Times New Roman" w:cs="Times New Roman"/>
          <w:color w:val="000003"/>
          <w:sz w:val="19"/>
        </w:rPr>
        <w:t xml:space="preserve"> — редкое осложнение инфекционного эзофагита,</w:t>
      </w:r>
      <w:r>
        <w:rPr>
          <w:rFonts w:ascii="Times New Roman" w:eastAsia="Times New Roman" w:hAnsi="Times New Roman" w:cs="Times New Roman"/>
          <w:i/>
          <w:color w:val="000003"/>
          <w:sz w:val="19"/>
        </w:rPr>
        <w:t xml:space="preserve"> </w:t>
      </w:r>
      <w:r>
        <w:rPr>
          <w:rFonts w:ascii="Times New Roman" w:eastAsia="Times New Roman" w:hAnsi="Times New Roman" w:cs="Times New Roman"/>
          <w:color w:val="000003"/>
          <w:sz w:val="19"/>
        </w:rPr>
        <w:t xml:space="preserve">возникает </w:t>
      </w:r>
      <w:r>
        <w:rPr>
          <w:rFonts w:ascii="Times New Roman" w:eastAsia="Times New Roman" w:hAnsi="Times New Roman" w:cs="Times New Roman"/>
          <w:color w:val="000003"/>
          <w:sz w:val="19"/>
        </w:rPr>
        <w:t>при тяжелом течении заболевания [1, 53, 54]. Проявляется рвотой с прожилками алой крови, реже черным дегтеобразным стулом (мелена).</w:t>
      </w:r>
    </w:p>
    <w:p w:rsidR="002D5C2A" w:rsidRDefault="00280B42">
      <w:pPr>
        <w:spacing w:after="5" w:line="254" w:lineRule="auto"/>
        <w:ind w:left="-13" w:firstLine="273"/>
        <w:jc w:val="both"/>
      </w:pPr>
      <w:r>
        <w:rPr>
          <w:rFonts w:ascii="Times New Roman" w:eastAsia="Times New Roman" w:hAnsi="Times New Roman" w:cs="Times New Roman"/>
          <w:i/>
          <w:color w:val="000003"/>
          <w:sz w:val="19"/>
        </w:rPr>
        <w:t xml:space="preserve">Перфорация (прободение) язвы пищевода </w:t>
      </w:r>
      <w:r>
        <w:rPr>
          <w:rFonts w:ascii="Times New Roman" w:eastAsia="Times New Roman" w:hAnsi="Times New Roman" w:cs="Times New Roman"/>
          <w:color w:val="000003"/>
          <w:sz w:val="19"/>
        </w:rPr>
        <w:t>встречается редко. Чаще всего перфорация представляет собой осложнение ВПГ-эзофагита [</w:t>
      </w:r>
      <w:r>
        <w:rPr>
          <w:rFonts w:ascii="Times New Roman" w:eastAsia="Times New Roman" w:hAnsi="Times New Roman" w:cs="Times New Roman"/>
          <w:color w:val="000003"/>
          <w:sz w:val="19"/>
        </w:rPr>
        <w:t>53, 55]. Перфорация язвы клинически манифестируется сильной рвотой и острейшей болью за грудиной. При обследовании пациента обнаруживается напряжение мышц передней брюшной стенки и резкая болезненность при пальпации живота. В дальнейшем начинают преобладат</w:t>
      </w:r>
      <w:r>
        <w:rPr>
          <w:rFonts w:ascii="Times New Roman" w:eastAsia="Times New Roman" w:hAnsi="Times New Roman" w:cs="Times New Roman"/>
          <w:color w:val="000003"/>
          <w:sz w:val="19"/>
        </w:rPr>
        <w:t>ь признаки медиастенита и плеврита.</w:t>
      </w:r>
    </w:p>
    <w:p w:rsidR="002D5C2A" w:rsidRDefault="00280B42">
      <w:pPr>
        <w:spacing w:after="340" w:line="254" w:lineRule="auto"/>
        <w:ind w:left="-13" w:right="1" w:firstLine="273"/>
        <w:jc w:val="both"/>
      </w:pPr>
      <w:r>
        <w:rPr>
          <w:rFonts w:ascii="Times New Roman" w:eastAsia="Times New Roman" w:hAnsi="Times New Roman" w:cs="Times New Roman"/>
          <w:color w:val="000003"/>
          <w:sz w:val="19"/>
        </w:rPr>
        <w:t xml:space="preserve">Формирование </w:t>
      </w:r>
      <w:r>
        <w:rPr>
          <w:rFonts w:ascii="Times New Roman" w:eastAsia="Times New Roman" w:hAnsi="Times New Roman" w:cs="Times New Roman"/>
          <w:i/>
          <w:color w:val="000003"/>
          <w:sz w:val="19"/>
        </w:rPr>
        <w:t xml:space="preserve">свища в трахеобронхиальное дерево </w:t>
      </w:r>
      <w:r>
        <w:rPr>
          <w:rFonts w:ascii="Times New Roman" w:eastAsia="Times New Roman" w:hAnsi="Times New Roman" w:cs="Times New Roman"/>
          <w:color w:val="000003"/>
          <w:sz w:val="19"/>
        </w:rPr>
        <w:t xml:space="preserve">встречается при осложнении кандидозной инфекции пищевода, ВПГ- и ЦМВэзофагита, а также туберкулеза пищевода [1, 56, 57]. Трахеопищеводный свищ проявляется кашлем и удушьем, </w:t>
      </w:r>
      <w:r>
        <w:rPr>
          <w:rFonts w:ascii="Times New Roman" w:eastAsia="Times New Roman" w:hAnsi="Times New Roman" w:cs="Times New Roman"/>
          <w:color w:val="000003"/>
          <w:sz w:val="19"/>
        </w:rPr>
        <w:t>связанными с приемом пищи, болью в эпигастрии, рецидивирующими легочными инфекциями.</w:t>
      </w:r>
    </w:p>
    <w:p w:rsidR="002D5C2A" w:rsidRDefault="00280B42">
      <w:pPr>
        <w:pStyle w:val="Heading2"/>
        <w:ind w:left="278" w:right="227"/>
      </w:pPr>
      <w:r>
        <w:t>2. Диагностика, медицинские показания и противопоказания к применению методов диагностики</w:t>
      </w:r>
    </w:p>
    <w:p w:rsidR="002D5C2A" w:rsidRDefault="00280B42">
      <w:pPr>
        <w:spacing w:after="0"/>
        <w:ind w:left="283"/>
      </w:pPr>
      <w:r>
        <w:rPr>
          <w:rFonts w:ascii="Times New Roman" w:eastAsia="Times New Roman" w:hAnsi="Times New Roman" w:cs="Times New Roman"/>
          <w:b/>
          <w:i/>
          <w:color w:val="000003"/>
          <w:sz w:val="19"/>
        </w:rPr>
        <w:t>Критерии установления диагноза</w:t>
      </w:r>
    </w:p>
    <w:p w:rsidR="002D5C2A" w:rsidRDefault="00280B42">
      <w:pPr>
        <w:spacing w:after="3" w:line="252" w:lineRule="auto"/>
        <w:ind w:left="-13" w:firstLine="273"/>
        <w:jc w:val="both"/>
      </w:pPr>
      <w:r>
        <w:rPr>
          <w:rFonts w:ascii="Times New Roman" w:eastAsia="Times New Roman" w:hAnsi="Times New Roman" w:cs="Times New Roman"/>
          <w:i/>
          <w:color w:val="000003"/>
          <w:sz w:val="19"/>
        </w:rPr>
        <w:t>Диагноз инфекционного эзофагита устанав</w:t>
      </w:r>
      <w:r>
        <w:rPr>
          <w:rFonts w:ascii="Times New Roman" w:eastAsia="Times New Roman" w:hAnsi="Times New Roman" w:cs="Times New Roman"/>
          <w:i/>
          <w:color w:val="000003"/>
          <w:sz w:val="19"/>
        </w:rPr>
        <w:t>ливается на основании:</w:t>
      </w:r>
    </w:p>
    <w:p w:rsidR="002D5C2A" w:rsidRDefault="00280B42">
      <w:pPr>
        <w:numPr>
          <w:ilvl w:val="0"/>
          <w:numId w:val="4"/>
        </w:numPr>
        <w:spacing w:after="5" w:line="254" w:lineRule="auto"/>
        <w:ind w:right="73" w:firstLine="273"/>
        <w:jc w:val="both"/>
      </w:pPr>
      <w:r>
        <w:rPr>
          <w:rFonts w:ascii="Times New Roman" w:eastAsia="Times New Roman" w:hAnsi="Times New Roman" w:cs="Times New Roman"/>
          <w:color w:val="000003"/>
          <w:sz w:val="19"/>
        </w:rPr>
        <w:t>анамнестических данных (характерные жалобы, выявление инфекционного эзофагита прежде, наличие и степень иммунодефицита);</w:t>
      </w:r>
    </w:p>
    <w:p w:rsidR="002D5C2A" w:rsidRDefault="00280B42">
      <w:pPr>
        <w:numPr>
          <w:ilvl w:val="0"/>
          <w:numId w:val="4"/>
        </w:numPr>
        <w:spacing w:after="5" w:line="254" w:lineRule="auto"/>
        <w:ind w:right="73" w:firstLine="273"/>
        <w:jc w:val="both"/>
      </w:pPr>
      <w:r>
        <w:rPr>
          <w:rFonts w:ascii="Times New Roman" w:eastAsia="Times New Roman" w:hAnsi="Times New Roman" w:cs="Times New Roman"/>
          <w:color w:val="000003"/>
          <w:sz w:val="19"/>
        </w:rPr>
        <w:t xml:space="preserve">физикального обследования (обнаружение орофарингеального кандидоза при осмотре ротоглотки, </w:t>
      </w:r>
      <w:r>
        <w:rPr>
          <w:rFonts w:ascii="Times New Roman" w:eastAsia="Times New Roman" w:hAnsi="Times New Roman" w:cs="Times New Roman"/>
          <w:i/>
          <w:color w:val="000003"/>
          <w:sz w:val="19"/>
        </w:rPr>
        <w:t>Herpes labialis</w:t>
      </w:r>
      <w:r>
        <w:rPr>
          <w:rFonts w:ascii="Times New Roman" w:eastAsia="Times New Roman" w:hAnsi="Times New Roman" w:cs="Times New Roman"/>
          <w:color w:val="000003"/>
          <w:sz w:val="19"/>
        </w:rPr>
        <w:t>);</w:t>
      </w:r>
    </w:p>
    <w:p w:rsidR="002D5C2A" w:rsidRDefault="00280B42">
      <w:pPr>
        <w:numPr>
          <w:ilvl w:val="0"/>
          <w:numId w:val="4"/>
        </w:numPr>
        <w:spacing w:after="5" w:line="254" w:lineRule="auto"/>
        <w:ind w:right="73" w:firstLine="273"/>
        <w:jc w:val="both"/>
      </w:pPr>
      <w:r>
        <w:rPr>
          <w:rFonts w:ascii="Times New Roman" w:eastAsia="Times New Roman" w:hAnsi="Times New Roman" w:cs="Times New Roman"/>
          <w:color w:val="000003"/>
          <w:sz w:val="19"/>
        </w:rPr>
        <w:t>инс</w:t>
      </w:r>
      <w:r>
        <w:rPr>
          <w:rFonts w:ascii="Times New Roman" w:eastAsia="Times New Roman" w:hAnsi="Times New Roman" w:cs="Times New Roman"/>
          <w:color w:val="000003"/>
          <w:sz w:val="19"/>
        </w:rPr>
        <w:t>трументального обследования (обнаружение характерных для инфекционного эзофагита поражений СО пищевода при проведении эндоскопического исследования пищевода с биопсией);</w:t>
      </w:r>
    </w:p>
    <w:p w:rsidR="002D5C2A" w:rsidRDefault="00280B42">
      <w:pPr>
        <w:numPr>
          <w:ilvl w:val="0"/>
          <w:numId w:val="4"/>
        </w:numPr>
        <w:spacing w:after="166" w:line="254" w:lineRule="auto"/>
        <w:ind w:right="73" w:firstLine="273"/>
        <w:jc w:val="both"/>
      </w:pPr>
      <w:r>
        <w:rPr>
          <w:rFonts w:ascii="Times New Roman" w:eastAsia="Times New Roman" w:hAnsi="Times New Roman" w:cs="Times New Roman"/>
          <w:color w:val="000003"/>
          <w:sz w:val="19"/>
        </w:rPr>
        <w:t>лабораторного обследования (идентификация возбудителя по результатам полимеразной цепн</w:t>
      </w:r>
      <w:r>
        <w:rPr>
          <w:rFonts w:ascii="Times New Roman" w:eastAsia="Times New Roman" w:hAnsi="Times New Roman" w:cs="Times New Roman"/>
          <w:color w:val="000003"/>
          <w:sz w:val="19"/>
        </w:rPr>
        <w:t>ой реакции или иммуногистохимического исследования).</w:t>
      </w:r>
    </w:p>
    <w:p w:rsidR="002D5C2A" w:rsidRDefault="00280B42">
      <w:pPr>
        <w:pStyle w:val="Heading3"/>
        <w:ind w:left="278"/>
      </w:pPr>
      <w:r>
        <w:t>2.1 Жалобы и анамнез</w:t>
      </w:r>
    </w:p>
    <w:p w:rsidR="002D5C2A" w:rsidRDefault="00280B42">
      <w:pPr>
        <w:spacing w:after="166" w:line="254" w:lineRule="auto"/>
        <w:ind w:left="-13" w:right="73" w:firstLine="273"/>
        <w:jc w:val="both"/>
      </w:pPr>
      <w:r>
        <w:rPr>
          <w:rFonts w:ascii="Times New Roman" w:eastAsia="Times New Roman" w:hAnsi="Times New Roman" w:cs="Times New Roman"/>
          <w:color w:val="000003"/>
          <w:sz w:val="19"/>
        </w:rPr>
        <w:t>Характерные для пациентов с инфекционным эзофагитом жалобы и данные анамнеза указаны в подразделе 1.6.</w:t>
      </w:r>
    </w:p>
    <w:p w:rsidR="002D5C2A" w:rsidRDefault="00280B42">
      <w:pPr>
        <w:pStyle w:val="Heading3"/>
        <w:ind w:left="278"/>
      </w:pPr>
      <w:r>
        <w:t>2.2 Физикальное обследование</w:t>
      </w:r>
    </w:p>
    <w:p w:rsidR="002D5C2A" w:rsidRDefault="00280B42">
      <w:pPr>
        <w:spacing w:after="166" w:line="254" w:lineRule="auto"/>
        <w:ind w:left="-13" w:right="73" w:firstLine="273"/>
        <w:jc w:val="both"/>
      </w:pPr>
      <w:r>
        <w:rPr>
          <w:rFonts w:ascii="Times New Roman" w:eastAsia="Times New Roman" w:hAnsi="Times New Roman" w:cs="Times New Roman"/>
          <w:color w:val="000003"/>
          <w:sz w:val="19"/>
        </w:rPr>
        <w:t>Характерные для пациентов с инфекционным эзофагито</w:t>
      </w:r>
      <w:r>
        <w:rPr>
          <w:rFonts w:ascii="Times New Roman" w:eastAsia="Times New Roman" w:hAnsi="Times New Roman" w:cs="Times New Roman"/>
          <w:color w:val="000003"/>
          <w:sz w:val="19"/>
        </w:rPr>
        <w:t>м данные физикального обследования приведены в подразделе 1.6.</w:t>
      </w:r>
    </w:p>
    <w:p w:rsidR="002D5C2A" w:rsidRDefault="00280B42">
      <w:pPr>
        <w:pStyle w:val="Heading3"/>
        <w:ind w:left="278"/>
      </w:pPr>
      <w:r>
        <w:t>2.3 Лабораторные диагностические исследования</w:t>
      </w:r>
    </w:p>
    <w:p w:rsidR="002D5C2A" w:rsidRDefault="00280B42">
      <w:pPr>
        <w:numPr>
          <w:ilvl w:val="0"/>
          <w:numId w:val="5"/>
        </w:numPr>
        <w:spacing w:after="5" w:line="254" w:lineRule="auto"/>
        <w:ind w:right="73" w:firstLine="273"/>
        <w:jc w:val="both"/>
      </w:pPr>
      <w:r>
        <w:rPr>
          <w:rFonts w:ascii="Times New Roman" w:eastAsia="Times New Roman" w:hAnsi="Times New Roman" w:cs="Times New Roman"/>
          <w:color w:val="000003"/>
          <w:sz w:val="19"/>
        </w:rPr>
        <w:t>Тем пациентам с инфекционным эзофагитом, у которых имеется подозрение на развитие анемии</w:t>
      </w:r>
      <w:r>
        <w:rPr>
          <w:rFonts w:ascii="Times New Roman" w:eastAsia="Times New Roman" w:hAnsi="Times New Roman" w:cs="Times New Roman"/>
          <w:color w:val="FF0000"/>
          <w:sz w:val="19"/>
        </w:rPr>
        <w:t xml:space="preserve"> </w:t>
      </w:r>
      <w:r>
        <w:rPr>
          <w:rFonts w:ascii="Times New Roman" w:eastAsia="Times New Roman" w:hAnsi="Times New Roman" w:cs="Times New Roman"/>
          <w:color w:val="000003"/>
          <w:sz w:val="19"/>
        </w:rPr>
        <w:t>как следствия скрытого кровотечения, рекомендуется выполне</w:t>
      </w:r>
      <w:r>
        <w:rPr>
          <w:rFonts w:ascii="Times New Roman" w:eastAsia="Times New Roman" w:hAnsi="Times New Roman" w:cs="Times New Roman"/>
          <w:color w:val="000003"/>
          <w:sz w:val="19"/>
        </w:rPr>
        <w:t>ние общего анализа крови с определением уровня гемоглобина и гематокрита [58, 59].</w:t>
      </w:r>
    </w:p>
    <w:p w:rsidR="002D5C2A" w:rsidRDefault="00280B42">
      <w:pPr>
        <w:spacing w:after="3" w:line="254" w:lineRule="auto"/>
        <w:ind w:left="-15" w:firstLine="273"/>
      </w:pPr>
      <w:r>
        <w:rPr>
          <w:rFonts w:ascii="Times New Roman" w:eastAsia="Times New Roman" w:hAnsi="Times New Roman" w:cs="Times New Roman"/>
          <w:b/>
          <w:color w:val="000003"/>
          <w:sz w:val="19"/>
        </w:rPr>
        <w:t>Уровень убедительности рекомендаций В (уровень достоверности доказательств — 3)</w:t>
      </w:r>
    </w:p>
    <w:p w:rsidR="002D5C2A" w:rsidRDefault="00280B42">
      <w:pPr>
        <w:spacing w:after="3" w:line="252" w:lineRule="auto"/>
        <w:ind w:left="-13" w:firstLine="273"/>
        <w:jc w:val="both"/>
      </w:pPr>
      <w:r>
        <w:rPr>
          <w:rFonts w:ascii="Times New Roman" w:eastAsia="Times New Roman" w:hAnsi="Times New Roman" w:cs="Times New Roman"/>
          <w:b/>
          <w:color w:val="000003"/>
          <w:sz w:val="19"/>
        </w:rPr>
        <w:t>Комментарии:</w:t>
      </w:r>
      <w:r>
        <w:rPr>
          <w:rFonts w:ascii="Times New Roman" w:eastAsia="Times New Roman" w:hAnsi="Times New Roman" w:cs="Times New Roman"/>
          <w:color w:val="000003"/>
          <w:sz w:val="19"/>
        </w:rPr>
        <w:t xml:space="preserve"> </w:t>
      </w:r>
      <w:r>
        <w:rPr>
          <w:rFonts w:ascii="Times New Roman" w:eastAsia="Times New Roman" w:hAnsi="Times New Roman" w:cs="Times New Roman"/>
          <w:i/>
          <w:color w:val="000003"/>
          <w:sz w:val="19"/>
        </w:rPr>
        <w:t>основные жалобы при анемии на фоне скрытых кровотечений из эрозий и язв пищевода</w:t>
      </w:r>
      <w:r>
        <w:rPr>
          <w:rFonts w:ascii="Times New Roman" w:eastAsia="Times New Roman" w:hAnsi="Times New Roman" w:cs="Times New Roman"/>
          <w:i/>
          <w:color w:val="000003"/>
          <w:sz w:val="19"/>
        </w:rPr>
        <w:t xml:space="preserve"> — повышенная слабость и утомляемость, головная боль, бледность кожных покровов и склер, шум в ушах, ангулярный стоматит, извращение вкуса, изменение формы ногтей (койлонихии) </w:t>
      </w:r>
      <w:r>
        <w:rPr>
          <w:rFonts w:ascii="Times New Roman" w:eastAsia="Times New Roman" w:hAnsi="Times New Roman" w:cs="Times New Roman"/>
          <w:color w:val="000003"/>
          <w:sz w:val="19"/>
        </w:rPr>
        <w:t>[60, 61]</w:t>
      </w:r>
      <w:r>
        <w:rPr>
          <w:rFonts w:ascii="Times New Roman" w:eastAsia="Times New Roman" w:hAnsi="Times New Roman" w:cs="Times New Roman"/>
          <w:i/>
          <w:color w:val="000003"/>
          <w:sz w:val="19"/>
        </w:rPr>
        <w:t>. Клинический анализ крови с определением уровня гемоглобина и гематокри</w:t>
      </w:r>
      <w:r>
        <w:rPr>
          <w:rFonts w:ascii="Times New Roman" w:eastAsia="Times New Roman" w:hAnsi="Times New Roman" w:cs="Times New Roman"/>
          <w:i/>
          <w:color w:val="000003"/>
          <w:sz w:val="19"/>
        </w:rPr>
        <w:t xml:space="preserve">та — способ выявления скрытого кровотечения из верхней части ЖКТ </w:t>
      </w:r>
      <w:r>
        <w:rPr>
          <w:rFonts w:ascii="Times New Roman" w:eastAsia="Times New Roman" w:hAnsi="Times New Roman" w:cs="Times New Roman"/>
          <w:color w:val="000003"/>
          <w:sz w:val="19"/>
        </w:rPr>
        <w:t>[58]</w:t>
      </w:r>
      <w:r>
        <w:rPr>
          <w:rFonts w:ascii="Times New Roman" w:eastAsia="Times New Roman" w:hAnsi="Times New Roman" w:cs="Times New Roman"/>
          <w:i/>
          <w:color w:val="000003"/>
          <w:sz w:val="19"/>
        </w:rPr>
        <w:t>.</w:t>
      </w:r>
    </w:p>
    <w:p w:rsidR="002D5C2A" w:rsidRDefault="00280B42">
      <w:pPr>
        <w:numPr>
          <w:ilvl w:val="0"/>
          <w:numId w:val="5"/>
        </w:numPr>
        <w:spacing w:after="5" w:line="254" w:lineRule="auto"/>
        <w:ind w:right="73" w:firstLine="273"/>
        <w:jc w:val="both"/>
      </w:pPr>
      <w:r>
        <w:rPr>
          <w:rFonts w:ascii="Times New Roman" w:eastAsia="Times New Roman" w:hAnsi="Times New Roman" w:cs="Times New Roman"/>
          <w:color w:val="000003"/>
          <w:sz w:val="19"/>
        </w:rPr>
        <w:t>Всем пациентам с инфекционным эзофагитом при подозрении на наличие скрытого кровотечения рекомендуется проведение анализа кала на скрытую кровь.</w:t>
      </w:r>
    </w:p>
    <w:p w:rsidR="002D5C2A" w:rsidRDefault="00280B42">
      <w:pPr>
        <w:spacing w:after="3" w:line="254" w:lineRule="auto"/>
        <w:ind w:left="-15" w:firstLine="273"/>
      </w:pPr>
      <w:r>
        <w:rPr>
          <w:rFonts w:ascii="Times New Roman" w:eastAsia="Times New Roman" w:hAnsi="Times New Roman" w:cs="Times New Roman"/>
          <w:b/>
          <w:color w:val="000003"/>
          <w:sz w:val="19"/>
        </w:rPr>
        <w:t>Уровень убедительности рекомендаций В (уровень достоверности доказательств — 3)</w:t>
      </w:r>
    </w:p>
    <w:p w:rsidR="002D5C2A" w:rsidRDefault="00280B42">
      <w:pPr>
        <w:spacing w:after="3" w:line="252" w:lineRule="auto"/>
        <w:ind w:left="-13" w:firstLine="273"/>
        <w:jc w:val="both"/>
      </w:pPr>
      <w:r>
        <w:rPr>
          <w:rFonts w:ascii="Times New Roman" w:eastAsia="Times New Roman" w:hAnsi="Times New Roman" w:cs="Times New Roman"/>
          <w:b/>
          <w:color w:val="000003"/>
          <w:sz w:val="19"/>
        </w:rPr>
        <w:t>Комментарии:</w:t>
      </w:r>
      <w:r>
        <w:rPr>
          <w:rFonts w:ascii="Times New Roman" w:eastAsia="Times New Roman" w:hAnsi="Times New Roman" w:cs="Times New Roman"/>
          <w:color w:val="000003"/>
          <w:sz w:val="19"/>
        </w:rPr>
        <w:t xml:space="preserve"> </w:t>
      </w:r>
      <w:r>
        <w:rPr>
          <w:rFonts w:ascii="Times New Roman" w:eastAsia="Times New Roman" w:hAnsi="Times New Roman" w:cs="Times New Roman"/>
          <w:i/>
          <w:color w:val="000003"/>
          <w:sz w:val="19"/>
        </w:rPr>
        <w:t xml:space="preserve">наличие скрытых кровотечений из эрозий и язв пищевода можно заподозрить при развитии симптомов хронической железодефицитной анемии </w:t>
      </w:r>
      <w:r>
        <w:rPr>
          <w:rFonts w:ascii="Times New Roman" w:eastAsia="Times New Roman" w:hAnsi="Times New Roman" w:cs="Times New Roman"/>
          <w:color w:val="000003"/>
          <w:sz w:val="19"/>
        </w:rPr>
        <w:t>[62]</w:t>
      </w:r>
      <w:r>
        <w:rPr>
          <w:rFonts w:ascii="Times New Roman" w:eastAsia="Times New Roman" w:hAnsi="Times New Roman" w:cs="Times New Roman"/>
          <w:i/>
          <w:color w:val="000003"/>
          <w:sz w:val="19"/>
        </w:rPr>
        <w:t>.</w:t>
      </w:r>
      <w:r>
        <w:rPr>
          <w:rFonts w:ascii="Times New Roman" w:eastAsia="Times New Roman" w:hAnsi="Times New Roman" w:cs="Times New Roman"/>
          <w:color w:val="000003"/>
          <w:sz w:val="19"/>
        </w:rPr>
        <w:t xml:space="preserve"> </w:t>
      </w:r>
      <w:r>
        <w:rPr>
          <w:rFonts w:ascii="Times New Roman" w:eastAsia="Times New Roman" w:hAnsi="Times New Roman" w:cs="Times New Roman"/>
          <w:i/>
          <w:color w:val="000003"/>
          <w:sz w:val="19"/>
        </w:rPr>
        <w:t>Анализ кала на скры</w:t>
      </w:r>
      <w:r>
        <w:rPr>
          <w:rFonts w:ascii="Times New Roman" w:eastAsia="Times New Roman" w:hAnsi="Times New Roman" w:cs="Times New Roman"/>
          <w:i/>
          <w:color w:val="000003"/>
          <w:sz w:val="19"/>
        </w:rPr>
        <w:t xml:space="preserve">тую кровь — эффективный метод выявления скрытой кровопотери из желудочно-кишечного тракта, однако стоит учитывать, что положительная реакция кала на скрытую кровь встречается при многих заболеваниях, что требует их обязательного исключения </w:t>
      </w:r>
      <w:r>
        <w:rPr>
          <w:rFonts w:ascii="Times New Roman" w:eastAsia="Times New Roman" w:hAnsi="Times New Roman" w:cs="Times New Roman"/>
          <w:color w:val="000003"/>
          <w:sz w:val="19"/>
        </w:rPr>
        <w:t>[63]</w:t>
      </w:r>
      <w:r>
        <w:rPr>
          <w:rFonts w:ascii="Times New Roman" w:eastAsia="Times New Roman" w:hAnsi="Times New Roman" w:cs="Times New Roman"/>
          <w:i/>
          <w:color w:val="000003"/>
          <w:sz w:val="19"/>
        </w:rPr>
        <w:t>.</w:t>
      </w:r>
    </w:p>
    <w:p w:rsidR="002D5C2A" w:rsidRDefault="00280B42">
      <w:pPr>
        <w:numPr>
          <w:ilvl w:val="0"/>
          <w:numId w:val="5"/>
        </w:numPr>
        <w:spacing w:after="5" w:line="254" w:lineRule="auto"/>
        <w:ind w:right="73" w:firstLine="273"/>
        <w:jc w:val="both"/>
      </w:pPr>
      <w:r>
        <w:rPr>
          <w:rFonts w:ascii="Times New Roman" w:eastAsia="Times New Roman" w:hAnsi="Times New Roman" w:cs="Times New Roman"/>
          <w:color w:val="000003"/>
          <w:sz w:val="19"/>
        </w:rPr>
        <w:t>В ряде слу</w:t>
      </w:r>
      <w:r>
        <w:rPr>
          <w:rFonts w:ascii="Times New Roman" w:eastAsia="Times New Roman" w:hAnsi="Times New Roman" w:cs="Times New Roman"/>
          <w:color w:val="000003"/>
          <w:sz w:val="19"/>
        </w:rPr>
        <w:t>чаев пациентам с инфекционным эзофагитом с целью определения возбудителя рекомендуется проведение полимеразной цепной реакции или иммуногистохимического исследования.</w:t>
      </w:r>
    </w:p>
    <w:p w:rsidR="002D5C2A" w:rsidRDefault="00280B42">
      <w:pPr>
        <w:spacing w:after="3" w:line="254" w:lineRule="auto"/>
        <w:ind w:left="-15" w:firstLine="273"/>
      </w:pPr>
      <w:r>
        <w:rPr>
          <w:rFonts w:ascii="Times New Roman" w:eastAsia="Times New Roman" w:hAnsi="Times New Roman" w:cs="Times New Roman"/>
          <w:b/>
          <w:color w:val="000003"/>
          <w:sz w:val="19"/>
        </w:rPr>
        <w:t>Уровень убедительности рекомендаций В (уровень достоверности доказательств — 3)</w:t>
      </w:r>
    </w:p>
    <w:p w:rsidR="002D5C2A" w:rsidRDefault="00280B42">
      <w:pPr>
        <w:spacing w:after="168" w:line="252" w:lineRule="auto"/>
        <w:ind w:left="-13" w:firstLine="273"/>
        <w:jc w:val="both"/>
      </w:pPr>
      <w:r>
        <w:rPr>
          <w:rFonts w:ascii="Times New Roman" w:eastAsia="Times New Roman" w:hAnsi="Times New Roman" w:cs="Times New Roman"/>
          <w:b/>
          <w:color w:val="000003"/>
          <w:sz w:val="19"/>
        </w:rPr>
        <w:t>Комментар</w:t>
      </w:r>
      <w:r>
        <w:rPr>
          <w:rFonts w:ascii="Times New Roman" w:eastAsia="Times New Roman" w:hAnsi="Times New Roman" w:cs="Times New Roman"/>
          <w:b/>
          <w:color w:val="000003"/>
          <w:sz w:val="19"/>
        </w:rPr>
        <w:t xml:space="preserve">ии: </w:t>
      </w:r>
      <w:r>
        <w:rPr>
          <w:rFonts w:ascii="Times New Roman" w:eastAsia="Times New Roman" w:hAnsi="Times New Roman" w:cs="Times New Roman"/>
          <w:i/>
          <w:color w:val="000003"/>
          <w:sz w:val="19"/>
        </w:rPr>
        <w:t>при</w:t>
      </w:r>
      <w:r>
        <w:rPr>
          <w:rFonts w:ascii="Times New Roman" w:eastAsia="Times New Roman" w:hAnsi="Times New Roman" w:cs="Times New Roman"/>
          <w:b/>
          <w:color w:val="000003"/>
          <w:sz w:val="19"/>
        </w:rPr>
        <w:t xml:space="preserve"> </w:t>
      </w:r>
      <w:r>
        <w:rPr>
          <w:rFonts w:ascii="Times New Roman" w:eastAsia="Times New Roman" w:hAnsi="Times New Roman" w:cs="Times New Roman"/>
          <w:i/>
          <w:color w:val="000003"/>
          <w:sz w:val="19"/>
        </w:rPr>
        <w:t>затруднении идентификации возбудителя при проведении гистопатологического исследования пациентам с инфекционным эзофагитом в ряде случаев рекомендуется</w:t>
      </w:r>
      <w:r>
        <w:rPr>
          <w:rFonts w:ascii="Times New Roman" w:eastAsia="Times New Roman" w:hAnsi="Times New Roman" w:cs="Times New Roman"/>
          <w:b/>
          <w:i/>
          <w:color w:val="000003"/>
          <w:sz w:val="19"/>
        </w:rPr>
        <w:t xml:space="preserve"> </w:t>
      </w:r>
      <w:r>
        <w:rPr>
          <w:rFonts w:ascii="Times New Roman" w:eastAsia="Times New Roman" w:hAnsi="Times New Roman" w:cs="Times New Roman"/>
          <w:i/>
          <w:color w:val="000003"/>
          <w:sz w:val="19"/>
        </w:rPr>
        <w:t xml:space="preserve">выполнение полимеразной цепной реакции или иммуногистохимического исследования </w:t>
      </w:r>
      <w:r>
        <w:rPr>
          <w:rFonts w:ascii="Times New Roman" w:eastAsia="Times New Roman" w:hAnsi="Times New Roman" w:cs="Times New Roman"/>
          <w:color w:val="000003"/>
          <w:sz w:val="19"/>
        </w:rPr>
        <w:t>[64, 65]</w:t>
      </w:r>
      <w:r>
        <w:rPr>
          <w:rFonts w:ascii="Times New Roman" w:eastAsia="Times New Roman" w:hAnsi="Times New Roman" w:cs="Times New Roman"/>
          <w:i/>
          <w:color w:val="000003"/>
          <w:sz w:val="19"/>
        </w:rPr>
        <w:t>.</w:t>
      </w:r>
    </w:p>
    <w:p w:rsidR="002D5C2A" w:rsidRDefault="00280B42">
      <w:pPr>
        <w:pStyle w:val="Heading3"/>
        <w:ind w:left="278"/>
      </w:pPr>
      <w:r>
        <w:t>2.4 Инс</w:t>
      </w:r>
      <w:r>
        <w:t>трументальные диагностические исследования</w:t>
      </w:r>
    </w:p>
    <w:p w:rsidR="002D5C2A" w:rsidRDefault="00280B42">
      <w:pPr>
        <w:spacing w:after="5" w:line="254" w:lineRule="auto"/>
        <w:ind w:left="-13" w:firstLine="273"/>
        <w:jc w:val="both"/>
      </w:pPr>
      <w:r>
        <w:rPr>
          <w:rFonts w:ascii="Times New Roman" w:eastAsia="Times New Roman" w:hAnsi="Times New Roman" w:cs="Times New Roman"/>
          <w:color w:val="000003"/>
          <w:sz w:val="19"/>
        </w:rPr>
        <w:t>• Всем пациентам с инфекционным эзофагитом рекомендуется выполнение эндоскопического исследования cо взятием биопсии с целью проведения диагностики заболевания и идентификации этиологического агента.</w:t>
      </w:r>
    </w:p>
    <w:p w:rsidR="002D5C2A" w:rsidRDefault="00280B42">
      <w:pPr>
        <w:spacing w:after="0"/>
        <w:ind w:left="10" w:right="1" w:hanging="10"/>
        <w:jc w:val="right"/>
      </w:pPr>
      <w:r>
        <w:rPr>
          <w:rFonts w:ascii="Times New Roman" w:eastAsia="Times New Roman" w:hAnsi="Times New Roman" w:cs="Times New Roman"/>
          <w:b/>
          <w:color w:val="000003"/>
          <w:sz w:val="19"/>
        </w:rPr>
        <w:t>Уровень убеди</w:t>
      </w:r>
      <w:r>
        <w:rPr>
          <w:rFonts w:ascii="Times New Roman" w:eastAsia="Times New Roman" w:hAnsi="Times New Roman" w:cs="Times New Roman"/>
          <w:b/>
          <w:color w:val="000003"/>
          <w:sz w:val="19"/>
        </w:rPr>
        <w:t xml:space="preserve">тельности рекомендаций A </w:t>
      </w:r>
    </w:p>
    <w:p w:rsidR="002D5C2A" w:rsidRDefault="00280B42">
      <w:pPr>
        <w:spacing w:after="3" w:line="254" w:lineRule="auto"/>
        <w:ind w:left="-15"/>
      </w:pPr>
      <w:r>
        <w:rPr>
          <w:rFonts w:ascii="Times New Roman" w:eastAsia="Times New Roman" w:hAnsi="Times New Roman" w:cs="Times New Roman"/>
          <w:b/>
          <w:color w:val="000003"/>
          <w:sz w:val="19"/>
        </w:rPr>
        <w:t>(уро вень достоверности доказательств — 1)</w:t>
      </w:r>
    </w:p>
    <w:p w:rsidR="002D5C2A" w:rsidRDefault="00280B42">
      <w:pPr>
        <w:spacing w:after="3" w:line="252" w:lineRule="auto"/>
        <w:ind w:left="-13" w:firstLine="273"/>
        <w:jc w:val="both"/>
      </w:pPr>
      <w:r>
        <w:rPr>
          <w:rFonts w:ascii="Times New Roman" w:eastAsia="Times New Roman" w:hAnsi="Times New Roman" w:cs="Times New Roman"/>
          <w:b/>
          <w:color w:val="000003"/>
          <w:sz w:val="19"/>
        </w:rPr>
        <w:t xml:space="preserve">Комментарии: </w:t>
      </w:r>
      <w:r>
        <w:rPr>
          <w:rFonts w:ascii="Times New Roman" w:eastAsia="Times New Roman" w:hAnsi="Times New Roman" w:cs="Times New Roman"/>
          <w:i/>
          <w:color w:val="000003"/>
          <w:sz w:val="19"/>
        </w:rPr>
        <w:t xml:space="preserve">плановое эндоскопическое исследование с биопсией — основной метод диагностики инфекционного эзофагита </w:t>
      </w:r>
      <w:r>
        <w:rPr>
          <w:rFonts w:ascii="Times New Roman" w:eastAsia="Times New Roman" w:hAnsi="Times New Roman" w:cs="Times New Roman"/>
          <w:color w:val="000003"/>
          <w:sz w:val="19"/>
        </w:rPr>
        <w:t>[1, 29]</w:t>
      </w:r>
      <w:r>
        <w:rPr>
          <w:rFonts w:ascii="Times New Roman" w:eastAsia="Times New Roman" w:hAnsi="Times New Roman" w:cs="Times New Roman"/>
          <w:i/>
          <w:color w:val="000003"/>
          <w:sz w:val="19"/>
        </w:rPr>
        <w:t xml:space="preserve">. В ряде случаев гистологическое исследование биоптатов пищевода </w:t>
      </w:r>
      <w:r>
        <w:rPr>
          <w:rFonts w:ascii="Times New Roman" w:eastAsia="Times New Roman" w:hAnsi="Times New Roman" w:cs="Times New Roman"/>
          <w:i/>
          <w:color w:val="000003"/>
          <w:sz w:val="19"/>
        </w:rPr>
        <w:t>при подозрении на инфекционный эзофагит более достоверно, чем цитологическое, поэтому считается предпочтительным методом. Для диагностически адекватного забора биоптатов в ходе эндоскопического исследования важно помнить, что при разных инфекционных эзофаг</w:t>
      </w:r>
      <w:r>
        <w:rPr>
          <w:rFonts w:ascii="Times New Roman" w:eastAsia="Times New Roman" w:hAnsi="Times New Roman" w:cs="Times New Roman"/>
          <w:i/>
          <w:color w:val="000003"/>
          <w:sz w:val="19"/>
        </w:rPr>
        <w:t xml:space="preserve">итах возбудитель и характерные морфологические изменения локализуются в различных участках, например в дне или, наоборот, краях язвенных дефектов, в эпителии или, напротив, в собственной пластинке слизистой оболочки </w:t>
      </w:r>
      <w:r>
        <w:rPr>
          <w:rFonts w:ascii="Times New Roman" w:eastAsia="Times New Roman" w:hAnsi="Times New Roman" w:cs="Times New Roman"/>
          <w:color w:val="000003"/>
          <w:sz w:val="19"/>
        </w:rPr>
        <w:t>[1, 29]</w:t>
      </w:r>
      <w:r>
        <w:rPr>
          <w:rFonts w:ascii="Times New Roman" w:eastAsia="Times New Roman" w:hAnsi="Times New Roman" w:cs="Times New Roman"/>
          <w:i/>
          <w:color w:val="000003"/>
          <w:sz w:val="19"/>
        </w:rPr>
        <w:t xml:space="preserve">. При многих инфекциях этиология </w:t>
      </w:r>
      <w:r>
        <w:rPr>
          <w:rFonts w:ascii="Times New Roman" w:eastAsia="Times New Roman" w:hAnsi="Times New Roman" w:cs="Times New Roman"/>
          <w:i/>
          <w:color w:val="000003"/>
          <w:sz w:val="19"/>
        </w:rPr>
        <w:t>эзофагита должна быть подтверждена иммуногистохимически или методом полимеразной цепной реакции (ПЦР in situ).</w:t>
      </w:r>
    </w:p>
    <w:p w:rsidR="002D5C2A" w:rsidRDefault="00280B42">
      <w:pPr>
        <w:spacing w:after="5" w:line="254" w:lineRule="auto"/>
        <w:ind w:left="-13" w:firstLine="273"/>
        <w:jc w:val="both"/>
      </w:pPr>
      <w:r>
        <w:rPr>
          <w:rFonts w:ascii="Times New Roman" w:eastAsia="Times New Roman" w:hAnsi="Times New Roman" w:cs="Times New Roman"/>
          <w:color w:val="000003"/>
          <w:sz w:val="19"/>
        </w:rPr>
        <w:t>Очаговые белесоватые или белесовато-желтые наложения на поверхности СО пищевода, не смывающиеся при орошении водой через спрей-катетер или специа</w:t>
      </w:r>
      <w:r>
        <w:rPr>
          <w:rFonts w:ascii="Times New Roman" w:eastAsia="Times New Roman" w:hAnsi="Times New Roman" w:cs="Times New Roman"/>
          <w:color w:val="000003"/>
          <w:sz w:val="19"/>
        </w:rPr>
        <w:t xml:space="preserve">льный ирригационный канал эндоскопа, служат типичными эндоскопическими признаками </w:t>
      </w:r>
      <w:r>
        <w:rPr>
          <w:rFonts w:ascii="Times New Roman" w:eastAsia="Times New Roman" w:hAnsi="Times New Roman" w:cs="Times New Roman"/>
          <w:b/>
          <w:i/>
          <w:color w:val="000003"/>
          <w:sz w:val="19"/>
        </w:rPr>
        <w:t>кандидозного</w:t>
      </w:r>
      <w:r>
        <w:rPr>
          <w:rFonts w:ascii="Times New Roman" w:eastAsia="Times New Roman" w:hAnsi="Times New Roman" w:cs="Times New Roman"/>
          <w:color w:val="000003"/>
          <w:sz w:val="19"/>
        </w:rPr>
        <w:t xml:space="preserve"> эзофагита. В отдельных случаях кандидозный эзофагит может проявляться, наряду с наложениями и эрозивным поражением СО пищевода, изъязвлениями. Для оценки стадии </w:t>
      </w:r>
      <w:r>
        <w:rPr>
          <w:rFonts w:ascii="Times New Roman" w:eastAsia="Times New Roman" w:hAnsi="Times New Roman" w:cs="Times New Roman"/>
          <w:color w:val="000003"/>
          <w:sz w:val="19"/>
        </w:rPr>
        <w:t>кандидозного эзофагита целесообразно использовать классификацию по шкале Kodsi [66, 67] (см. рис. 1). При кандидозном эзофагите в биоптатах наряду с воспалительным инфильтратом с преобладанием лейкоцитов характерно выявление псевдогифов или, редко, истинно</w:t>
      </w:r>
      <w:r>
        <w:rPr>
          <w:rFonts w:ascii="Times New Roman" w:eastAsia="Times New Roman" w:hAnsi="Times New Roman" w:cs="Times New Roman"/>
          <w:color w:val="000003"/>
          <w:sz w:val="19"/>
        </w:rPr>
        <w:t xml:space="preserve">го мицелия гриба, которые плохо различимы при окраске гематоксилином и эозином и визуализируются с помощью PAS-реакции среди некротических масс, в толще многослойного плоского эпителия, реже глубже. Выявление дрожжеподобных грибов в тканевом детрите в дне </w:t>
      </w:r>
      <w:r>
        <w:rPr>
          <w:rFonts w:ascii="Times New Roman" w:eastAsia="Times New Roman" w:hAnsi="Times New Roman" w:cs="Times New Roman"/>
          <w:color w:val="000003"/>
          <w:sz w:val="19"/>
        </w:rPr>
        <w:t>язв пищевода без признаков их инвазии в ткани не позволяет диагностировать микотический эзофагит (что ограничивает применение цитологического метода исследования), а у больных, принимающих противогрибковые препараты, нередко обнаруживают только споры гриба</w:t>
      </w:r>
      <w:r>
        <w:rPr>
          <w:rFonts w:ascii="Times New Roman" w:eastAsia="Times New Roman" w:hAnsi="Times New Roman" w:cs="Times New Roman"/>
          <w:color w:val="000003"/>
          <w:sz w:val="19"/>
        </w:rPr>
        <w:t xml:space="preserve">. Возможности гистологического метода исследования ограничены при выявлении спор </w:t>
      </w:r>
      <w:r>
        <w:rPr>
          <w:rFonts w:ascii="Times New Roman" w:eastAsia="Times New Roman" w:hAnsi="Times New Roman" w:cs="Times New Roman"/>
          <w:i/>
          <w:color w:val="000003"/>
          <w:sz w:val="19"/>
        </w:rPr>
        <w:t>Candida</w:t>
      </w:r>
      <w:r>
        <w:rPr>
          <w:rFonts w:ascii="Times New Roman" w:eastAsia="Times New Roman" w:hAnsi="Times New Roman" w:cs="Times New Roman"/>
          <w:color w:val="000003"/>
          <w:sz w:val="19"/>
        </w:rPr>
        <w:t xml:space="preserve"> и иногда при дифференциальной диагностике с другими микозами, в таких случаях рекомендуется верификация возбудителя иммуногистохимическим методом или методом ПЦР.</w:t>
      </w:r>
    </w:p>
    <w:tbl>
      <w:tblPr>
        <w:tblStyle w:val="TableGrid"/>
        <w:tblpPr w:vertAnchor="text" w:horzAnchor="margin" w:tblpY="7950"/>
        <w:tblOverlap w:val="never"/>
        <w:tblW w:w="9708" w:type="dxa"/>
        <w:tblInd w:w="0" w:type="dxa"/>
        <w:tblCellMar>
          <w:top w:w="0" w:type="dxa"/>
          <w:left w:w="0" w:type="dxa"/>
          <w:bottom w:w="0" w:type="dxa"/>
          <w:right w:w="73" w:type="dxa"/>
        </w:tblCellMar>
        <w:tblLook w:val="04A0" w:firstRow="1" w:lastRow="0" w:firstColumn="1" w:lastColumn="0" w:noHBand="0" w:noVBand="1"/>
      </w:tblPr>
      <w:tblGrid>
        <w:gridCol w:w="9610"/>
      </w:tblGrid>
      <w:tr w:rsidR="002D5C2A">
        <w:trPr>
          <w:trHeight w:val="3023"/>
        </w:trPr>
        <w:tc>
          <w:tcPr>
            <w:tcW w:w="9610" w:type="dxa"/>
            <w:tcBorders>
              <w:top w:val="nil"/>
              <w:left w:val="nil"/>
              <w:bottom w:val="nil"/>
              <w:right w:val="nil"/>
            </w:tcBorders>
            <w:vAlign w:val="bottom"/>
          </w:tcPr>
          <w:p w:rsidR="002D5C2A" w:rsidRDefault="00280B42">
            <w:pPr>
              <w:spacing w:after="100"/>
              <w:ind w:left="3"/>
            </w:pPr>
            <w:r>
              <w:rPr>
                <w:noProof/>
              </w:rPr>
              <mc:AlternateContent>
                <mc:Choice Requires="wpg">
                  <w:drawing>
                    <wp:inline distT="0" distB="0" distL="0" distR="0">
                      <wp:extent cx="6116193" cy="4630395"/>
                      <wp:effectExtent l="0" t="0" r="0" b="0"/>
                      <wp:docPr id="42676" name="Group 42676"/>
                      <wp:cNvGraphicFramePr/>
                      <a:graphic xmlns:a="http://schemas.openxmlformats.org/drawingml/2006/main">
                        <a:graphicData uri="http://schemas.microsoft.com/office/word/2010/wordprocessingGroup">
                          <wpg:wgp>
                            <wpg:cNvGrpSpPr/>
                            <wpg:grpSpPr>
                              <a:xfrm>
                                <a:off x="0" y="0"/>
                                <a:ext cx="6116193" cy="4630395"/>
                                <a:chOff x="0" y="0"/>
                                <a:chExt cx="6116193" cy="4630395"/>
                              </a:xfrm>
                            </wpg:grpSpPr>
                            <wps:wsp>
                              <wps:cNvPr id="1841" name="Shape 1841"/>
                              <wps:cNvSpPr/>
                              <wps:spPr>
                                <a:xfrm>
                                  <a:off x="0" y="0"/>
                                  <a:ext cx="6116193" cy="4630395"/>
                                </a:xfrm>
                                <a:custGeom>
                                  <a:avLst/>
                                  <a:gdLst/>
                                  <a:ahLst/>
                                  <a:cxnLst/>
                                  <a:rect l="0" t="0" r="0" b="0"/>
                                  <a:pathLst>
                                    <a:path w="6116193" h="4630395">
                                      <a:moveTo>
                                        <a:pt x="0" y="4630395"/>
                                      </a:moveTo>
                                      <a:lnTo>
                                        <a:pt x="6116193" y="4630395"/>
                                      </a:lnTo>
                                      <a:lnTo>
                                        <a:pt x="6116193" y="0"/>
                                      </a:lnTo>
                                      <a:lnTo>
                                        <a:pt x="0" y="0"/>
                                      </a:lnTo>
                                      <a:close/>
                                    </a:path>
                                  </a:pathLst>
                                </a:custGeom>
                                <a:ln w="3810" cap="flat">
                                  <a:miter lim="100000"/>
                                </a:ln>
                              </wps:spPr>
                              <wps:style>
                                <a:lnRef idx="1">
                                  <a:srgbClr val="009EE4"/>
                                </a:lnRef>
                                <a:fillRef idx="0">
                                  <a:srgbClr val="000000">
                                    <a:alpha val="0"/>
                                  </a:srgbClr>
                                </a:fillRef>
                                <a:effectRef idx="0">
                                  <a:scrgbClr r="0" g="0" b="0"/>
                                </a:effectRef>
                                <a:fontRef idx="none"/>
                              </wps:style>
                              <wps:bodyPr/>
                            </wps:wsp>
                            <pic:pic xmlns:pic="http://schemas.openxmlformats.org/drawingml/2006/picture">
                              <pic:nvPicPr>
                                <pic:cNvPr id="1858" name="Picture 1858"/>
                                <pic:cNvPicPr/>
                              </pic:nvPicPr>
                              <pic:blipFill>
                                <a:blip r:embed="rId13"/>
                                <a:stretch>
                                  <a:fillRect/>
                                </a:stretch>
                              </pic:blipFill>
                              <pic:spPr>
                                <a:xfrm>
                                  <a:off x="3475229" y="2377003"/>
                                  <a:ext cx="2304929" cy="2160000"/>
                                </a:xfrm>
                                <a:prstGeom prst="rect">
                                  <a:avLst/>
                                </a:prstGeom>
                              </pic:spPr>
                            </pic:pic>
                            <pic:pic xmlns:pic="http://schemas.openxmlformats.org/drawingml/2006/picture">
                              <pic:nvPicPr>
                                <pic:cNvPr id="1860" name="Picture 1860"/>
                                <pic:cNvPicPr/>
                              </pic:nvPicPr>
                              <pic:blipFill>
                                <a:blip r:embed="rId14"/>
                                <a:stretch>
                                  <a:fillRect/>
                                </a:stretch>
                              </pic:blipFill>
                              <pic:spPr>
                                <a:xfrm>
                                  <a:off x="3404187" y="99698"/>
                                  <a:ext cx="2447014" cy="2160000"/>
                                </a:xfrm>
                                <a:prstGeom prst="rect">
                                  <a:avLst/>
                                </a:prstGeom>
                              </pic:spPr>
                            </pic:pic>
                            <pic:pic xmlns:pic="http://schemas.openxmlformats.org/drawingml/2006/picture">
                              <pic:nvPicPr>
                                <pic:cNvPr id="1862" name="Picture 1862"/>
                                <pic:cNvPicPr/>
                              </pic:nvPicPr>
                              <pic:blipFill>
                                <a:blip r:embed="rId15"/>
                                <a:stretch>
                                  <a:fillRect/>
                                </a:stretch>
                              </pic:blipFill>
                              <pic:spPr>
                                <a:xfrm>
                                  <a:off x="381855" y="2377003"/>
                                  <a:ext cx="2216278" cy="2160000"/>
                                </a:xfrm>
                                <a:prstGeom prst="rect">
                                  <a:avLst/>
                                </a:prstGeom>
                              </pic:spPr>
                            </pic:pic>
                            <pic:pic xmlns:pic="http://schemas.openxmlformats.org/drawingml/2006/picture">
                              <pic:nvPicPr>
                                <pic:cNvPr id="1864" name="Picture 1864"/>
                                <pic:cNvPicPr/>
                              </pic:nvPicPr>
                              <pic:blipFill>
                                <a:blip r:embed="rId16"/>
                                <a:stretch>
                                  <a:fillRect/>
                                </a:stretch>
                              </pic:blipFill>
                              <pic:spPr>
                                <a:xfrm>
                                  <a:off x="289510" y="99698"/>
                                  <a:ext cx="2400968" cy="2160000"/>
                                </a:xfrm>
                                <a:prstGeom prst="rect">
                                  <a:avLst/>
                                </a:prstGeom>
                              </pic:spPr>
                            </pic:pic>
                            <wps:wsp>
                              <wps:cNvPr id="1865" name="Rectangle 1865"/>
                              <wps:cNvSpPr/>
                              <wps:spPr>
                                <a:xfrm>
                                  <a:off x="61093" y="4395985"/>
                                  <a:ext cx="190632" cy="181968"/>
                                </a:xfrm>
                                <a:prstGeom prst="rect">
                                  <a:avLst/>
                                </a:prstGeom>
                                <a:ln>
                                  <a:noFill/>
                                </a:ln>
                              </wps:spPr>
                              <wps:txbx>
                                <w:txbxContent>
                                  <w:p w:rsidR="002D5C2A" w:rsidRDefault="00280B42">
                                    <w:r>
                                      <w:rPr>
                                        <w:rFonts w:ascii="Times New Roman" w:eastAsia="Times New Roman" w:hAnsi="Times New Roman" w:cs="Times New Roman"/>
                                        <w:color w:val="000003"/>
                                        <w:w w:val="125"/>
                                        <w:sz w:val="18"/>
                                      </w:rPr>
                                      <w:t>III</w:t>
                                    </w:r>
                                  </w:p>
                                </w:txbxContent>
                              </wps:txbx>
                              <wps:bodyPr horzOverflow="overflow" vert="horz" lIns="0" tIns="0" rIns="0" bIns="0" rtlCol="0">
                                <a:noAutofit/>
                              </wps:bodyPr>
                            </wps:wsp>
                            <wps:wsp>
                              <wps:cNvPr id="1866" name="Rectangle 1866"/>
                              <wps:cNvSpPr/>
                              <wps:spPr>
                                <a:xfrm>
                                  <a:off x="61093" y="2118681"/>
                                  <a:ext cx="63544" cy="181967"/>
                                </a:xfrm>
                                <a:prstGeom prst="rect">
                                  <a:avLst/>
                                </a:prstGeom>
                                <a:ln>
                                  <a:noFill/>
                                </a:ln>
                              </wps:spPr>
                              <wps:txbx>
                                <w:txbxContent>
                                  <w:p w:rsidR="002D5C2A" w:rsidRDefault="00280B42">
                                    <w:r>
                                      <w:rPr>
                                        <w:rFonts w:ascii="Times New Roman" w:eastAsia="Times New Roman" w:hAnsi="Times New Roman" w:cs="Times New Roman"/>
                                        <w:color w:val="000003"/>
                                        <w:w w:val="125"/>
                                        <w:sz w:val="18"/>
                                      </w:rPr>
                                      <w:t>I</w:t>
                                    </w:r>
                                  </w:p>
                                </w:txbxContent>
                              </wps:txbx>
                              <wps:bodyPr horzOverflow="overflow" vert="horz" lIns="0" tIns="0" rIns="0" bIns="0" rtlCol="0">
                                <a:noAutofit/>
                              </wps:bodyPr>
                            </wps:wsp>
                            <wps:wsp>
                              <wps:cNvPr id="1867" name="Rectangle 1867"/>
                              <wps:cNvSpPr/>
                              <wps:spPr>
                                <a:xfrm>
                                  <a:off x="3187694" y="4409025"/>
                                  <a:ext cx="184551" cy="181967"/>
                                </a:xfrm>
                                <a:prstGeom prst="rect">
                                  <a:avLst/>
                                </a:prstGeom>
                                <a:ln>
                                  <a:noFill/>
                                </a:ln>
                              </wps:spPr>
                              <wps:txbx>
                                <w:txbxContent>
                                  <w:p w:rsidR="002D5C2A" w:rsidRDefault="00280B42">
                                    <w:r>
                                      <w:rPr>
                                        <w:rFonts w:ascii="Times New Roman" w:eastAsia="Times New Roman" w:hAnsi="Times New Roman" w:cs="Times New Roman"/>
                                        <w:color w:val="000003"/>
                                        <w:w w:val="115"/>
                                        <w:sz w:val="18"/>
                                      </w:rPr>
                                      <w:t>IV</w:t>
                                    </w:r>
                                  </w:p>
                                </w:txbxContent>
                              </wps:txbx>
                              <wps:bodyPr horzOverflow="overflow" vert="horz" lIns="0" tIns="0" rIns="0" bIns="0" rtlCol="0">
                                <a:noAutofit/>
                              </wps:bodyPr>
                            </wps:wsp>
                            <wps:wsp>
                              <wps:cNvPr id="1868" name="Rectangle 1868"/>
                              <wps:cNvSpPr/>
                              <wps:spPr>
                                <a:xfrm>
                                  <a:off x="3187694" y="2131719"/>
                                  <a:ext cx="127088" cy="181967"/>
                                </a:xfrm>
                                <a:prstGeom prst="rect">
                                  <a:avLst/>
                                </a:prstGeom>
                                <a:ln>
                                  <a:noFill/>
                                </a:ln>
                              </wps:spPr>
                              <wps:txbx>
                                <w:txbxContent>
                                  <w:p w:rsidR="002D5C2A" w:rsidRDefault="00280B42">
                                    <w:r>
                                      <w:rPr>
                                        <w:rFonts w:ascii="Times New Roman" w:eastAsia="Times New Roman" w:hAnsi="Times New Roman" w:cs="Times New Roman"/>
                                        <w:color w:val="000003"/>
                                        <w:w w:val="125"/>
                                        <w:sz w:val="18"/>
                                      </w:rPr>
                                      <w:t>II</w:t>
                                    </w:r>
                                  </w:p>
                                </w:txbxContent>
                              </wps:txbx>
                              <wps:bodyPr horzOverflow="overflow" vert="horz" lIns="0" tIns="0" rIns="0" bIns="0" rtlCol="0">
                                <a:noAutofit/>
                              </wps:bodyPr>
                            </wps:wsp>
                          </wpg:wgp>
                        </a:graphicData>
                      </a:graphic>
                    </wp:inline>
                  </w:drawing>
                </mc:Choice>
                <mc:Fallback xmlns:a="http://schemas.openxmlformats.org/drawingml/2006/main">
                  <w:pict>
                    <v:group id="Group 42676" style="width:481.59pt;height:364.598pt;mso-position-horizontal-relative:char;mso-position-vertical-relative:line" coordsize="61161,46303">
                      <v:shape id="Shape 1841" style="position:absolute;width:61161;height:46303;left:0;top:0;" coordsize="6116193,4630395" path="m0,4630395l6116193,4630395l6116193,0l0,0x">
                        <v:stroke weight="0.3pt" endcap="flat" joinstyle="miter" miterlimit="4" on="true" color="#009ee4"/>
                        <v:fill on="false" color="#000000" opacity="0"/>
                      </v:shape>
                      <v:shape id="Picture 1858" style="position:absolute;width:23049;height:21600;left:34752;top:23770;" filled="f">
                        <v:imagedata r:id="rId17"/>
                      </v:shape>
                      <v:shape id="Picture 1860" style="position:absolute;width:24470;height:21600;left:34041;top:996;" filled="f">
                        <v:imagedata r:id="rId18"/>
                      </v:shape>
                      <v:shape id="Picture 1862" style="position:absolute;width:22162;height:21600;left:3818;top:23770;" filled="f">
                        <v:imagedata r:id="rId19"/>
                      </v:shape>
                      <v:shape id="Picture 1864" style="position:absolute;width:24009;height:21600;left:2895;top:996;" filled="f">
                        <v:imagedata r:id="rId20"/>
                      </v:shape>
                      <v:rect id="Rectangle 1865" style="position:absolute;width:1906;height:1819;left:610;top:43959;" filled="f" stroked="f">
                        <v:textbox inset="0,0,0,0">
                          <w:txbxContent>
                            <w:p>
                              <w:pPr>
                                <w:spacing w:before="0" w:after="160" w:line="259" w:lineRule="auto"/>
                              </w:pPr>
                              <w:r>
                                <w:rPr>
                                  <w:rFonts w:cs="Times New Roman" w:hAnsi="Times New Roman" w:eastAsia="Times New Roman" w:ascii="Times New Roman"/>
                                  <w:color w:val="000003"/>
                                  <w:w w:val="125"/>
                                  <w:sz w:val="18"/>
                                </w:rPr>
                                <w:t xml:space="preserve">III</w:t>
                              </w:r>
                            </w:p>
                          </w:txbxContent>
                        </v:textbox>
                      </v:rect>
                      <v:rect id="Rectangle 1866" style="position:absolute;width:635;height:1819;left:610;top:21186;" filled="f" stroked="f">
                        <v:textbox inset="0,0,0,0">
                          <w:txbxContent>
                            <w:p>
                              <w:pPr>
                                <w:spacing w:before="0" w:after="160" w:line="259" w:lineRule="auto"/>
                              </w:pPr>
                              <w:r>
                                <w:rPr>
                                  <w:rFonts w:cs="Times New Roman" w:hAnsi="Times New Roman" w:eastAsia="Times New Roman" w:ascii="Times New Roman"/>
                                  <w:color w:val="000003"/>
                                  <w:w w:val="125"/>
                                  <w:sz w:val="18"/>
                                </w:rPr>
                                <w:t xml:space="preserve">I</w:t>
                              </w:r>
                            </w:p>
                          </w:txbxContent>
                        </v:textbox>
                      </v:rect>
                      <v:rect id="Rectangle 1867" style="position:absolute;width:1845;height:1819;left:31876;top:44090;" filled="f" stroked="f">
                        <v:textbox inset="0,0,0,0">
                          <w:txbxContent>
                            <w:p>
                              <w:pPr>
                                <w:spacing w:before="0" w:after="160" w:line="259" w:lineRule="auto"/>
                              </w:pPr>
                              <w:r>
                                <w:rPr>
                                  <w:rFonts w:cs="Times New Roman" w:hAnsi="Times New Roman" w:eastAsia="Times New Roman" w:ascii="Times New Roman"/>
                                  <w:color w:val="000003"/>
                                  <w:w w:val="115"/>
                                  <w:sz w:val="18"/>
                                </w:rPr>
                                <w:t xml:space="preserve">IV</w:t>
                              </w:r>
                            </w:p>
                          </w:txbxContent>
                        </v:textbox>
                      </v:rect>
                      <v:rect id="Rectangle 1868" style="position:absolute;width:1270;height:1819;left:31876;top:21317;" filled="f" stroked="f">
                        <v:textbox inset="0,0,0,0">
                          <w:txbxContent>
                            <w:p>
                              <w:pPr>
                                <w:spacing w:before="0" w:after="160" w:line="259" w:lineRule="auto"/>
                              </w:pPr>
                              <w:r>
                                <w:rPr>
                                  <w:rFonts w:cs="Times New Roman" w:hAnsi="Times New Roman" w:eastAsia="Times New Roman" w:ascii="Times New Roman"/>
                                  <w:color w:val="000003"/>
                                  <w:w w:val="125"/>
                                  <w:sz w:val="18"/>
                                </w:rPr>
                                <w:t xml:space="preserve">II</w:t>
                              </w:r>
                            </w:p>
                          </w:txbxContent>
                        </v:textbox>
                      </v:rect>
                    </v:group>
                  </w:pict>
                </mc:Fallback>
              </mc:AlternateContent>
            </w:r>
          </w:p>
          <w:p w:rsidR="002D5C2A" w:rsidRDefault="00280B42">
            <w:pPr>
              <w:spacing w:after="0"/>
            </w:pPr>
            <w:r>
              <w:rPr>
                <w:rFonts w:ascii="Times New Roman" w:eastAsia="Times New Roman" w:hAnsi="Times New Roman" w:cs="Times New Roman"/>
                <w:color w:val="000003"/>
                <w:sz w:val="18"/>
              </w:rPr>
              <w:t>Рис. 1. Степени кандидозного эзофагита по шкале Kodsi:</w:t>
            </w:r>
          </w:p>
          <w:p w:rsidR="002D5C2A" w:rsidRDefault="00280B42">
            <w:pPr>
              <w:spacing w:after="0" w:line="249" w:lineRule="auto"/>
            </w:pPr>
            <w:r>
              <w:rPr>
                <w:rFonts w:ascii="Times New Roman" w:eastAsia="Times New Roman" w:hAnsi="Times New Roman" w:cs="Times New Roman"/>
                <w:color w:val="000003"/>
                <w:sz w:val="18"/>
              </w:rPr>
              <w:t>степень по Kodsi I. Единичные приподнятые белесоватые бляшки размерами до 2 мм в диаметре с гиперемией окружающей СО, без отека или изъязвлений;</w:t>
            </w:r>
          </w:p>
          <w:p w:rsidR="002D5C2A" w:rsidRDefault="00280B42">
            <w:pPr>
              <w:spacing w:after="0" w:line="249" w:lineRule="auto"/>
              <w:ind w:right="207"/>
            </w:pPr>
            <w:r>
              <w:rPr>
                <w:rFonts w:ascii="Times New Roman" w:eastAsia="Times New Roman" w:hAnsi="Times New Roman" w:cs="Times New Roman"/>
                <w:color w:val="000003"/>
                <w:sz w:val="18"/>
              </w:rPr>
              <w:t>степень по Kodsi II. Множественные приподнятые белесоватые бляшки размерами более 2 мм в диаметре с гиперемией окружающей СО, без отека или изъязвлений;</w:t>
            </w:r>
          </w:p>
          <w:p w:rsidR="002D5C2A" w:rsidRDefault="00280B42">
            <w:pPr>
              <w:spacing w:after="0" w:line="249" w:lineRule="auto"/>
            </w:pPr>
            <w:r>
              <w:rPr>
                <w:rFonts w:ascii="Times New Roman" w:eastAsia="Times New Roman" w:hAnsi="Times New Roman" w:cs="Times New Roman"/>
                <w:color w:val="000003"/>
                <w:sz w:val="18"/>
              </w:rPr>
              <w:t xml:space="preserve">степень по Kodsi III. Сливные линейные и узловой формы приподнятые бляшки с гиперемией окружающей СО и </w:t>
            </w:r>
            <w:r>
              <w:rPr>
                <w:rFonts w:ascii="Times New Roman" w:eastAsia="Times New Roman" w:hAnsi="Times New Roman" w:cs="Times New Roman"/>
                <w:color w:val="000003"/>
                <w:sz w:val="18"/>
              </w:rPr>
              <w:t>изъязвлениями;</w:t>
            </w:r>
          </w:p>
          <w:p w:rsidR="002D5C2A" w:rsidRDefault="00280B42">
            <w:pPr>
              <w:spacing w:after="0" w:line="249" w:lineRule="auto"/>
            </w:pPr>
            <w:r>
              <w:rPr>
                <w:rFonts w:ascii="Times New Roman" w:eastAsia="Times New Roman" w:hAnsi="Times New Roman" w:cs="Times New Roman"/>
                <w:color w:val="000003"/>
                <w:sz w:val="18"/>
              </w:rPr>
              <w:t>степень по Kodsi IV. Те же изменения, что и при III степени, плюс контактная кровоточивость СО и иногда сужение просвета пищевода</w:t>
            </w:r>
          </w:p>
          <w:p w:rsidR="002D5C2A" w:rsidRDefault="00280B42">
            <w:pPr>
              <w:spacing w:after="0"/>
            </w:pPr>
            <w:r>
              <w:rPr>
                <w:rFonts w:ascii="Times New Roman" w:eastAsia="Times New Roman" w:hAnsi="Times New Roman" w:cs="Times New Roman"/>
                <w:color w:val="000003"/>
                <w:sz w:val="18"/>
              </w:rPr>
              <w:t>Fig. 1. Kodsi classification of esophageal candidiasis</w:t>
            </w:r>
          </w:p>
          <w:p w:rsidR="002D5C2A" w:rsidRDefault="00280B42">
            <w:pPr>
              <w:spacing w:after="0"/>
            </w:pPr>
            <w:r>
              <w:rPr>
                <w:rFonts w:ascii="Times New Roman" w:eastAsia="Times New Roman" w:hAnsi="Times New Roman" w:cs="Times New Roman"/>
                <w:color w:val="000003"/>
                <w:sz w:val="18"/>
              </w:rPr>
              <w:t>Grade I. Few raised white plaques up to 2 mm in size wit</w:t>
            </w:r>
            <w:r>
              <w:rPr>
                <w:rFonts w:ascii="Times New Roman" w:eastAsia="Times New Roman" w:hAnsi="Times New Roman" w:cs="Times New Roman"/>
                <w:color w:val="000003"/>
                <w:sz w:val="18"/>
              </w:rPr>
              <w:t>h hyperemia, no edema or ulceration</w:t>
            </w:r>
          </w:p>
          <w:p w:rsidR="002D5C2A" w:rsidRDefault="00280B42">
            <w:pPr>
              <w:spacing w:after="0"/>
            </w:pPr>
            <w:r>
              <w:rPr>
                <w:rFonts w:ascii="Times New Roman" w:eastAsia="Times New Roman" w:hAnsi="Times New Roman" w:cs="Times New Roman"/>
                <w:color w:val="000003"/>
                <w:sz w:val="18"/>
              </w:rPr>
              <w:t>Grade II. Multiple raised white plaques greater than 2 mm in size with hyperemia, no edema or ulceration</w:t>
            </w:r>
          </w:p>
          <w:p w:rsidR="002D5C2A" w:rsidRDefault="00280B42">
            <w:pPr>
              <w:spacing w:after="0"/>
            </w:pPr>
            <w:r>
              <w:rPr>
                <w:rFonts w:ascii="Times New Roman" w:eastAsia="Times New Roman" w:hAnsi="Times New Roman" w:cs="Times New Roman"/>
                <w:color w:val="000003"/>
                <w:sz w:val="18"/>
              </w:rPr>
              <w:t>Grade III. Confluent linear and nodular elevated plaques with hyperemia and frank ulceration</w:t>
            </w:r>
          </w:p>
          <w:p w:rsidR="002D5C2A" w:rsidRDefault="00280B42">
            <w:pPr>
              <w:spacing w:after="0"/>
            </w:pPr>
            <w:r>
              <w:rPr>
                <w:rFonts w:ascii="Times New Roman" w:eastAsia="Times New Roman" w:hAnsi="Times New Roman" w:cs="Times New Roman"/>
                <w:color w:val="000003"/>
                <w:sz w:val="18"/>
              </w:rPr>
              <w:t>Grade IV. Finding of grade III with increased friability of mucous membranes and occasional lumen narrowing</w:t>
            </w:r>
          </w:p>
        </w:tc>
      </w:tr>
    </w:tbl>
    <w:p w:rsidR="002D5C2A" w:rsidRDefault="00280B42">
      <w:pPr>
        <w:spacing w:after="5" w:line="254" w:lineRule="auto"/>
        <w:ind w:left="-13" w:firstLine="273"/>
        <w:jc w:val="both"/>
      </w:pPr>
      <w:r>
        <w:rPr>
          <w:rFonts w:ascii="Times New Roman" w:eastAsia="Times New Roman" w:hAnsi="Times New Roman" w:cs="Times New Roman"/>
          <w:color w:val="000003"/>
          <w:sz w:val="19"/>
        </w:rPr>
        <w:t xml:space="preserve">При эзофагите, вызванном </w:t>
      </w:r>
      <w:r>
        <w:rPr>
          <w:rFonts w:ascii="Times New Roman" w:eastAsia="Times New Roman" w:hAnsi="Times New Roman" w:cs="Times New Roman"/>
          <w:b/>
          <w:i/>
          <w:color w:val="000003"/>
          <w:sz w:val="19"/>
        </w:rPr>
        <w:t>вирусом простого герпеса,</w:t>
      </w:r>
      <w:r>
        <w:rPr>
          <w:rFonts w:ascii="Times New Roman" w:eastAsia="Times New Roman" w:hAnsi="Times New Roman" w:cs="Times New Roman"/>
          <w:color w:val="000003"/>
          <w:sz w:val="19"/>
        </w:rPr>
        <w:t xml:space="preserve"> при эзофагоскопии выявляются </w:t>
      </w:r>
      <w:r>
        <w:br w:type="page"/>
      </w:r>
    </w:p>
    <w:p w:rsidR="002D5C2A" w:rsidRDefault="00280B42">
      <w:pPr>
        <w:spacing w:after="5" w:line="254" w:lineRule="auto"/>
        <w:ind w:left="-13" w:right="73"/>
        <w:jc w:val="both"/>
      </w:pPr>
      <w:r>
        <w:rPr>
          <w:rFonts w:ascii="Times New Roman" w:eastAsia="Times New Roman" w:hAnsi="Times New Roman" w:cs="Times New Roman"/>
          <w:color w:val="000003"/>
          <w:sz w:val="19"/>
        </w:rPr>
        <w:t>множественные не сливающиеся мелкие изъязвления, афты СО пищевода</w:t>
      </w:r>
      <w:r>
        <w:rPr>
          <w:rFonts w:ascii="Times New Roman" w:eastAsia="Times New Roman" w:hAnsi="Times New Roman" w:cs="Times New Roman"/>
          <w:color w:val="000003"/>
          <w:sz w:val="19"/>
        </w:rPr>
        <w:t>, покрытые фибринозным налетом, также могут отмечаться везикулы и буллы [40, 68] (см. рис. 2). При ВПГ-эзофагите диагностически значимы биоптаты из краев эрозий и язв, в которых в многослойном плоском эпителии, наряду с воспалительной инфильтрацией, диагно</w:t>
      </w:r>
      <w:r>
        <w:rPr>
          <w:rFonts w:ascii="Times New Roman" w:eastAsia="Times New Roman" w:hAnsi="Times New Roman" w:cs="Times New Roman"/>
          <w:color w:val="000003"/>
          <w:sz w:val="19"/>
        </w:rPr>
        <w:t>стируется вирус-ассоциированный цитопатический эффект (в клетках стромы и эндотелии — редко) [4]. Характерно увеличение отдельных эпителиоцитов в размерах, появление многоядерных клеток. Специфично выявление в эпителиоцитах внутриядерных включений типа Cow</w:t>
      </w:r>
      <w:r>
        <w:rPr>
          <w:rFonts w:ascii="Times New Roman" w:eastAsia="Times New Roman" w:hAnsi="Times New Roman" w:cs="Times New Roman"/>
          <w:color w:val="000003"/>
          <w:sz w:val="19"/>
        </w:rPr>
        <w:t>dry А (эозинофильных, окруженных узким базофильным ободком уплотненного хроматина) или Cowdry В (базофильных, похожих на матовое стекло). Сходные гистологические изменения обнаруживают при эзофагите, вызванном вирусом опоясывающего лишая и ветряной оспы, п</w:t>
      </w:r>
      <w:r>
        <w:rPr>
          <w:rFonts w:ascii="Times New Roman" w:eastAsia="Times New Roman" w:hAnsi="Times New Roman" w:cs="Times New Roman"/>
          <w:color w:val="000003"/>
          <w:sz w:val="19"/>
        </w:rPr>
        <w:t>оэтому важно определение вируса иммуногистохимическим методом или методом ПЦР.</w:t>
      </w:r>
    </w:p>
    <w:tbl>
      <w:tblPr>
        <w:tblStyle w:val="TableGrid"/>
        <w:tblpPr w:vertAnchor="text" w:horzAnchor="margin" w:tblpY="8265"/>
        <w:tblOverlap w:val="never"/>
        <w:tblW w:w="9709" w:type="dxa"/>
        <w:tblInd w:w="0" w:type="dxa"/>
        <w:tblCellMar>
          <w:top w:w="0" w:type="dxa"/>
          <w:left w:w="0" w:type="dxa"/>
          <w:bottom w:w="0" w:type="dxa"/>
          <w:right w:w="74" w:type="dxa"/>
        </w:tblCellMar>
        <w:tblLook w:val="04A0" w:firstRow="1" w:lastRow="0" w:firstColumn="1" w:lastColumn="0" w:noHBand="0" w:noVBand="1"/>
      </w:tblPr>
      <w:tblGrid>
        <w:gridCol w:w="7393"/>
      </w:tblGrid>
      <w:tr w:rsidR="002D5C2A">
        <w:trPr>
          <w:trHeight w:val="4943"/>
        </w:trPr>
        <w:tc>
          <w:tcPr>
            <w:tcW w:w="7393" w:type="dxa"/>
            <w:tcBorders>
              <w:top w:val="nil"/>
              <w:left w:val="nil"/>
              <w:bottom w:val="nil"/>
              <w:right w:val="nil"/>
            </w:tcBorders>
            <w:vAlign w:val="bottom"/>
          </w:tcPr>
          <w:p w:rsidR="002D5C2A" w:rsidRDefault="00280B42">
            <w:pPr>
              <w:spacing w:after="128"/>
              <w:ind w:left="3"/>
            </w:pPr>
            <w:r>
              <w:rPr>
                <w:noProof/>
              </w:rPr>
              <mc:AlternateContent>
                <mc:Choice Requires="wpg">
                  <w:drawing>
                    <wp:inline distT="0" distB="0" distL="0" distR="0">
                      <wp:extent cx="6116193" cy="2372195"/>
                      <wp:effectExtent l="0" t="0" r="0" b="0"/>
                      <wp:docPr id="38563" name="Group 38563"/>
                      <wp:cNvGraphicFramePr/>
                      <a:graphic xmlns:a="http://schemas.openxmlformats.org/drawingml/2006/main">
                        <a:graphicData uri="http://schemas.microsoft.com/office/word/2010/wordprocessingGroup">
                          <wpg:wgp>
                            <wpg:cNvGrpSpPr/>
                            <wpg:grpSpPr>
                              <a:xfrm>
                                <a:off x="0" y="0"/>
                                <a:ext cx="6116193" cy="2372195"/>
                                <a:chOff x="0" y="0"/>
                                <a:chExt cx="6116193" cy="2372195"/>
                              </a:xfrm>
                            </wpg:grpSpPr>
                            <wps:wsp>
                              <wps:cNvPr id="2006" name="Shape 2006"/>
                              <wps:cNvSpPr/>
                              <wps:spPr>
                                <a:xfrm>
                                  <a:off x="0" y="0"/>
                                  <a:ext cx="6116193" cy="2372195"/>
                                </a:xfrm>
                                <a:custGeom>
                                  <a:avLst/>
                                  <a:gdLst/>
                                  <a:ahLst/>
                                  <a:cxnLst/>
                                  <a:rect l="0" t="0" r="0" b="0"/>
                                  <a:pathLst>
                                    <a:path w="6116193" h="2372195">
                                      <a:moveTo>
                                        <a:pt x="0" y="2372195"/>
                                      </a:moveTo>
                                      <a:lnTo>
                                        <a:pt x="6116193" y="2372195"/>
                                      </a:lnTo>
                                      <a:lnTo>
                                        <a:pt x="6116193" y="0"/>
                                      </a:lnTo>
                                      <a:lnTo>
                                        <a:pt x="0" y="0"/>
                                      </a:lnTo>
                                      <a:close/>
                                    </a:path>
                                  </a:pathLst>
                                </a:custGeom>
                                <a:ln w="3810" cap="flat">
                                  <a:miter lim="100000"/>
                                </a:ln>
                              </wps:spPr>
                              <wps:style>
                                <a:lnRef idx="1">
                                  <a:srgbClr val="009EE4"/>
                                </a:lnRef>
                                <a:fillRef idx="0">
                                  <a:srgbClr val="000000">
                                    <a:alpha val="0"/>
                                  </a:srgbClr>
                                </a:fillRef>
                                <a:effectRef idx="0">
                                  <a:scrgbClr r="0" g="0" b="0"/>
                                </a:effectRef>
                                <a:fontRef idx="none"/>
                              </wps:style>
                              <wps:bodyPr/>
                            </wps:wsp>
                            <pic:pic xmlns:pic="http://schemas.openxmlformats.org/drawingml/2006/picture">
                              <pic:nvPicPr>
                                <pic:cNvPr id="2013" name="Picture 2013"/>
                                <pic:cNvPicPr/>
                              </pic:nvPicPr>
                              <pic:blipFill>
                                <a:blip r:embed="rId21"/>
                                <a:stretch>
                                  <a:fillRect/>
                                </a:stretch>
                              </pic:blipFill>
                              <pic:spPr>
                                <a:xfrm>
                                  <a:off x="3367472" y="99704"/>
                                  <a:ext cx="2520445" cy="2160000"/>
                                </a:xfrm>
                                <a:prstGeom prst="rect">
                                  <a:avLst/>
                                </a:prstGeom>
                              </pic:spPr>
                            </pic:pic>
                            <pic:pic xmlns:pic="http://schemas.openxmlformats.org/drawingml/2006/picture">
                              <pic:nvPicPr>
                                <pic:cNvPr id="2017" name="Picture 2017"/>
                                <pic:cNvPicPr/>
                              </pic:nvPicPr>
                              <pic:blipFill>
                                <a:blip r:embed="rId22"/>
                                <a:stretch>
                                  <a:fillRect/>
                                </a:stretch>
                              </pic:blipFill>
                              <pic:spPr>
                                <a:xfrm>
                                  <a:off x="285750" y="99704"/>
                                  <a:ext cx="2420488" cy="2160000"/>
                                </a:xfrm>
                                <a:prstGeom prst="rect">
                                  <a:avLst/>
                                </a:prstGeom>
                              </pic:spPr>
                            </pic:pic>
                            <wps:wsp>
                              <wps:cNvPr id="2020" name="Rectangle 2020"/>
                              <wps:cNvSpPr/>
                              <wps:spPr>
                                <a:xfrm>
                                  <a:off x="61093" y="2118686"/>
                                  <a:ext cx="113406" cy="181967"/>
                                </a:xfrm>
                                <a:prstGeom prst="rect">
                                  <a:avLst/>
                                </a:prstGeom>
                                <a:ln>
                                  <a:noFill/>
                                </a:ln>
                              </wps:spPr>
                              <wps:txbx>
                                <w:txbxContent>
                                  <w:p w:rsidR="002D5C2A" w:rsidRDefault="00280B42">
                                    <w:r>
                                      <w:rPr>
                                        <w:rFonts w:ascii="Times New Roman" w:eastAsia="Times New Roman" w:hAnsi="Times New Roman" w:cs="Times New Roman"/>
                                        <w:color w:val="000003"/>
                                        <w:w w:val="103"/>
                                        <w:sz w:val="18"/>
                                      </w:rPr>
                                      <w:t>А</w:t>
                                    </w:r>
                                  </w:p>
                                </w:txbxContent>
                              </wps:txbx>
                              <wps:bodyPr horzOverflow="overflow" vert="horz" lIns="0" tIns="0" rIns="0" bIns="0" rtlCol="0">
                                <a:noAutofit/>
                              </wps:bodyPr>
                            </wps:wsp>
                            <wps:wsp>
                              <wps:cNvPr id="2022" name="Rectangle 2022"/>
                              <wps:cNvSpPr/>
                              <wps:spPr>
                                <a:xfrm>
                                  <a:off x="3187694" y="2131725"/>
                                  <a:ext cx="114014" cy="181967"/>
                                </a:xfrm>
                                <a:prstGeom prst="rect">
                                  <a:avLst/>
                                </a:prstGeom>
                                <a:ln>
                                  <a:noFill/>
                                </a:ln>
                              </wps:spPr>
                              <wps:txbx>
                                <w:txbxContent>
                                  <w:p w:rsidR="002D5C2A" w:rsidRDefault="00280B42">
                                    <w:r>
                                      <w:rPr>
                                        <w:rFonts w:ascii="Times New Roman" w:eastAsia="Times New Roman" w:hAnsi="Times New Roman" w:cs="Times New Roman"/>
                                        <w:color w:val="000003"/>
                                        <w:w w:val="112"/>
                                        <w:sz w:val="18"/>
                                      </w:rPr>
                                      <w:t>B</w:t>
                                    </w:r>
                                  </w:p>
                                </w:txbxContent>
                              </wps:txbx>
                              <wps:bodyPr horzOverflow="overflow" vert="horz" lIns="0" tIns="0" rIns="0" bIns="0" rtlCol="0">
                                <a:noAutofit/>
                              </wps:bodyPr>
                            </wps:wsp>
                          </wpg:wgp>
                        </a:graphicData>
                      </a:graphic>
                    </wp:inline>
                  </w:drawing>
                </mc:Choice>
                <mc:Fallback xmlns:a="http://schemas.openxmlformats.org/drawingml/2006/main">
                  <w:pict>
                    <v:group id="Group 38563" style="width:481.59pt;height:186.787pt;mso-position-horizontal-relative:char;mso-position-vertical-relative:line" coordsize="61161,23721">
                      <v:shape id="Shape 2006" style="position:absolute;width:61161;height:23721;left:0;top:0;" coordsize="6116193,2372195" path="m0,2372195l6116193,2372195l6116193,0l0,0x">
                        <v:stroke weight="0.3pt" endcap="flat" joinstyle="miter" miterlimit="4" on="true" color="#009ee4"/>
                        <v:fill on="false" color="#000000" opacity="0"/>
                      </v:shape>
                      <v:shape id="Picture 2013" style="position:absolute;width:25204;height:21600;left:33674;top:997;" filled="f">
                        <v:imagedata r:id="rId23"/>
                      </v:shape>
                      <v:shape id="Picture 2017" style="position:absolute;width:24204;height:21600;left:2857;top:997;" filled="f">
                        <v:imagedata r:id="rId24"/>
                      </v:shape>
                      <v:rect id="Rectangle 2020" style="position:absolute;width:1134;height:1819;left:610;top:21186;" filled="f" stroked="f">
                        <v:textbox inset="0,0,0,0">
                          <w:txbxContent>
                            <w:p>
                              <w:pPr>
                                <w:spacing w:before="0" w:after="160" w:line="259" w:lineRule="auto"/>
                              </w:pPr>
                              <w:r>
                                <w:rPr>
                                  <w:rFonts w:cs="Times New Roman" w:hAnsi="Times New Roman" w:eastAsia="Times New Roman" w:ascii="Times New Roman"/>
                                  <w:color w:val="000003"/>
                                  <w:w w:val="103"/>
                                  <w:sz w:val="18"/>
                                </w:rPr>
                                <w:t xml:space="preserve">А</w:t>
                              </w:r>
                            </w:p>
                          </w:txbxContent>
                        </v:textbox>
                      </v:rect>
                      <v:rect id="Rectangle 2022" style="position:absolute;width:1140;height:1819;left:31876;top:21317;" filled="f" stroked="f">
                        <v:textbox inset="0,0,0,0">
                          <w:txbxContent>
                            <w:p>
                              <w:pPr>
                                <w:spacing w:before="0" w:after="160" w:line="259" w:lineRule="auto"/>
                              </w:pPr>
                              <w:r>
                                <w:rPr>
                                  <w:rFonts w:cs="Times New Roman" w:hAnsi="Times New Roman" w:eastAsia="Times New Roman" w:ascii="Times New Roman"/>
                                  <w:color w:val="000003"/>
                                  <w:w w:val="112"/>
                                  <w:sz w:val="18"/>
                                </w:rPr>
                                <w:t xml:space="preserve">B</w:t>
                              </w:r>
                            </w:p>
                          </w:txbxContent>
                        </v:textbox>
                      </v:rect>
                    </v:group>
                  </w:pict>
                </mc:Fallback>
              </mc:AlternateContent>
            </w:r>
          </w:p>
          <w:p w:rsidR="002D5C2A" w:rsidRDefault="00280B42">
            <w:pPr>
              <w:spacing w:after="0"/>
              <w:jc w:val="both"/>
            </w:pPr>
            <w:r>
              <w:rPr>
                <w:rFonts w:ascii="Times New Roman" w:eastAsia="Times New Roman" w:hAnsi="Times New Roman" w:cs="Times New Roman"/>
                <w:color w:val="000003"/>
                <w:sz w:val="18"/>
              </w:rPr>
              <w:t>Рис. 2. Эзофагит, вызванный вирусом простого герпеса: А — афты; В — везикулы</w:t>
            </w:r>
          </w:p>
          <w:p w:rsidR="002D5C2A" w:rsidRDefault="00280B42">
            <w:pPr>
              <w:spacing w:after="0"/>
            </w:pPr>
            <w:r>
              <w:rPr>
                <w:rFonts w:ascii="Times New Roman" w:eastAsia="Times New Roman" w:hAnsi="Times New Roman" w:cs="Times New Roman"/>
                <w:color w:val="000003"/>
                <w:sz w:val="18"/>
              </w:rPr>
              <w:t>Fig. 2. Herpes simplex virus esophagitis: A — Aphthae; B — Vesicles</w:t>
            </w:r>
          </w:p>
          <w:p w:rsidR="002D5C2A" w:rsidRDefault="00280B42">
            <w:pPr>
              <w:spacing w:after="128"/>
              <w:ind w:left="3"/>
            </w:pPr>
            <w:r>
              <w:rPr>
                <w:noProof/>
              </w:rPr>
              <mc:AlternateContent>
                <mc:Choice Requires="wpg">
                  <w:drawing>
                    <wp:inline distT="0" distB="0" distL="0" distR="0">
                      <wp:extent cx="6116193" cy="2372195"/>
                      <wp:effectExtent l="0" t="0" r="0" b="0"/>
                      <wp:docPr id="38564" name="Group 38564"/>
                      <wp:cNvGraphicFramePr/>
                      <a:graphic xmlns:a="http://schemas.openxmlformats.org/drawingml/2006/main">
                        <a:graphicData uri="http://schemas.microsoft.com/office/word/2010/wordprocessingGroup">
                          <wpg:wgp>
                            <wpg:cNvGrpSpPr/>
                            <wpg:grpSpPr>
                              <a:xfrm>
                                <a:off x="0" y="0"/>
                                <a:ext cx="6116193" cy="2372195"/>
                                <a:chOff x="0" y="0"/>
                                <a:chExt cx="6116193" cy="2372195"/>
                              </a:xfrm>
                            </wpg:grpSpPr>
                            <wps:wsp>
                              <wps:cNvPr id="2007" name="Shape 2007"/>
                              <wps:cNvSpPr/>
                              <wps:spPr>
                                <a:xfrm>
                                  <a:off x="0" y="0"/>
                                  <a:ext cx="6116193" cy="2372195"/>
                                </a:xfrm>
                                <a:custGeom>
                                  <a:avLst/>
                                  <a:gdLst/>
                                  <a:ahLst/>
                                  <a:cxnLst/>
                                  <a:rect l="0" t="0" r="0" b="0"/>
                                  <a:pathLst>
                                    <a:path w="6116193" h="2372195">
                                      <a:moveTo>
                                        <a:pt x="0" y="2372195"/>
                                      </a:moveTo>
                                      <a:lnTo>
                                        <a:pt x="6116193" y="2372195"/>
                                      </a:lnTo>
                                      <a:lnTo>
                                        <a:pt x="6116193" y="0"/>
                                      </a:lnTo>
                                      <a:lnTo>
                                        <a:pt x="0" y="0"/>
                                      </a:lnTo>
                                      <a:close/>
                                    </a:path>
                                  </a:pathLst>
                                </a:custGeom>
                                <a:ln w="3810" cap="flat">
                                  <a:miter lim="100000"/>
                                </a:ln>
                              </wps:spPr>
                              <wps:style>
                                <a:lnRef idx="1">
                                  <a:srgbClr val="009EE4"/>
                                </a:lnRef>
                                <a:fillRef idx="0">
                                  <a:srgbClr val="000000">
                                    <a:alpha val="0"/>
                                  </a:srgbClr>
                                </a:fillRef>
                                <a:effectRef idx="0">
                                  <a:scrgbClr r="0" g="0" b="0"/>
                                </a:effectRef>
                                <a:fontRef idx="none"/>
                              </wps:style>
                              <wps:bodyPr/>
                            </wps:wsp>
                            <pic:pic xmlns:pic="http://schemas.openxmlformats.org/drawingml/2006/picture">
                              <pic:nvPicPr>
                                <pic:cNvPr id="2015" name="Picture 2015"/>
                                <pic:cNvPicPr/>
                              </pic:nvPicPr>
                              <pic:blipFill>
                                <a:blip r:embed="rId25"/>
                                <a:stretch>
                                  <a:fillRect/>
                                </a:stretch>
                              </pic:blipFill>
                              <pic:spPr>
                                <a:xfrm>
                                  <a:off x="3425595" y="99698"/>
                                  <a:ext cx="2404199" cy="2160000"/>
                                </a:xfrm>
                                <a:prstGeom prst="rect">
                                  <a:avLst/>
                                </a:prstGeom>
                              </pic:spPr>
                            </pic:pic>
                            <pic:pic xmlns:pic="http://schemas.openxmlformats.org/drawingml/2006/picture">
                              <pic:nvPicPr>
                                <pic:cNvPr id="2019" name="Picture 2019"/>
                                <pic:cNvPicPr/>
                              </pic:nvPicPr>
                              <pic:blipFill>
                                <a:blip r:embed="rId26"/>
                                <a:stretch>
                                  <a:fillRect/>
                                </a:stretch>
                              </pic:blipFill>
                              <pic:spPr>
                                <a:xfrm>
                                  <a:off x="372522" y="99698"/>
                                  <a:ext cx="2246943" cy="2160000"/>
                                </a:xfrm>
                                <a:prstGeom prst="rect">
                                  <a:avLst/>
                                </a:prstGeom>
                              </pic:spPr>
                            </pic:pic>
                            <wps:wsp>
                              <wps:cNvPr id="2021" name="Rectangle 2021"/>
                              <wps:cNvSpPr/>
                              <wps:spPr>
                                <a:xfrm>
                                  <a:off x="61093" y="2118681"/>
                                  <a:ext cx="113406" cy="181967"/>
                                </a:xfrm>
                                <a:prstGeom prst="rect">
                                  <a:avLst/>
                                </a:prstGeom>
                                <a:ln>
                                  <a:noFill/>
                                </a:ln>
                              </wps:spPr>
                              <wps:txbx>
                                <w:txbxContent>
                                  <w:p w:rsidR="002D5C2A" w:rsidRDefault="00280B42">
                                    <w:r>
                                      <w:rPr>
                                        <w:rFonts w:ascii="Times New Roman" w:eastAsia="Times New Roman" w:hAnsi="Times New Roman" w:cs="Times New Roman"/>
                                        <w:color w:val="000003"/>
                                        <w:w w:val="103"/>
                                        <w:sz w:val="18"/>
                                      </w:rPr>
                                      <w:t>А</w:t>
                                    </w:r>
                                  </w:p>
                                </w:txbxContent>
                              </wps:txbx>
                              <wps:bodyPr horzOverflow="overflow" vert="horz" lIns="0" tIns="0" rIns="0" bIns="0" rtlCol="0">
                                <a:noAutofit/>
                              </wps:bodyPr>
                            </wps:wsp>
                            <wps:wsp>
                              <wps:cNvPr id="2023" name="Rectangle 2023"/>
                              <wps:cNvSpPr/>
                              <wps:spPr>
                                <a:xfrm>
                                  <a:off x="3187694" y="2131720"/>
                                  <a:ext cx="114014" cy="181967"/>
                                </a:xfrm>
                                <a:prstGeom prst="rect">
                                  <a:avLst/>
                                </a:prstGeom>
                                <a:ln>
                                  <a:noFill/>
                                </a:ln>
                              </wps:spPr>
                              <wps:txbx>
                                <w:txbxContent>
                                  <w:p w:rsidR="002D5C2A" w:rsidRDefault="00280B42">
                                    <w:r>
                                      <w:rPr>
                                        <w:rFonts w:ascii="Times New Roman" w:eastAsia="Times New Roman" w:hAnsi="Times New Roman" w:cs="Times New Roman"/>
                                        <w:color w:val="000003"/>
                                        <w:w w:val="112"/>
                                        <w:sz w:val="18"/>
                                      </w:rPr>
                                      <w:t>B</w:t>
                                    </w:r>
                                  </w:p>
                                </w:txbxContent>
                              </wps:txbx>
                              <wps:bodyPr horzOverflow="overflow" vert="horz" lIns="0" tIns="0" rIns="0" bIns="0" rtlCol="0">
                                <a:noAutofit/>
                              </wps:bodyPr>
                            </wps:wsp>
                          </wpg:wgp>
                        </a:graphicData>
                      </a:graphic>
                    </wp:inline>
                  </w:drawing>
                </mc:Choice>
                <mc:Fallback xmlns:a="http://schemas.openxmlformats.org/drawingml/2006/main">
                  <w:pict>
                    <v:group id="Group 38564" style="width:481.59pt;height:186.787pt;mso-position-horizontal-relative:char;mso-position-vertical-relative:line" coordsize="61161,23721">
                      <v:shape id="Shape 2007" style="position:absolute;width:61161;height:23721;left:0;top:0;" coordsize="6116193,2372195" path="m0,2372195l6116193,2372195l6116193,0l0,0x">
                        <v:stroke weight="0.3pt" endcap="flat" joinstyle="miter" miterlimit="4" on="true" color="#009ee4"/>
                        <v:fill on="false" color="#000000" opacity="0"/>
                      </v:shape>
                      <v:shape id="Picture 2015" style="position:absolute;width:24041;height:21600;left:34255;top:996;" filled="f">
                        <v:imagedata r:id="rId27"/>
                      </v:shape>
                      <v:shape id="Picture 2019" style="position:absolute;width:22469;height:21600;left:3725;top:996;" filled="f">
                        <v:imagedata r:id="rId28"/>
                      </v:shape>
                      <v:rect id="Rectangle 2021" style="position:absolute;width:1134;height:1819;left:610;top:21186;" filled="f" stroked="f">
                        <v:textbox inset="0,0,0,0">
                          <w:txbxContent>
                            <w:p>
                              <w:pPr>
                                <w:spacing w:before="0" w:after="160" w:line="259" w:lineRule="auto"/>
                              </w:pPr>
                              <w:r>
                                <w:rPr>
                                  <w:rFonts w:cs="Times New Roman" w:hAnsi="Times New Roman" w:eastAsia="Times New Roman" w:ascii="Times New Roman"/>
                                  <w:color w:val="000003"/>
                                  <w:w w:val="103"/>
                                  <w:sz w:val="18"/>
                                </w:rPr>
                                <w:t xml:space="preserve">А</w:t>
                              </w:r>
                            </w:p>
                          </w:txbxContent>
                        </v:textbox>
                      </v:rect>
                      <v:rect id="Rectangle 2023" style="position:absolute;width:1140;height:1819;left:31876;top:21317;" filled="f" stroked="f">
                        <v:textbox inset="0,0,0,0">
                          <w:txbxContent>
                            <w:p>
                              <w:pPr>
                                <w:spacing w:before="0" w:after="160" w:line="259" w:lineRule="auto"/>
                              </w:pPr>
                              <w:r>
                                <w:rPr>
                                  <w:rFonts w:cs="Times New Roman" w:hAnsi="Times New Roman" w:eastAsia="Times New Roman" w:ascii="Times New Roman"/>
                                  <w:color w:val="000003"/>
                                  <w:w w:val="112"/>
                                  <w:sz w:val="18"/>
                                </w:rPr>
                                <w:t xml:space="preserve">B</w:t>
                              </w:r>
                            </w:p>
                          </w:txbxContent>
                        </v:textbox>
                      </v:rect>
                    </v:group>
                  </w:pict>
                </mc:Fallback>
              </mc:AlternateContent>
            </w:r>
          </w:p>
          <w:p w:rsidR="002D5C2A" w:rsidRDefault="00280B42">
            <w:pPr>
              <w:spacing w:after="0"/>
              <w:jc w:val="both"/>
            </w:pPr>
            <w:r>
              <w:rPr>
                <w:rFonts w:ascii="Times New Roman" w:eastAsia="Times New Roman" w:hAnsi="Times New Roman" w:cs="Times New Roman"/>
                <w:color w:val="000003"/>
                <w:sz w:val="18"/>
              </w:rPr>
              <w:t>Рис. 3. Цитомегаловирусный эзофагит: А–В — неглубокое изъязвление в пищеводе</w:t>
            </w:r>
          </w:p>
          <w:p w:rsidR="002D5C2A" w:rsidRDefault="00280B42">
            <w:pPr>
              <w:spacing w:after="0"/>
            </w:pPr>
            <w:r>
              <w:rPr>
                <w:rFonts w:ascii="Times New Roman" w:eastAsia="Times New Roman" w:hAnsi="Times New Roman" w:cs="Times New Roman"/>
                <w:color w:val="000003"/>
                <w:sz w:val="18"/>
              </w:rPr>
              <w:t>Fig. 3. Cytomegalovirus esophagitis: A–B — Shallow ulceration in esophagus</w:t>
            </w:r>
          </w:p>
        </w:tc>
      </w:tr>
    </w:tbl>
    <w:p w:rsidR="002D5C2A" w:rsidRDefault="00280B42">
      <w:pPr>
        <w:spacing w:after="5" w:line="254" w:lineRule="auto"/>
        <w:ind w:left="-13" w:firstLine="273"/>
        <w:jc w:val="both"/>
      </w:pPr>
      <w:r>
        <w:rPr>
          <w:rFonts w:ascii="Times New Roman" w:eastAsia="Times New Roman" w:hAnsi="Times New Roman" w:cs="Times New Roman"/>
          <w:color w:val="000003"/>
          <w:sz w:val="19"/>
        </w:rPr>
        <w:t xml:space="preserve">При </w:t>
      </w:r>
      <w:r>
        <w:rPr>
          <w:rFonts w:ascii="Times New Roman" w:eastAsia="Times New Roman" w:hAnsi="Times New Roman" w:cs="Times New Roman"/>
          <w:b/>
          <w:i/>
          <w:color w:val="000003"/>
          <w:sz w:val="19"/>
        </w:rPr>
        <w:t>цитомегаловирусном</w:t>
      </w:r>
      <w:r>
        <w:rPr>
          <w:rFonts w:ascii="Times New Roman" w:eastAsia="Times New Roman" w:hAnsi="Times New Roman" w:cs="Times New Roman"/>
          <w:color w:val="000003"/>
          <w:sz w:val="19"/>
        </w:rPr>
        <w:t xml:space="preserve"> эзофагите при проведении эндоскопического исследования в средней и нижней трети </w:t>
      </w:r>
      <w:r>
        <w:rPr>
          <w:rFonts w:ascii="Times New Roman" w:eastAsia="Times New Roman" w:hAnsi="Times New Roman" w:cs="Times New Roman"/>
          <w:color w:val="000003"/>
          <w:sz w:val="19"/>
        </w:rPr>
        <w:t>пищевода определяются</w:t>
      </w:r>
      <w:r>
        <w:rPr>
          <w:rFonts w:ascii="Times New Roman" w:eastAsia="Times New Roman" w:hAnsi="Times New Roman" w:cs="Times New Roman"/>
          <w:b/>
          <w:color w:val="000003"/>
          <w:sz w:val="19"/>
        </w:rPr>
        <w:t xml:space="preserve"> </w:t>
      </w:r>
      <w:r>
        <w:rPr>
          <w:rFonts w:ascii="Times New Roman" w:eastAsia="Times New Roman" w:hAnsi="Times New Roman" w:cs="Times New Roman"/>
          <w:color w:val="000003"/>
          <w:sz w:val="19"/>
        </w:rPr>
        <w:t>удлиненные, сливающиеся между собой изъязвления с подрытыми или приподнятыми краями, мелкобугристым дном. ЦМВ-эзофагит зачастую характеризуется полиморфизмом язвенного поражения: одновременно определяются как эпите</w:t>
      </w:r>
      <w:r>
        <w:rPr>
          <w:rFonts w:ascii="Times New Roman" w:eastAsia="Times New Roman" w:hAnsi="Times New Roman" w:cs="Times New Roman"/>
          <w:color w:val="000003"/>
          <w:sz w:val="19"/>
        </w:rPr>
        <w:t>лизирующиеся изъязвления, так и острые, выявляются язвы разных размеров, формы и глубины (см. рис. 3). Также при ЦМВ-эзофагите нередко встречается циркулярное язвенное поражение СО пищевода [29, 30, 68]. При ЦМВ-эзофагите специфический цитопатический эффек</w:t>
      </w:r>
      <w:r>
        <w:rPr>
          <w:rFonts w:ascii="Times New Roman" w:eastAsia="Times New Roman" w:hAnsi="Times New Roman" w:cs="Times New Roman"/>
          <w:color w:val="000003"/>
          <w:sz w:val="19"/>
        </w:rPr>
        <w:t xml:space="preserve">т цитомегаловируса выражается в появлении крупных клеток стромы (макрофагов и фибробластов) и эндотелия с внутриядерными включениями, обычно типа Cowdry А, что диктует целесообразность забора </w:t>
      </w:r>
      <w:r>
        <w:br w:type="page"/>
      </w:r>
    </w:p>
    <w:p w:rsidR="002D5C2A" w:rsidRDefault="00280B42">
      <w:pPr>
        <w:spacing w:after="5" w:line="254" w:lineRule="auto"/>
        <w:ind w:left="-13" w:right="73"/>
        <w:jc w:val="both"/>
      </w:pPr>
      <w:r>
        <w:rPr>
          <w:rFonts w:ascii="Times New Roman" w:eastAsia="Times New Roman" w:hAnsi="Times New Roman" w:cs="Times New Roman"/>
          <w:color w:val="000003"/>
          <w:sz w:val="19"/>
        </w:rPr>
        <w:t>биоптатов из дна язвенных дефектов с фрагмен</w:t>
      </w:r>
      <w:r>
        <w:rPr>
          <w:rFonts w:ascii="Times New Roman" w:eastAsia="Times New Roman" w:hAnsi="Times New Roman" w:cs="Times New Roman"/>
          <w:color w:val="000003"/>
          <w:sz w:val="19"/>
        </w:rPr>
        <w:t>том собственной пластинки слизистой оболочки. Возможно формирование макрофагальных гранулем без некроза. Диагноз уточняется иммуногистохимическим методом или методом ПЦР.</w:t>
      </w:r>
    </w:p>
    <w:p w:rsidR="002D5C2A" w:rsidRDefault="00280B42">
      <w:pPr>
        <w:spacing w:after="5" w:line="254" w:lineRule="auto"/>
        <w:ind w:left="-13" w:right="73" w:firstLine="273"/>
        <w:jc w:val="both"/>
      </w:pPr>
      <w:r>
        <w:rPr>
          <w:rFonts w:ascii="Times New Roman" w:eastAsia="Times New Roman" w:hAnsi="Times New Roman" w:cs="Times New Roman"/>
          <w:color w:val="000003"/>
          <w:sz w:val="19"/>
        </w:rPr>
        <w:t xml:space="preserve">Поражение пищевода при </w:t>
      </w:r>
      <w:r>
        <w:rPr>
          <w:rFonts w:ascii="Times New Roman" w:eastAsia="Times New Roman" w:hAnsi="Times New Roman" w:cs="Times New Roman"/>
          <w:b/>
          <w:i/>
          <w:color w:val="000003"/>
          <w:sz w:val="19"/>
        </w:rPr>
        <w:t>туберкулезе</w:t>
      </w:r>
      <w:r>
        <w:rPr>
          <w:rFonts w:ascii="Times New Roman" w:eastAsia="Times New Roman" w:hAnsi="Times New Roman" w:cs="Times New Roman"/>
          <w:color w:val="000003"/>
          <w:sz w:val="19"/>
        </w:rPr>
        <w:t xml:space="preserve"> наиболее часто наблюдается в грудном отделе и хара</w:t>
      </w:r>
      <w:r>
        <w:rPr>
          <w:rFonts w:ascii="Times New Roman" w:eastAsia="Times New Roman" w:hAnsi="Times New Roman" w:cs="Times New Roman"/>
          <w:color w:val="000003"/>
          <w:sz w:val="19"/>
        </w:rPr>
        <w:t>ктеризуется наличием вытянутых изъязвлений или специфической инфильтрации стенки [69– 72]. При туберкулезе пищевода эндоскопическая биопсия не всегда информативна в связи с частым распространением патологического процесса из средостения и поражением наружн</w:t>
      </w:r>
      <w:r>
        <w:rPr>
          <w:rFonts w:ascii="Times New Roman" w:eastAsia="Times New Roman" w:hAnsi="Times New Roman" w:cs="Times New Roman"/>
          <w:color w:val="000003"/>
          <w:sz w:val="19"/>
        </w:rPr>
        <w:t xml:space="preserve">ых слоев стенки пищевода. Гистологически характерны классические эпителиоидноклеточные гранулемы с центральным казеозным некрозом, наличием гигантских клеток Пирогова — Лангханса и кислотоустойчивых микобактерий, выявляемых при окраске по Цилю — Нильсену. </w:t>
      </w:r>
      <w:r>
        <w:rPr>
          <w:rFonts w:ascii="Times New Roman" w:eastAsia="Times New Roman" w:hAnsi="Times New Roman" w:cs="Times New Roman"/>
          <w:color w:val="000003"/>
          <w:sz w:val="19"/>
        </w:rPr>
        <w:t>Дифференциальная диагностика проводится с другими гранулематозными поражениями (например, с болезнью Крона). В нетипичных случаях и для окончательного подтверждения диагноза рекомендуется применение метода ПЦР.</w:t>
      </w:r>
    </w:p>
    <w:p w:rsidR="002D5C2A" w:rsidRDefault="00280B42">
      <w:pPr>
        <w:spacing w:after="0" w:line="265" w:lineRule="auto"/>
        <w:ind w:left="10" w:right="-15" w:hanging="10"/>
        <w:jc w:val="right"/>
      </w:pPr>
      <w:r>
        <w:rPr>
          <w:rFonts w:ascii="Times New Roman" w:eastAsia="Times New Roman" w:hAnsi="Times New Roman" w:cs="Times New Roman"/>
          <w:color w:val="000003"/>
          <w:sz w:val="19"/>
        </w:rPr>
        <w:t xml:space="preserve">Изменения СО пищевода, обусловленные </w:t>
      </w:r>
      <w:r>
        <w:rPr>
          <w:rFonts w:ascii="Times New Roman" w:eastAsia="Times New Roman" w:hAnsi="Times New Roman" w:cs="Times New Roman"/>
          <w:b/>
          <w:i/>
          <w:color w:val="000003"/>
          <w:sz w:val="19"/>
        </w:rPr>
        <w:t>ви-</w:t>
      </w:r>
    </w:p>
    <w:p w:rsidR="002D5C2A" w:rsidRDefault="00280B42">
      <w:pPr>
        <w:spacing w:after="5" w:line="254" w:lineRule="auto"/>
        <w:ind w:left="-13" w:right="73"/>
        <w:jc w:val="both"/>
      </w:pPr>
      <w:r>
        <w:rPr>
          <w:rFonts w:ascii="Times New Roman" w:eastAsia="Times New Roman" w:hAnsi="Times New Roman" w:cs="Times New Roman"/>
          <w:b/>
          <w:i/>
          <w:color w:val="000003"/>
          <w:sz w:val="19"/>
        </w:rPr>
        <w:t>русо</w:t>
      </w:r>
      <w:r>
        <w:rPr>
          <w:rFonts w:ascii="Times New Roman" w:eastAsia="Times New Roman" w:hAnsi="Times New Roman" w:cs="Times New Roman"/>
          <w:b/>
          <w:i/>
          <w:color w:val="000003"/>
          <w:sz w:val="19"/>
        </w:rPr>
        <w:t>м папилломы человека,</w:t>
      </w:r>
      <w:r>
        <w:rPr>
          <w:rFonts w:ascii="Times New Roman" w:eastAsia="Times New Roman" w:hAnsi="Times New Roman" w:cs="Times New Roman"/>
          <w:color w:val="000003"/>
          <w:sz w:val="19"/>
        </w:rPr>
        <w:t xml:space="preserve"> разнообразны и неспецифичны, определяются и как изъязвления различных форм и размеров, и как папилломатоз (см. рис. 5) [29, 47, 73]. Считается, что одиночные плоскоклеточные папилломы пищевода не связаны с вирусом папилломы человека [</w:t>
      </w:r>
      <w:r>
        <w:rPr>
          <w:rFonts w:ascii="Times New Roman" w:eastAsia="Times New Roman" w:hAnsi="Times New Roman" w:cs="Times New Roman"/>
          <w:color w:val="000003"/>
          <w:sz w:val="19"/>
        </w:rPr>
        <w:t>74]. Изменения СО пищевода, обусловленные вирусом папилломы человека, считаются предраковыми, однако четкая связь HPV и плоскоклеточного рака пищевода не доказана [75]. Эзофагит, вызванный вирусом папилломы человека, проявляется койлоцитозом эпителиоцитов.</w:t>
      </w:r>
      <w:r>
        <w:rPr>
          <w:rFonts w:ascii="Times New Roman" w:eastAsia="Times New Roman" w:hAnsi="Times New Roman" w:cs="Times New Roman"/>
          <w:color w:val="000003"/>
          <w:sz w:val="19"/>
        </w:rPr>
        <w:t xml:space="preserve"> Воспалительная инфильтрация не характерна. Диагноз уточняется иммуногистохимическим методом или методом ПЦР.</w:t>
      </w:r>
    </w:p>
    <w:p w:rsidR="002D5C2A" w:rsidRDefault="00280B42">
      <w:pPr>
        <w:spacing w:after="0" w:line="265" w:lineRule="auto"/>
        <w:ind w:left="10" w:right="-15" w:hanging="10"/>
        <w:jc w:val="right"/>
      </w:pPr>
      <w:r>
        <w:rPr>
          <w:rFonts w:ascii="Times New Roman" w:eastAsia="Times New Roman" w:hAnsi="Times New Roman" w:cs="Times New Roman"/>
          <w:color w:val="000003"/>
          <w:sz w:val="19"/>
        </w:rPr>
        <w:t xml:space="preserve">Эзофагит, вызванный </w:t>
      </w:r>
      <w:r>
        <w:rPr>
          <w:rFonts w:ascii="Times New Roman" w:eastAsia="Times New Roman" w:hAnsi="Times New Roman" w:cs="Times New Roman"/>
          <w:b/>
          <w:i/>
          <w:color w:val="000003"/>
          <w:sz w:val="19"/>
        </w:rPr>
        <w:t>вирусом опоясываю-</w:t>
      </w:r>
    </w:p>
    <w:p w:rsidR="002D5C2A" w:rsidRDefault="00280B42">
      <w:pPr>
        <w:spacing w:after="5" w:line="254" w:lineRule="auto"/>
        <w:ind w:left="-13" w:right="73"/>
        <w:jc w:val="both"/>
      </w:pPr>
      <w:r>
        <w:rPr>
          <w:rFonts w:ascii="Times New Roman" w:eastAsia="Times New Roman" w:hAnsi="Times New Roman" w:cs="Times New Roman"/>
          <w:b/>
          <w:i/>
          <w:color w:val="000003"/>
          <w:sz w:val="19"/>
        </w:rPr>
        <w:t>щего лишая и ветряной оспы,</w:t>
      </w:r>
      <w:r>
        <w:rPr>
          <w:rFonts w:ascii="Times New Roman" w:eastAsia="Times New Roman" w:hAnsi="Times New Roman" w:cs="Times New Roman"/>
          <w:color w:val="000003"/>
          <w:sz w:val="19"/>
        </w:rPr>
        <w:t xml:space="preserve"> характеризуется наличием в пищеводе плоских изъязвлений с контактной кровоточив</w:t>
      </w:r>
      <w:r>
        <w:rPr>
          <w:rFonts w:ascii="Times New Roman" w:eastAsia="Times New Roman" w:hAnsi="Times New Roman" w:cs="Times New Roman"/>
          <w:color w:val="000003"/>
          <w:sz w:val="19"/>
        </w:rPr>
        <w:t>остью (см. рис. 6) [76–78]. Поражение пищевода при эзофагите, вызванном вирусом ветряной оспы, морфологически сходно с описанным при герпетическом эзофагите, причем вирус-ассоциированные цитопатические изменения (внутриядерные включения типа Cowdry А или В</w:t>
      </w:r>
      <w:r>
        <w:rPr>
          <w:rFonts w:ascii="Times New Roman" w:eastAsia="Times New Roman" w:hAnsi="Times New Roman" w:cs="Times New Roman"/>
          <w:color w:val="000003"/>
          <w:sz w:val="19"/>
        </w:rPr>
        <w:t xml:space="preserve"> в увеличенных по размеру, иногда многоядерных клетках) наблюдаются как в эпителиоцитах, так и в эндотелии и клетках стромы. Типичны межклеточный отек, вакуолизация и некроз эпителиоцитов базального слоя многослойного плоского эпителия с очаговым отслоение</w:t>
      </w:r>
      <w:r>
        <w:rPr>
          <w:rFonts w:ascii="Times New Roman" w:eastAsia="Times New Roman" w:hAnsi="Times New Roman" w:cs="Times New Roman"/>
          <w:color w:val="000003"/>
          <w:sz w:val="19"/>
        </w:rPr>
        <w:t>м его от базальной мембраны и образованием везикул. Диагноз уточняется иммуногистохимическим методом или методом ПЦР.</w:t>
      </w:r>
    </w:p>
    <w:p w:rsidR="002D5C2A" w:rsidRDefault="00280B42">
      <w:pPr>
        <w:spacing w:after="5" w:line="254" w:lineRule="auto"/>
        <w:ind w:left="-13" w:right="73" w:firstLine="273"/>
        <w:jc w:val="both"/>
      </w:pPr>
      <w:r>
        <w:rPr>
          <w:rFonts w:ascii="Times New Roman" w:eastAsia="Times New Roman" w:hAnsi="Times New Roman" w:cs="Times New Roman"/>
          <w:color w:val="000003"/>
          <w:sz w:val="19"/>
        </w:rPr>
        <w:t>• Пациентам с туберкулезом пищевода рекомендуется использование эндоскопической ультрасонографии (EUS) с целью дифференциальной диагностик</w:t>
      </w:r>
      <w:r>
        <w:rPr>
          <w:rFonts w:ascii="Times New Roman" w:eastAsia="Times New Roman" w:hAnsi="Times New Roman" w:cs="Times New Roman"/>
          <w:color w:val="000003"/>
          <w:sz w:val="19"/>
        </w:rPr>
        <w:t xml:space="preserve">и первичного и вторичного поражения пищевода, а также рака пищевода. </w:t>
      </w:r>
      <w:r>
        <w:rPr>
          <w:rFonts w:ascii="Times New Roman" w:eastAsia="Times New Roman" w:hAnsi="Times New Roman" w:cs="Times New Roman"/>
          <w:b/>
          <w:color w:val="000003"/>
          <w:sz w:val="19"/>
        </w:rPr>
        <w:t>Уровень убедительности рекомендаций C (уровень достоверности доказательств — 4).</w:t>
      </w:r>
    </w:p>
    <w:p w:rsidR="002D5C2A" w:rsidRDefault="00280B42">
      <w:pPr>
        <w:spacing w:after="343" w:line="252" w:lineRule="auto"/>
        <w:ind w:left="-13" w:firstLine="273"/>
        <w:jc w:val="both"/>
      </w:pPr>
      <w:r>
        <w:rPr>
          <w:rFonts w:ascii="Times New Roman" w:eastAsia="Times New Roman" w:hAnsi="Times New Roman" w:cs="Times New Roman"/>
          <w:b/>
          <w:color w:val="000003"/>
          <w:sz w:val="19"/>
        </w:rPr>
        <w:t xml:space="preserve">Комментарии: </w:t>
      </w:r>
      <w:r>
        <w:rPr>
          <w:rFonts w:ascii="Times New Roman" w:eastAsia="Times New Roman" w:hAnsi="Times New Roman" w:cs="Times New Roman"/>
          <w:i/>
          <w:color w:val="000003"/>
          <w:sz w:val="19"/>
        </w:rPr>
        <w:t>при стандартном эндоскопическом исследовании в белом свете достаточно сложно дифференцировать</w:t>
      </w:r>
      <w:r>
        <w:rPr>
          <w:rFonts w:ascii="Times New Roman" w:eastAsia="Times New Roman" w:hAnsi="Times New Roman" w:cs="Times New Roman"/>
          <w:i/>
          <w:color w:val="000003"/>
          <w:sz w:val="19"/>
        </w:rPr>
        <w:t xml:space="preserve"> первичный туберкулез пищевода и рак пищевода. Использование узкоспектральной эндоскопии (NBI) с увеличением в ряде случаев позволяет визуализировать характерные для туберкулеза субэпителиальные микрогранулемы и отсутствие типичных для рака патологически и</w:t>
      </w:r>
      <w:r>
        <w:rPr>
          <w:rFonts w:ascii="Times New Roman" w:eastAsia="Times New Roman" w:hAnsi="Times New Roman" w:cs="Times New Roman"/>
          <w:i/>
          <w:color w:val="000003"/>
          <w:sz w:val="19"/>
        </w:rPr>
        <w:t>звитых капиллярных петель СО [75]. Первичный туберкулез пищевода при эндосонографии характеризуется наличием в стенке пищевода гипоэхогенной массы или гипоэхогенного утолщения слоев стенки с наличием анэхогенных фокусов некроза и гиперэ хогенных кальцинато</w:t>
      </w:r>
      <w:r>
        <w:rPr>
          <w:rFonts w:ascii="Times New Roman" w:eastAsia="Times New Roman" w:hAnsi="Times New Roman" w:cs="Times New Roman"/>
          <w:i/>
          <w:color w:val="000003"/>
          <w:sz w:val="19"/>
        </w:rPr>
        <w:t xml:space="preserve">в (см. рис. 4). Адвентиция пищевода при первичном туберкулезе повреждается редко. Вторичный туберкулез пищевода характеризуется при эндосонографии визуализацией внепищеводно расположенных округлой формы увеличенных лимфатических узлов размерами 0,8–1,5 см </w:t>
      </w:r>
      <w:r>
        <w:rPr>
          <w:rFonts w:ascii="Times New Roman" w:eastAsia="Times New Roman" w:hAnsi="Times New Roman" w:cs="Times New Roman"/>
          <w:i/>
          <w:color w:val="000003"/>
          <w:sz w:val="19"/>
        </w:rPr>
        <w:t xml:space="preserve">с гиперэхогенными кальцинатами в центрах, врастающих в стенку пищевода </w:t>
      </w:r>
      <w:r>
        <w:rPr>
          <w:rFonts w:ascii="Times New Roman" w:eastAsia="Times New Roman" w:hAnsi="Times New Roman" w:cs="Times New Roman"/>
          <w:color w:val="000003"/>
          <w:sz w:val="19"/>
        </w:rPr>
        <w:t>[79, 80]</w:t>
      </w:r>
      <w:r>
        <w:rPr>
          <w:rFonts w:ascii="Times New Roman" w:eastAsia="Times New Roman" w:hAnsi="Times New Roman" w:cs="Times New Roman"/>
          <w:i/>
          <w:color w:val="000003"/>
          <w:sz w:val="19"/>
        </w:rPr>
        <w:t>.</w:t>
      </w:r>
    </w:p>
    <w:p w:rsidR="002D5C2A" w:rsidRDefault="00280B42">
      <w:pPr>
        <w:spacing w:after="0" w:line="254" w:lineRule="auto"/>
        <w:ind w:left="278" w:hanging="10"/>
      </w:pPr>
      <w:r>
        <w:rPr>
          <w:rFonts w:ascii="Times New Roman" w:eastAsia="Times New Roman" w:hAnsi="Times New Roman" w:cs="Times New Roman"/>
          <w:b/>
          <w:color w:val="6EBBED"/>
          <w:sz w:val="24"/>
        </w:rPr>
        <w:t>3. Лечение, включая медикаментозную и немедикаментозную терапию, диетотерапию, обезболивание, медицинские показания и противопоказания к применению методов лечения</w:t>
      </w:r>
    </w:p>
    <w:p w:rsidR="002D5C2A" w:rsidRDefault="00280B42">
      <w:pPr>
        <w:spacing w:after="5" w:line="254" w:lineRule="auto"/>
        <w:ind w:left="-13" w:firstLine="273"/>
        <w:jc w:val="both"/>
      </w:pPr>
      <w:r>
        <w:rPr>
          <w:rFonts w:ascii="Times New Roman" w:eastAsia="Times New Roman" w:hAnsi="Times New Roman" w:cs="Times New Roman"/>
          <w:color w:val="000003"/>
          <w:sz w:val="19"/>
        </w:rPr>
        <w:t>Лечение инф</w:t>
      </w:r>
      <w:r>
        <w:rPr>
          <w:rFonts w:ascii="Times New Roman" w:eastAsia="Times New Roman" w:hAnsi="Times New Roman" w:cs="Times New Roman"/>
          <w:color w:val="000003"/>
          <w:sz w:val="19"/>
        </w:rPr>
        <w:t>екционного эзофагита должно быть комплексным и включать себя не только назначение лекарственных препаратов, но и проведение широкого круга различных мероприятий: модификацию образа жизни, отказ от курения и злоупотребления алкоголем, нормализацию режима тр</w:t>
      </w:r>
      <w:r>
        <w:rPr>
          <w:rFonts w:ascii="Times New Roman" w:eastAsia="Times New Roman" w:hAnsi="Times New Roman" w:cs="Times New Roman"/>
          <w:color w:val="000003"/>
          <w:sz w:val="19"/>
        </w:rPr>
        <w:t>уда и отдыха, по возможности ограничение в использовании глюкокортикостероидов, антибиотиков, иммуносупрессивных препаратов.</w:t>
      </w:r>
    </w:p>
    <w:p w:rsidR="002D5C2A" w:rsidRDefault="00280B42">
      <w:pPr>
        <w:spacing w:after="169" w:line="252" w:lineRule="auto"/>
        <w:ind w:left="-13" w:firstLine="273"/>
        <w:jc w:val="both"/>
      </w:pPr>
      <w:r>
        <w:rPr>
          <w:rFonts w:ascii="Times New Roman" w:eastAsia="Times New Roman" w:hAnsi="Times New Roman" w:cs="Times New Roman"/>
          <w:i/>
          <w:color w:val="000003"/>
          <w:sz w:val="19"/>
        </w:rPr>
        <w:t>Пациенты с неосложненным течением инфекционного эзофагита подлежат консервативному лечению. В большинстве случаев оно проводится ам</w:t>
      </w:r>
      <w:r>
        <w:rPr>
          <w:rFonts w:ascii="Times New Roman" w:eastAsia="Times New Roman" w:hAnsi="Times New Roman" w:cs="Times New Roman"/>
          <w:i/>
          <w:color w:val="000003"/>
          <w:sz w:val="19"/>
        </w:rPr>
        <w:t>булаторно. Однако при выраженной одинофагии, дисфагии, выраженном болевом синдроме, высоком риске развития осложнений (например, риск развития кровотечения из язв пищевода у пациентов с тромбоцитопенией), тяжелой степени иммунодефицита, развитии генерализо</w:t>
      </w:r>
      <w:r>
        <w:rPr>
          <w:rFonts w:ascii="Times New Roman" w:eastAsia="Times New Roman" w:hAnsi="Times New Roman" w:cs="Times New Roman"/>
          <w:i/>
          <w:color w:val="000003"/>
          <w:sz w:val="19"/>
        </w:rPr>
        <w:t>ванных форм заболевания, тяжелых сопутствующих заболеваниях целесообразна госпитализация пациентов.</w:t>
      </w:r>
    </w:p>
    <w:p w:rsidR="002D5C2A" w:rsidRDefault="00280B42">
      <w:pPr>
        <w:pStyle w:val="Heading3"/>
        <w:ind w:left="278"/>
      </w:pPr>
      <w:r>
        <w:t>3.1. Консервативное лечение</w:t>
      </w:r>
    </w:p>
    <w:p w:rsidR="002D5C2A" w:rsidRDefault="00280B42">
      <w:pPr>
        <w:spacing w:after="5" w:line="254" w:lineRule="auto"/>
        <w:ind w:left="-13" w:firstLine="273"/>
        <w:jc w:val="both"/>
      </w:pPr>
      <w:r>
        <w:rPr>
          <w:rFonts w:ascii="Times New Roman" w:eastAsia="Times New Roman" w:hAnsi="Times New Roman" w:cs="Times New Roman"/>
          <w:color w:val="000003"/>
          <w:sz w:val="19"/>
        </w:rPr>
        <w:t>• Пациентам с кандидозом пищевода с целью проведения этиотропной терапии</w:t>
      </w:r>
      <w:r>
        <w:rPr>
          <w:rFonts w:ascii="Times New Roman" w:eastAsia="Times New Roman" w:hAnsi="Times New Roman" w:cs="Times New Roman"/>
          <w:i/>
          <w:color w:val="000003"/>
          <w:sz w:val="19"/>
        </w:rPr>
        <w:t xml:space="preserve"> </w:t>
      </w:r>
      <w:r>
        <w:rPr>
          <w:rFonts w:ascii="Times New Roman" w:eastAsia="Times New Roman" w:hAnsi="Times New Roman" w:cs="Times New Roman"/>
          <w:color w:val="000003"/>
          <w:sz w:val="19"/>
        </w:rPr>
        <w:t xml:space="preserve">рекомендуется </w:t>
      </w:r>
    </w:p>
    <w:p w:rsidR="002D5C2A" w:rsidRDefault="002D5C2A">
      <w:pPr>
        <w:sectPr w:rsidR="002D5C2A">
          <w:type w:val="continuous"/>
          <w:pgSz w:w="11906" w:h="15874"/>
          <w:pgMar w:top="1040" w:right="1133" w:bottom="1129" w:left="1134" w:header="720" w:footer="720" w:gutter="0"/>
          <w:cols w:num="2" w:space="169"/>
        </w:sectPr>
      </w:pPr>
    </w:p>
    <w:p w:rsidR="002D5C2A" w:rsidRDefault="00280B42">
      <w:pPr>
        <w:spacing w:after="100"/>
        <w:ind w:left="3" w:right="-28"/>
      </w:pPr>
      <w:r>
        <w:rPr>
          <w:noProof/>
        </w:rPr>
        <mc:AlternateContent>
          <mc:Choice Requires="wpg">
            <w:drawing>
              <wp:inline distT="0" distB="0" distL="0" distR="0">
                <wp:extent cx="6116193" cy="4630395"/>
                <wp:effectExtent l="0" t="0" r="0" b="0"/>
                <wp:docPr id="41829" name="Group 41829"/>
                <wp:cNvGraphicFramePr/>
                <a:graphic xmlns:a="http://schemas.openxmlformats.org/drawingml/2006/main">
                  <a:graphicData uri="http://schemas.microsoft.com/office/word/2010/wordprocessingGroup">
                    <wpg:wgp>
                      <wpg:cNvGrpSpPr/>
                      <wpg:grpSpPr>
                        <a:xfrm>
                          <a:off x="0" y="0"/>
                          <a:ext cx="6116193" cy="4630395"/>
                          <a:chOff x="0" y="0"/>
                          <a:chExt cx="6116193" cy="4630395"/>
                        </a:xfrm>
                      </wpg:grpSpPr>
                      <wps:wsp>
                        <wps:cNvPr id="2336" name="Shape 2336"/>
                        <wps:cNvSpPr/>
                        <wps:spPr>
                          <a:xfrm>
                            <a:off x="0" y="0"/>
                            <a:ext cx="6116193" cy="4630395"/>
                          </a:xfrm>
                          <a:custGeom>
                            <a:avLst/>
                            <a:gdLst/>
                            <a:ahLst/>
                            <a:cxnLst/>
                            <a:rect l="0" t="0" r="0" b="0"/>
                            <a:pathLst>
                              <a:path w="6116193" h="4630395">
                                <a:moveTo>
                                  <a:pt x="0" y="4630395"/>
                                </a:moveTo>
                                <a:lnTo>
                                  <a:pt x="6116193" y="4630395"/>
                                </a:lnTo>
                                <a:lnTo>
                                  <a:pt x="6116193" y="0"/>
                                </a:lnTo>
                                <a:lnTo>
                                  <a:pt x="0" y="0"/>
                                </a:lnTo>
                                <a:close/>
                              </a:path>
                            </a:pathLst>
                          </a:custGeom>
                          <a:ln w="3810" cap="flat">
                            <a:miter lim="100000"/>
                          </a:ln>
                        </wps:spPr>
                        <wps:style>
                          <a:lnRef idx="1">
                            <a:srgbClr val="009EE4"/>
                          </a:lnRef>
                          <a:fillRef idx="0">
                            <a:srgbClr val="000000">
                              <a:alpha val="0"/>
                            </a:srgbClr>
                          </a:fillRef>
                          <a:effectRef idx="0">
                            <a:scrgbClr r="0" g="0" b="0"/>
                          </a:effectRef>
                          <a:fontRef idx="none"/>
                        </wps:style>
                        <wps:bodyPr/>
                      </wps:wsp>
                      <pic:pic xmlns:pic="http://schemas.openxmlformats.org/drawingml/2006/picture">
                        <pic:nvPicPr>
                          <pic:cNvPr id="2349" name="Picture 2349"/>
                          <pic:cNvPicPr/>
                        </pic:nvPicPr>
                        <pic:blipFill>
                          <a:blip r:embed="rId29"/>
                          <a:stretch>
                            <a:fillRect/>
                          </a:stretch>
                        </pic:blipFill>
                        <pic:spPr>
                          <a:xfrm>
                            <a:off x="3566934" y="2376994"/>
                            <a:ext cx="2121520" cy="2160000"/>
                          </a:xfrm>
                          <a:prstGeom prst="rect">
                            <a:avLst/>
                          </a:prstGeom>
                        </pic:spPr>
                      </pic:pic>
                      <pic:pic xmlns:pic="http://schemas.openxmlformats.org/drawingml/2006/picture">
                        <pic:nvPicPr>
                          <pic:cNvPr id="2351" name="Picture 2351"/>
                          <pic:cNvPicPr/>
                        </pic:nvPicPr>
                        <pic:blipFill>
                          <a:blip r:embed="rId30"/>
                          <a:stretch>
                            <a:fillRect/>
                          </a:stretch>
                        </pic:blipFill>
                        <pic:spPr>
                          <a:xfrm>
                            <a:off x="3360801" y="99688"/>
                            <a:ext cx="2533787" cy="2160000"/>
                          </a:xfrm>
                          <a:prstGeom prst="rect">
                            <a:avLst/>
                          </a:prstGeom>
                        </pic:spPr>
                      </pic:pic>
                      <pic:pic xmlns:pic="http://schemas.openxmlformats.org/drawingml/2006/picture">
                        <pic:nvPicPr>
                          <pic:cNvPr id="2353" name="Picture 2353"/>
                          <pic:cNvPicPr/>
                        </pic:nvPicPr>
                        <pic:blipFill>
                          <a:blip r:embed="rId31"/>
                          <a:stretch>
                            <a:fillRect/>
                          </a:stretch>
                        </pic:blipFill>
                        <pic:spPr>
                          <a:xfrm>
                            <a:off x="379346" y="2376994"/>
                            <a:ext cx="2284297" cy="2160000"/>
                          </a:xfrm>
                          <a:prstGeom prst="rect">
                            <a:avLst/>
                          </a:prstGeom>
                        </pic:spPr>
                      </pic:pic>
                      <pic:pic xmlns:pic="http://schemas.openxmlformats.org/drawingml/2006/picture">
                        <pic:nvPicPr>
                          <pic:cNvPr id="2355" name="Picture 2355"/>
                          <pic:cNvPicPr/>
                        </pic:nvPicPr>
                        <pic:blipFill>
                          <a:blip r:embed="rId32"/>
                          <a:stretch>
                            <a:fillRect/>
                          </a:stretch>
                        </pic:blipFill>
                        <pic:spPr>
                          <a:xfrm>
                            <a:off x="252801" y="99688"/>
                            <a:ext cx="2537387" cy="2160000"/>
                          </a:xfrm>
                          <a:prstGeom prst="rect">
                            <a:avLst/>
                          </a:prstGeom>
                        </pic:spPr>
                      </pic:pic>
                      <wps:wsp>
                        <wps:cNvPr id="2356" name="Rectangle 2356"/>
                        <wps:cNvSpPr/>
                        <wps:spPr>
                          <a:xfrm>
                            <a:off x="61093" y="4395977"/>
                            <a:ext cx="118119" cy="181967"/>
                          </a:xfrm>
                          <a:prstGeom prst="rect">
                            <a:avLst/>
                          </a:prstGeom>
                          <a:ln>
                            <a:noFill/>
                          </a:ln>
                        </wps:spPr>
                        <wps:txbx>
                          <w:txbxContent>
                            <w:p w:rsidR="002D5C2A" w:rsidRDefault="00280B42">
                              <w:r>
                                <w:rPr>
                                  <w:rFonts w:ascii="Times New Roman" w:eastAsia="Times New Roman" w:hAnsi="Times New Roman" w:cs="Times New Roman"/>
                                  <w:color w:val="000003"/>
                                  <w:w w:val="116"/>
                                  <w:sz w:val="18"/>
                                </w:rPr>
                                <w:t>C</w:t>
                              </w:r>
                            </w:p>
                          </w:txbxContent>
                        </wps:txbx>
                        <wps:bodyPr horzOverflow="overflow" vert="horz" lIns="0" tIns="0" rIns="0" bIns="0" rtlCol="0">
                          <a:noAutofit/>
                        </wps:bodyPr>
                      </wps:wsp>
                      <wps:wsp>
                        <wps:cNvPr id="2357" name="Rectangle 2357"/>
                        <wps:cNvSpPr/>
                        <wps:spPr>
                          <a:xfrm>
                            <a:off x="61093" y="2118672"/>
                            <a:ext cx="113406" cy="181967"/>
                          </a:xfrm>
                          <a:prstGeom prst="rect">
                            <a:avLst/>
                          </a:prstGeom>
                          <a:ln>
                            <a:noFill/>
                          </a:ln>
                        </wps:spPr>
                        <wps:txbx>
                          <w:txbxContent>
                            <w:p w:rsidR="002D5C2A" w:rsidRDefault="00280B42">
                              <w:r>
                                <w:rPr>
                                  <w:rFonts w:ascii="Times New Roman" w:eastAsia="Times New Roman" w:hAnsi="Times New Roman" w:cs="Times New Roman"/>
                                  <w:color w:val="000003"/>
                                  <w:w w:val="103"/>
                                  <w:sz w:val="18"/>
                                </w:rPr>
                                <w:t>A</w:t>
                              </w:r>
                            </w:p>
                          </w:txbxContent>
                        </wps:txbx>
                        <wps:bodyPr horzOverflow="overflow" vert="horz" lIns="0" tIns="0" rIns="0" bIns="0" rtlCol="0">
                          <a:noAutofit/>
                        </wps:bodyPr>
                      </wps:wsp>
                      <wps:wsp>
                        <wps:cNvPr id="2358" name="Rectangle 2358"/>
                        <wps:cNvSpPr/>
                        <wps:spPr>
                          <a:xfrm>
                            <a:off x="3187694" y="4409015"/>
                            <a:ext cx="132105" cy="181967"/>
                          </a:xfrm>
                          <a:prstGeom prst="rect">
                            <a:avLst/>
                          </a:prstGeom>
                          <a:ln>
                            <a:noFill/>
                          </a:ln>
                        </wps:spPr>
                        <wps:txbx>
                          <w:txbxContent>
                            <w:p w:rsidR="002D5C2A" w:rsidRDefault="00280B42">
                              <w:r>
                                <w:rPr>
                                  <w:rFonts w:ascii="Times New Roman" w:eastAsia="Times New Roman" w:hAnsi="Times New Roman" w:cs="Times New Roman"/>
                                  <w:color w:val="000003"/>
                                  <w:w w:val="120"/>
                                  <w:sz w:val="18"/>
                                </w:rPr>
                                <w:t>D</w:t>
                              </w:r>
                            </w:p>
                          </w:txbxContent>
                        </wps:txbx>
                        <wps:bodyPr horzOverflow="overflow" vert="horz" lIns="0" tIns="0" rIns="0" bIns="0" rtlCol="0">
                          <a:noAutofit/>
                        </wps:bodyPr>
                      </wps:wsp>
                      <wps:wsp>
                        <wps:cNvPr id="2359" name="Rectangle 2359"/>
                        <wps:cNvSpPr/>
                        <wps:spPr>
                          <a:xfrm>
                            <a:off x="3187694" y="2131710"/>
                            <a:ext cx="114014" cy="181967"/>
                          </a:xfrm>
                          <a:prstGeom prst="rect">
                            <a:avLst/>
                          </a:prstGeom>
                          <a:ln>
                            <a:noFill/>
                          </a:ln>
                        </wps:spPr>
                        <wps:txbx>
                          <w:txbxContent>
                            <w:p w:rsidR="002D5C2A" w:rsidRDefault="00280B42">
                              <w:r>
                                <w:rPr>
                                  <w:rFonts w:ascii="Times New Roman" w:eastAsia="Times New Roman" w:hAnsi="Times New Roman" w:cs="Times New Roman"/>
                                  <w:color w:val="000003"/>
                                  <w:w w:val="112"/>
                                  <w:sz w:val="18"/>
                                </w:rPr>
                                <w:t>B</w:t>
                              </w:r>
                            </w:p>
                          </w:txbxContent>
                        </wps:txbx>
                        <wps:bodyPr horzOverflow="overflow" vert="horz" lIns="0" tIns="0" rIns="0" bIns="0" rtlCol="0">
                          <a:noAutofit/>
                        </wps:bodyPr>
                      </wps:wsp>
                    </wpg:wgp>
                  </a:graphicData>
                </a:graphic>
              </wp:inline>
            </w:drawing>
          </mc:Choice>
          <mc:Fallback xmlns:a="http://schemas.openxmlformats.org/drawingml/2006/main">
            <w:pict>
              <v:group id="Group 41829" style="width:481.59pt;height:364.598pt;mso-position-horizontal-relative:char;mso-position-vertical-relative:line" coordsize="61161,46303">
                <v:shape id="Shape 2336" style="position:absolute;width:61161;height:46303;left:0;top:0;" coordsize="6116193,4630395" path="m0,4630395l6116193,4630395l6116193,0l0,0x">
                  <v:stroke weight="0.3pt" endcap="flat" joinstyle="miter" miterlimit="4" on="true" color="#009ee4"/>
                  <v:fill on="false" color="#000000" opacity="0"/>
                </v:shape>
                <v:shape id="Picture 2349" style="position:absolute;width:21215;height:21600;left:35669;top:23769;" filled="f">
                  <v:imagedata r:id="rId33"/>
                </v:shape>
                <v:shape id="Picture 2351" style="position:absolute;width:25337;height:21600;left:33608;top:996;" filled="f">
                  <v:imagedata r:id="rId34"/>
                </v:shape>
                <v:shape id="Picture 2353" style="position:absolute;width:22842;height:21600;left:3793;top:23769;" filled="f">
                  <v:imagedata r:id="rId35"/>
                </v:shape>
                <v:shape id="Picture 2355" style="position:absolute;width:25373;height:21600;left:2528;top:996;" filled="f">
                  <v:imagedata r:id="rId36"/>
                </v:shape>
                <v:rect id="Rectangle 2356" style="position:absolute;width:1181;height:1819;left:610;top:43959;" filled="f" stroked="f">
                  <v:textbox inset="0,0,0,0">
                    <w:txbxContent>
                      <w:p>
                        <w:pPr>
                          <w:spacing w:before="0" w:after="160" w:line="259" w:lineRule="auto"/>
                        </w:pPr>
                        <w:r>
                          <w:rPr>
                            <w:rFonts w:cs="Times New Roman" w:hAnsi="Times New Roman" w:eastAsia="Times New Roman" w:ascii="Times New Roman"/>
                            <w:color w:val="000003"/>
                            <w:w w:val="116"/>
                            <w:sz w:val="18"/>
                          </w:rPr>
                          <w:t xml:space="preserve">C</w:t>
                        </w:r>
                      </w:p>
                    </w:txbxContent>
                  </v:textbox>
                </v:rect>
                <v:rect id="Rectangle 2357" style="position:absolute;width:1134;height:1819;left:610;top:21186;" filled="f" stroked="f">
                  <v:textbox inset="0,0,0,0">
                    <w:txbxContent>
                      <w:p>
                        <w:pPr>
                          <w:spacing w:before="0" w:after="160" w:line="259" w:lineRule="auto"/>
                        </w:pPr>
                        <w:r>
                          <w:rPr>
                            <w:rFonts w:cs="Times New Roman" w:hAnsi="Times New Roman" w:eastAsia="Times New Roman" w:ascii="Times New Roman"/>
                            <w:color w:val="000003"/>
                            <w:w w:val="103"/>
                            <w:sz w:val="18"/>
                          </w:rPr>
                          <w:t xml:space="preserve">A</w:t>
                        </w:r>
                      </w:p>
                    </w:txbxContent>
                  </v:textbox>
                </v:rect>
                <v:rect id="Rectangle 2358" style="position:absolute;width:1321;height:1819;left:31876;top:44090;" filled="f" stroked="f">
                  <v:textbox inset="0,0,0,0">
                    <w:txbxContent>
                      <w:p>
                        <w:pPr>
                          <w:spacing w:before="0" w:after="160" w:line="259" w:lineRule="auto"/>
                        </w:pPr>
                        <w:r>
                          <w:rPr>
                            <w:rFonts w:cs="Times New Roman" w:hAnsi="Times New Roman" w:eastAsia="Times New Roman" w:ascii="Times New Roman"/>
                            <w:color w:val="000003"/>
                            <w:w w:val="120"/>
                            <w:sz w:val="18"/>
                          </w:rPr>
                          <w:t xml:space="preserve">D</w:t>
                        </w:r>
                      </w:p>
                    </w:txbxContent>
                  </v:textbox>
                </v:rect>
                <v:rect id="Rectangle 2359" style="position:absolute;width:1140;height:1819;left:31876;top:21317;" filled="f" stroked="f">
                  <v:textbox inset="0,0,0,0">
                    <w:txbxContent>
                      <w:p>
                        <w:pPr>
                          <w:spacing w:before="0" w:after="160" w:line="259" w:lineRule="auto"/>
                        </w:pPr>
                        <w:r>
                          <w:rPr>
                            <w:rFonts w:cs="Times New Roman" w:hAnsi="Times New Roman" w:eastAsia="Times New Roman" w:ascii="Times New Roman"/>
                            <w:color w:val="000003"/>
                            <w:w w:val="112"/>
                            <w:sz w:val="18"/>
                          </w:rPr>
                          <w:t xml:space="preserve">B</w:t>
                        </w:r>
                      </w:p>
                    </w:txbxContent>
                  </v:textbox>
                </v:rect>
              </v:group>
            </w:pict>
          </mc:Fallback>
        </mc:AlternateContent>
      </w:r>
    </w:p>
    <w:p w:rsidR="002D5C2A" w:rsidRDefault="00280B42">
      <w:pPr>
        <w:spacing w:after="4" w:line="254" w:lineRule="auto"/>
        <w:ind w:left="-5" w:hanging="10"/>
      </w:pPr>
      <w:r>
        <w:rPr>
          <w:rFonts w:ascii="Times New Roman" w:eastAsia="Times New Roman" w:hAnsi="Times New Roman" w:cs="Times New Roman"/>
          <w:color w:val="000003"/>
          <w:sz w:val="18"/>
        </w:rPr>
        <w:t>Рис. 4. Туберкулез пищевода: А — изъязвление стенки грудного отдела пищевода при первичном туберкулезе; В — микрогранулема при туберкулезе пищевода. Осмотр в режиме NBI с ув. 150; С — псевдоопухолевый инфильтрат в стенке пищевода при первичном туберкулезе.</w:t>
      </w:r>
      <w:r>
        <w:rPr>
          <w:rFonts w:ascii="Times New Roman" w:eastAsia="Times New Roman" w:hAnsi="Times New Roman" w:cs="Times New Roman"/>
          <w:color w:val="000003"/>
          <w:sz w:val="18"/>
        </w:rPr>
        <w:t xml:space="preserve"> Эндоскопическая ультрасонография; D — инфильтрация стенки пищевода при первичном туберкулезе. Эндоскопическая ультрасонография Fig. 4. Esophageal tuberculosis:</w:t>
      </w:r>
    </w:p>
    <w:p w:rsidR="002D5C2A" w:rsidRDefault="00280B42">
      <w:pPr>
        <w:spacing w:after="4" w:line="254" w:lineRule="auto"/>
        <w:ind w:left="-5" w:hanging="10"/>
      </w:pPr>
      <w:r>
        <w:rPr>
          <w:rFonts w:ascii="Times New Roman" w:eastAsia="Times New Roman" w:hAnsi="Times New Roman" w:cs="Times New Roman"/>
          <w:color w:val="000003"/>
          <w:sz w:val="18"/>
        </w:rPr>
        <w:t>A: Ulceration of thoracic esophageal wall in primary tuberculosis</w:t>
      </w:r>
    </w:p>
    <w:p w:rsidR="002D5C2A" w:rsidRDefault="00280B42">
      <w:pPr>
        <w:spacing w:after="4" w:line="254" w:lineRule="auto"/>
        <w:ind w:left="-5" w:hanging="10"/>
      </w:pPr>
      <w:r>
        <w:rPr>
          <w:rFonts w:ascii="Times New Roman" w:eastAsia="Times New Roman" w:hAnsi="Times New Roman" w:cs="Times New Roman"/>
          <w:color w:val="000003"/>
          <w:sz w:val="18"/>
        </w:rPr>
        <w:t>B: Microgranuloma in esophage</w:t>
      </w:r>
      <w:r>
        <w:rPr>
          <w:rFonts w:ascii="Times New Roman" w:eastAsia="Times New Roman" w:hAnsi="Times New Roman" w:cs="Times New Roman"/>
          <w:color w:val="000003"/>
          <w:sz w:val="18"/>
        </w:rPr>
        <w:t>al tuberculosis. Inspection in NBI mode at 150x magnification</w:t>
      </w:r>
    </w:p>
    <w:p w:rsidR="002D5C2A" w:rsidRDefault="00280B42">
      <w:pPr>
        <w:spacing w:after="4" w:line="254" w:lineRule="auto"/>
        <w:ind w:left="-5" w:hanging="10"/>
      </w:pPr>
      <w:r>
        <w:rPr>
          <w:rFonts w:ascii="Times New Roman" w:eastAsia="Times New Roman" w:hAnsi="Times New Roman" w:cs="Times New Roman"/>
          <w:color w:val="000003"/>
          <w:sz w:val="18"/>
        </w:rPr>
        <w:t>C: Pseudotumor infiltration in esophageal wall in primary tuberculosis. Endoscopic ultrasonography.</w:t>
      </w:r>
    </w:p>
    <w:p w:rsidR="002D5C2A" w:rsidRDefault="00280B42">
      <w:pPr>
        <w:spacing w:after="4" w:line="254" w:lineRule="auto"/>
        <w:ind w:left="-5" w:hanging="10"/>
      </w:pPr>
      <w:r>
        <w:rPr>
          <w:rFonts w:ascii="Times New Roman" w:eastAsia="Times New Roman" w:hAnsi="Times New Roman" w:cs="Times New Roman"/>
          <w:color w:val="000003"/>
          <w:sz w:val="18"/>
        </w:rPr>
        <w:t>D: Infiltration of esophageal wall in primary tuberculosis. Endoscopic ultrasonography</w:t>
      </w:r>
    </w:p>
    <w:p w:rsidR="002D5C2A" w:rsidRDefault="00280B42">
      <w:pPr>
        <w:spacing w:after="128"/>
        <w:ind w:left="3" w:right="-28"/>
      </w:pPr>
      <w:r>
        <w:rPr>
          <w:noProof/>
        </w:rPr>
        <mc:AlternateContent>
          <mc:Choice Requires="wpg">
            <w:drawing>
              <wp:inline distT="0" distB="0" distL="0" distR="0">
                <wp:extent cx="6116193" cy="2223936"/>
                <wp:effectExtent l="0" t="0" r="0" b="0"/>
                <wp:docPr id="41834" name="Group 41834"/>
                <wp:cNvGraphicFramePr/>
                <a:graphic xmlns:a="http://schemas.openxmlformats.org/drawingml/2006/main">
                  <a:graphicData uri="http://schemas.microsoft.com/office/word/2010/wordprocessingGroup">
                    <wpg:wgp>
                      <wpg:cNvGrpSpPr/>
                      <wpg:grpSpPr>
                        <a:xfrm>
                          <a:off x="0" y="0"/>
                          <a:ext cx="6116193" cy="2223936"/>
                          <a:chOff x="0" y="0"/>
                          <a:chExt cx="6116193" cy="2223936"/>
                        </a:xfrm>
                      </wpg:grpSpPr>
                      <wps:wsp>
                        <wps:cNvPr id="2360" name="Shape 2360"/>
                        <wps:cNvSpPr/>
                        <wps:spPr>
                          <a:xfrm>
                            <a:off x="0" y="0"/>
                            <a:ext cx="6116193" cy="2223936"/>
                          </a:xfrm>
                          <a:custGeom>
                            <a:avLst/>
                            <a:gdLst/>
                            <a:ahLst/>
                            <a:cxnLst/>
                            <a:rect l="0" t="0" r="0" b="0"/>
                            <a:pathLst>
                              <a:path w="6116193" h="2223936">
                                <a:moveTo>
                                  <a:pt x="0" y="2223936"/>
                                </a:moveTo>
                                <a:lnTo>
                                  <a:pt x="6116193" y="2223936"/>
                                </a:lnTo>
                                <a:lnTo>
                                  <a:pt x="6116193" y="0"/>
                                </a:lnTo>
                                <a:lnTo>
                                  <a:pt x="0" y="0"/>
                                </a:lnTo>
                                <a:close/>
                              </a:path>
                            </a:pathLst>
                          </a:custGeom>
                          <a:ln w="3810" cap="flat">
                            <a:miter lim="100000"/>
                          </a:ln>
                        </wps:spPr>
                        <wps:style>
                          <a:lnRef idx="1">
                            <a:srgbClr val="009EE4"/>
                          </a:lnRef>
                          <a:fillRef idx="0">
                            <a:srgbClr val="000000">
                              <a:alpha val="0"/>
                            </a:srgbClr>
                          </a:fillRef>
                          <a:effectRef idx="0">
                            <a:scrgbClr r="0" g="0" b="0"/>
                          </a:effectRef>
                          <a:fontRef idx="none"/>
                        </wps:style>
                        <wps:bodyPr/>
                      </wps:wsp>
                      <pic:pic xmlns:pic="http://schemas.openxmlformats.org/drawingml/2006/picture">
                        <pic:nvPicPr>
                          <pic:cNvPr id="2364" name="Picture 2364"/>
                          <pic:cNvPicPr/>
                        </pic:nvPicPr>
                        <pic:blipFill>
                          <a:blip r:embed="rId37"/>
                          <a:stretch>
                            <a:fillRect/>
                          </a:stretch>
                        </pic:blipFill>
                        <pic:spPr>
                          <a:xfrm>
                            <a:off x="3421917" y="93139"/>
                            <a:ext cx="2563954" cy="2018300"/>
                          </a:xfrm>
                          <a:prstGeom prst="rect">
                            <a:avLst/>
                          </a:prstGeom>
                        </pic:spPr>
                      </pic:pic>
                      <pic:pic xmlns:pic="http://schemas.openxmlformats.org/drawingml/2006/picture">
                        <pic:nvPicPr>
                          <pic:cNvPr id="2366" name="Picture 2366"/>
                          <pic:cNvPicPr/>
                        </pic:nvPicPr>
                        <pic:blipFill>
                          <a:blip r:embed="rId38"/>
                          <a:stretch>
                            <a:fillRect/>
                          </a:stretch>
                        </pic:blipFill>
                        <pic:spPr>
                          <a:xfrm>
                            <a:off x="293789" y="93139"/>
                            <a:ext cx="2620305" cy="2018300"/>
                          </a:xfrm>
                          <a:prstGeom prst="rect">
                            <a:avLst/>
                          </a:prstGeom>
                        </pic:spPr>
                      </pic:pic>
                      <wps:wsp>
                        <wps:cNvPr id="2367" name="Rectangle 2367"/>
                        <wps:cNvSpPr/>
                        <wps:spPr>
                          <a:xfrm>
                            <a:off x="61093" y="1970422"/>
                            <a:ext cx="113406" cy="181967"/>
                          </a:xfrm>
                          <a:prstGeom prst="rect">
                            <a:avLst/>
                          </a:prstGeom>
                          <a:ln>
                            <a:noFill/>
                          </a:ln>
                        </wps:spPr>
                        <wps:txbx>
                          <w:txbxContent>
                            <w:p w:rsidR="002D5C2A" w:rsidRDefault="00280B42">
                              <w:r>
                                <w:rPr>
                                  <w:rFonts w:ascii="Times New Roman" w:eastAsia="Times New Roman" w:hAnsi="Times New Roman" w:cs="Times New Roman"/>
                                  <w:color w:val="000003"/>
                                  <w:w w:val="103"/>
                                  <w:sz w:val="18"/>
                                </w:rPr>
                                <w:t>А</w:t>
                              </w:r>
                            </w:p>
                          </w:txbxContent>
                        </wps:txbx>
                        <wps:bodyPr horzOverflow="overflow" vert="horz" lIns="0" tIns="0" rIns="0" bIns="0" rtlCol="0">
                          <a:noAutofit/>
                        </wps:bodyPr>
                      </wps:wsp>
                      <wps:wsp>
                        <wps:cNvPr id="2368" name="Rectangle 2368"/>
                        <wps:cNvSpPr/>
                        <wps:spPr>
                          <a:xfrm>
                            <a:off x="3187694" y="1983461"/>
                            <a:ext cx="114014" cy="181967"/>
                          </a:xfrm>
                          <a:prstGeom prst="rect">
                            <a:avLst/>
                          </a:prstGeom>
                          <a:ln>
                            <a:noFill/>
                          </a:ln>
                        </wps:spPr>
                        <wps:txbx>
                          <w:txbxContent>
                            <w:p w:rsidR="002D5C2A" w:rsidRDefault="00280B42">
                              <w:r>
                                <w:rPr>
                                  <w:rFonts w:ascii="Times New Roman" w:eastAsia="Times New Roman" w:hAnsi="Times New Roman" w:cs="Times New Roman"/>
                                  <w:color w:val="000003"/>
                                  <w:w w:val="112"/>
                                  <w:sz w:val="18"/>
                                </w:rPr>
                                <w:t>B</w:t>
                              </w:r>
                            </w:p>
                          </w:txbxContent>
                        </wps:txbx>
                        <wps:bodyPr horzOverflow="overflow" vert="horz" lIns="0" tIns="0" rIns="0" bIns="0" rtlCol="0">
                          <a:noAutofit/>
                        </wps:bodyPr>
                      </wps:wsp>
                    </wpg:wgp>
                  </a:graphicData>
                </a:graphic>
              </wp:inline>
            </w:drawing>
          </mc:Choice>
          <mc:Fallback xmlns:a="http://schemas.openxmlformats.org/drawingml/2006/main">
            <w:pict>
              <v:group id="Group 41834" style="width:481.59pt;height:175.113pt;mso-position-horizontal-relative:char;mso-position-vertical-relative:line" coordsize="61161,22239">
                <v:shape id="Shape 2360" style="position:absolute;width:61161;height:22239;left:0;top:0;" coordsize="6116193,2223936" path="m0,2223936l6116193,2223936l6116193,0l0,0x">
                  <v:stroke weight="0.3pt" endcap="flat" joinstyle="miter" miterlimit="4" on="true" color="#009ee4"/>
                  <v:fill on="false" color="#000000" opacity="0"/>
                </v:shape>
                <v:shape id="Picture 2364" style="position:absolute;width:25639;height:20183;left:34219;top:931;" filled="f">
                  <v:imagedata r:id="rId39"/>
                </v:shape>
                <v:shape id="Picture 2366" style="position:absolute;width:26203;height:20183;left:2937;top:931;" filled="f">
                  <v:imagedata r:id="rId40"/>
                </v:shape>
                <v:rect id="Rectangle 2367" style="position:absolute;width:1134;height:1819;left:610;top:19704;" filled="f" stroked="f">
                  <v:textbox inset="0,0,0,0">
                    <w:txbxContent>
                      <w:p>
                        <w:pPr>
                          <w:spacing w:before="0" w:after="160" w:line="259" w:lineRule="auto"/>
                        </w:pPr>
                        <w:r>
                          <w:rPr>
                            <w:rFonts w:cs="Times New Roman" w:hAnsi="Times New Roman" w:eastAsia="Times New Roman" w:ascii="Times New Roman"/>
                            <w:color w:val="000003"/>
                            <w:w w:val="103"/>
                            <w:sz w:val="18"/>
                          </w:rPr>
                          <w:t xml:space="preserve">А</w:t>
                        </w:r>
                      </w:p>
                    </w:txbxContent>
                  </v:textbox>
                </v:rect>
                <v:rect id="Rectangle 2368" style="position:absolute;width:1140;height:1819;left:31876;top:19834;" filled="f" stroked="f">
                  <v:textbox inset="0,0,0,0">
                    <w:txbxContent>
                      <w:p>
                        <w:pPr>
                          <w:spacing w:before="0" w:after="160" w:line="259" w:lineRule="auto"/>
                        </w:pPr>
                        <w:r>
                          <w:rPr>
                            <w:rFonts w:cs="Times New Roman" w:hAnsi="Times New Roman" w:eastAsia="Times New Roman" w:ascii="Times New Roman"/>
                            <w:color w:val="000003"/>
                            <w:w w:val="112"/>
                            <w:sz w:val="18"/>
                          </w:rPr>
                          <w:t xml:space="preserve">B</w:t>
                        </w:r>
                      </w:p>
                    </w:txbxContent>
                  </v:textbox>
                </v:rect>
              </v:group>
            </w:pict>
          </mc:Fallback>
        </mc:AlternateContent>
      </w:r>
    </w:p>
    <w:p w:rsidR="002D5C2A" w:rsidRDefault="00280B42">
      <w:pPr>
        <w:spacing w:after="4" w:line="254" w:lineRule="auto"/>
        <w:ind w:left="-5" w:hanging="10"/>
      </w:pPr>
      <w:r>
        <w:rPr>
          <w:rFonts w:ascii="Times New Roman" w:eastAsia="Times New Roman" w:hAnsi="Times New Roman" w:cs="Times New Roman"/>
          <w:color w:val="000003"/>
          <w:sz w:val="18"/>
        </w:rPr>
        <w:t>Рис. 5. A–B — папилломатоз пищевода, обусловленный вирусом папилломы человека</w:t>
      </w:r>
    </w:p>
    <w:p w:rsidR="002D5C2A" w:rsidRDefault="00280B42">
      <w:pPr>
        <w:spacing w:after="4" w:line="254" w:lineRule="auto"/>
        <w:ind w:left="-5" w:hanging="10"/>
      </w:pPr>
      <w:r>
        <w:rPr>
          <w:rFonts w:ascii="Times New Roman" w:eastAsia="Times New Roman" w:hAnsi="Times New Roman" w:cs="Times New Roman"/>
          <w:color w:val="000003"/>
          <w:sz w:val="18"/>
        </w:rPr>
        <w:t>Fig. 5. A–B — Esophageal papillomatosis induced by human papillomavirus</w:t>
      </w:r>
    </w:p>
    <w:p w:rsidR="002D5C2A" w:rsidRDefault="002D5C2A">
      <w:pPr>
        <w:sectPr w:rsidR="002D5C2A">
          <w:type w:val="continuous"/>
          <w:pgSz w:w="11906" w:h="15874"/>
          <w:pgMar w:top="1080" w:right="1165" w:bottom="1440" w:left="1134" w:header="720" w:footer="720" w:gutter="0"/>
          <w:cols w:space="720"/>
        </w:sectPr>
      </w:pPr>
    </w:p>
    <w:p w:rsidR="002D5C2A" w:rsidRDefault="00280B42">
      <w:pPr>
        <w:spacing w:after="5" w:line="254" w:lineRule="auto"/>
        <w:ind w:left="-13" w:right="73"/>
        <w:jc w:val="both"/>
      </w:pPr>
      <w:r>
        <w:rPr>
          <w:rFonts w:ascii="Times New Roman" w:eastAsia="Times New Roman" w:hAnsi="Times New Roman" w:cs="Times New Roman"/>
          <w:color w:val="000003"/>
          <w:sz w:val="19"/>
        </w:rPr>
        <w:t>назначение системной противогрибковой терапии азолами в течение 14–21 дня.</w:t>
      </w:r>
    </w:p>
    <w:p w:rsidR="002D5C2A" w:rsidRDefault="00280B42">
      <w:pPr>
        <w:spacing w:after="3" w:line="254" w:lineRule="auto"/>
        <w:ind w:left="-15" w:firstLine="273"/>
      </w:pPr>
      <w:r>
        <w:rPr>
          <w:rFonts w:ascii="Times New Roman" w:eastAsia="Times New Roman" w:hAnsi="Times New Roman" w:cs="Times New Roman"/>
          <w:b/>
          <w:color w:val="000003"/>
          <w:sz w:val="19"/>
        </w:rPr>
        <w:t>Уровень убедит</w:t>
      </w:r>
      <w:r>
        <w:rPr>
          <w:rFonts w:ascii="Times New Roman" w:eastAsia="Times New Roman" w:hAnsi="Times New Roman" w:cs="Times New Roman"/>
          <w:b/>
          <w:color w:val="000003"/>
          <w:sz w:val="19"/>
        </w:rPr>
        <w:t>ельности рекомендаций A (уровень достоверности доказательств — 2)</w:t>
      </w:r>
    </w:p>
    <w:p w:rsidR="002D5C2A" w:rsidRDefault="00280B42">
      <w:pPr>
        <w:spacing w:after="3" w:line="252" w:lineRule="auto"/>
        <w:ind w:left="-13" w:firstLine="273"/>
        <w:jc w:val="both"/>
      </w:pPr>
      <w:r>
        <w:rPr>
          <w:rFonts w:ascii="Times New Roman" w:eastAsia="Times New Roman" w:hAnsi="Times New Roman" w:cs="Times New Roman"/>
          <w:b/>
          <w:color w:val="000003"/>
          <w:sz w:val="19"/>
        </w:rPr>
        <w:t xml:space="preserve">Комментарии: </w:t>
      </w:r>
      <w:r>
        <w:rPr>
          <w:rFonts w:ascii="Times New Roman" w:eastAsia="Times New Roman" w:hAnsi="Times New Roman" w:cs="Times New Roman"/>
          <w:i/>
          <w:color w:val="000003"/>
          <w:sz w:val="19"/>
        </w:rPr>
        <w:t xml:space="preserve">в отличие от ротоглоточного кандидоза, при лечении пищеводного кандидоза необходимо применение системной противогрибковой терапии </w:t>
      </w:r>
      <w:r>
        <w:rPr>
          <w:rFonts w:ascii="Times New Roman" w:eastAsia="Times New Roman" w:hAnsi="Times New Roman" w:cs="Times New Roman"/>
          <w:color w:val="000003"/>
          <w:sz w:val="19"/>
        </w:rPr>
        <w:t>[1, 2, 81, 82]</w:t>
      </w:r>
      <w:r>
        <w:rPr>
          <w:rFonts w:ascii="Times New Roman" w:eastAsia="Times New Roman" w:hAnsi="Times New Roman" w:cs="Times New Roman"/>
          <w:i/>
          <w:color w:val="000003"/>
          <w:sz w:val="19"/>
        </w:rPr>
        <w:t>.</w:t>
      </w:r>
      <w:r>
        <w:rPr>
          <w:rFonts w:ascii="Times New Roman" w:eastAsia="Times New Roman" w:hAnsi="Times New Roman" w:cs="Times New Roman"/>
          <w:b/>
          <w:i/>
          <w:color w:val="000003"/>
          <w:sz w:val="19"/>
        </w:rPr>
        <w:t xml:space="preserve"> </w:t>
      </w:r>
      <w:r>
        <w:rPr>
          <w:rFonts w:ascii="Times New Roman" w:eastAsia="Times New Roman" w:hAnsi="Times New Roman" w:cs="Times New Roman"/>
          <w:i/>
          <w:color w:val="000003"/>
          <w:sz w:val="19"/>
        </w:rPr>
        <w:t>Первой линией терапии кандидозн</w:t>
      </w:r>
      <w:r>
        <w:rPr>
          <w:rFonts w:ascii="Times New Roman" w:eastAsia="Times New Roman" w:hAnsi="Times New Roman" w:cs="Times New Roman"/>
          <w:i/>
          <w:color w:val="000003"/>
          <w:sz w:val="19"/>
        </w:rPr>
        <w:t xml:space="preserve">ого эзофагита служит пероральное назначение флуконазола с начальной дозы 400 мг, затем по 200–400 мг один раз в день в течение 14–21 дня </w:t>
      </w:r>
      <w:r>
        <w:rPr>
          <w:rFonts w:ascii="Times New Roman" w:eastAsia="Times New Roman" w:hAnsi="Times New Roman" w:cs="Times New Roman"/>
          <w:color w:val="000003"/>
          <w:sz w:val="19"/>
        </w:rPr>
        <w:t>[2, 82]</w:t>
      </w:r>
      <w:r>
        <w:rPr>
          <w:rFonts w:ascii="Times New Roman" w:eastAsia="Times New Roman" w:hAnsi="Times New Roman" w:cs="Times New Roman"/>
          <w:i/>
          <w:color w:val="000003"/>
          <w:sz w:val="19"/>
        </w:rPr>
        <w:t>. Внутривенная терапия флуконазолом в дозе 400 мг один раз в день в течение 14</w:t>
      </w:r>
      <w:r>
        <w:rPr>
          <w:rFonts w:ascii="Times New Roman" w:eastAsia="Times New Roman" w:hAnsi="Times New Roman" w:cs="Times New Roman"/>
          <w:color w:val="000003"/>
          <w:sz w:val="19"/>
        </w:rPr>
        <w:t>–</w:t>
      </w:r>
      <w:r>
        <w:rPr>
          <w:rFonts w:ascii="Times New Roman" w:eastAsia="Times New Roman" w:hAnsi="Times New Roman" w:cs="Times New Roman"/>
          <w:i/>
          <w:color w:val="000003"/>
          <w:sz w:val="19"/>
        </w:rPr>
        <w:t>21 дня назначается пациентам, кот</w:t>
      </w:r>
      <w:r>
        <w:rPr>
          <w:rFonts w:ascii="Times New Roman" w:eastAsia="Times New Roman" w:hAnsi="Times New Roman" w:cs="Times New Roman"/>
          <w:i/>
          <w:color w:val="000003"/>
          <w:sz w:val="19"/>
        </w:rPr>
        <w:t xml:space="preserve">орые не могут принимать препараты перорально </w:t>
      </w:r>
      <w:r>
        <w:rPr>
          <w:rFonts w:ascii="Times New Roman" w:eastAsia="Times New Roman" w:hAnsi="Times New Roman" w:cs="Times New Roman"/>
          <w:color w:val="000003"/>
          <w:sz w:val="19"/>
        </w:rPr>
        <w:t>[1,82]</w:t>
      </w:r>
      <w:r>
        <w:rPr>
          <w:rFonts w:ascii="Times New Roman" w:eastAsia="Times New Roman" w:hAnsi="Times New Roman" w:cs="Times New Roman"/>
          <w:i/>
          <w:color w:val="000003"/>
          <w:sz w:val="19"/>
        </w:rPr>
        <w:t>. Согласно результатам нескольких больших рандомизированных исследований, в лечении кандидозного эзофагита флуконазол представляет собой более эффективное средство, чем итраконазол, вориконазол и кетако</w:t>
      </w:r>
      <w:r>
        <w:rPr>
          <w:rFonts w:ascii="Times New Roman" w:eastAsia="Times New Roman" w:hAnsi="Times New Roman" w:cs="Times New Roman"/>
          <w:i/>
          <w:color w:val="000003"/>
          <w:sz w:val="19"/>
        </w:rPr>
        <w:t xml:space="preserve">назол </w:t>
      </w:r>
      <w:r>
        <w:rPr>
          <w:rFonts w:ascii="Times New Roman" w:eastAsia="Times New Roman" w:hAnsi="Times New Roman" w:cs="Times New Roman"/>
          <w:color w:val="000003"/>
          <w:sz w:val="19"/>
        </w:rPr>
        <w:t>[83–85]</w:t>
      </w:r>
      <w:r>
        <w:rPr>
          <w:rFonts w:ascii="Times New Roman" w:eastAsia="Times New Roman" w:hAnsi="Times New Roman" w:cs="Times New Roman"/>
          <w:i/>
          <w:color w:val="000003"/>
          <w:sz w:val="19"/>
        </w:rPr>
        <w:t>. Основным механизмом действия азолов служит воздействие на проницаемость грибковых клеточных мембран вследствие цитохром Р450-зависимого вмешательства в биосинтез эргостерола, что в результате приводит к гибели грибковых клеток. Флуконазол им</w:t>
      </w:r>
      <w:r>
        <w:rPr>
          <w:rFonts w:ascii="Times New Roman" w:eastAsia="Times New Roman" w:hAnsi="Times New Roman" w:cs="Times New Roman"/>
          <w:i/>
          <w:color w:val="000003"/>
          <w:sz w:val="19"/>
        </w:rPr>
        <w:t xml:space="preserve">еет большее сродство к цитохрому Р450 грибов и при этом оказывает меньшее воздействие на ферменты данного семейства цитох ромов в организме человека, чем другие азолы </w:t>
      </w:r>
      <w:r>
        <w:rPr>
          <w:rFonts w:ascii="Times New Roman" w:eastAsia="Times New Roman" w:hAnsi="Times New Roman" w:cs="Times New Roman"/>
          <w:color w:val="000003"/>
          <w:sz w:val="19"/>
        </w:rPr>
        <w:t>[1]</w:t>
      </w:r>
      <w:r>
        <w:rPr>
          <w:rFonts w:ascii="Times New Roman" w:eastAsia="Times New Roman" w:hAnsi="Times New Roman" w:cs="Times New Roman"/>
          <w:i/>
          <w:color w:val="000003"/>
          <w:sz w:val="19"/>
        </w:rPr>
        <w:t>. При рефрактерности к лечению флуконазолом рекомендуется назначение вориконазола в до</w:t>
      </w:r>
      <w:r>
        <w:rPr>
          <w:rFonts w:ascii="Times New Roman" w:eastAsia="Times New Roman" w:hAnsi="Times New Roman" w:cs="Times New Roman"/>
          <w:i/>
          <w:color w:val="000003"/>
          <w:sz w:val="19"/>
        </w:rPr>
        <w:t>зе 200 мг два раза в день или итраконазола в дозе 200 мг один раз в день в течение 14</w:t>
      </w:r>
      <w:r>
        <w:rPr>
          <w:rFonts w:ascii="Times New Roman" w:eastAsia="Times New Roman" w:hAnsi="Times New Roman" w:cs="Times New Roman"/>
          <w:color w:val="000003"/>
          <w:sz w:val="19"/>
        </w:rPr>
        <w:t>–</w:t>
      </w:r>
      <w:r>
        <w:rPr>
          <w:rFonts w:ascii="Times New Roman" w:eastAsia="Times New Roman" w:hAnsi="Times New Roman" w:cs="Times New Roman"/>
          <w:i/>
          <w:color w:val="000003"/>
          <w:sz w:val="19"/>
        </w:rPr>
        <w:t xml:space="preserve">21 дня </w:t>
      </w:r>
      <w:r>
        <w:rPr>
          <w:rFonts w:ascii="Times New Roman" w:eastAsia="Times New Roman" w:hAnsi="Times New Roman" w:cs="Times New Roman"/>
          <w:color w:val="000003"/>
          <w:sz w:val="19"/>
        </w:rPr>
        <w:t>[82]</w:t>
      </w:r>
      <w:r>
        <w:rPr>
          <w:rFonts w:ascii="Times New Roman" w:eastAsia="Times New Roman" w:hAnsi="Times New Roman" w:cs="Times New Roman"/>
          <w:i/>
          <w:color w:val="000003"/>
          <w:sz w:val="19"/>
        </w:rPr>
        <w:t>. Системная противогрибковая терапия азолами служит основным методом лечения кандидоза пищевода, однако при беременности следует избегать применения азолов, ос</w:t>
      </w:r>
      <w:r>
        <w:rPr>
          <w:rFonts w:ascii="Times New Roman" w:eastAsia="Times New Roman" w:hAnsi="Times New Roman" w:cs="Times New Roman"/>
          <w:i/>
          <w:color w:val="000003"/>
          <w:sz w:val="19"/>
        </w:rPr>
        <w:t xml:space="preserve">обенно в первом триместре, ввиду тератогенного эффекта </w:t>
      </w:r>
    </w:p>
    <w:p w:rsidR="002D5C2A" w:rsidRDefault="00280B42">
      <w:pPr>
        <w:spacing w:after="5" w:line="254" w:lineRule="auto"/>
        <w:ind w:left="-13" w:right="73"/>
        <w:jc w:val="both"/>
      </w:pPr>
      <w:r>
        <w:rPr>
          <w:rFonts w:ascii="Times New Roman" w:eastAsia="Times New Roman" w:hAnsi="Times New Roman" w:cs="Times New Roman"/>
          <w:color w:val="000003"/>
          <w:sz w:val="19"/>
        </w:rPr>
        <w:t>[2, 82, 86, 87].</w:t>
      </w:r>
    </w:p>
    <w:p w:rsidR="002D5C2A" w:rsidRDefault="00280B42">
      <w:pPr>
        <w:spacing w:after="5" w:line="254" w:lineRule="auto"/>
        <w:ind w:left="-13" w:right="73" w:firstLine="273"/>
        <w:jc w:val="both"/>
      </w:pPr>
      <w:r>
        <w:rPr>
          <w:rFonts w:ascii="Times New Roman" w:eastAsia="Times New Roman" w:hAnsi="Times New Roman" w:cs="Times New Roman"/>
          <w:color w:val="000003"/>
          <w:sz w:val="19"/>
        </w:rPr>
        <w:t>• При неэффективности терапии азолами или наличии противопоказаний к их применению, а также при отсутствии возможности проведения пероральной терапии пациентам с кандидозом пищевода с</w:t>
      </w:r>
      <w:r>
        <w:rPr>
          <w:rFonts w:ascii="Times New Roman" w:eastAsia="Times New Roman" w:hAnsi="Times New Roman" w:cs="Times New Roman"/>
          <w:color w:val="000003"/>
          <w:sz w:val="19"/>
        </w:rPr>
        <w:t xml:space="preserve"> целью этиотропной терапии рекомендуется парентеральное назначение эхинокандинов в течение 14–21 дня или амфотерцина в течение 21 дня.</w:t>
      </w:r>
    </w:p>
    <w:p w:rsidR="002D5C2A" w:rsidRDefault="00280B42">
      <w:pPr>
        <w:spacing w:after="0"/>
        <w:ind w:left="10" w:right="73" w:hanging="10"/>
        <w:jc w:val="right"/>
      </w:pPr>
      <w:r>
        <w:rPr>
          <w:rFonts w:ascii="Times New Roman" w:eastAsia="Times New Roman" w:hAnsi="Times New Roman" w:cs="Times New Roman"/>
          <w:b/>
          <w:color w:val="000003"/>
          <w:sz w:val="19"/>
        </w:rPr>
        <w:t xml:space="preserve">Уровень убедительности рекомендаций A </w:t>
      </w:r>
    </w:p>
    <w:p w:rsidR="002D5C2A" w:rsidRDefault="00280B42">
      <w:pPr>
        <w:spacing w:after="3" w:line="254" w:lineRule="auto"/>
        <w:ind w:left="-15"/>
      </w:pPr>
      <w:r>
        <w:rPr>
          <w:rFonts w:ascii="Times New Roman" w:eastAsia="Times New Roman" w:hAnsi="Times New Roman" w:cs="Times New Roman"/>
          <w:b/>
          <w:color w:val="000003"/>
          <w:sz w:val="19"/>
        </w:rPr>
        <w:t>(уровень достоверности доказательств — 1)</w:t>
      </w:r>
    </w:p>
    <w:p w:rsidR="002D5C2A" w:rsidRDefault="00280B42">
      <w:pPr>
        <w:spacing w:after="3" w:line="252" w:lineRule="auto"/>
        <w:ind w:left="-13" w:firstLine="273"/>
        <w:jc w:val="both"/>
      </w:pPr>
      <w:r>
        <w:rPr>
          <w:rFonts w:ascii="Times New Roman" w:eastAsia="Times New Roman" w:hAnsi="Times New Roman" w:cs="Times New Roman"/>
          <w:b/>
          <w:color w:val="000003"/>
          <w:sz w:val="19"/>
        </w:rPr>
        <w:t>Комментарии:</w:t>
      </w:r>
      <w:r>
        <w:rPr>
          <w:rFonts w:ascii="Times New Roman" w:eastAsia="Times New Roman" w:hAnsi="Times New Roman" w:cs="Times New Roman"/>
          <w:color w:val="000003"/>
          <w:sz w:val="19"/>
        </w:rPr>
        <w:t xml:space="preserve"> </w:t>
      </w:r>
      <w:r>
        <w:rPr>
          <w:rFonts w:ascii="Times New Roman" w:eastAsia="Times New Roman" w:hAnsi="Times New Roman" w:cs="Times New Roman"/>
          <w:i/>
          <w:color w:val="000003"/>
          <w:sz w:val="19"/>
        </w:rPr>
        <w:t>эхинокандины, такие как кас</w:t>
      </w:r>
      <w:r>
        <w:rPr>
          <w:rFonts w:ascii="Times New Roman" w:eastAsia="Times New Roman" w:hAnsi="Times New Roman" w:cs="Times New Roman"/>
          <w:i/>
          <w:color w:val="000003"/>
          <w:sz w:val="19"/>
        </w:rPr>
        <w:t xml:space="preserve">пофунгин, микафунгин и анидулафунгин, относятся к классу полусинтетических амфифильных липопептидов, которые могут неконкурентно ингибировать синтез (1,3)-β-Dглюканового компонента клеточной стенки грибов </w:t>
      </w:r>
      <w:r>
        <w:rPr>
          <w:rFonts w:ascii="Times New Roman" w:eastAsia="Times New Roman" w:hAnsi="Times New Roman" w:cs="Times New Roman"/>
          <w:color w:val="000003"/>
          <w:sz w:val="19"/>
        </w:rPr>
        <w:t>[88]</w:t>
      </w:r>
      <w:r>
        <w:rPr>
          <w:rFonts w:ascii="Times New Roman" w:eastAsia="Times New Roman" w:hAnsi="Times New Roman" w:cs="Times New Roman"/>
          <w:i/>
          <w:color w:val="000003"/>
          <w:sz w:val="19"/>
        </w:rPr>
        <w:t>. Поскольку (1,3)-β-D-глюкановый компонент обна</w:t>
      </w:r>
      <w:r>
        <w:rPr>
          <w:rFonts w:ascii="Times New Roman" w:eastAsia="Times New Roman" w:hAnsi="Times New Roman" w:cs="Times New Roman"/>
          <w:i/>
          <w:color w:val="000003"/>
          <w:sz w:val="19"/>
        </w:rPr>
        <w:t xml:space="preserve">ружен только в клеточной стенке гриба, эхинокандины не оказывают своего влияния на клетки млекопитающих </w:t>
      </w:r>
    </w:p>
    <w:p w:rsidR="002D5C2A" w:rsidRDefault="00280B42">
      <w:pPr>
        <w:spacing w:after="142"/>
        <w:ind w:left="3"/>
      </w:pPr>
      <w:r>
        <w:rPr>
          <w:noProof/>
        </w:rPr>
        <mc:AlternateContent>
          <mc:Choice Requires="wpg">
            <w:drawing>
              <wp:inline distT="0" distB="0" distL="0" distR="0">
                <wp:extent cx="2981541" cy="2454491"/>
                <wp:effectExtent l="0" t="0" r="0" b="0"/>
                <wp:docPr id="41903" name="Group 41903"/>
                <wp:cNvGraphicFramePr/>
                <a:graphic xmlns:a="http://schemas.openxmlformats.org/drawingml/2006/main">
                  <a:graphicData uri="http://schemas.microsoft.com/office/word/2010/wordprocessingGroup">
                    <wpg:wgp>
                      <wpg:cNvGrpSpPr/>
                      <wpg:grpSpPr>
                        <a:xfrm>
                          <a:off x="0" y="0"/>
                          <a:ext cx="2981541" cy="2454491"/>
                          <a:chOff x="0" y="0"/>
                          <a:chExt cx="2981541" cy="2454491"/>
                        </a:xfrm>
                      </wpg:grpSpPr>
                      <pic:pic xmlns:pic="http://schemas.openxmlformats.org/drawingml/2006/picture">
                        <pic:nvPicPr>
                          <pic:cNvPr id="2571" name="Picture 2571"/>
                          <pic:cNvPicPr/>
                        </pic:nvPicPr>
                        <pic:blipFill>
                          <a:blip r:embed="rId41"/>
                          <a:stretch>
                            <a:fillRect/>
                          </a:stretch>
                        </pic:blipFill>
                        <pic:spPr>
                          <a:xfrm>
                            <a:off x="239910" y="74706"/>
                            <a:ext cx="2501719" cy="2305090"/>
                          </a:xfrm>
                          <a:prstGeom prst="rect">
                            <a:avLst/>
                          </a:prstGeom>
                        </pic:spPr>
                      </pic:pic>
                      <wps:wsp>
                        <wps:cNvPr id="2572" name="Shape 2572"/>
                        <wps:cNvSpPr/>
                        <wps:spPr>
                          <a:xfrm>
                            <a:off x="0" y="0"/>
                            <a:ext cx="2981541" cy="2454491"/>
                          </a:xfrm>
                          <a:custGeom>
                            <a:avLst/>
                            <a:gdLst/>
                            <a:ahLst/>
                            <a:cxnLst/>
                            <a:rect l="0" t="0" r="0" b="0"/>
                            <a:pathLst>
                              <a:path w="2981541" h="2454491">
                                <a:moveTo>
                                  <a:pt x="0" y="2454491"/>
                                </a:moveTo>
                                <a:lnTo>
                                  <a:pt x="2981541" y="2454491"/>
                                </a:lnTo>
                                <a:lnTo>
                                  <a:pt x="2981541" y="0"/>
                                </a:lnTo>
                                <a:lnTo>
                                  <a:pt x="0" y="0"/>
                                </a:lnTo>
                                <a:close/>
                              </a:path>
                            </a:pathLst>
                          </a:custGeom>
                          <a:ln w="3810" cap="flat">
                            <a:miter lim="100000"/>
                          </a:ln>
                        </wps:spPr>
                        <wps:style>
                          <a:lnRef idx="1">
                            <a:srgbClr val="009EE4"/>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1903" style="width:234.767pt;height:193.267pt;mso-position-horizontal-relative:char;mso-position-vertical-relative:line" coordsize="29815,24544">
                <v:shape id="Picture 2571" style="position:absolute;width:25017;height:23050;left:2399;top:747;" filled="f">
                  <v:imagedata r:id="rId42"/>
                </v:shape>
                <v:shape id="Shape 2572" style="position:absolute;width:29815;height:24544;left:0;top:0;" coordsize="2981541,2454491" path="m0,2454491l2981541,2454491l2981541,0l0,0x">
                  <v:stroke weight="0.3pt" endcap="flat" joinstyle="miter" miterlimit="4" on="true" color="#009ee4"/>
                  <v:fill on="false" color="#000000" opacity="0"/>
                </v:shape>
              </v:group>
            </w:pict>
          </mc:Fallback>
        </mc:AlternateContent>
      </w:r>
    </w:p>
    <w:p w:rsidR="002D5C2A" w:rsidRDefault="00280B42">
      <w:pPr>
        <w:spacing w:after="315" w:line="254" w:lineRule="auto"/>
        <w:ind w:left="-5" w:hanging="10"/>
      </w:pPr>
      <w:r>
        <w:rPr>
          <w:rFonts w:ascii="Times New Roman" w:eastAsia="Times New Roman" w:hAnsi="Times New Roman" w:cs="Times New Roman"/>
          <w:color w:val="000003"/>
          <w:sz w:val="18"/>
        </w:rPr>
        <w:t>Рис. 6. Эзофагит, обусловленный varicella zoster virus Fig. 6. Esophagitis induced by varicella zoster virus</w:t>
      </w:r>
    </w:p>
    <w:p w:rsidR="002D5C2A" w:rsidRDefault="00280B42">
      <w:pPr>
        <w:spacing w:after="3" w:line="252" w:lineRule="auto"/>
        <w:ind w:left="-13"/>
        <w:jc w:val="both"/>
      </w:pPr>
      <w:r>
        <w:rPr>
          <w:rFonts w:ascii="Times New Roman" w:eastAsia="Times New Roman" w:hAnsi="Times New Roman" w:cs="Times New Roman"/>
          <w:color w:val="000003"/>
          <w:sz w:val="19"/>
        </w:rPr>
        <w:t>[89]</w:t>
      </w:r>
      <w:r>
        <w:rPr>
          <w:rFonts w:ascii="Times New Roman" w:eastAsia="Times New Roman" w:hAnsi="Times New Roman" w:cs="Times New Roman"/>
          <w:i/>
          <w:color w:val="000003"/>
          <w:sz w:val="19"/>
        </w:rPr>
        <w:t>. В метаанализе, обобщившем результаты 10 рандомизированных контролируемых исследований в популяции пациентов с инвазивной грибковой инфекцией, продемонстрированы эффективность и безопасность эхинокандинов для профилактики и лечения грибковой инфекции. Одн</w:t>
      </w:r>
      <w:r>
        <w:rPr>
          <w:rFonts w:ascii="Times New Roman" w:eastAsia="Times New Roman" w:hAnsi="Times New Roman" w:cs="Times New Roman"/>
          <w:i/>
          <w:color w:val="000003"/>
          <w:sz w:val="19"/>
        </w:rPr>
        <w:t xml:space="preserve">ако показано, что в лечении инвазивной грибковой инфекции эхинокандины не превосходят препараты группы азолов (ОР =1,02; 95 % ДИ: 0,97–1,08) </w:t>
      </w:r>
      <w:r>
        <w:rPr>
          <w:rFonts w:ascii="Times New Roman" w:eastAsia="Times New Roman" w:hAnsi="Times New Roman" w:cs="Times New Roman"/>
          <w:color w:val="000003"/>
          <w:sz w:val="19"/>
        </w:rPr>
        <w:t>[88]</w:t>
      </w:r>
      <w:r>
        <w:rPr>
          <w:rFonts w:ascii="Times New Roman" w:eastAsia="Times New Roman" w:hAnsi="Times New Roman" w:cs="Times New Roman"/>
          <w:i/>
          <w:color w:val="000003"/>
          <w:sz w:val="19"/>
        </w:rPr>
        <w:t>. Эхинокандины назначаются в следующей дозировке: микафунгин 150 мг в сутки, каспофунгин с начальной дозы 70 мг</w:t>
      </w:r>
      <w:r>
        <w:rPr>
          <w:rFonts w:ascii="Times New Roman" w:eastAsia="Times New Roman" w:hAnsi="Times New Roman" w:cs="Times New Roman"/>
          <w:i/>
          <w:color w:val="000003"/>
          <w:sz w:val="19"/>
        </w:rPr>
        <w:t xml:space="preserve"> в сутки, затем 50 мг в сутки, анидулафунгин 200 мг в сутки </w:t>
      </w:r>
      <w:r>
        <w:rPr>
          <w:rFonts w:ascii="Times New Roman" w:eastAsia="Times New Roman" w:hAnsi="Times New Roman" w:cs="Times New Roman"/>
          <w:color w:val="000003"/>
          <w:sz w:val="19"/>
        </w:rPr>
        <w:t>[82]</w:t>
      </w:r>
      <w:r>
        <w:rPr>
          <w:rFonts w:ascii="Times New Roman" w:eastAsia="Times New Roman" w:hAnsi="Times New Roman" w:cs="Times New Roman"/>
          <w:i/>
          <w:color w:val="000003"/>
          <w:sz w:val="19"/>
        </w:rPr>
        <w:t xml:space="preserve">. При беременности не рекомендуется назначение эхинокандинов, поскольку при тестировании на животных проявились эмбриотоксические и тератогенные эффекты данной группы препаратов </w:t>
      </w:r>
      <w:r>
        <w:rPr>
          <w:rFonts w:ascii="Times New Roman" w:eastAsia="Times New Roman" w:hAnsi="Times New Roman" w:cs="Times New Roman"/>
          <w:color w:val="000003"/>
          <w:sz w:val="19"/>
        </w:rPr>
        <w:t>[86]</w:t>
      </w:r>
      <w:r>
        <w:rPr>
          <w:rFonts w:ascii="Times New Roman" w:eastAsia="Times New Roman" w:hAnsi="Times New Roman" w:cs="Times New Roman"/>
          <w:i/>
          <w:color w:val="000003"/>
          <w:sz w:val="19"/>
        </w:rPr>
        <w:t>. Амфотери</w:t>
      </w:r>
      <w:r>
        <w:rPr>
          <w:rFonts w:ascii="Times New Roman" w:eastAsia="Times New Roman" w:hAnsi="Times New Roman" w:cs="Times New Roman"/>
          <w:i/>
          <w:color w:val="000003"/>
          <w:sz w:val="19"/>
        </w:rPr>
        <w:t xml:space="preserve">цин относится к полиеновым антибиотикам. Препарат необратимо связывается со стеролами клеточной мембраны грибковых клеток, что приводит к нарушению проницаемости мембраны и гибели клетки </w:t>
      </w:r>
      <w:r>
        <w:rPr>
          <w:rFonts w:ascii="Times New Roman" w:eastAsia="Times New Roman" w:hAnsi="Times New Roman" w:cs="Times New Roman"/>
          <w:color w:val="000003"/>
          <w:sz w:val="19"/>
        </w:rPr>
        <w:t>[1]</w:t>
      </w:r>
      <w:r>
        <w:rPr>
          <w:rFonts w:ascii="Times New Roman" w:eastAsia="Times New Roman" w:hAnsi="Times New Roman" w:cs="Times New Roman"/>
          <w:i/>
          <w:color w:val="000003"/>
          <w:sz w:val="19"/>
        </w:rPr>
        <w:t>. Амфотерицин считается эффективным лекарственным средством в лече</w:t>
      </w:r>
      <w:r>
        <w:rPr>
          <w:rFonts w:ascii="Times New Roman" w:eastAsia="Times New Roman" w:hAnsi="Times New Roman" w:cs="Times New Roman"/>
          <w:i/>
          <w:color w:val="000003"/>
          <w:sz w:val="19"/>
        </w:rPr>
        <w:t xml:space="preserve">нии кандидоза пищевода, однако данный препарат обладает нефротоксическими свойствами, что ограничивает его применение </w:t>
      </w:r>
      <w:r>
        <w:rPr>
          <w:rFonts w:ascii="Times New Roman" w:eastAsia="Times New Roman" w:hAnsi="Times New Roman" w:cs="Times New Roman"/>
          <w:color w:val="000003"/>
          <w:sz w:val="19"/>
        </w:rPr>
        <w:t>[1, 90, 91]</w:t>
      </w:r>
      <w:r>
        <w:rPr>
          <w:rFonts w:ascii="Times New Roman" w:eastAsia="Times New Roman" w:hAnsi="Times New Roman" w:cs="Times New Roman"/>
          <w:i/>
          <w:color w:val="000003"/>
          <w:sz w:val="19"/>
        </w:rPr>
        <w:t xml:space="preserve">. Амфотерицин назначается в дозировке 0,3–0,7 мг/кг в сутки </w:t>
      </w:r>
      <w:r>
        <w:rPr>
          <w:rFonts w:ascii="Times New Roman" w:eastAsia="Times New Roman" w:hAnsi="Times New Roman" w:cs="Times New Roman"/>
          <w:color w:val="000003"/>
          <w:sz w:val="19"/>
        </w:rPr>
        <w:t>[82]</w:t>
      </w:r>
      <w:r>
        <w:rPr>
          <w:rFonts w:ascii="Times New Roman" w:eastAsia="Times New Roman" w:hAnsi="Times New Roman" w:cs="Times New Roman"/>
          <w:i/>
          <w:color w:val="000003"/>
          <w:sz w:val="19"/>
        </w:rPr>
        <w:t>. Данный препарат считается самым безопасным противогрибковым л</w:t>
      </w:r>
      <w:r>
        <w:rPr>
          <w:rFonts w:ascii="Times New Roman" w:eastAsia="Times New Roman" w:hAnsi="Times New Roman" w:cs="Times New Roman"/>
          <w:i/>
          <w:color w:val="000003"/>
          <w:sz w:val="19"/>
        </w:rPr>
        <w:t xml:space="preserve">екарственным средством во время беременности и служит основным средством лечения грибковой инфекции у данной категории пациентов </w:t>
      </w:r>
      <w:r>
        <w:rPr>
          <w:rFonts w:ascii="Times New Roman" w:eastAsia="Times New Roman" w:hAnsi="Times New Roman" w:cs="Times New Roman"/>
          <w:color w:val="000003"/>
          <w:sz w:val="19"/>
        </w:rPr>
        <w:t>[2, 86]</w:t>
      </w:r>
      <w:r>
        <w:rPr>
          <w:rFonts w:ascii="Times New Roman" w:eastAsia="Times New Roman" w:hAnsi="Times New Roman" w:cs="Times New Roman"/>
          <w:i/>
          <w:color w:val="000003"/>
          <w:sz w:val="19"/>
        </w:rPr>
        <w:t>.</w:t>
      </w:r>
    </w:p>
    <w:p w:rsidR="002D5C2A" w:rsidRDefault="00280B42">
      <w:pPr>
        <w:numPr>
          <w:ilvl w:val="0"/>
          <w:numId w:val="6"/>
        </w:numPr>
        <w:spacing w:after="5" w:line="254" w:lineRule="auto"/>
        <w:ind w:right="73" w:firstLine="273"/>
        <w:jc w:val="both"/>
      </w:pPr>
      <w:r>
        <w:rPr>
          <w:rFonts w:ascii="Times New Roman" w:eastAsia="Times New Roman" w:hAnsi="Times New Roman" w:cs="Times New Roman"/>
          <w:color w:val="000003"/>
          <w:sz w:val="19"/>
        </w:rPr>
        <w:t>Пациентам с иммунодефицитом при подозрении на кандидоз пищевода рекомендуется назначать пробную терапию системными про</w:t>
      </w:r>
      <w:r>
        <w:rPr>
          <w:rFonts w:ascii="Times New Roman" w:eastAsia="Times New Roman" w:hAnsi="Times New Roman" w:cs="Times New Roman"/>
          <w:color w:val="000003"/>
          <w:sz w:val="19"/>
        </w:rPr>
        <w:t>тивогрибковыми препаратами без проведения эндоскопического вмешательства.</w:t>
      </w:r>
    </w:p>
    <w:p w:rsidR="002D5C2A" w:rsidRDefault="00280B42">
      <w:pPr>
        <w:spacing w:after="3" w:line="254" w:lineRule="auto"/>
        <w:ind w:left="-15" w:firstLine="273"/>
      </w:pPr>
      <w:r>
        <w:rPr>
          <w:rFonts w:ascii="Times New Roman" w:eastAsia="Times New Roman" w:hAnsi="Times New Roman" w:cs="Times New Roman"/>
          <w:b/>
          <w:color w:val="000003"/>
          <w:sz w:val="19"/>
        </w:rPr>
        <w:t>Уровень убедительности рекомендаций С (уровень достоверности доказательств — 5)</w:t>
      </w:r>
    </w:p>
    <w:p w:rsidR="002D5C2A" w:rsidRDefault="00280B42">
      <w:pPr>
        <w:spacing w:after="3" w:line="252" w:lineRule="auto"/>
        <w:ind w:left="-13" w:firstLine="273"/>
        <w:jc w:val="both"/>
      </w:pPr>
      <w:r>
        <w:rPr>
          <w:rFonts w:ascii="Times New Roman" w:eastAsia="Times New Roman" w:hAnsi="Times New Roman" w:cs="Times New Roman"/>
          <w:b/>
          <w:color w:val="000003"/>
          <w:sz w:val="19"/>
        </w:rPr>
        <w:t xml:space="preserve">Комментарии: </w:t>
      </w:r>
      <w:r>
        <w:rPr>
          <w:rFonts w:ascii="Times New Roman" w:eastAsia="Times New Roman" w:hAnsi="Times New Roman" w:cs="Times New Roman"/>
          <w:i/>
          <w:color w:val="000003"/>
          <w:sz w:val="19"/>
        </w:rPr>
        <w:t>назначение пробной терапии флуконазолом пациентам с иммунодефицитом с предполагаемым канд</w:t>
      </w:r>
      <w:r>
        <w:rPr>
          <w:rFonts w:ascii="Times New Roman" w:eastAsia="Times New Roman" w:hAnsi="Times New Roman" w:cs="Times New Roman"/>
          <w:i/>
          <w:color w:val="000003"/>
          <w:sz w:val="19"/>
        </w:rPr>
        <w:t>идозом пищевода (жалобы на дисфагию и одинофагию, кандидоз ротоглотки) может рассматриваться как неинвазивная альтернатива эндоскопическому исследованию. Как правило, у большинства пациентов с кандидозом пищевода улучшение или разрешение их симптомов проис</w:t>
      </w:r>
      <w:r>
        <w:rPr>
          <w:rFonts w:ascii="Times New Roman" w:eastAsia="Times New Roman" w:hAnsi="Times New Roman" w:cs="Times New Roman"/>
          <w:i/>
          <w:color w:val="000003"/>
          <w:sz w:val="19"/>
        </w:rPr>
        <w:t xml:space="preserve">ходит в течение 7 дней после начала противогрибковой терапии </w:t>
      </w:r>
      <w:r>
        <w:rPr>
          <w:rFonts w:ascii="Times New Roman" w:eastAsia="Times New Roman" w:hAnsi="Times New Roman" w:cs="Times New Roman"/>
          <w:color w:val="000003"/>
          <w:sz w:val="19"/>
        </w:rPr>
        <w:t>[38]</w:t>
      </w:r>
      <w:r>
        <w:rPr>
          <w:rFonts w:ascii="Times New Roman" w:eastAsia="Times New Roman" w:hAnsi="Times New Roman" w:cs="Times New Roman"/>
          <w:i/>
          <w:color w:val="000003"/>
          <w:sz w:val="19"/>
        </w:rPr>
        <w:t xml:space="preserve">. Если в течение 3–5 дней состояние не улучшается, для уточнения диагноза необходимо выполнить эзофагоскопию со взятием биоптата </w:t>
      </w:r>
      <w:r>
        <w:rPr>
          <w:rFonts w:ascii="Times New Roman" w:eastAsia="Times New Roman" w:hAnsi="Times New Roman" w:cs="Times New Roman"/>
          <w:color w:val="000003"/>
          <w:sz w:val="19"/>
        </w:rPr>
        <w:t>[1, 2, 4]</w:t>
      </w:r>
      <w:r>
        <w:rPr>
          <w:rFonts w:ascii="Times New Roman" w:eastAsia="Times New Roman" w:hAnsi="Times New Roman" w:cs="Times New Roman"/>
          <w:i/>
          <w:color w:val="000003"/>
          <w:sz w:val="19"/>
        </w:rPr>
        <w:t>.</w:t>
      </w:r>
    </w:p>
    <w:p w:rsidR="002D5C2A" w:rsidRDefault="00280B42">
      <w:pPr>
        <w:numPr>
          <w:ilvl w:val="0"/>
          <w:numId w:val="6"/>
        </w:numPr>
        <w:spacing w:after="5" w:line="254" w:lineRule="auto"/>
        <w:ind w:right="73" w:firstLine="273"/>
        <w:jc w:val="both"/>
      </w:pPr>
      <w:r>
        <w:rPr>
          <w:rFonts w:ascii="Times New Roman" w:eastAsia="Times New Roman" w:hAnsi="Times New Roman" w:cs="Times New Roman"/>
          <w:color w:val="000003"/>
          <w:sz w:val="19"/>
        </w:rPr>
        <w:t>Пациентам с ВПГ-эзофагитом с целью проведения этиот</w:t>
      </w:r>
      <w:r>
        <w:rPr>
          <w:rFonts w:ascii="Times New Roman" w:eastAsia="Times New Roman" w:hAnsi="Times New Roman" w:cs="Times New Roman"/>
          <w:color w:val="000003"/>
          <w:sz w:val="19"/>
        </w:rPr>
        <w:t>ропной терапии</w:t>
      </w:r>
      <w:r>
        <w:rPr>
          <w:rFonts w:ascii="Times New Roman" w:eastAsia="Times New Roman" w:hAnsi="Times New Roman" w:cs="Times New Roman"/>
          <w:i/>
          <w:color w:val="000003"/>
          <w:sz w:val="19"/>
        </w:rPr>
        <w:t xml:space="preserve"> </w:t>
      </w:r>
      <w:r>
        <w:rPr>
          <w:rFonts w:ascii="Times New Roman" w:eastAsia="Times New Roman" w:hAnsi="Times New Roman" w:cs="Times New Roman"/>
          <w:color w:val="000003"/>
          <w:sz w:val="19"/>
        </w:rPr>
        <w:t>рекомендуется назначение противовирусной терапии ацикловиром в течение 14–21 дня.</w:t>
      </w:r>
    </w:p>
    <w:p w:rsidR="002D5C2A" w:rsidRDefault="00280B42">
      <w:pPr>
        <w:spacing w:after="3" w:line="254" w:lineRule="auto"/>
        <w:ind w:left="-15" w:firstLine="273"/>
      </w:pPr>
      <w:r>
        <w:rPr>
          <w:rFonts w:ascii="Times New Roman" w:eastAsia="Times New Roman" w:hAnsi="Times New Roman" w:cs="Times New Roman"/>
          <w:b/>
          <w:color w:val="000003"/>
          <w:sz w:val="19"/>
        </w:rPr>
        <w:t>Уровень убедительности рекомендаций В (уровень достоверности доказательств — 3)</w:t>
      </w:r>
    </w:p>
    <w:p w:rsidR="002D5C2A" w:rsidRDefault="00280B42">
      <w:pPr>
        <w:spacing w:after="3" w:line="252" w:lineRule="auto"/>
        <w:ind w:left="-13" w:firstLine="273"/>
        <w:jc w:val="both"/>
      </w:pPr>
      <w:r>
        <w:rPr>
          <w:rFonts w:ascii="Times New Roman" w:eastAsia="Times New Roman" w:hAnsi="Times New Roman" w:cs="Times New Roman"/>
          <w:b/>
          <w:color w:val="000003"/>
          <w:sz w:val="19"/>
        </w:rPr>
        <w:t xml:space="preserve">Комментарии: </w:t>
      </w:r>
      <w:r>
        <w:rPr>
          <w:rFonts w:ascii="Times New Roman" w:eastAsia="Times New Roman" w:hAnsi="Times New Roman" w:cs="Times New Roman"/>
          <w:i/>
          <w:color w:val="000003"/>
          <w:sz w:val="19"/>
        </w:rPr>
        <w:t>ацикловир представляет собой синтетический аналог нуклеозидов, его</w:t>
      </w:r>
      <w:r>
        <w:rPr>
          <w:rFonts w:ascii="Times New Roman" w:eastAsia="Times New Roman" w:hAnsi="Times New Roman" w:cs="Times New Roman"/>
          <w:i/>
          <w:color w:val="000003"/>
          <w:sz w:val="19"/>
        </w:rPr>
        <w:t xml:space="preserve"> основной механизм действия — ингибирование репликации вирусов герпеса человека. Терапия назначается в зависимости от иммунного статуса пациента. Пациентам с иммунодефицитом рекомендуется пероральное назначение ацикловира в дозировке 400 мг 5 раз в день в </w:t>
      </w:r>
      <w:r>
        <w:rPr>
          <w:rFonts w:ascii="Times New Roman" w:eastAsia="Times New Roman" w:hAnsi="Times New Roman" w:cs="Times New Roman"/>
          <w:i/>
          <w:color w:val="000003"/>
          <w:sz w:val="19"/>
        </w:rPr>
        <w:t xml:space="preserve">течение 14–21 дня </w:t>
      </w:r>
      <w:r>
        <w:rPr>
          <w:rFonts w:ascii="Times New Roman" w:eastAsia="Times New Roman" w:hAnsi="Times New Roman" w:cs="Times New Roman"/>
          <w:color w:val="000003"/>
          <w:sz w:val="19"/>
        </w:rPr>
        <w:t>[2, 4, 40, 92]</w:t>
      </w:r>
      <w:r>
        <w:rPr>
          <w:rFonts w:ascii="Times New Roman" w:eastAsia="Times New Roman" w:hAnsi="Times New Roman" w:cs="Times New Roman"/>
          <w:i/>
          <w:color w:val="000003"/>
          <w:sz w:val="19"/>
        </w:rPr>
        <w:t xml:space="preserve">. Также может быть назначен пероральный прием фамцикловира 500 мг 3 раза в день или валацикловира по 1 г 3 раза в сутки </w:t>
      </w:r>
      <w:r>
        <w:rPr>
          <w:rFonts w:ascii="Times New Roman" w:eastAsia="Times New Roman" w:hAnsi="Times New Roman" w:cs="Times New Roman"/>
          <w:color w:val="000003"/>
          <w:sz w:val="19"/>
        </w:rPr>
        <w:t>[2, 4]</w:t>
      </w:r>
      <w:r>
        <w:rPr>
          <w:rFonts w:ascii="Times New Roman" w:eastAsia="Times New Roman" w:hAnsi="Times New Roman" w:cs="Times New Roman"/>
          <w:i/>
          <w:color w:val="000003"/>
          <w:sz w:val="19"/>
        </w:rPr>
        <w:t>. У иммунокомпетентных пациентов спонтанное выздоровление обычно наступает через 1–2 недели, однак</w:t>
      </w:r>
      <w:r>
        <w:rPr>
          <w:rFonts w:ascii="Times New Roman" w:eastAsia="Times New Roman" w:hAnsi="Times New Roman" w:cs="Times New Roman"/>
          <w:i/>
          <w:color w:val="000003"/>
          <w:sz w:val="19"/>
        </w:rPr>
        <w:t xml:space="preserve">о назначение короткого курса перорального применения ацикловира 200 мг 5 раз в сутки или по 400 мг 3 раза в день в течение 7–10 дней может значительно ускорить разрешение симптомов и процесс выздоровления </w:t>
      </w:r>
      <w:r>
        <w:rPr>
          <w:rFonts w:ascii="Times New Roman" w:eastAsia="Times New Roman" w:hAnsi="Times New Roman" w:cs="Times New Roman"/>
          <w:color w:val="000003"/>
          <w:sz w:val="19"/>
        </w:rPr>
        <w:t>[2, 6, 93]</w:t>
      </w:r>
      <w:r>
        <w:rPr>
          <w:rFonts w:ascii="Times New Roman" w:eastAsia="Times New Roman" w:hAnsi="Times New Roman" w:cs="Times New Roman"/>
          <w:i/>
          <w:color w:val="000003"/>
          <w:sz w:val="19"/>
        </w:rPr>
        <w:t xml:space="preserve">. Средние сроки восстановления у пациентов, получающих противовирусную терапию, и у пациентов, не получающих антивирусную терапию, составили 4,6 ± 4,7 и 10,0 ± 6,8 дня соответственно (р &lt; 0,05) </w:t>
      </w:r>
      <w:r>
        <w:rPr>
          <w:rFonts w:ascii="Times New Roman" w:eastAsia="Times New Roman" w:hAnsi="Times New Roman" w:cs="Times New Roman"/>
          <w:color w:val="000003"/>
          <w:sz w:val="19"/>
        </w:rPr>
        <w:t>[94]</w:t>
      </w:r>
      <w:r>
        <w:rPr>
          <w:rFonts w:ascii="Times New Roman" w:eastAsia="Times New Roman" w:hAnsi="Times New Roman" w:cs="Times New Roman"/>
          <w:i/>
          <w:color w:val="000003"/>
          <w:sz w:val="19"/>
        </w:rPr>
        <w:t>. Пациентам, которые не могут принимать ацикловир перораль</w:t>
      </w:r>
      <w:r>
        <w:rPr>
          <w:rFonts w:ascii="Times New Roman" w:eastAsia="Times New Roman" w:hAnsi="Times New Roman" w:cs="Times New Roman"/>
          <w:i/>
          <w:color w:val="000003"/>
          <w:sz w:val="19"/>
        </w:rPr>
        <w:t xml:space="preserve">но, назначается внутривенное введение препарата, рекомендуемая доза 5 мг/кг 3 раза в день в течение 7–14 дней с последующим переводом на пероральную терапию в случае улучшения состояния пациента </w:t>
      </w:r>
      <w:r>
        <w:rPr>
          <w:rFonts w:ascii="Times New Roman" w:eastAsia="Times New Roman" w:hAnsi="Times New Roman" w:cs="Times New Roman"/>
          <w:color w:val="000003"/>
          <w:sz w:val="19"/>
        </w:rPr>
        <w:t>[2, 4]</w:t>
      </w:r>
      <w:r>
        <w:rPr>
          <w:rFonts w:ascii="Times New Roman" w:eastAsia="Times New Roman" w:hAnsi="Times New Roman" w:cs="Times New Roman"/>
          <w:i/>
          <w:color w:val="000003"/>
          <w:sz w:val="19"/>
        </w:rPr>
        <w:t>. При развитии резистентности к ацикловиру вследствие м</w:t>
      </w:r>
      <w:r>
        <w:rPr>
          <w:rFonts w:ascii="Times New Roman" w:eastAsia="Times New Roman" w:hAnsi="Times New Roman" w:cs="Times New Roman"/>
          <w:i/>
          <w:color w:val="000003"/>
          <w:sz w:val="19"/>
        </w:rPr>
        <w:t xml:space="preserve">утаций в генах тимидинкиназы или ДНК-полимеразы ВПГ рекомендуется назначение фоскарнета в дозировке 40 мг/кг 3 раза в сутки в течение 10–24 дней </w:t>
      </w:r>
      <w:r>
        <w:rPr>
          <w:rFonts w:ascii="Times New Roman" w:eastAsia="Times New Roman" w:hAnsi="Times New Roman" w:cs="Times New Roman"/>
          <w:color w:val="000003"/>
          <w:sz w:val="19"/>
        </w:rPr>
        <w:t>[2, 95, 96]</w:t>
      </w:r>
      <w:r>
        <w:rPr>
          <w:rFonts w:ascii="Times New Roman" w:eastAsia="Times New Roman" w:hAnsi="Times New Roman" w:cs="Times New Roman"/>
          <w:i/>
          <w:color w:val="000003"/>
          <w:sz w:val="19"/>
        </w:rPr>
        <w:t>.</w:t>
      </w:r>
    </w:p>
    <w:p w:rsidR="002D5C2A" w:rsidRDefault="00280B42">
      <w:pPr>
        <w:numPr>
          <w:ilvl w:val="0"/>
          <w:numId w:val="6"/>
        </w:numPr>
        <w:spacing w:after="5" w:line="254" w:lineRule="auto"/>
        <w:ind w:right="73" w:firstLine="273"/>
        <w:jc w:val="both"/>
      </w:pPr>
      <w:r>
        <w:rPr>
          <w:rFonts w:ascii="Times New Roman" w:eastAsia="Times New Roman" w:hAnsi="Times New Roman" w:cs="Times New Roman"/>
          <w:color w:val="000003"/>
          <w:sz w:val="19"/>
        </w:rPr>
        <w:t>Пациентам с ЦМВ-эзофагитом с целью проведения этиотропной терапии</w:t>
      </w:r>
      <w:r>
        <w:rPr>
          <w:rFonts w:ascii="Times New Roman" w:eastAsia="Times New Roman" w:hAnsi="Times New Roman" w:cs="Times New Roman"/>
          <w:i/>
          <w:color w:val="000003"/>
          <w:sz w:val="19"/>
        </w:rPr>
        <w:t xml:space="preserve"> </w:t>
      </w:r>
      <w:r>
        <w:rPr>
          <w:rFonts w:ascii="Times New Roman" w:eastAsia="Times New Roman" w:hAnsi="Times New Roman" w:cs="Times New Roman"/>
          <w:color w:val="000003"/>
          <w:sz w:val="19"/>
        </w:rPr>
        <w:t>рекомендуется внутривенное назна</w:t>
      </w:r>
      <w:r>
        <w:rPr>
          <w:rFonts w:ascii="Times New Roman" w:eastAsia="Times New Roman" w:hAnsi="Times New Roman" w:cs="Times New Roman"/>
          <w:color w:val="000003"/>
          <w:sz w:val="19"/>
        </w:rPr>
        <w:t>чение ганцикловира в течение 3</w:t>
      </w:r>
      <w:r>
        <w:rPr>
          <w:rFonts w:ascii="Times New Roman" w:eastAsia="Times New Roman" w:hAnsi="Times New Roman" w:cs="Times New Roman"/>
          <w:i/>
          <w:color w:val="000003"/>
          <w:sz w:val="19"/>
        </w:rPr>
        <w:t>–</w:t>
      </w:r>
      <w:r>
        <w:rPr>
          <w:rFonts w:ascii="Times New Roman" w:eastAsia="Times New Roman" w:hAnsi="Times New Roman" w:cs="Times New Roman"/>
          <w:color w:val="000003"/>
          <w:sz w:val="19"/>
        </w:rPr>
        <w:t>6 недель.</w:t>
      </w:r>
    </w:p>
    <w:p w:rsidR="002D5C2A" w:rsidRDefault="00280B42">
      <w:pPr>
        <w:spacing w:after="3" w:line="252" w:lineRule="auto"/>
        <w:ind w:left="-13" w:firstLine="273"/>
        <w:jc w:val="both"/>
      </w:pPr>
      <w:r>
        <w:rPr>
          <w:rFonts w:ascii="Times New Roman" w:eastAsia="Times New Roman" w:hAnsi="Times New Roman" w:cs="Times New Roman"/>
          <w:b/>
          <w:color w:val="000003"/>
          <w:sz w:val="19"/>
        </w:rPr>
        <w:t xml:space="preserve">Уровень убедительности рекомендаций В (уровень достоверности доказательств — 3) Комментарии: </w:t>
      </w:r>
      <w:r>
        <w:rPr>
          <w:rFonts w:ascii="Times New Roman" w:eastAsia="Times New Roman" w:hAnsi="Times New Roman" w:cs="Times New Roman"/>
          <w:i/>
          <w:color w:val="000003"/>
          <w:sz w:val="19"/>
        </w:rPr>
        <w:t>в качестве</w:t>
      </w:r>
      <w:r>
        <w:rPr>
          <w:rFonts w:ascii="Times New Roman" w:eastAsia="Times New Roman" w:hAnsi="Times New Roman" w:cs="Times New Roman"/>
          <w:b/>
          <w:color w:val="000003"/>
          <w:sz w:val="19"/>
        </w:rPr>
        <w:t xml:space="preserve"> </w:t>
      </w:r>
      <w:r>
        <w:rPr>
          <w:rFonts w:ascii="Times New Roman" w:eastAsia="Times New Roman" w:hAnsi="Times New Roman" w:cs="Times New Roman"/>
          <w:i/>
          <w:color w:val="000003"/>
          <w:sz w:val="19"/>
        </w:rPr>
        <w:t xml:space="preserve">базисной терапии ЦМВ-эзофагита проводят внутривенное введение ганцикловира в дозе 5 мг/кг 2 раза в сутки </w:t>
      </w:r>
      <w:r>
        <w:rPr>
          <w:rFonts w:ascii="Times New Roman" w:eastAsia="Times New Roman" w:hAnsi="Times New Roman" w:cs="Times New Roman"/>
          <w:color w:val="000003"/>
          <w:sz w:val="19"/>
        </w:rPr>
        <w:t>[2, 7,</w:t>
      </w:r>
      <w:r>
        <w:rPr>
          <w:rFonts w:ascii="Times New Roman" w:eastAsia="Times New Roman" w:hAnsi="Times New Roman" w:cs="Times New Roman"/>
          <w:color w:val="000003"/>
          <w:sz w:val="19"/>
        </w:rPr>
        <w:t xml:space="preserve"> 50, 97]</w:t>
      </w:r>
      <w:r>
        <w:rPr>
          <w:rFonts w:ascii="Times New Roman" w:eastAsia="Times New Roman" w:hAnsi="Times New Roman" w:cs="Times New Roman"/>
          <w:i/>
          <w:color w:val="000003"/>
          <w:sz w:val="19"/>
        </w:rPr>
        <w:t xml:space="preserve">. Вследствие низкой биодоступности пероральный прием ганцикловира при лечении активной инфекции неэффективен </w:t>
      </w:r>
      <w:r>
        <w:rPr>
          <w:rFonts w:ascii="Times New Roman" w:eastAsia="Times New Roman" w:hAnsi="Times New Roman" w:cs="Times New Roman"/>
          <w:color w:val="000003"/>
          <w:sz w:val="19"/>
        </w:rPr>
        <w:t>[97]</w:t>
      </w:r>
      <w:r>
        <w:rPr>
          <w:rFonts w:ascii="Times New Roman" w:eastAsia="Times New Roman" w:hAnsi="Times New Roman" w:cs="Times New Roman"/>
          <w:i/>
          <w:color w:val="000003"/>
          <w:sz w:val="19"/>
        </w:rPr>
        <w:t>. Противовирусный эффект ганцикловира обусловлен образованием в пораженных вирусом клетках ганцикловиртрифосфата, который тормозит синт</w:t>
      </w:r>
      <w:r>
        <w:rPr>
          <w:rFonts w:ascii="Times New Roman" w:eastAsia="Times New Roman" w:hAnsi="Times New Roman" w:cs="Times New Roman"/>
          <w:i/>
          <w:color w:val="000003"/>
          <w:sz w:val="19"/>
        </w:rPr>
        <w:t xml:space="preserve">ез вирусной ДНК </w:t>
      </w:r>
      <w:r>
        <w:rPr>
          <w:rFonts w:ascii="Times New Roman" w:eastAsia="Times New Roman" w:hAnsi="Times New Roman" w:cs="Times New Roman"/>
          <w:color w:val="000003"/>
          <w:sz w:val="19"/>
        </w:rPr>
        <w:t>[42]</w:t>
      </w:r>
      <w:r>
        <w:rPr>
          <w:rFonts w:ascii="Times New Roman" w:eastAsia="Times New Roman" w:hAnsi="Times New Roman" w:cs="Times New Roman"/>
          <w:i/>
          <w:color w:val="000003"/>
          <w:sz w:val="19"/>
        </w:rPr>
        <w:t xml:space="preserve">. Валганцикловир представляет собой пролекарство ганцикловира, в отличие от ганцикловира, при пероральном приеме препарат имеет высокую биодоступность, достигая терапевтических концентраций </w:t>
      </w:r>
      <w:r>
        <w:rPr>
          <w:rFonts w:ascii="Times New Roman" w:eastAsia="Times New Roman" w:hAnsi="Times New Roman" w:cs="Times New Roman"/>
          <w:color w:val="000003"/>
          <w:sz w:val="19"/>
        </w:rPr>
        <w:t>[42, 98]</w:t>
      </w:r>
      <w:r>
        <w:rPr>
          <w:rFonts w:ascii="Times New Roman" w:eastAsia="Times New Roman" w:hAnsi="Times New Roman" w:cs="Times New Roman"/>
          <w:i/>
          <w:color w:val="000003"/>
          <w:sz w:val="19"/>
        </w:rPr>
        <w:t>. Пациентам с рецидивирующим характеро</w:t>
      </w:r>
      <w:r>
        <w:rPr>
          <w:rFonts w:ascii="Times New Roman" w:eastAsia="Times New Roman" w:hAnsi="Times New Roman" w:cs="Times New Roman"/>
          <w:i/>
          <w:color w:val="000003"/>
          <w:sz w:val="19"/>
        </w:rPr>
        <w:t xml:space="preserve">м заболевания назначается пероральный прием 900 мг валганцикловира 2 раза в день </w:t>
      </w:r>
      <w:r>
        <w:rPr>
          <w:rFonts w:ascii="Times New Roman" w:eastAsia="Times New Roman" w:hAnsi="Times New Roman" w:cs="Times New Roman"/>
          <w:color w:val="000003"/>
          <w:sz w:val="19"/>
        </w:rPr>
        <w:t>[2]</w:t>
      </w:r>
      <w:r>
        <w:rPr>
          <w:rFonts w:ascii="Times New Roman" w:eastAsia="Times New Roman" w:hAnsi="Times New Roman" w:cs="Times New Roman"/>
          <w:i/>
          <w:color w:val="000003"/>
          <w:sz w:val="19"/>
        </w:rPr>
        <w:t>. Для пациентов, имеющих противопоказания к введению ганцикловира, такие как умеренная или тяжелая тромбоцитопения, или резистентностью к ганцикловиру, рекомендуется внутри</w:t>
      </w:r>
      <w:r>
        <w:rPr>
          <w:rFonts w:ascii="Times New Roman" w:eastAsia="Times New Roman" w:hAnsi="Times New Roman" w:cs="Times New Roman"/>
          <w:i/>
          <w:color w:val="000003"/>
          <w:sz w:val="19"/>
        </w:rPr>
        <w:t xml:space="preserve">венное назначение фоскарнета </w:t>
      </w:r>
      <w:r>
        <w:rPr>
          <w:rFonts w:ascii="Times New Roman" w:eastAsia="Times New Roman" w:hAnsi="Times New Roman" w:cs="Times New Roman"/>
          <w:color w:val="000003"/>
          <w:sz w:val="19"/>
        </w:rPr>
        <w:t>[99–101]</w:t>
      </w:r>
      <w:r>
        <w:rPr>
          <w:rFonts w:ascii="Times New Roman" w:eastAsia="Times New Roman" w:hAnsi="Times New Roman" w:cs="Times New Roman"/>
          <w:i/>
          <w:color w:val="000003"/>
          <w:sz w:val="19"/>
        </w:rPr>
        <w:t>. Фоскарнет, ненуклеозидный аналог пирофосфата, проявляет свою противовирусную активность посредством прямого обратимого ингибирования связывания пирофосфата с вирус-специфической ДНК-полимеразой в концентрациях, которы</w:t>
      </w:r>
      <w:r>
        <w:rPr>
          <w:rFonts w:ascii="Times New Roman" w:eastAsia="Times New Roman" w:hAnsi="Times New Roman" w:cs="Times New Roman"/>
          <w:i/>
          <w:color w:val="000003"/>
          <w:sz w:val="19"/>
        </w:rPr>
        <w:t xml:space="preserve">е не влияют на клеточные ДНК-полимеразы </w:t>
      </w:r>
      <w:r>
        <w:rPr>
          <w:rFonts w:ascii="Times New Roman" w:eastAsia="Times New Roman" w:hAnsi="Times New Roman" w:cs="Times New Roman"/>
          <w:color w:val="000003"/>
          <w:sz w:val="19"/>
        </w:rPr>
        <w:t>[100]</w:t>
      </w:r>
      <w:r>
        <w:rPr>
          <w:rFonts w:ascii="Times New Roman" w:eastAsia="Times New Roman" w:hAnsi="Times New Roman" w:cs="Times New Roman"/>
          <w:i/>
          <w:color w:val="000003"/>
          <w:sz w:val="19"/>
        </w:rPr>
        <w:t xml:space="preserve">. Фоскарнет представляет собой эффективный препарат для лечения ЦМВ-инфекции, однако ввиду нефротоксичности его относят к препаратам выбора второй линии </w:t>
      </w:r>
      <w:r>
        <w:rPr>
          <w:rFonts w:ascii="Times New Roman" w:eastAsia="Times New Roman" w:hAnsi="Times New Roman" w:cs="Times New Roman"/>
          <w:color w:val="000003"/>
          <w:sz w:val="19"/>
        </w:rPr>
        <w:t>[1]</w:t>
      </w:r>
      <w:r>
        <w:rPr>
          <w:rFonts w:ascii="Times New Roman" w:eastAsia="Times New Roman" w:hAnsi="Times New Roman" w:cs="Times New Roman"/>
          <w:i/>
          <w:color w:val="000003"/>
          <w:sz w:val="19"/>
        </w:rPr>
        <w:t>. Фоскарнет назначается в дозе 90 мг/кг два раза в сутк</w:t>
      </w:r>
      <w:r>
        <w:rPr>
          <w:rFonts w:ascii="Times New Roman" w:eastAsia="Times New Roman" w:hAnsi="Times New Roman" w:cs="Times New Roman"/>
          <w:i/>
          <w:color w:val="000003"/>
          <w:sz w:val="19"/>
        </w:rPr>
        <w:t xml:space="preserve">и </w:t>
      </w:r>
      <w:r>
        <w:rPr>
          <w:rFonts w:ascii="Times New Roman" w:eastAsia="Times New Roman" w:hAnsi="Times New Roman" w:cs="Times New Roman"/>
          <w:color w:val="000003"/>
          <w:sz w:val="19"/>
        </w:rPr>
        <w:t>[4, 100, 101]</w:t>
      </w:r>
      <w:r>
        <w:rPr>
          <w:rFonts w:ascii="Times New Roman" w:eastAsia="Times New Roman" w:hAnsi="Times New Roman" w:cs="Times New Roman"/>
          <w:i/>
          <w:color w:val="000003"/>
          <w:sz w:val="19"/>
        </w:rPr>
        <w:t xml:space="preserve">. Длительность противовирусной терапии ЦМВ-эзофагита составляет 21 день и более до исчезновения симптомов заболевания и ДНК ЦМВ из крови </w:t>
      </w:r>
      <w:r>
        <w:rPr>
          <w:rFonts w:ascii="Times New Roman" w:eastAsia="Times New Roman" w:hAnsi="Times New Roman" w:cs="Times New Roman"/>
          <w:color w:val="000003"/>
          <w:sz w:val="19"/>
        </w:rPr>
        <w:t>[42]</w:t>
      </w:r>
      <w:r>
        <w:rPr>
          <w:rFonts w:ascii="Times New Roman" w:eastAsia="Times New Roman" w:hAnsi="Times New Roman" w:cs="Times New Roman"/>
          <w:i/>
          <w:color w:val="000003"/>
          <w:sz w:val="19"/>
        </w:rPr>
        <w:t>. В настоящее время считается, что ЦМВ-инфекция у иммунокомпетентных пациентов не требует лечения, о</w:t>
      </w:r>
      <w:r>
        <w:rPr>
          <w:rFonts w:ascii="Times New Roman" w:eastAsia="Times New Roman" w:hAnsi="Times New Roman" w:cs="Times New Roman"/>
          <w:i/>
          <w:color w:val="000003"/>
          <w:sz w:val="19"/>
        </w:rPr>
        <w:t>днако риски и преимущества специфического противовирусного лечения для тяжело больных пациентов не были рассмотрены должным образом. Стоит отметить, что в большинстве описанных в литературе случаев ЦМВ-эзофагита пациенты получали терапию ганцикловиром с по</w:t>
      </w:r>
      <w:r>
        <w:rPr>
          <w:rFonts w:ascii="Times New Roman" w:eastAsia="Times New Roman" w:hAnsi="Times New Roman" w:cs="Times New Roman"/>
          <w:i/>
          <w:color w:val="000003"/>
          <w:sz w:val="19"/>
        </w:rPr>
        <w:t xml:space="preserve">ложительным эффектом </w:t>
      </w:r>
      <w:r>
        <w:rPr>
          <w:rFonts w:ascii="Times New Roman" w:eastAsia="Times New Roman" w:hAnsi="Times New Roman" w:cs="Times New Roman"/>
          <w:color w:val="000003"/>
          <w:sz w:val="19"/>
        </w:rPr>
        <w:t>[7, 102]</w:t>
      </w:r>
      <w:r>
        <w:rPr>
          <w:rFonts w:ascii="Times New Roman" w:eastAsia="Times New Roman" w:hAnsi="Times New Roman" w:cs="Times New Roman"/>
          <w:i/>
          <w:color w:val="000003"/>
          <w:sz w:val="19"/>
        </w:rPr>
        <w:t>.</w:t>
      </w:r>
    </w:p>
    <w:p w:rsidR="002D5C2A" w:rsidRDefault="00280B42">
      <w:pPr>
        <w:numPr>
          <w:ilvl w:val="0"/>
          <w:numId w:val="6"/>
        </w:numPr>
        <w:spacing w:after="5" w:line="254" w:lineRule="auto"/>
        <w:ind w:right="73" w:firstLine="273"/>
        <w:jc w:val="both"/>
      </w:pPr>
      <w:r>
        <w:rPr>
          <w:rFonts w:ascii="Times New Roman" w:eastAsia="Times New Roman" w:hAnsi="Times New Roman" w:cs="Times New Roman"/>
          <w:color w:val="000003"/>
          <w:sz w:val="19"/>
        </w:rPr>
        <w:t>Пациентам с туберкулезом пищевода с целью проведения этиотропной терапии</w:t>
      </w:r>
      <w:r>
        <w:rPr>
          <w:rFonts w:ascii="Times New Roman" w:eastAsia="Times New Roman" w:hAnsi="Times New Roman" w:cs="Times New Roman"/>
          <w:i/>
          <w:color w:val="000003"/>
          <w:sz w:val="19"/>
        </w:rPr>
        <w:t xml:space="preserve"> </w:t>
      </w:r>
      <w:r>
        <w:rPr>
          <w:rFonts w:ascii="Times New Roman" w:eastAsia="Times New Roman" w:hAnsi="Times New Roman" w:cs="Times New Roman"/>
          <w:color w:val="000003"/>
          <w:sz w:val="19"/>
        </w:rPr>
        <w:t>рекомендуется проведение курса специфической лекарственной терапии под наблюдением врача фтизиатра от 6 до 9 месяцев.</w:t>
      </w:r>
    </w:p>
    <w:p w:rsidR="002D5C2A" w:rsidRDefault="00280B42">
      <w:pPr>
        <w:spacing w:after="3" w:line="254" w:lineRule="auto"/>
        <w:ind w:left="-15" w:firstLine="273"/>
      </w:pPr>
      <w:r>
        <w:rPr>
          <w:rFonts w:ascii="Times New Roman" w:eastAsia="Times New Roman" w:hAnsi="Times New Roman" w:cs="Times New Roman"/>
          <w:b/>
          <w:color w:val="000003"/>
          <w:sz w:val="19"/>
        </w:rPr>
        <w:t>Уровень убедительности рекомендаци</w:t>
      </w:r>
      <w:r>
        <w:rPr>
          <w:rFonts w:ascii="Times New Roman" w:eastAsia="Times New Roman" w:hAnsi="Times New Roman" w:cs="Times New Roman"/>
          <w:b/>
          <w:color w:val="000003"/>
          <w:sz w:val="19"/>
        </w:rPr>
        <w:t>й С (уровень достоверности доказательств — 5)</w:t>
      </w:r>
    </w:p>
    <w:p w:rsidR="002D5C2A" w:rsidRDefault="00280B42">
      <w:pPr>
        <w:spacing w:after="3" w:line="252" w:lineRule="auto"/>
        <w:ind w:left="-13" w:firstLine="273"/>
        <w:jc w:val="both"/>
      </w:pPr>
      <w:r>
        <w:rPr>
          <w:rFonts w:ascii="Times New Roman" w:eastAsia="Times New Roman" w:hAnsi="Times New Roman" w:cs="Times New Roman"/>
          <w:b/>
          <w:color w:val="000003"/>
          <w:sz w:val="19"/>
        </w:rPr>
        <w:t xml:space="preserve">Комментарии: </w:t>
      </w:r>
      <w:r>
        <w:rPr>
          <w:rFonts w:ascii="Times New Roman" w:eastAsia="Times New Roman" w:hAnsi="Times New Roman" w:cs="Times New Roman"/>
          <w:i/>
          <w:color w:val="000003"/>
          <w:sz w:val="19"/>
        </w:rPr>
        <w:t xml:space="preserve">как и при любых проявлениях активного туберкулеза, туберкулез пищевода лечится с помощью специфической терапии от 6 до 9 месяцев </w:t>
      </w:r>
      <w:r>
        <w:rPr>
          <w:rFonts w:ascii="Times New Roman" w:eastAsia="Times New Roman" w:hAnsi="Times New Roman" w:cs="Times New Roman"/>
          <w:color w:val="000003"/>
          <w:sz w:val="19"/>
        </w:rPr>
        <w:t>[7]</w:t>
      </w:r>
      <w:r>
        <w:rPr>
          <w:rFonts w:ascii="Times New Roman" w:eastAsia="Times New Roman" w:hAnsi="Times New Roman" w:cs="Times New Roman"/>
          <w:i/>
          <w:color w:val="000003"/>
          <w:sz w:val="19"/>
        </w:rPr>
        <w:t>. К препаратам первой линии выбора относятся рифампицин, изониази</w:t>
      </w:r>
      <w:r>
        <w:rPr>
          <w:rFonts w:ascii="Times New Roman" w:eastAsia="Times New Roman" w:hAnsi="Times New Roman" w:cs="Times New Roman"/>
          <w:i/>
          <w:color w:val="000003"/>
          <w:sz w:val="19"/>
        </w:rPr>
        <w:t xml:space="preserve">д, пиразинамид и этамбутол </w:t>
      </w:r>
      <w:r>
        <w:rPr>
          <w:rFonts w:ascii="Times New Roman" w:eastAsia="Times New Roman" w:hAnsi="Times New Roman" w:cs="Times New Roman"/>
          <w:color w:val="000003"/>
          <w:sz w:val="19"/>
        </w:rPr>
        <w:t>[1]</w:t>
      </w:r>
      <w:r>
        <w:rPr>
          <w:rFonts w:ascii="Times New Roman" w:eastAsia="Times New Roman" w:hAnsi="Times New Roman" w:cs="Times New Roman"/>
          <w:i/>
          <w:color w:val="000003"/>
          <w:sz w:val="19"/>
        </w:rPr>
        <w:t>, однако</w:t>
      </w:r>
      <w:r>
        <w:rPr>
          <w:rFonts w:ascii="Times New Roman" w:eastAsia="Times New Roman" w:hAnsi="Times New Roman" w:cs="Times New Roman"/>
          <w:b/>
          <w:i/>
          <w:color w:val="000003"/>
          <w:sz w:val="19"/>
        </w:rPr>
        <w:t xml:space="preserve"> </w:t>
      </w:r>
      <w:r>
        <w:rPr>
          <w:rFonts w:ascii="Times New Roman" w:eastAsia="Times New Roman" w:hAnsi="Times New Roman" w:cs="Times New Roman"/>
          <w:i/>
          <w:color w:val="000003"/>
          <w:sz w:val="19"/>
        </w:rPr>
        <w:t>ввиду роста распространения туберкулеза с множественной лекарственной устойчивостью для проведения эффективного лечения требуется определение чувствительности к лекарственным препаратам. Лечение туберкулеза проводится</w:t>
      </w:r>
      <w:r>
        <w:rPr>
          <w:rFonts w:ascii="Times New Roman" w:eastAsia="Times New Roman" w:hAnsi="Times New Roman" w:cs="Times New Roman"/>
          <w:i/>
          <w:color w:val="000003"/>
          <w:sz w:val="19"/>
        </w:rPr>
        <w:t xml:space="preserve"> в противотуберкулезном диспансере под контролем врача-фтизиатра.</w:t>
      </w:r>
    </w:p>
    <w:p w:rsidR="002D5C2A" w:rsidRDefault="00280B42">
      <w:pPr>
        <w:numPr>
          <w:ilvl w:val="0"/>
          <w:numId w:val="6"/>
        </w:numPr>
        <w:spacing w:after="5" w:line="254" w:lineRule="auto"/>
        <w:ind w:right="73" w:firstLine="273"/>
        <w:jc w:val="both"/>
      </w:pPr>
      <w:r>
        <w:rPr>
          <w:rFonts w:ascii="Times New Roman" w:eastAsia="Times New Roman" w:hAnsi="Times New Roman" w:cs="Times New Roman"/>
          <w:color w:val="000003"/>
          <w:sz w:val="19"/>
        </w:rPr>
        <w:t>Пациентам с эзофагитом, вызванным вирусом опоясывающего лишая и ветряной оспы, с целью проведения этиотропной терапии</w:t>
      </w:r>
      <w:r>
        <w:rPr>
          <w:rFonts w:ascii="Times New Roman" w:eastAsia="Times New Roman" w:hAnsi="Times New Roman" w:cs="Times New Roman"/>
          <w:i/>
          <w:color w:val="000003"/>
          <w:sz w:val="19"/>
        </w:rPr>
        <w:t xml:space="preserve"> </w:t>
      </w:r>
      <w:r>
        <w:rPr>
          <w:rFonts w:ascii="Times New Roman" w:eastAsia="Times New Roman" w:hAnsi="Times New Roman" w:cs="Times New Roman"/>
          <w:color w:val="000003"/>
          <w:sz w:val="19"/>
        </w:rPr>
        <w:t>рекомендуется пероральное назначение противовирусной терапии ацикловиром</w:t>
      </w:r>
      <w:r>
        <w:rPr>
          <w:rFonts w:ascii="Times New Roman" w:eastAsia="Times New Roman" w:hAnsi="Times New Roman" w:cs="Times New Roman"/>
          <w:color w:val="000003"/>
          <w:sz w:val="19"/>
        </w:rPr>
        <w:t xml:space="preserve"> в дозе 800 мг 5 раз в день в течение 7 дней.</w:t>
      </w:r>
    </w:p>
    <w:p w:rsidR="002D5C2A" w:rsidRDefault="00280B42">
      <w:pPr>
        <w:spacing w:after="3" w:line="254" w:lineRule="auto"/>
        <w:ind w:left="-15" w:firstLine="273"/>
      </w:pPr>
      <w:r>
        <w:rPr>
          <w:rFonts w:ascii="Times New Roman" w:eastAsia="Times New Roman" w:hAnsi="Times New Roman" w:cs="Times New Roman"/>
          <w:b/>
          <w:color w:val="000003"/>
          <w:sz w:val="19"/>
        </w:rPr>
        <w:t>Уровень убедительности рекомендаций С (уровень достоверности доказательств — 5)</w:t>
      </w:r>
    </w:p>
    <w:p w:rsidR="002D5C2A" w:rsidRDefault="00280B42">
      <w:pPr>
        <w:spacing w:after="170" w:line="252" w:lineRule="auto"/>
        <w:ind w:left="-13" w:right="88" w:firstLine="273"/>
        <w:jc w:val="both"/>
      </w:pPr>
      <w:r>
        <w:rPr>
          <w:rFonts w:ascii="Times New Roman" w:eastAsia="Times New Roman" w:hAnsi="Times New Roman" w:cs="Times New Roman"/>
          <w:b/>
          <w:color w:val="000003"/>
          <w:sz w:val="19"/>
        </w:rPr>
        <w:t xml:space="preserve">Комментарии: </w:t>
      </w:r>
      <w:r>
        <w:rPr>
          <w:rFonts w:ascii="Times New Roman" w:eastAsia="Times New Roman" w:hAnsi="Times New Roman" w:cs="Times New Roman"/>
          <w:i/>
          <w:color w:val="000003"/>
          <w:sz w:val="19"/>
        </w:rPr>
        <w:t>препаратом первой линии при лечении эзофагита, вызванного вирусом опоясывающего лишая и ветряной оспы, назначается ац</w:t>
      </w:r>
      <w:r>
        <w:rPr>
          <w:rFonts w:ascii="Times New Roman" w:eastAsia="Times New Roman" w:hAnsi="Times New Roman" w:cs="Times New Roman"/>
          <w:i/>
          <w:color w:val="000003"/>
          <w:sz w:val="19"/>
        </w:rPr>
        <w:t xml:space="preserve">икловир в дозе 800 мг перорально 5 раз в день в течение 7 дней </w:t>
      </w:r>
      <w:r>
        <w:rPr>
          <w:rFonts w:ascii="Times New Roman" w:eastAsia="Times New Roman" w:hAnsi="Times New Roman" w:cs="Times New Roman"/>
          <w:color w:val="000003"/>
          <w:sz w:val="19"/>
        </w:rPr>
        <w:t>[4]</w:t>
      </w:r>
      <w:r>
        <w:rPr>
          <w:rFonts w:ascii="Times New Roman" w:eastAsia="Times New Roman" w:hAnsi="Times New Roman" w:cs="Times New Roman"/>
          <w:i/>
          <w:color w:val="000003"/>
          <w:sz w:val="19"/>
        </w:rPr>
        <w:t xml:space="preserve">. Пациентам, которые не могут принимать ацикловир перорально, выполняется внутривенное введение препарата, рекомендуемая доза 10–12 мг/кг 3 раза в день в течение 7 дней </w:t>
      </w:r>
      <w:r>
        <w:rPr>
          <w:rFonts w:ascii="Times New Roman" w:eastAsia="Times New Roman" w:hAnsi="Times New Roman" w:cs="Times New Roman"/>
          <w:color w:val="000003"/>
          <w:sz w:val="19"/>
        </w:rPr>
        <w:t>[4]</w:t>
      </w:r>
      <w:r>
        <w:rPr>
          <w:rFonts w:ascii="Times New Roman" w:eastAsia="Times New Roman" w:hAnsi="Times New Roman" w:cs="Times New Roman"/>
          <w:i/>
          <w:color w:val="000003"/>
          <w:sz w:val="19"/>
        </w:rPr>
        <w:t xml:space="preserve">. Также пациентам </w:t>
      </w:r>
      <w:r>
        <w:rPr>
          <w:rFonts w:ascii="Times New Roman" w:eastAsia="Times New Roman" w:hAnsi="Times New Roman" w:cs="Times New Roman"/>
          <w:i/>
          <w:color w:val="000003"/>
          <w:sz w:val="19"/>
        </w:rPr>
        <w:t xml:space="preserve">может быть назначен пероральный прием фамцикловира 500 мг 3 раза в день или валацикловира по 1 г 3 раза в сутки в течение 7 дней </w:t>
      </w:r>
      <w:r>
        <w:rPr>
          <w:rFonts w:ascii="Times New Roman" w:eastAsia="Times New Roman" w:hAnsi="Times New Roman" w:cs="Times New Roman"/>
          <w:color w:val="000003"/>
          <w:sz w:val="19"/>
        </w:rPr>
        <w:t>[4]</w:t>
      </w:r>
      <w:r>
        <w:rPr>
          <w:rFonts w:ascii="Times New Roman" w:eastAsia="Times New Roman" w:hAnsi="Times New Roman" w:cs="Times New Roman"/>
          <w:i/>
          <w:color w:val="000003"/>
          <w:sz w:val="19"/>
        </w:rPr>
        <w:t xml:space="preserve">. При развитии резистентности к ацикловиру может быть рекомендован фоскарнет перорально в дозировке 40 мг/кг 3 раза в сутки </w:t>
      </w:r>
      <w:r>
        <w:rPr>
          <w:rFonts w:ascii="Times New Roman" w:eastAsia="Times New Roman" w:hAnsi="Times New Roman" w:cs="Times New Roman"/>
          <w:i/>
          <w:color w:val="000003"/>
          <w:sz w:val="19"/>
        </w:rPr>
        <w:t xml:space="preserve">в течение 10–14 дней </w:t>
      </w:r>
      <w:r>
        <w:rPr>
          <w:rFonts w:ascii="Times New Roman" w:eastAsia="Times New Roman" w:hAnsi="Times New Roman" w:cs="Times New Roman"/>
          <w:color w:val="000003"/>
          <w:sz w:val="19"/>
        </w:rPr>
        <w:t>[4]</w:t>
      </w:r>
      <w:r>
        <w:rPr>
          <w:rFonts w:ascii="Times New Roman" w:eastAsia="Times New Roman" w:hAnsi="Times New Roman" w:cs="Times New Roman"/>
          <w:i/>
          <w:color w:val="000003"/>
          <w:sz w:val="19"/>
        </w:rPr>
        <w:t>.</w:t>
      </w:r>
    </w:p>
    <w:p w:rsidR="002D5C2A" w:rsidRDefault="00280B42">
      <w:pPr>
        <w:pStyle w:val="Heading3"/>
        <w:ind w:left="278"/>
      </w:pPr>
      <w:r>
        <w:t>3.2 Хирургическое лечение</w:t>
      </w:r>
    </w:p>
    <w:p w:rsidR="002D5C2A" w:rsidRDefault="00280B42">
      <w:pPr>
        <w:spacing w:after="5" w:line="254" w:lineRule="auto"/>
        <w:ind w:left="-13" w:right="73" w:firstLine="273"/>
        <w:jc w:val="both"/>
      </w:pPr>
      <w:r>
        <w:rPr>
          <w:rFonts w:ascii="Times New Roman" w:eastAsia="Times New Roman" w:hAnsi="Times New Roman" w:cs="Times New Roman"/>
          <w:color w:val="000003"/>
          <w:sz w:val="19"/>
        </w:rPr>
        <w:t>• Хирургическое лечение при инфекционных эзофагитах рекомендуется только в случаях туберкулеза пищевода с распадом, значимой дисфагией или формированием свищевых ходов [103].</w:t>
      </w:r>
    </w:p>
    <w:p w:rsidR="002D5C2A" w:rsidRDefault="00280B42">
      <w:pPr>
        <w:spacing w:after="0"/>
        <w:ind w:left="10" w:right="73" w:hanging="10"/>
        <w:jc w:val="right"/>
      </w:pPr>
      <w:r>
        <w:rPr>
          <w:rFonts w:ascii="Times New Roman" w:eastAsia="Times New Roman" w:hAnsi="Times New Roman" w:cs="Times New Roman"/>
          <w:b/>
          <w:color w:val="000003"/>
          <w:sz w:val="19"/>
        </w:rPr>
        <w:t xml:space="preserve">Уровень убедительности рекомендаций C </w:t>
      </w:r>
    </w:p>
    <w:p w:rsidR="002D5C2A" w:rsidRDefault="00280B42">
      <w:pPr>
        <w:spacing w:after="3" w:line="254" w:lineRule="auto"/>
        <w:ind w:left="-15"/>
      </w:pPr>
      <w:r>
        <w:rPr>
          <w:rFonts w:ascii="Times New Roman" w:eastAsia="Times New Roman" w:hAnsi="Times New Roman" w:cs="Times New Roman"/>
          <w:b/>
          <w:color w:val="000003"/>
          <w:sz w:val="19"/>
        </w:rPr>
        <w:t>(уровень достоверности доказательств — 4)</w:t>
      </w:r>
    </w:p>
    <w:p w:rsidR="002D5C2A" w:rsidRDefault="00280B42">
      <w:pPr>
        <w:spacing w:after="343" w:line="252" w:lineRule="auto"/>
        <w:ind w:left="-13" w:right="88" w:firstLine="273"/>
        <w:jc w:val="both"/>
      </w:pPr>
      <w:r>
        <w:rPr>
          <w:rFonts w:ascii="Times New Roman" w:eastAsia="Times New Roman" w:hAnsi="Times New Roman" w:cs="Times New Roman"/>
          <w:b/>
          <w:color w:val="000003"/>
          <w:sz w:val="19"/>
        </w:rPr>
        <w:t xml:space="preserve">Комментарии: </w:t>
      </w:r>
      <w:r>
        <w:rPr>
          <w:rFonts w:ascii="Times New Roman" w:eastAsia="Times New Roman" w:hAnsi="Times New Roman" w:cs="Times New Roman"/>
          <w:i/>
          <w:color w:val="000003"/>
          <w:sz w:val="19"/>
        </w:rPr>
        <w:t>пациентам, страдающим осложненным течением туберкулеза пищевода, хирургическая помощь, как правило, оказывается в плановом порядке.</w:t>
      </w:r>
    </w:p>
    <w:p w:rsidR="002D5C2A" w:rsidRDefault="00280B42">
      <w:pPr>
        <w:pStyle w:val="Heading2"/>
        <w:spacing w:line="254" w:lineRule="auto"/>
        <w:ind w:left="278"/>
        <w:jc w:val="left"/>
      </w:pPr>
      <w:r>
        <w:t>4. Профилактика и диспансерное</w:t>
      </w:r>
      <w:r>
        <w:t xml:space="preserve"> наблюдение, медицинские показания и противопоказания к применению методов профилактики</w:t>
      </w:r>
    </w:p>
    <w:p w:rsidR="002D5C2A" w:rsidRDefault="00280B42">
      <w:pPr>
        <w:spacing w:after="5" w:line="254" w:lineRule="auto"/>
        <w:ind w:left="-13" w:right="73" w:firstLine="273"/>
        <w:jc w:val="both"/>
      </w:pPr>
      <w:r>
        <w:rPr>
          <w:rFonts w:ascii="Times New Roman" w:eastAsia="Times New Roman" w:hAnsi="Times New Roman" w:cs="Times New Roman"/>
          <w:color w:val="000003"/>
          <w:sz w:val="19"/>
        </w:rPr>
        <w:t>• Всем лицам после проведения трансплантации органов с высоким риском развития ЦМВинфекции при отсутствии противопоказаний рекомендуется назначение валганцикловира с це</w:t>
      </w:r>
      <w:r>
        <w:rPr>
          <w:rFonts w:ascii="Times New Roman" w:eastAsia="Times New Roman" w:hAnsi="Times New Roman" w:cs="Times New Roman"/>
          <w:color w:val="000003"/>
          <w:sz w:val="19"/>
        </w:rPr>
        <w:t>лью профилактики развития ЦМВ-эзофагита в течение 3</w:t>
      </w:r>
      <w:r>
        <w:rPr>
          <w:rFonts w:ascii="Times New Roman" w:eastAsia="Times New Roman" w:hAnsi="Times New Roman" w:cs="Times New Roman"/>
          <w:i/>
          <w:color w:val="000003"/>
          <w:sz w:val="19"/>
        </w:rPr>
        <w:t>–</w:t>
      </w:r>
      <w:r>
        <w:rPr>
          <w:rFonts w:ascii="Times New Roman" w:eastAsia="Times New Roman" w:hAnsi="Times New Roman" w:cs="Times New Roman"/>
          <w:color w:val="000003"/>
          <w:sz w:val="19"/>
        </w:rPr>
        <w:t>6 месяцев начиная с 10-го дня после проведения трансплантации [104, 105].</w:t>
      </w:r>
    </w:p>
    <w:p w:rsidR="002D5C2A" w:rsidRDefault="00280B42">
      <w:pPr>
        <w:spacing w:after="0"/>
        <w:ind w:left="10" w:right="73" w:hanging="10"/>
        <w:jc w:val="right"/>
      </w:pPr>
      <w:r>
        <w:rPr>
          <w:rFonts w:ascii="Times New Roman" w:eastAsia="Times New Roman" w:hAnsi="Times New Roman" w:cs="Times New Roman"/>
          <w:b/>
          <w:color w:val="000003"/>
          <w:sz w:val="19"/>
        </w:rPr>
        <w:t xml:space="preserve">Уровень убедительности рекомендаций A </w:t>
      </w:r>
    </w:p>
    <w:p w:rsidR="002D5C2A" w:rsidRDefault="00280B42">
      <w:pPr>
        <w:spacing w:after="344" w:line="249" w:lineRule="auto"/>
      </w:pPr>
      <w:r>
        <w:rPr>
          <w:rFonts w:ascii="Times New Roman" w:eastAsia="Times New Roman" w:hAnsi="Times New Roman" w:cs="Times New Roman"/>
          <w:b/>
          <w:color w:val="000003"/>
          <w:sz w:val="19"/>
        </w:rPr>
        <w:t xml:space="preserve">(уровень достоверности доказательств — 2) Комментарии: </w:t>
      </w:r>
      <w:r>
        <w:rPr>
          <w:rFonts w:ascii="Times New Roman" w:eastAsia="Times New Roman" w:hAnsi="Times New Roman" w:cs="Times New Roman"/>
          <w:i/>
          <w:color w:val="000003"/>
          <w:sz w:val="19"/>
        </w:rPr>
        <w:t>учитывая высокую частоту развития пе</w:t>
      </w:r>
      <w:r>
        <w:rPr>
          <w:rFonts w:ascii="Times New Roman" w:eastAsia="Times New Roman" w:hAnsi="Times New Roman" w:cs="Times New Roman"/>
          <w:i/>
          <w:color w:val="000003"/>
          <w:sz w:val="19"/>
        </w:rPr>
        <w:t>рвичной инфекции и реактивации ЦМВ, профилактика после проведенной трансплантации внутренних органов имеет первостепенное значение ввиду снижения риска инфицирования и реактивации ЦМВ и, как следствие, развития ЦМВ-эзофагита. К группе риска относятся ЦМВ-с</w:t>
      </w:r>
      <w:r>
        <w:rPr>
          <w:rFonts w:ascii="Times New Roman" w:eastAsia="Times New Roman" w:hAnsi="Times New Roman" w:cs="Times New Roman"/>
          <w:i/>
          <w:color w:val="000003"/>
          <w:sz w:val="19"/>
        </w:rPr>
        <w:t xml:space="preserve">еропозитивные пациенты, ЦМВсеронегативные пациенты после пересадки органов от ЦМВ-серопозитивных доноров, а также пациенты, получающие иммуносупрессивную терапию ввиду эпизодов отторжения трансплантата </w:t>
      </w:r>
      <w:r>
        <w:rPr>
          <w:rFonts w:ascii="Times New Roman" w:eastAsia="Times New Roman" w:hAnsi="Times New Roman" w:cs="Times New Roman"/>
          <w:color w:val="000003"/>
          <w:sz w:val="19"/>
        </w:rPr>
        <w:t>[1]</w:t>
      </w:r>
      <w:r>
        <w:rPr>
          <w:rFonts w:ascii="Times New Roman" w:eastAsia="Times New Roman" w:hAnsi="Times New Roman" w:cs="Times New Roman"/>
          <w:i/>
          <w:color w:val="000003"/>
          <w:sz w:val="19"/>
        </w:rPr>
        <w:t xml:space="preserve">. Валганцикловир назначается в дозе 900 мг в сутки </w:t>
      </w:r>
      <w:r>
        <w:rPr>
          <w:rFonts w:ascii="Times New Roman" w:eastAsia="Times New Roman" w:hAnsi="Times New Roman" w:cs="Times New Roman"/>
          <w:i/>
          <w:color w:val="000003"/>
          <w:sz w:val="19"/>
        </w:rPr>
        <w:t xml:space="preserve">в течение 3–6 месяцев начиная с 10-го дня после проведения трансплантации, продолжительность профилактики зависит от степени иммуносупрессии </w:t>
      </w:r>
      <w:r>
        <w:rPr>
          <w:rFonts w:ascii="Times New Roman" w:eastAsia="Times New Roman" w:hAnsi="Times New Roman" w:cs="Times New Roman"/>
          <w:color w:val="000003"/>
          <w:sz w:val="19"/>
        </w:rPr>
        <w:t>[105]</w:t>
      </w:r>
      <w:r>
        <w:rPr>
          <w:rFonts w:ascii="Times New Roman" w:eastAsia="Times New Roman" w:hAnsi="Times New Roman" w:cs="Times New Roman"/>
          <w:i/>
          <w:color w:val="000003"/>
          <w:sz w:val="19"/>
        </w:rPr>
        <w:t>. Согласно данным метаанализа, обобщившего результаты 32 рандомизированных клинических исследований, профилакт</w:t>
      </w:r>
      <w:r>
        <w:rPr>
          <w:rFonts w:ascii="Times New Roman" w:eastAsia="Times New Roman" w:hAnsi="Times New Roman" w:cs="Times New Roman"/>
          <w:i/>
          <w:color w:val="000003"/>
          <w:sz w:val="19"/>
        </w:rPr>
        <w:t xml:space="preserve">ика противовирусными препаратами снижает риск развития ЦМВ-инфекции, а также связанную с ней летальность у пациентов после трансплантации внутренних органов и рекомендуется для проведения всем пациентам из группы риска </w:t>
      </w:r>
      <w:r>
        <w:rPr>
          <w:rFonts w:ascii="Times New Roman" w:eastAsia="Times New Roman" w:hAnsi="Times New Roman" w:cs="Times New Roman"/>
          <w:color w:val="000003"/>
          <w:sz w:val="19"/>
        </w:rPr>
        <w:t>[106]</w:t>
      </w:r>
      <w:r>
        <w:rPr>
          <w:rFonts w:ascii="Times New Roman" w:eastAsia="Times New Roman" w:hAnsi="Times New Roman" w:cs="Times New Roman"/>
          <w:i/>
          <w:color w:val="000003"/>
          <w:sz w:val="19"/>
        </w:rPr>
        <w:t>.</w:t>
      </w:r>
    </w:p>
    <w:p w:rsidR="002D5C2A" w:rsidRDefault="00280B42">
      <w:pPr>
        <w:pStyle w:val="Heading2"/>
        <w:spacing w:line="254" w:lineRule="auto"/>
        <w:ind w:left="278"/>
        <w:jc w:val="left"/>
      </w:pPr>
      <w:r>
        <w:t>5. Организация оказания медици</w:t>
      </w:r>
      <w:r>
        <w:t>нской помощи</w:t>
      </w:r>
    </w:p>
    <w:p w:rsidR="002D5C2A" w:rsidRDefault="00280B42">
      <w:pPr>
        <w:spacing w:after="340" w:line="254" w:lineRule="auto"/>
        <w:ind w:left="-13" w:firstLine="273"/>
        <w:jc w:val="both"/>
      </w:pPr>
      <w:r>
        <w:rPr>
          <w:rFonts w:ascii="Times New Roman" w:eastAsia="Times New Roman" w:hAnsi="Times New Roman" w:cs="Times New Roman"/>
          <w:color w:val="000003"/>
          <w:sz w:val="19"/>
        </w:rPr>
        <w:t>Показаниями к плановой госпитализации пациентов с инфекционным эзофагитом служат резко выраженная клиническая картина с упорной дисфагией и одинофагией, обострение инфекционного эзофагита в анамнезе, инфекционный эзофагит с сопутствующими забо</w:t>
      </w:r>
      <w:r>
        <w:rPr>
          <w:rFonts w:ascii="Times New Roman" w:eastAsia="Times New Roman" w:hAnsi="Times New Roman" w:cs="Times New Roman"/>
          <w:color w:val="000003"/>
          <w:sz w:val="19"/>
        </w:rPr>
        <w:t>леваниями. Продолжительность стационарного лечения пациентов с инфекционным эзофагитом должна составлять 14</w:t>
      </w:r>
      <w:r>
        <w:rPr>
          <w:rFonts w:ascii="Times New Roman" w:eastAsia="Times New Roman" w:hAnsi="Times New Roman" w:cs="Times New Roman"/>
          <w:i/>
          <w:color w:val="000003"/>
          <w:sz w:val="19"/>
        </w:rPr>
        <w:t>–</w:t>
      </w:r>
      <w:r>
        <w:rPr>
          <w:rFonts w:ascii="Times New Roman" w:eastAsia="Times New Roman" w:hAnsi="Times New Roman" w:cs="Times New Roman"/>
          <w:color w:val="000003"/>
          <w:sz w:val="19"/>
        </w:rPr>
        <w:t>21 день. Показаниями к экстренной госпитализации пациентов с инфекционным эзофагитом служат: наличие признаков желудочного кровотечения (мелена, рво</w:t>
      </w:r>
      <w:r>
        <w:rPr>
          <w:rFonts w:ascii="Times New Roman" w:eastAsia="Times New Roman" w:hAnsi="Times New Roman" w:cs="Times New Roman"/>
          <w:color w:val="000003"/>
          <w:sz w:val="19"/>
        </w:rPr>
        <w:t xml:space="preserve">та с кровью), перфорации и пенетрации язвы. Пациенты с неосложненным течением инфекционного эзофагита подлежат лечению в амбулаторных условиях. Пациентам с инфекционным эзофагитом оказывается специализированная медицинская помощь как в амбулаторных, так и </w:t>
      </w:r>
      <w:r>
        <w:rPr>
          <w:rFonts w:ascii="Times New Roman" w:eastAsia="Times New Roman" w:hAnsi="Times New Roman" w:cs="Times New Roman"/>
          <w:color w:val="000003"/>
          <w:sz w:val="19"/>
        </w:rPr>
        <w:t>в стационарных условиях в соответствии со стандартом специализированной медицинской помощи при инфекционном эзофагите.</w:t>
      </w:r>
    </w:p>
    <w:p w:rsidR="002D5C2A" w:rsidRDefault="00280B42">
      <w:pPr>
        <w:pStyle w:val="Heading2"/>
        <w:spacing w:after="110"/>
        <w:ind w:left="278" w:right="397"/>
      </w:pPr>
      <w:r>
        <w:t>6. Дополнительная информация (в том числе факторы, влияющие на исход заболевания или состояния)</w:t>
      </w:r>
    </w:p>
    <w:p w:rsidR="002D5C2A" w:rsidRDefault="00280B42">
      <w:pPr>
        <w:spacing w:after="52" w:line="254" w:lineRule="auto"/>
        <w:ind w:left="278" w:hanging="10"/>
      </w:pPr>
      <w:r>
        <w:rPr>
          <w:rFonts w:ascii="Times New Roman" w:eastAsia="Times New Roman" w:hAnsi="Times New Roman" w:cs="Times New Roman"/>
          <w:b/>
          <w:color w:val="009EE4"/>
          <w:sz w:val="19"/>
        </w:rPr>
        <w:t>6.1. Особенности течения инфекционного эзофагита у отдельных групп пациентов указаны в подразделе 1.6</w:t>
      </w:r>
    </w:p>
    <w:tbl>
      <w:tblPr>
        <w:tblStyle w:val="TableGrid"/>
        <w:tblpPr w:vertAnchor="text" w:horzAnchor="margin"/>
        <w:tblOverlap w:val="never"/>
        <w:tblW w:w="9643" w:type="dxa"/>
        <w:tblInd w:w="0" w:type="dxa"/>
        <w:tblCellMar>
          <w:top w:w="2" w:type="dxa"/>
          <w:left w:w="5" w:type="dxa"/>
          <w:bottom w:w="0" w:type="dxa"/>
          <w:right w:w="0" w:type="dxa"/>
        </w:tblCellMar>
        <w:tblLook w:val="04A0" w:firstRow="1" w:lastRow="0" w:firstColumn="1" w:lastColumn="0" w:noHBand="0" w:noVBand="1"/>
      </w:tblPr>
      <w:tblGrid>
        <w:gridCol w:w="9541"/>
      </w:tblGrid>
      <w:tr w:rsidR="002D5C2A">
        <w:trPr>
          <w:trHeight w:val="6762"/>
        </w:trPr>
        <w:tc>
          <w:tcPr>
            <w:tcW w:w="9541" w:type="dxa"/>
            <w:tcBorders>
              <w:top w:val="nil"/>
              <w:left w:val="nil"/>
              <w:bottom w:val="nil"/>
              <w:right w:val="nil"/>
            </w:tcBorders>
          </w:tcPr>
          <w:p w:rsidR="002D5C2A" w:rsidRDefault="00280B42">
            <w:pPr>
              <w:spacing w:after="50"/>
              <w:ind w:left="165"/>
            </w:pPr>
            <w:r>
              <w:rPr>
                <w:rFonts w:ascii="Times New Roman" w:eastAsia="Times New Roman" w:hAnsi="Times New Roman" w:cs="Times New Roman"/>
                <w:i/>
                <w:color w:val="000003"/>
                <w:sz w:val="20"/>
              </w:rPr>
              <w:t>Таблица 1.</w:t>
            </w:r>
            <w:r>
              <w:rPr>
                <w:rFonts w:ascii="Times New Roman" w:eastAsia="Times New Roman" w:hAnsi="Times New Roman" w:cs="Times New Roman"/>
                <w:color w:val="000003"/>
                <w:sz w:val="20"/>
              </w:rPr>
              <w:t xml:space="preserve"> Критерии оценки качества медицинской помощи</w:t>
            </w:r>
          </w:p>
          <w:p w:rsidR="002D5C2A" w:rsidRDefault="00280B42">
            <w:pPr>
              <w:spacing w:after="0"/>
              <w:ind w:left="165"/>
            </w:pPr>
            <w:r>
              <w:rPr>
                <w:rFonts w:ascii="Times New Roman" w:eastAsia="Times New Roman" w:hAnsi="Times New Roman" w:cs="Times New Roman"/>
                <w:i/>
                <w:color w:val="000003"/>
                <w:sz w:val="20"/>
              </w:rPr>
              <w:t>Table 1.</w:t>
            </w:r>
            <w:r>
              <w:rPr>
                <w:rFonts w:ascii="Times New Roman" w:eastAsia="Times New Roman" w:hAnsi="Times New Roman" w:cs="Times New Roman"/>
                <w:color w:val="000003"/>
                <w:sz w:val="20"/>
              </w:rPr>
              <w:t xml:space="preserve"> Criteria for medical care quality assessment</w:t>
            </w:r>
          </w:p>
          <w:tbl>
            <w:tblPr>
              <w:tblStyle w:val="TableGrid"/>
              <w:tblW w:w="9638" w:type="dxa"/>
              <w:tblInd w:w="0" w:type="dxa"/>
              <w:tblCellMar>
                <w:top w:w="50" w:type="dxa"/>
                <w:left w:w="85" w:type="dxa"/>
                <w:bottom w:w="0" w:type="dxa"/>
                <w:right w:w="48" w:type="dxa"/>
              </w:tblCellMar>
              <w:tblLook w:val="04A0" w:firstRow="1" w:lastRow="0" w:firstColumn="1" w:lastColumn="0" w:noHBand="0" w:noVBand="1"/>
            </w:tblPr>
            <w:tblGrid>
              <w:gridCol w:w="567"/>
              <w:gridCol w:w="9071"/>
            </w:tblGrid>
            <w:tr w:rsidR="002D5C2A">
              <w:trPr>
                <w:trHeight w:val="493"/>
              </w:trPr>
              <w:tc>
                <w:tcPr>
                  <w:tcW w:w="567" w:type="dxa"/>
                  <w:tcBorders>
                    <w:top w:val="single" w:sz="4" w:space="0" w:color="000003"/>
                    <w:left w:val="single" w:sz="4" w:space="0" w:color="000003"/>
                    <w:bottom w:val="single" w:sz="4" w:space="0" w:color="000003"/>
                    <w:right w:val="single" w:sz="4" w:space="0" w:color="000003"/>
                  </w:tcBorders>
                  <w:shd w:val="clear" w:color="auto" w:fill="EFEFF0"/>
                </w:tcPr>
                <w:p w:rsidR="002D5C2A" w:rsidRDefault="00280B42">
                  <w:pPr>
                    <w:framePr w:wrap="around" w:vAnchor="text" w:hAnchor="margin"/>
                    <w:spacing w:after="0"/>
                    <w:ind w:left="96"/>
                    <w:suppressOverlap/>
                    <w:jc w:val="both"/>
                  </w:pPr>
                  <w:r>
                    <w:rPr>
                      <w:rFonts w:ascii="Times New Roman" w:eastAsia="Times New Roman" w:hAnsi="Times New Roman" w:cs="Times New Roman"/>
                      <w:color w:val="000003"/>
                      <w:sz w:val="18"/>
                    </w:rPr>
                    <w:t>№</w:t>
                  </w:r>
                </w:p>
                <w:p w:rsidR="002D5C2A" w:rsidRDefault="00280B42">
                  <w:pPr>
                    <w:framePr w:wrap="around" w:vAnchor="text" w:hAnchor="margin"/>
                    <w:spacing w:after="0"/>
                    <w:ind w:left="73"/>
                    <w:suppressOverlap/>
                  </w:pPr>
                  <w:r>
                    <w:rPr>
                      <w:rFonts w:ascii="Times New Roman" w:eastAsia="Times New Roman" w:hAnsi="Times New Roman" w:cs="Times New Roman"/>
                      <w:color w:val="000003"/>
                      <w:sz w:val="18"/>
                    </w:rPr>
                    <w:t>No</w:t>
                  </w:r>
                </w:p>
              </w:tc>
              <w:tc>
                <w:tcPr>
                  <w:tcW w:w="9071" w:type="dxa"/>
                  <w:tcBorders>
                    <w:top w:val="single" w:sz="4" w:space="0" w:color="000003"/>
                    <w:left w:val="single" w:sz="4" w:space="0" w:color="000003"/>
                    <w:bottom w:val="single" w:sz="4" w:space="0" w:color="000003"/>
                    <w:right w:val="single" w:sz="4" w:space="0" w:color="000003"/>
                  </w:tcBorders>
                  <w:shd w:val="clear" w:color="auto" w:fill="EFEFF0"/>
                </w:tcPr>
                <w:p w:rsidR="002D5C2A" w:rsidRDefault="00280B42">
                  <w:pPr>
                    <w:framePr w:wrap="around" w:vAnchor="text" w:hAnchor="margin"/>
                    <w:spacing w:after="0"/>
                    <w:ind w:left="3341" w:right="3298"/>
                    <w:suppressOverlap/>
                    <w:jc w:val="center"/>
                  </w:pPr>
                  <w:r>
                    <w:rPr>
                      <w:rFonts w:ascii="Times New Roman" w:eastAsia="Times New Roman" w:hAnsi="Times New Roman" w:cs="Times New Roman"/>
                      <w:color w:val="000003"/>
                      <w:sz w:val="18"/>
                    </w:rPr>
                    <w:t>Критерии качества Quality criteria</w:t>
                  </w:r>
                </w:p>
              </w:tc>
            </w:tr>
            <w:tr w:rsidR="002D5C2A">
              <w:trPr>
                <w:trHeight w:val="493"/>
              </w:trPr>
              <w:tc>
                <w:tcPr>
                  <w:tcW w:w="567" w:type="dxa"/>
                  <w:tcBorders>
                    <w:top w:val="single" w:sz="4" w:space="0" w:color="000003"/>
                    <w:left w:val="single" w:sz="4" w:space="0" w:color="000003"/>
                    <w:bottom w:val="single" w:sz="4" w:space="0" w:color="000003"/>
                    <w:right w:val="single" w:sz="4" w:space="0" w:color="000003"/>
                  </w:tcBorders>
                  <w:shd w:val="clear" w:color="auto" w:fill="EFEFF0"/>
                  <w:vAlign w:val="center"/>
                </w:tcPr>
                <w:p w:rsidR="002D5C2A" w:rsidRDefault="00280B42">
                  <w:pPr>
                    <w:framePr w:wrap="around" w:vAnchor="text" w:hAnchor="margin"/>
                    <w:spacing w:after="0"/>
                    <w:ind w:right="37"/>
                    <w:suppressOverlap/>
                    <w:jc w:val="center"/>
                  </w:pPr>
                  <w:r>
                    <w:rPr>
                      <w:rFonts w:ascii="Times New Roman" w:eastAsia="Times New Roman" w:hAnsi="Times New Roman" w:cs="Times New Roman"/>
                      <w:color w:val="000003"/>
                      <w:sz w:val="18"/>
                    </w:rPr>
                    <w:t>1</w:t>
                  </w:r>
                </w:p>
              </w:tc>
              <w:tc>
                <w:tcPr>
                  <w:tcW w:w="9071" w:type="dxa"/>
                  <w:tcBorders>
                    <w:top w:val="single" w:sz="4" w:space="0" w:color="000003"/>
                    <w:left w:val="single" w:sz="4" w:space="0" w:color="000003"/>
                    <w:bottom w:val="single" w:sz="4" w:space="0" w:color="000003"/>
                    <w:right w:val="single" w:sz="4" w:space="0" w:color="000003"/>
                  </w:tcBorders>
                  <w:shd w:val="clear" w:color="auto" w:fill="EFEFF0"/>
                </w:tcPr>
                <w:p w:rsidR="002D5C2A" w:rsidRDefault="00280B42">
                  <w:pPr>
                    <w:framePr w:wrap="around" w:vAnchor="text" w:hAnchor="margin"/>
                    <w:spacing w:after="0"/>
                    <w:suppressOverlap/>
                    <w:jc w:val="both"/>
                  </w:pPr>
                  <w:r>
                    <w:rPr>
                      <w:rFonts w:ascii="Times New Roman" w:eastAsia="Times New Roman" w:hAnsi="Times New Roman" w:cs="Times New Roman"/>
                      <w:color w:val="000003"/>
                      <w:sz w:val="18"/>
                    </w:rPr>
                    <w:t>Пациентам из группы высокого риска развития ЦМВ-эзофагита проведена профилактическая терапия Patients at high risk of developing infectious esophagitis underwent preventive therapy</w:t>
                  </w:r>
                </w:p>
              </w:tc>
            </w:tr>
            <w:tr w:rsidR="002D5C2A">
              <w:trPr>
                <w:trHeight w:val="493"/>
              </w:trPr>
              <w:tc>
                <w:tcPr>
                  <w:tcW w:w="567" w:type="dxa"/>
                  <w:tcBorders>
                    <w:top w:val="single" w:sz="4" w:space="0" w:color="000003"/>
                    <w:left w:val="single" w:sz="4" w:space="0" w:color="000003"/>
                    <w:bottom w:val="single" w:sz="4" w:space="0" w:color="000003"/>
                    <w:right w:val="single" w:sz="4" w:space="0" w:color="000003"/>
                  </w:tcBorders>
                  <w:shd w:val="clear" w:color="auto" w:fill="EFEFF0"/>
                  <w:vAlign w:val="center"/>
                </w:tcPr>
                <w:p w:rsidR="002D5C2A" w:rsidRDefault="00280B42">
                  <w:pPr>
                    <w:framePr w:wrap="around" w:vAnchor="text" w:hAnchor="margin"/>
                    <w:spacing w:after="0"/>
                    <w:ind w:right="37"/>
                    <w:suppressOverlap/>
                    <w:jc w:val="center"/>
                  </w:pPr>
                  <w:r>
                    <w:rPr>
                      <w:rFonts w:ascii="Times New Roman" w:eastAsia="Times New Roman" w:hAnsi="Times New Roman" w:cs="Times New Roman"/>
                      <w:color w:val="000003"/>
                      <w:sz w:val="18"/>
                    </w:rPr>
                    <w:t>2</w:t>
                  </w:r>
                </w:p>
              </w:tc>
              <w:tc>
                <w:tcPr>
                  <w:tcW w:w="9071" w:type="dxa"/>
                  <w:tcBorders>
                    <w:top w:val="single" w:sz="4" w:space="0" w:color="000003"/>
                    <w:left w:val="single" w:sz="4" w:space="0" w:color="000003"/>
                    <w:bottom w:val="single" w:sz="4" w:space="0" w:color="000003"/>
                    <w:right w:val="single" w:sz="4" w:space="0" w:color="000003"/>
                  </w:tcBorders>
                  <w:shd w:val="clear" w:color="auto" w:fill="EFEFF0"/>
                </w:tcPr>
                <w:p w:rsidR="002D5C2A" w:rsidRDefault="00280B42">
                  <w:pPr>
                    <w:framePr w:wrap="around" w:vAnchor="text" w:hAnchor="margin"/>
                    <w:spacing w:after="0"/>
                    <w:ind w:right="1883"/>
                    <w:suppressOverlap/>
                  </w:pPr>
                  <w:r>
                    <w:rPr>
                      <w:rFonts w:ascii="Times New Roman" w:eastAsia="Times New Roman" w:hAnsi="Times New Roman" w:cs="Times New Roman"/>
                      <w:color w:val="000003"/>
                      <w:sz w:val="18"/>
                    </w:rPr>
                    <w:t>Выполнена эзофагогастродуоденоскопия с биопсией Esophagogastroduodenoscopy with biopsy performed</w:t>
                  </w:r>
                </w:p>
              </w:tc>
            </w:tr>
            <w:tr w:rsidR="002D5C2A">
              <w:trPr>
                <w:trHeight w:val="493"/>
              </w:trPr>
              <w:tc>
                <w:tcPr>
                  <w:tcW w:w="567" w:type="dxa"/>
                  <w:tcBorders>
                    <w:top w:val="single" w:sz="4" w:space="0" w:color="000003"/>
                    <w:left w:val="single" w:sz="4" w:space="0" w:color="000003"/>
                    <w:bottom w:val="single" w:sz="4" w:space="0" w:color="000003"/>
                    <w:right w:val="single" w:sz="4" w:space="0" w:color="000003"/>
                  </w:tcBorders>
                  <w:shd w:val="clear" w:color="auto" w:fill="EFEFF0"/>
                  <w:vAlign w:val="center"/>
                </w:tcPr>
                <w:p w:rsidR="002D5C2A" w:rsidRDefault="00280B42">
                  <w:pPr>
                    <w:framePr w:wrap="around" w:vAnchor="text" w:hAnchor="margin"/>
                    <w:spacing w:after="0"/>
                    <w:ind w:right="37"/>
                    <w:suppressOverlap/>
                    <w:jc w:val="center"/>
                  </w:pPr>
                  <w:r>
                    <w:rPr>
                      <w:rFonts w:ascii="Times New Roman" w:eastAsia="Times New Roman" w:hAnsi="Times New Roman" w:cs="Times New Roman"/>
                      <w:color w:val="000003"/>
                      <w:sz w:val="18"/>
                    </w:rPr>
                    <w:t>3</w:t>
                  </w:r>
                </w:p>
              </w:tc>
              <w:tc>
                <w:tcPr>
                  <w:tcW w:w="9071" w:type="dxa"/>
                  <w:tcBorders>
                    <w:top w:val="single" w:sz="4" w:space="0" w:color="000003"/>
                    <w:left w:val="single" w:sz="4" w:space="0" w:color="000003"/>
                    <w:bottom w:val="single" w:sz="4" w:space="0" w:color="000003"/>
                    <w:right w:val="single" w:sz="4" w:space="0" w:color="000003"/>
                  </w:tcBorders>
                  <w:shd w:val="clear" w:color="auto" w:fill="EFEFF0"/>
                </w:tcPr>
                <w:p w:rsidR="002D5C2A" w:rsidRDefault="00280B42">
                  <w:pPr>
                    <w:framePr w:wrap="around" w:vAnchor="text" w:hAnchor="margin"/>
                    <w:spacing w:after="0"/>
                    <w:ind w:right="975"/>
                    <w:suppressOverlap/>
                  </w:pPr>
                  <w:r>
                    <w:rPr>
                      <w:rFonts w:ascii="Times New Roman" w:eastAsia="Times New Roman" w:hAnsi="Times New Roman" w:cs="Times New Roman"/>
                      <w:color w:val="000003"/>
                      <w:sz w:val="18"/>
                    </w:rPr>
                    <w:t xml:space="preserve">Взятие биопсии произведено из соответствующего участка поражения СО пищевода Biopsy taken from corresponding lesion of esophageal mucosa </w:t>
                  </w:r>
                </w:p>
              </w:tc>
            </w:tr>
            <w:tr w:rsidR="002D5C2A">
              <w:trPr>
                <w:trHeight w:val="873"/>
              </w:trPr>
              <w:tc>
                <w:tcPr>
                  <w:tcW w:w="567" w:type="dxa"/>
                  <w:tcBorders>
                    <w:top w:val="single" w:sz="4" w:space="0" w:color="000003"/>
                    <w:left w:val="single" w:sz="4" w:space="0" w:color="000003"/>
                    <w:bottom w:val="single" w:sz="4" w:space="0" w:color="000003"/>
                    <w:right w:val="single" w:sz="4" w:space="0" w:color="000003"/>
                  </w:tcBorders>
                  <w:shd w:val="clear" w:color="auto" w:fill="EFEFF0"/>
                  <w:vAlign w:val="center"/>
                </w:tcPr>
                <w:p w:rsidR="002D5C2A" w:rsidRDefault="00280B42">
                  <w:pPr>
                    <w:framePr w:wrap="around" w:vAnchor="text" w:hAnchor="margin"/>
                    <w:spacing w:after="0"/>
                    <w:ind w:right="37"/>
                    <w:suppressOverlap/>
                    <w:jc w:val="center"/>
                  </w:pPr>
                  <w:r>
                    <w:rPr>
                      <w:rFonts w:ascii="Times New Roman" w:eastAsia="Times New Roman" w:hAnsi="Times New Roman" w:cs="Times New Roman"/>
                      <w:color w:val="000003"/>
                      <w:sz w:val="18"/>
                    </w:rPr>
                    <w:t>4</w:t>
                  </w:r>
                </w:p>
              </w:tc>
              <w:tc>
                <w:tcPr>
                  <w:tcW w:w="9071" w:type="dxa"/>
                  <w:tcBorders>
                    <w:top w:val="single" w:sz="4" w:space="0" w:color="000003"/>
                    <w:left w:val="single" w:sz="4" w:space="0" w:color="000003"/>
                    <w:bottom w:val="single" w:sz="4" w:space="0" w:color="000003"/>
                    <w:right w:val="single" w:sz="4" w:space="0" w:color="000003"/>
                  </w:tcBorders>
                  <w:shd w:val="clear" w:color="auto" w:fill="EFEFF0"/>
                </w:tcPr>
                <w:p w:rsidR="002D5C2A" w:rsidRDefault="00280B42">
                  <w:pPr>
                    <w:framePr w:wrap="around" w:vAnchor="text" w:hAnchor="margin"/>
                    <w:spacing w:after="0"/>
                    <w:suppressOverlap/>
                  </w:pPr>
                  <w:r>
                    <w:rPr>
                      <w:rFonts w:ascii="Times New Roman" w:eastAsia="Times New Roman" w:hAnsi="Times New Roman" w:cs="Times New Roman"/>
                      <w:color w:val="000003"/>
                      <w:sz w:val="18"/>
                    </w:rPr>
                    <w:t xml:space="preserve">Проведено определение инфекции методом иммуногистохимии или методом полимеразной цепной реакции (ПЦР </w:t>
                  </w:r>
                  <w:r>
                    <w:rPr>
                      <w:rFonts w:ascii="Times New Roman" w:eastAsia="Times New Roman" w:hAnsi="Times New Roman" w:cs="Times New Roman"/>
                      <w:i/>
                      <w:color w:val="000003"/>
                      <w:sz w:val="18"/>
                    </w:rPr>
                    <w:t>in situ</w:t>
                  </w:r>
                  <w:r>
                    <w:rPr>
                      <w:rFonts w:ascii="Times New Roman" w:eastAsia="Times New Roman" w:hAnsi="Times New Roman" w:cs="Times New Roman"/>
                      <w:color w:val="000003"/>
                      <w:sz w:val="18"/>
                    </w:rPr>
                    <w:t>), если она не была диагностирована во время гистологического исследования Infectious agent verified with immunohistochemistry or polymerase chain r</w:t>
                  </w:r>
                  <w:r>
                    <w:rPr>
                      <w:rFonts w:ascii="Times New Roman" w:eastAsia="Times New Roman" w:hAnsi="Times New Roman" w:cs="Times New Roman"/>
                      <w:color w:val="000003"/>
                      <w:sz w:val="18"/>
                    </w:rPr>
                    <w:t xml:space="preserve">eaction (PCR </w:t>
                  </w:r>
                  <w:r>
                    <w:rPr>
                      <w:rFonts w:ascii="Times New Roman" w:eastAsia="Times New Roman" w:hAnsi="Times New Roman" w:cs="Times New Roman"/>
                      <w:i/>
                      <w:color w:val="000003"/>
                      <w:sz w:val="18"/>
                    </w:rPr>
                    <w:t>in situ</w:t>
                  </w:r>
                  <w:r>
                    <w:rPr>
                      <w:rFonts w:ascii="Times New Roman" w:eastAsia="Times New Roman" w:hAnsi="Times New Roman" w:cs="Times New Roman"/>
                      <w:color w:val="000003"/>
                      <w:sz w:val="18"/>
                    </w:rPr>
                    <w:t>), if not diagnosed histologically</w:t>
                  </w:r>
                </w:p>
              </w:tc>
            </w:tr>
            <w:tr w:rsidR="002D5C2A">
              <w:trPr>
                <w:trHeight w:val="493"/>
              </w:trPr>
              <w:tc>
                <w:tcPr>
                  <w:tcW w:w="567" w:type="dxa"/>
                  <w:tcBorders>
                    <w:top w:val="single" w:sz="4" w:space="0" w:color="000003"/>
                    <w:left w:val="single" w:sz="4" w:space="0" w:color="000003"/>
                    <w:bottom w:val="single" w:sz="4" w:space="0" w:color="000003"/>
                    <w:right w:val="single" w:sz="4" w:space="0" w:color="000003"/>
                  </w:tcBorders>
                  <w:shd w:val="clear" w:color="auto" w:fill="EFEFF0"/>
                  <w:vAlign w:val="center"/>
                </w:tcPr>
                <w:p w:rsidR="002D5C2A" w:rsidRDefault="00280B42">
                  <w:pPr>
                    <w:framePr w:wrap="around" w:vAnchor="text" w:hAnchor="margin"/>
                    <w:spacing w:after="0"/>
                    <w:ind w:right="37"/>
                    <w:suppressOverlap/>
                    <w:jc w:val="center"/>
                  </w:pPr>
                  <w:r>
                    <w:rPr>
                      <w:rFonts w:ascii="Times New Roman" w:eastAsia="Times New Roman" w:hAnsi="Times New Roman" w:cs="Times New Roman"/>
                      <w:color w:val="000003"/>
                      <w:sz w:val="18"/>
                    </w:rPr>
                    <w:t>5</w:t>
                  </w:r>
                </w:p>
              </w:tc>
              <w:tc>
                <w:tcPr>
                  <w:tcW w:w="9071" w:type="dxa"/>
                  <w:tcBorders>
                    <w:top w:val="single" w:sz="4" w:space="0" w:color="000003"/>
                    <w:left w:val="single" w:sz="4" w:space="0" w:color="000003"/>
                    <w:bottom w:val="single" w:sz="4" w:space="0" w:color="000003"/>
                    <w:right w:val="single" w:sz="4" w:space="0" w:color="000003"/>
                  </w:tcBorders>
                  <w:shd w:val="clear" w:color="auto" w:fill="EFEFF0"/>
                </w:tcPr>
                <w:p w:rsidR="002D5C2A" w:rsidRDefault="00280B42">
                  <w:pPr>
                    <w:framePr w:wrap="around" w:vAnchor="text" w:hAnchor="margin"/>
                    <w:spacing w:after="0"/>
                    <w:ind w:right="3578"/>
                    <w:suppressOverlap/>
                  </w:pPr>
                  <w:r>
                    <w:rPr>
                      <w:rFonts w:ascii="Times New Roman" w:eastAsia="Times New Roman" w:hAnsi="Times New Roman" w:cs="Times New Roman"/>
                      <w:color w:val="000003"/>
                      <w:sz w:val="18"/>
                    </w:rPr>
                    <w:t>Проведена соответствующая этиотропная терапия Appropriate etiotropic therapy performed</w:t>
                  </w:r>
                </w:p>
              </w:tc>
            </w:tr>
            <w:tr w:rsidR="002D5C2A">
              <w:trPr>
                <w:trHeight w:val="873"/>
              </w:trPr>
              <w:tc>
                <w:tcPr>
                  <w:tcW w:w="567" w:type="dxa"/>
                  <w:tcBorders>
                    <w:top w:val="single" w:sz="4" w:space="0" w:color="000003"/>
                    <w:left w:val="single" w:sz="4" w:space="0" w:color="000003"/>
                    <w:bottom w:val="single" w:sz="4" w:space="0" w:color="000003"/>
                    <w:right w:val="single" w:sz="4" w:space="0" w:color="000003"/>
                  </w:tcBorders>
                  <w:shd w:val="clear" w:color="auto" w:fill="EFEFF0"/>
                  <w:vAlign w:val="center"/>
                </w:tcPr>
                <w:p w:rsidR="002D5C2A" w:rsidRDefault="00280B42">
                  <w:pPr>
                    <w:framePr w:wrap="around" w:vAnchor="text" w:hAnchor="margin"/>
                    <w:spacing w:after="0"/>
                    <w:ind w:right="37"/>
                    <w:suppressOverlap/>
                    <w:jc w:val="center"/>
                  </w:pPr>
                  <w:r>
                    <w:rPr>
                      <w:rFonts w:ascii="Times New Roman" w:eastAsia="Times New Roman" w:hAnsi="Times New Roman" w:cs="Times New Roman"/>
                      <w:color w:val="000003"/>
                      <w:sz w:val="18"/>
                    </w:rPr>
                    <w:t>6</w:t>
                  </w:r>
                </w:p>
              </w:tc>
              <w:tc>
                <w:tcPr>
                  <w:tcW w:w="9071" w:type="dxa"/>
                  <w:tcBorders>
                    <w:top w:val="single" w:sz="4" w:space="0" w:color="000003"/>
                    <w:left w:val="single" w:sz="4" w:space="0" w:color="000003"/>
                    <w:bottom w:val="single" w:sz="4" w:space="0" w:color="000003"/>
                    <w:right w:val="single" w:sz="4" w:space="0" w:color="000003"/>
                  </w:tcBorders>
                  <w:shd w:val="clear" w:color="auto" w:fill="EFEFF0"/>
                </w:tcPr>
                <w:p w:rsidR="002D5C2A" w:rsidRDefault="00280B42">
                  <w:pPr>
                    <w:framePr w:wrap="around" w:vAnchor="text" w:hAnchor="margin"/>
                    <w:spacing w:after="0" w:line="219" w:lineRule="auto"/>
                    <w:suppressOverlap/>
                  </w:pPr>
                  <w:r>
                    <w:rPr>
                      <w:rFonts w:ascii="Times New Roman" w:eastAsia="Times New Roman" w:hAnsi="Times New Roman" w:cs="Times New Roman"/>
                      <w:color w:val="000003"/>
                      <w:sz w:val="18"/>
                    </w:rPr>
                    <w:t>При подозрении на скрытое язвенное кровотечение выполнен общий анализ крови с определением уровня гемоглобина и гематокрита, выполнен анализ кала на скрытую кровь</w:t>
                  </w:r>
                </w:p>
                <w:p w:rsidR="002D5C2A" w:rsidRDefault="00280B42">
                  <w:pPr>
                    <w:framePr w:wrap="around" w:vAnchor="text" w:hAnchor="margin"/>
                    <w:spacing w:after="0"/>
                    <w:suppressOverlap/>
                  </w:pPr>
                  <w:r>
                    <w:rPr>
                      <w:rFonts w:ascii="Times New Roman" w:eastAsia="Times New Roman" w:hAnsi="Times New Roman" w:cs="Times New Roman"/>
                      <w:color w:val="000003"/>
                      <w:sz w:val="18"/>
                    </w:rPr>
                    <w:t>In suspected occult ulcerative bleeding, general blood hemoglobin and hematocrit levels deter</w:t>
                  </w:r>
                  <w:r>
                    <w:rPr>
                      <w:rFonts w:ascii="Times New Roman" w:eastAsia="Times New Roman" w:hAnsi="Times New Roman" w:cs="Times New Roman"/>
                      <w:color w:val="000003"/>
                      <w:sz w:val="18"/>
                    </w:rPr>
                    <w:t>mined, fecal occult blood test performed</w:t>
                  </w:r>
                </w:p>
              </w:tc>
            </w:tr>
            <w:tr w:rsidR="002D5C2A">
              <w:trPr>
                <w:trHeight w:val="873"/>
              </w:trPr>
              <w:tc>
                <w:tcPr>
                  <w:tcW w:w="567" w:type="dxa"/>
                  <w:tcBorders>
                    <w:top w:val="single" w:sz="4" w:space="0" w:color="000003"/>
                    <w:left w:val="single" w:sz="4" w:space="0" w:color="000003"/>
                    <w:bottom w:val="single" w:sz="4" w:space="0" w:color="000003"/>
                    <w:right w:val="single" w:sz="4" w:space="0" w:color="000003"/>
                  </w:tcBorders>
                  <w:shd w:val="clear" w:color="auto" w:fill="EFEFF0"/>
                  <w:vAlign w:val="center"/>
                </w:tcPr>
                <w:p w:rsidR="002D5C2A" w:rsidRDefault="00280B42">
                  <w:pPr>
                    <w:framePr w:wrap="around" w:vAnchor="text" w:hAnchor="margin"/>
                    <w:spacing w:after="0"/>
                    <w:ind w:right="37"/>
                    <w:suppressOverlap/>
                    <w:jc w:val="center"/>
                  </w:pPr>
                  <w:r>
                    <w:rPr>
                      <w:rFonts w:ascii="Times New Roman" w:eastAsia="Times New Roman" w:hAnsi="Times New Roman" w:cs="Times New Roman"/>
                      <w:color w:val="000003"/>
                      <w:sz w:val="18"/>
                    </w:rPr>
                    <w:t>7</w:t>
                  </w:r>
                </w:p>
              </w:tc>
              <w:tc>
                <w:tcPr>
                  <w:tcW w:w="9071" w:type="dxa"/>
                  <w:tcBorders>
                    <w:top w:val="single" w:sz="4" w:space="0" w:color="000003"/>
                    <w:left w:val="single" w:sz="4" w:space="0" w:color="000003"/>
                    <w:bottom w:val="single" w:sz="4" w:space="0" w:color="000003"/>
                    <w:right w:val="single" w:sz="4" w:space="0" w:color="000003"/>
                  </w:tcBorders>
                  <w:shd w:val="clear" w:color="auto" w:fill="EFEFF0"/>
                </w:tcPr>
                <w:p w:rsidR="002D5C2A" w:rsidRDefault="00280B42">
                  <w:pPr>
                    <w:framePr w:wrap="around" w:vAnchor="text" w:hAnchor="margin"/>
                    <w:spacing w:after="0" w:line="219" w:lineRule="auto"/>
                    <w:suppressOverlap/>
                  </w:pPr>
                  <w:r>
                    <w:rPr>
                      <w:rFonts w:ascii="Times New Roman" w:eastAsia="Times New Roman" w:hAnsi="Times New Roman" w:cs="Times New Roman"/>
                      <w:color w:val="000003"/>
                      <w:sz w:val="18"/>
                    </w:rPr>
                    <w:t>Проведено своевременное хирургическое вмешательство в случаях туберкулеза пищевода с распадом, значимой дисфагией или формированием свищевых ходов</w:t>
                  </w:r>
                </w:p>
                <w:p w:rsidR="002D5C2A" w:rsidRDefault="00280B42">
                  <w:pPr>
                    <w:framePr w:wrap="around" w:vAnchor="text" w:hAnchor="margin"/>
                    <w:spacing w:after="0"/>
                    <w:suppressOverlap/>
                  </w:pPr>
                  <w:r>
                    <w:rPr>
                      <w:rFonts w:ascii="Times New Roman" w:eastAsia="Times New Roman" w:hAnsi="Times New Roman" w:cs="Times New Roman"/>
                      <w:color w:val="000003"/>
                      <w:sz w:val="18"/>
                    </w:rPr>
                    <w:t xml:space="preserve">Timely surgical intervention performed in cases of esophageal tuberculosis with disintegration,  significant dysphagia or fistulous tract formation </w:t>
                  </w:r>
                </w:p>
              </w:tc>
            </w:tr>
          </w:tbl>
          <w:p w:rsidR="002D5C2A" w:rsidRDefault="00280B42">
            <w:pPr>
              <w:spacing w:after="58" w:line="250" w:lineRule="auto"/>
              <w:ind w:left="165"/>
              <w:jc w:val="both"/>
            </w:pPr>
            <w:r>
              <w:rPr>
                <w:rFonts w:ascii="Times New Roman" w:eastAsia="Times New Roman" w:hAnsi="Times New Roman" w:cs="Times New Roman"/>
                <w:i/>
                <w:color w:val="000003"/>
                <w:sz w:val="20"/>
              </w:rPr>
              <w:t>Таблица 2.</w:t>
            </w:r>
            <w:r>
              <w:rPr>
                <w:rFonts w:ascii="Times New Roman" w:eastAsia="Times New Roman" w:hAnsi="Times New Roman" w:cs="Times New Roman"/>
                <w:color w:val="000003"/>
                <w:sz w:val="20"/>
              </w:rPr>
              <w:t xml:space="preserve"> Шкала оценки уровней достоверности доказательств (УДД) для методов диагностики (диагностических</w:t>
            </w:r>
            <w:r>
              <w:rPr>
                <w:rFonts w:ascii="Times New Roman" w:eastAsia="Times New Roman" w:hAnsi="Times New Roman" w:cs="Times New Roman"/>
                <w:color w:val="000003"/>
                <w:sz w:val="20"/>
              </w:rPr>
              <w:t xml:space="preserve"> вмешательств)</w:t>
            </w:r>
          </w:p>
          <w:p w:rsidR="002D5C2A" w:rsidRDefault="00280B42">
            <w:pPr>
              <w:spacing w:after="0"/>
              <w:ind w:left="165"/>
              <w:jc w:val="both"/>
            </w:pPr>
            <w:r>
              <w:rPr>
                <w:rFonts w:ascii="Times New Roman" w:eastAsia="Times New Roman" w:hAnsi="Times New Roman" w:cs="Times New Roman"/>
                <w:i/>
                <w:color w:val="000003"/>
                <w:sz w:val="20"/>
              </w:rPr>
              <w:t>Table 2.</w:t>
            </w:r>
            <w:r>
              <w:rPr>
                <w:rFonts w:ascii="Times New Roman" w:eastAsia="Times New Roman" w:hAnsi="Times New Roman" w:cs="Times New Roman"/>
                <w:color w:val="000003"/>
                <w:sz w:val="20"/>
              </w:rPr>
              <w:t xml:space="preserve"> Assessment scale for reliability and validity of diagnostic methods (diagnostic interventions)</w:t>
            </w:r>
          </w:p>
          <w:tbl>
            <w:tblPr>
              <w:tblStyle w:val="TableGrid"/>
              <w:tblW w:w="9638" w:type="dxa"/>
              <w:tblInd w:w="0" w:type="dxa"/>
              <w:tblCellMar>
                <w:top w:w="50" w:type="dxa"/>
                <w:left w:w="85" w:type="dxa"/>
                <w:bottom w:w="0" w:type="dxa"/>
                <w:right w:w="115" w:type="dxa"/>
              </w:tblCellMar>
              <w:tblLook w:val="04A0" w:firstRow="1" w:lastRow="0" w:firstColumn="1" w:lastColumn="0" w:noHBand="0" w:noVBand="1"/>
            </w:tblPr>
            <w:tblGrid>
              <w:gridCol w:w="737"/>
              <w:gridCol w:w="8901"/>
            </w:tblGrid>
            <w:tr w:rsidR="002D5C2A">
              <w:trPr>
                <w:trHeight w:val="493"/>
              </w:trPr>
              <w:tc>
                <w:tcPr>
                  <w:tcW w:w="737" w:type="dxa"/>
                  <w:tcBorders>
                    <w:top w:val="single" w:sz="4" w:space="0" w:color="000003"/>
                    <w:left w:val="single" w:sz="4" w:space="0" w:color="000003"/>
                    <w:bottom w:val="single" w:sz="4" w:space="0" w:color="000003"/>
                    <w:right w:val="single" w:sz="4" w:space="0" w:color="000003"/>
                  </w:tcBorders>
                  <w:shd w:val="clear" w:color="auto" w:fill="EFEFF0"/>
                </w:tcPr>
                <w:p w:rsidR="002D5C2A" w:rsidRDefault="00280B42">
                  <w:pPr>
                    <w:framePr w:wrap="around" w:vAnchor="text" w:hAnchor="margin"/>
                    <w:spacing w:after="0"/>
                    <w:ind w:left="73"/>
                    <w:suppressOverlap/>
                  </w:pPr>
                  <w:r>
                    <w:rPr>
                      <w:rFonts w:ascii="Times New Roman" w:eastAsia="Times New Roman" w:hAnsi="Times New Roman" w:cs="Times New Roman"/>
                      <w:color w:val="000003"/>
                      <w:sz w:val="18"/>
                    </w:rPr>
                    <w:t>УДД</w:t>
                  </w:r>
                </w:p>
                <w:p w:rsidR="002D5C2A" w:rsidRDefault="00280B42">
                  <w:pPr>
                    <w:framePr w:wrap="around" w:vAnchor="text" w:hAnchor="margin"/>
                    <w:spacing w:after="0"/>
                    <w:ind w:left="53"/>
                    <w:suppressOverlap/>
                  </w:pPr>
                  <w:r>
                    <w:rPr>
                      <w:rFonts w:ascii="Times New Roman" w:eastAsia="Times New Roman" w:hAnsi="Times New Roman" w:cs="Times New Roman"/>
                      <w:color w:val="000003"/>
                      <w:sz w:val="18"/>
                    </w:rPr>
                    <w:t>Level</w:t>
                  </w:r>
                </w:p>
              </w:tc>
              <w:tc>
                <w:tcPr>
                  <w:tcW w:w="8901" w:type="dxa"/>
                  <w:tcBorders>
                    <w:top w:val="single" w:sz="4" w:space="0" w:color="000003"/>
                    <w:left w:val="single" w:sz="4" w:space="0" w:color="000003"/>
                    <w:bottom w:val="single" w:sz="4" w:space="0" w:color="000003"/>
                    <w:right w:val="single" w:sz="4" w:space="0" w:color="000003"/>
                  </w:tcBorders>
                  <w:shd w:val="clear" w:color="auto" w:fill="EFEFF0"/>
                </w:tcPr>
                <w:p w:rsidR="002D5C2A" w:rsidRDefault="00280B42">
                  <w:pPr>
                    <w:framePr w:wrap="around" w:vAnchor="text" w:hAnchor="margin"/>
                    <w:spacing w:after="0"/>
                    <w:ind w:left="3425" w:right="3395"/>
                    <w:suppressOverlap/>
                    <w:jc w:val="center"/>
                  </w:pPr>
                  <w:r>
                    <w:rPr>
                      <w:rFonts w:ascii="Times New Roman" w:eastAsia="Times New Roman" w:hAnsi="Times New Roman" w:cs="Times New Roman"/>
                      <w:color w:val="000003"/>
                      <w:sz w:val="18"/>
                    </w:rPr>
                    <w:t>Расшифровка Content</w:t>
                  </w:r>
                </w:p>
              </w:tc>
            </w:tr>
            <w:tr w:rsidR="002D5C2A">
              <w:trPr>
                <w:trHeight w:val="683"/>
              </w:trPr>
              <w:tc>
                <w:tcPr>
                  <w:tcW w:w="737" w:type="dxa"/>
                  <w:tcBorders>
                    <w:top w:val="single" w:sz="4" w:space="0" w:color="000003"/>
                    <w:left w:val="single" w:sz="4" w:space="0" w:color="000003"/>
                    <w:bottom w:val="single" w:sz="4" w:space="0" w:color="000003"/>
                    <w:right w:val="single" w:sz="4" w:space="0" w:color="000003"/>
                  </w:tcBorders>
                  <w:shd w:val="clear" w:color="auto" w:fill="EFEFF0"/>
                  <w:vAlign w:val="center"/>
                </w:tcPr>
                <w:p w:rsidR="002D5C2A" w:rsidRDefault="00280B42">
                  <w:pPr>
                    <w:framePr w:wrap="around" w:vAnchor="text" w:hAnchor="margin"/>
                    <w:spacing w:after="0"/>
                    <w:ind w:left="30"/>
                    <w:suppressOverlap/>
                    <w:jc w:val="center"/>
                  </w:pPr>
                  <w:r>
                    <w:rPr>
                      <w:rFonts w:ascii="Times New Roman" w:eastAsia="Times New Roman" w:hAnsi="Times New Roman" w:cs="Times New Roman"/>
                      <w:color w:val="000003"/>
                      <w:sz w:val="18"/>
                    </w:rPr>
                    <w:t>1</w:t>
                  </w:r>
                </w:p>
              </w:tc>
              <w:tc>
                <w:tcPr>
                  <w:tcW w:w="8901" w:type="dxa"/>
                  <w:tcBorders>
                    <w:top w:val="single" w:sz="4" w:space="0" w:color="000003"/>
                    <w:left w:val="single" w:sz="4" w:space="0" w:color="000003"/>
                    <w:bottom w:val="single" w:sz="4" w:space="0" w:color="000003"/>
                    <w:right w:val="single" w:sz="4" w:space="0" w:color="000003"/>
                  </w:tcBorders>
                  <w:shd w:val="clear" w:color="auto" w:fill="EFEFF0"/>
                </w:tcPr>
                <w:p w:rsidR="002D5C2A" w:rsidRDefault="00280B42">
                  <w:pPr>
                    <w:framePr w:wrap="around" w:vAnchor="text" w:hAnchor="margin"/>
                    <w:spacing w:after="0"/>
                    <w:ind w:right="271"/>
                    <w:suppressOverlap/>
                  </w:pPr>
                  <w:r>
                    <w:rPr>
                      <w:rFonts w:ascii="Times New Roman" w:eastAsia="Times New Roman" w:hAnsi="Times New Roman" w:cs="Times New Roman"/>
                      <w:color w:val="000003"/>
                      <w:sz w:val="18"/>
                    </w:rPr>
                    <w:t>Систематические обзоры исследований с контролем референсным методом или систематический обзор рандомизированных клинических исследований с применением метаанализа Systematic reviews of reference control or randomised clinical trials with meta-analysis</w:t>
                  </w:r>
                </w:p>
              </w:tc>
            </w:tr>
            <w:tr w:rsidR="002D5C2A">
              <w:trPr>
                <w:trHeight w:val="1063"/>
              </w:trPr>
              <w:tc>
                <w:tcPr>
                  <w:tcW w:w="737" w:type="dxa"/>
                  <w:tcBorders>
                    <w:top w:val="single" w:sz="4" w:space="0" w:color="000003"/>
                    <w:left w:val="single" w:sz="4" w:space="0" w:color="000003"/>
                    <w:bottom w:val="single" w:sz="4" w:space="0" w:color="000003"/>
                    <w:right w:val="single" w:sz="4" w:space="0" w:color="000003"/>
                  </w:tcBorders>
                  <w:shd w:val="clear" w:color="auto" w:fill="EFEFF0"/>
                  <w:vAlign w:val="center"/>
                </w:tcPr>
                <w:p w:rsidR="002D5C2A" w:rsidRDefault="00280B42">
                  <w:pPr>
                    <w:framePr w:wrap="around" w:vAnchor="text" w:hAnchor="margin"/>
                    <w:spacing w:after="0"/>
                    <w:ind w:left="30"/>
                    <w:suppressOverlap/>
                    <w:jc w:val="center"/>
                  </w:pPr>
                  <w:r>
                    <w:rPr>
                      <w:rFonts w:ascii="Times New Roman" w:eastAsia="Times New Roman" w:hAnsi="Times New Roman" w:cs="Times New Roman"/>
                      <w:color w:val="000003"/>
                      <w:sz w:val="18"/>
                    </w:rPr>
                    <w:t>2</w:t>
                  </w:r>
                </w:p>
              </w:tc>
              <w:tc>
                <w:tcPr>
                  <w:tcW w:w="8901" w:type="dxa"/>
                  <w:tcBorders>
                    <w:top w:val="single" w:sz="4" w:space="0" w:color="000003"/>
                    <w:left w:val="single" w:sz="4" w:space="0" w:color="000003"/>
                    <w:bottom w:val="single" w:sz="4" w:space="0" w:color="000003"/>
                    <w:right w:val="single" w:sz="4" w:space="0" w:color="000003"/>
                  </w:tcBorders>
                  <w:shd w:val="clear" w:color="auto" w:fill="EFEFF0"/>
                </w:tcPr>
                <w:p w:rsidR="002D5C2A" w:rsidRDefault="00280B42">
                  <w:pPr>
                    <w:framePr w:wrap="around" w:vAnchor="text" w:hAnchor="margin"/>
                    <w:spacing w:after="0" w:line="219" w:lineRule="auto"/>
                    <w:suppressOverlap/>
                  </w:pPr>
                  <w:r>
                    <w:rPr>
                      <w:rFonts w:ascii="Times New Roman" w:eastAsia="Times New Roman" w:hAnsi="Times New Roman" w:cs="Times New Roman"/>
                      <w:color w:val="000003"/>
                      <w:sz w:val="18"/>
                    </w:rPr>
                    <w:t>Отдельные исследования с контролем референсным методом или отдельные рандомизированные клинические исследования и систематические обзоры исследований любого дизайна, за исключением рандомизированных клинических исследований, с применением метаанализа</w:t>
                  </w:r>
                </w:p>
                <w:p w:rsidR="002D5C2A" w:rsidRDefault="00280B42">
                  <w:pPr>
                    <w:framePr w:wrap="around" w:vAnchor="text" w:hAnchor="margin"/>
                    <w:spacing w:after="0"/>
                    <w:suppressOverlap/>
                  </w:pPr>
                  <w:r>
                    <w:rPr>
                      <w:rFonts w:ascii="Times New Roman" w:eastAsia="Times New Roman" w:hAnsi="Times New Roman" w:cs="Times New Roman"/>
                      <w:color w:val="000003"/>
                      <w:sz w:val="18"/>
                    </w:rPr>
                    <w:t>Selec</w:t>
                  </w:r>
                  <w:r>
                    <w:rPr>
                      <w:rFonts w:ascii="Times New Roman" w:eastAsia="Times New Roman" w:hAnsi="Times New Roman" w:cs="Times New Roman"/>
                      <w:color w:val="000003"/>
                      <w:sz w:val="18"/>
                    </w:rPr>
                    <w:t>ted reference control or randomised clinical trials and systematic reviews of any design studies, except for randomised clinical trials, using meta-analysis</w:t>
                  </w:r>
                </w:p>
              </w:tc>
            </w:tr>
            <w:tr w:rsidR="002D5C2A">
              <w:trPr>
                <w:trHeight w:val="1063"/>
              </w:trPr>
              <w:tc>
                <w:tcPr>
                  <w:tcW w:w="737" w:type="dxa"/>
                  <w:tcBorders>
                    <w:top w:val="single" w:sz="4" w:space="0" w:color="000003"/>
                    <w:left w:val="single" w:sz="4" w:space="0" w:color="000003"/>
                    <w:bottom w:val="single" w:sz="4" w:space="0" w:color="000003"/>
                    <w:right w:val="single" w:sz="4" w:space="0" w:color="000003"/>
                  </w:tcBorders>
                  <w:shd w:val="clear" w:color="auto" w:fill="EFEFF0"/>
                  <w:vAlign w:val="center"/>
                </w:tcPr>
                <w:p w:rsidR="002D5C2A" w:rsidRDefault="00280B42">
                  <w:pPr>
                    <w:framePr w:wrap="around" w:vAnchor="text" w:hAnchor="margin"/>
                    <w:spacing w:after="0"/>
                    <w:ind w:left="30"/>
                    <w:suppressOverlap/>
                    <w:jc w:val="center"/>
                  </w:pPr>
                  <w:r>
                    <w:rPr>
                      <w:rFonts w:ascii="Times New Roman" w:eastAsia="Times New Roman" w:hAnsi="Times New Roman" w:cs="Times New Roman"/>
                      <w:color w:val="000003"/>
                      <w:sz w:val="18"/>
                    </w:rPr>
                    <w:t>3</w:t>
                  </w:r>
                </w:p>
              </w:tc>
              <w:tc>
                <w:tcPr>
                  <w:tcW w:w="8901" w:type="dxa"/>
                  <w:tcBorders>
                    <w:top w:val="single" w:sz="4" w:space="0" w:color="000003"/>
                    <w:left w:val="single" w:sz="4" w:space="0" w:color="000003"/>
                    <w:bottom w:val="single" w:sz="4" w:space="0" w:color="000003"/>
                    <w:right w:val="single" w:sz="4" w:space="0" w:color="000003"/>
                  </w:tcBorders>
                  <w:shd w:val="clear" w:color="auto" w:fill="EFEFF0"/>
                </w:tcPr>
                <w:p w:rsidR="002D5C2A" w:rsidRDefault="00280B42">
                  <w:pPr>
                    <w:framePr w:wrap="around" w:vAnchor="text" w:hAnchor="margin"/>
                    <w:spacing w:after="0" w:line="219" w:lineRule="auto"/>
                    <w:ind w:right="809"/>
                    <w:suppressOverlap/>
                  </w:pPr>
                  <w:r>
                    <w:rPr>
                      <w:rFonts w:ascii="Times New Roman" w:eastAsia="Times New Roman" w:hAnsi="Times New Roman" w:cs="Times New Roman"/>
                      <w:color w:val="000003"/>
                      <w:sz w:val="18"/>
                    </w:rPr>
                    <w:t>Исследования без последовательного контроля референсным методом или исследования с референсным методом, не являющимся независимым от исследуемого метода, или нерандомизированные сравнительные исследования, в том числе когортные исследования</w:t>
                  </w:r>
                </w:p>
                <w:p w:rsidR="002D5C2A" w:rsidRDefault="00280B42">
                  <w:pPr>
                    <w:framePr w:wrap="around" w:vAnchor="text" w:hAnchor="margin"/>
                    <w:spacing w:after="0"/>
                    <w:suppressOverlap/>
                  </w:pPr>
                  <w:r>
                    <w:rPr>
                      <w:rFonts w:ascii="Times New Roman" w:eastAsia="Times New Roman" w:hAnsi="Times New Roman" w:cs="Times New Roman"/>
                      <w:color w:val="000003"/>
                      <w:sz w:val="18"/>
                    </w:rPr>
                    <w:t xml:space="preserve">Trials without </w:t>
                  </w:r>
                  <w:r>
                    <w:rPr>
                      <w:rFonts w:ascii="Times New Roman" w:eastAsia="Times New Roman" w:hAnsi="Times New Roman" w:cs="Times New Roman"/>
                      <w:color w:val="000003"/>
                      <w:sz w:val="18"/>
                    </w:rPr>
                    <w:t>consistent reference control or using non-unbiased reference with respect to the tested method or non-randomised comparative trials, including cohort trials</w:t>
                  </w:r>
                </w:p>
              </w:tc>
            </w:tr>
            <w:tr w:rsidR="002D5C2A">
              <w:trPr>
                <w:trHeight w:val="493"/>
              </w:trPr>
              <w:tc>
                <w:tcPr>
                  <w:tcW w:w="737" w:type="dxa"/>
                  <w:tcBorders>
                    <w:top w:val="single" w:sz="4" w:space="0" w:color="000003"/>
                    <w:left w:val="single" w:sz="4" w:space="0" w:color="000003"/>
                    <w:bottom w:val="single" w:sz="4" w:space="0" w:color="000003"/>
                    <w:right w:val="single" w:sz="4" w:space="0" w:color="000003"/>
                  </w:tcBorders>
                  <w:shd w:val="clear" w:color="auto" w:fill="EFEFF0"/>
                  <w:vAlign w:val="center"/>
                </w:tcPr>
                <w:p w:rsidR="002D5C2A" w:rsidRDefault="00280B42">
                  <w:pPr>
                    <w:framePr w:wrap="around" w:vAnchor="text" w:hAnchor="margin"/>
                    <w:spacing w:after="0"/>
                    <w:ind w:left="30"/>
                    <w:suppressOverlap/>
                    <w:jc w:val="center"/>
                  </w:pPr>
                  <w:r>
                    <w:rPr>
                      <w:rFonts w:ascii="Times New Roman" w:eastAsia="Times New Roman" w:hAnsi="Times New Roman" w:cs="Times New Roman"/>
                      <w:color w:val="000003"/>
                      <w:sz w:val="18"/>
                    </w:rPr>
                    <w:t>4</w:t>
                  </w:r>
                </w:p>
              </w:tc>
              <w:tc>
                <w:tcPr>
                  <w:tcW w:w="8901" w:type="dxa"/>
                  <w:tcBorders>
                    <w:top w:val="single" w:sz="4" w:space="0" w:color="000003"/>
                    <w:left w:val="single" w:sz="4" w:space="0" w:color="000003"/>
                    <w:bottom w:val="single" w:sz="4" w:space="0" w:color="000003"/>
                    <w:right w:val="single" w:sz="4" w:space="0" w:color="000003"/>
                  </w:tcBorders>
                  <w:shd w:val="clear" w:color="auto" w:fill="EFEFF0"/>
                </w:tcPr>
                <w:p w:rsidR="002D5C2A" w:rsidRDefault="00280B42">
                  <w:pPr>
                    <w:framePr w:wrap="around" w:vAnchor="text" w:hAnchor="margin"/>
                    <w:spacing w:after="0"/>
                    <w:ind w:right="1684"/>
                    <w:suppressOverlap/>
                  </w:pPr>
                  <w:r>
                    <w:rPr>
                      <w:rFonts w:ascii="Times New Roman" w:eastAsia="Times New Roman" w:hAnsi="Times New Roman" w:cs="Times New Roman"/>
                      <w:color w:val="000003"/>
                      <w:sz w:val="18"/>
                    </w:rPr>
                    <w:t>Несравнительные исследования, описание клинического случая Non-comparative studies, clinical cas</w:t>
                  </w:r>
                  <w:r>
                    <w:rPr>
                      <w:rFonts w:ascii="Times New Roman" w:eastAsia="Times New Roman" w:hAnsi="Times New Roman" w:cs="Times New Roman"/>
                      <w:color w:val="000003"/>
                      <w:sz w:val="18"/>
                    </w:rPr>
                    <w:t>e descriptions</w:t>
                  </w:r>
                </w:p>
              </w:tc>
            </w:tr>
            <w:tr w:rsidR="002D5C2A">
              <w:trPr>
                <w:trHeight w:val="493"/>
              </w:trPr>
              <w:tc>
                <w:tcPr>
                  <w:tcW w:w="737" w:type="dxa"/>
                  <w:tcBorders>
                    <w:top w:val="single" w:sz="4" w:space="0" w:color="000003"/>
                    <w:left w:val="single" w:sz="4" w:space="0" w:color="000003"/>
                    <w:bottom w:val="single" w:sz="4" w:space="0" w:color="000003"/>
                    <w:right w:val="single" w:sz="4" w:space="0" w:color="000003"/>
                  </w:tcBorders>
                  <w:shd w:val="clear" w:color="auto" w:fill="EFEFF0"/>
                  <w:vAlign w:val="center"/>
                </w:tcPr>
                <w:p w:rsidR="002D5C2A" w:rsidRDefault="00280B42">
                  <w:pPr>
                    <w:framePr w:wrap="around" w:vAnchor="text" w:hAnchor="margin"/>
                    <w:spacing w:after="0"/>
                    <w:ind w:left="30"/>
                    <w:suppressOverlap/>
                    <w:jc w:val="center"/>
                  </w:pPr>
                  <w:r>
                    <w:rPr>
                      <w:rFonts w:ascii="Times New Roman" w:eastAsia="Times New Roman" w:hAnsi="Times New Roman" w:cs="Times New Roman"/>
                      <w:color w:val="000003"/>
                      <w:sz w:val="18"/>
                    </w:rPr>
                    <w:t>5</w:t>
                  </w:r>
                </w:p>
              </w:tc>
              <w:tc>
                <w:tcPr>
                  <w:tcW w:w="8901" w:type="dxa"/>
                  <w:tcBorders>
                    <w:top w:val="single" w:sz="4" w:space="0" w:color="000003"/>
                    <w:left w:val="single" w:sz="4" w:space="0" w:color="000003"/>
                    <w:bottom w:val="single" w:sz="4" w:space="0" w:color="000003"/>
                    <w:right w:val="single" w:sz="4" w:space="0" w:color="000003"/>
                  </w:tcBorders>
                  <w:shd w:val="clear" w:color="auto" w:fill="EFEFF0"/>
                </w:tcPr>
                <w:p w:rsidR="002D5C2A" w:rsidRDefault="00280B42">
                  <w:pPr>
                    <w:framePr w:wrap="around" w:vAnchor="text" w:hAnchor="margin"/>
                    <w:spacing w:after="0"/>
                    <w:ind w:right="2093"/>
                    <w:suppressOverlap/>
                  </w:pPr>
                  <w:r>
                    <w:rPr>
                      <w:rFonts w:ascii="Times New Roman" w:eastAsia="Times New Roman" w:hAnsi="Times New Roman" w:cs="Times New Roman"/>
                      <w:color w:val="000003"/>
                      <w:sz w:val="18"/>
                    </w:rPr>
                    <w:t>Имеется лишь обоснование механизма действия или мнение экспертов Only mechanism’s of action validation or expert opinion</w:t>
                  </w:r>
                </w:p>
              </w:tc>
            </w:tr>
          </w:tbl>
          <w:p w:rsidR="002D5C2A" w:rsidRDefault="002D5C2A"/>
        </w:tc>
      </w:tr>
    </w:tbl>
    <w:p w:rsidR="002D5C2A" w:rsidRDefault="00280B42">
      <w:pPr>
        <w:pStyle w:val="Heading2"/>
        <w:spacing w:after="111" w:line="254" w:lineRule="auto"/>
        <w:ind w:left="278"/>
        <w:jc w:val="left"/>
      </w:pPr>
      <w:r>
        <w:t>Приложение А. Методология разработки клинических рекомендаций</w:t>
      </w:r>
    </w:p>
    <w:p w:rsidR="002D5C2A" w:rsidRDefault="00280B42">
      <w:pPr>
        <w:spacing w:after="5" w:line="254" w:lineRule="auto"/>
        <w:ind w:left="-13" w:right="73" w:firstLine="273"/>
        <w:jc w:val="both"/>
      </w:pPr>
      <w:r>
        <w:rPr>
          <w:rFonts w:ascii="Times New Roman" w:eastAsia="Times New Roman" w:hAnsi="Times New Roman" w:cs="Times New Roman"/>
          <w:color w:val="000003"/>
          <w:sz w:val="19"/>
        </w:rPr>
        <w:t>Предлагаемые рекомендации имеют своей целью довести до практических врачей современные представления об этиологии и патогенезе инфекционного эзофагита, познакомить с применяющимся в настоящее время алгоритмом ее диагностики и лечения.</w:t>
      </w:r>
    </w:p>
    <w:p w:rsidR="002D5C2A" w:rsidRDefault="00280B42">
      <w:pPr>
        <w:spacing w:after="41" w:line="254" w:lineRule="auto"/>
        <w:ind w:left="-15" w:firstLine="273"/>
      </w:pPr>
      <w:r>
        <w:rPr>
          <w:rFonts w:ascii="Times New Roman" w:eastAsia="Times New Roman" w:hAnsi="Times New Roman" w:cs="Times New Roman"/>
          <w:b/>
          <w:color w:val="000003"/>
          <w:sz w:val="19"/>
        </w:rPr>
        <w:t>Целевая аудитория данных клинических рекомендаций:</w:t>
      </w:r>
    </w:p>
    <w:p w:rsidR="002D5C2A" w:rsidRDefault="00280B42">
      <w:pPr>
        <w:numPr>
          <w:ilvl w:val="0"/>
          <w:numId w:val="7"/>
        </w:numPr>
        <w:spacing w:after="47" w:line="254" w:lineRule="auto"/>
        <w:ind w:left="523" w:right="73" w:hanging="240"/>
        <w:jc w:val="both"/>
      </w:pPr>
      <w:r>
        <w:rPr>
          <w:rFonts w:ascii="Times New Roman" w:eastAsia="Times New Roman" w:hAnsi="Times New Roman" w:cs="Times New Roman"/>
          <w:color w:val="000003"/>
          <w:sz w:val="19"/>
        </w:rPr>
        <w:t>Врачи-гастроэнтерологи.</w:t>
      </w:r>
    </w:p>
    <w:p w:rsidR="002D5C2A" w:rsidRDefault="00280B42">
      <w:pPr>
        <w:numPr>
          <w:ilvl w:val="0"/>
          <w:numId w:val="7"/>
        </w:numPr>
        <w:spacing w:after="47" w:line="254" w:lineRule="auto"/>
        <w:ind w:left="523" w:right="73" w:hanging="240"/>
        <w:jc w:val="both"/>
      </w:pPr>
      <w:r>
        <w:rPr>
          <w:rFonts w:ascii="Times New Roman" w:eastAsia="Times New Roman" w:hAnsi="Times New Roman" w:cs="Times New Roman"/>
          <w:color w:val="000003"/>
          <w:sz w:val="19"/>
        </w:rPr>
        <w:t>Врачи общей практики (семейные врачи).</w:t>
      </w:r>
    </w:p>
    <w:p w:rsidR="002D5C2A" w:rsidRDefault="00280B42">
      <w:pPr>
        <w:numPr>
          <w:ilvl w:val="0"/>
          <w:numId w:val="7"/>
        </w:numPr>
        <w:spacing w:after="47" w:line="254" w:lineRule="auto"/>
        <w:ind w:left="523" w:right="73" w:hanging="240"/>
        <w:jc w:val="both"/>
      </w:pPr>
      <w:r>
        <w:rPr>
          <w:rFonts w:ascii="Times New Roman" w:eastAsia="Times New Roman" w:hAnsi="Times New Roman" w:cs="Times New Roman"/>
          <w:color w:val="000003"/>
          <w:sz w:val="19"/>
        </w:rPr>
        <w:t>Врачи-терапевты.</w:t>
      </w:r>
    </w:p>
    <w:p w:rsidR="002D5C2A" w:rsidRDefault="00280B42">
      <w:pPr>
        <w:numPr>
          <w:ilvl w:val="0"/>
          <w:numId w:val="7"/>
        </w:numPr>
        <w:spacing w:after="47" w:line="254" w:lineRule="auto"/>
        <w:ind w:left="523" w:right="73" w:hanging="240"/>
        <w:jc w:val="both"/>
      </w:pPr>
      <w:r>
        <w:rPr>
          <w:rFonts w:ascii="Times New Roman" w:eastAsia="Times New Roman" w:hAnsi="Times New Roman" w:cs="Times New Roman"/>
          <w:color w:val="000003"/>
          <w:sz w:val="19"/>
        </w:rPr>
        <w:t>Врачи-эндоскописты.</w:t>
      </w:r>
    </w:p>
    <w:p w:rsidR="002D5C2A" w:rsidRDefault="00280B42">
      <w:pPr>
        <w:numPr>
          <w:ilvl w:val="0"/>
          <w:numId w:val="7"/>
        </w:numPr>
        <w:spacing w:after="5" w:line="254" w:lineRule="auto"/>
        <w:ind w:left="523" w:right="73" w:hanging="240"/>
        <w:jc w:val="both"/>
      </w:pPr>
      <w:r>
        <w:rPr>
          <w:rFonts w:ascii="Times New Roman" w:eastAsia="Times New Roman" w:hAnsi="Times New Roman" w:cs="Times New Roman"/>
          <w:color w:val="000003"/>
          <w:sz w:val="19"/>
        </w:rPr>
        <w:t>Врачи-инфекционисты.</w:t>
      </w:r>
    </w:p>
    <w:tbl>
      <w:tblPr>
        <w:tblStyle w:val="TableGrid"/>
        <w:tblpPr w:vertAnchor="text" w:horzAnchor="margin"/>
        <w:tblOverlap w:val="never"/>
        <w:tblW w:w="9708" w:type="dxa"/>
        <w:tblInd w:w="0" w:type="dxa"/>
        <w:tblCellMar>
          <w:top w:w="2" w:type="dxa"/>
          <w:left w:w="5" w:type="dxa"/>
          <w:bottom w:w="0" w:type="dxa"/>
          <w:right w:w="0" w:type="dxa"/>
        </w:tblCellMar>
        <w:tblLook w:val="04A0" w:firstRow="1" w:lastRow="0" w:firstColumn="1" w:lastColumn="0" w:noHBand="0" w:noVBand="1"/>
      </w:tblPr>
      <w:tblGrid>
        <w:gridCol w:w="9542"/>
      </w:tblGrid>
      <w:tr w:rsidR="002D5C2A">
        <w:trPr>
          <w:trHeight w:val="6237"/>
        </w:trPr>
        <w:tc>
          <w:tcPr>
            <w:tcW w:w="9542" w:type="dxa"/>
            <w:tcBorders>
              <w:top w:val="nil"/>
              <w:left w:val="nil"/>
              <w:bottom w:val="nil"/>
              <w:right w:val="nil"/>
            </w:tcBorders>
          </w:tcPr>
          <w:p w:rsidR="002D5C2A" w:rsidRDefault="00280B42">
            <w:pPr>
              <w:spacing w:after="58" w:line="250" w:lineRule="auto"/>
              <w:ind w:left="165"/>
              <w:jc w:val="both"/>
            </w:pPr>
            <w:r>
              <w:rPr>
                <w:rFonts w:ascii="Times New Roman" w:eastAsia="Times New Roman" w:hAnsi="Times New Roman" w:cs="Times New Roman"/>
                <w:i/>
                <w:color w:val="000003"/>
                <w:sz w:val="20"/>
              </w:rPr>
              <w:t>Таблица 3.</w:t>
            </w:r>
            <w:r>
              <w:rPr>
                <w:rFonts w:ascii="Times New Roman" w:eastAsia="Times New Roman" w:hAnsi="Times New Roman" w:cs="Times New Roman"/>
                <w:color w:val="000003"/>
                <w:sz w:val="20"/>
              </w:rPr>
              <w:t xml:space="preserve"> Уровни достоверности доказательств с указанием использованной классификац</w:t>
            </w:r>
            <w:r>
              <w:rPr>
                <w:rFonts w:ascii="Times New Roman" w:eastAsia="Times New Roman" w:hAnsi="Times New Roman" w:cs="Times New Roman"/>
                <w:color w:val="000003"/>
                <w:sz w:val="20"/>
              </w:rPr>
              <w:t>ии уровней достоверности доказательств (УДД)</w:t>
            </w:r>
          </w:p>
          <w:p w:rsidR="002D5C2A" w:rsidRDefault="00280B42">
            <w:pPr>
              <w:spacing w:after="0"/>
              <w:ind w:left="165"/>
              <w:jc w:val="both"/>
            </w:pPr>
            <w:r>
              <w:rPr>
                <w:rFonts w:ascii="Times New Roman" w:eastAsia="Times New Roman" w:hAnsi="Times New Roman" w:cs="Times New Roman"/>
                <w:i/>
                <w:color w:val="000003"/>
                <w:sz w:val="20"/>
              </w:rPr>
              <w:t>Table 3</w:t>
            </w:r>
            <w:r>
              <w:rPr>
                <w:rFonts w:ascii="Times New Roman" w:eastAsia="Times New Roman" w:hAnsi="Times New Roman" w:cs="Times New Roman"/>
                <w:color w:val="000003"/>
                <w:sz w:val="20"/>
              </w:rPr>
              <w:t>. Levels of evidence reliability and validity with indication of the assessment classification used</w:t>
            </w:r>
          </w:p>
          <w:tbl>
            <w:tblPr>
              <w:tblStyle w:val="TableGrid"/>
              <w:tblW w:w="9638" w:type="dxa"/>
              <w:tblInd w:w="0" w:type="dxa"/>
              <w:tblCellMar>
                <w:top w:w="50" w:type="dxa"/>
                <w:left w:w="85" w:type="dxa"/>
                <w:bottom w:w="0" w:type="dxa"/>
                <w:right w:w="18" w:type="dxa"/>
              </w:tblCellMar>
              <w:tblLook w:val="04A0" w:firstRow="1" w:lastRow="0" w:firstColumn="1" w:lastColumn="0" w:noHBand="0" w:noVBand="1"/>
            </w:tblPr>
            <w:tblGrid>
              <w:gridCol w:w="737"/>
              <w:gridCol w:w="8901"/>
            </w:tblGrid>
            <w:tr w:rsidR="002D5C2A">
              <w:trPr>
                <w:trHeight w:val="493"/>
              </w:trPr>
              <w:tc>
                <w:tcPr>
                  <w:tcW w:w="737" w:type="dxa"/>
                  <w:tcBorders>
                    <w:top w:val="single" w:sz="4" w:space="0" w:color="000003"/>
                    <w:left w:val="single" w:sz="4" w:space="0" w:color="000003"/>
                    <w:bottom w:val="single" w:sz="4" w:space="0" w:color="000003"/>
                    <w:right w:val="single" w:sz="4" w:space="0" w:color="000003"/>
                  </w:tcBorders>
                  <w:shd w:val="clear" w:color="auto" w:fill="EFEFF0"/>
                </w:tcPr>
                <w:p w:rsidR="002D5C2A" w:rsidRDefault="00280B42">
                  <w:pPr>
                    <w:framePr w:wrap="around" w:vAnchor="text" w:hAnchor="margin"/>
                    <w:spacing w:after="0"/>
                    <w:ind w:left="73"/>
                    <w:suppressOverlap/>
                  </w:pPr>
                  <w:r>
                    <w:rPr>
                      <w:rFonts w:ascii="Times New Roman" w:eastAsia="Times New Roman" w:hAnsi="Times New Roman" w:cs="Times New Roman"/>
                      <w:color w:val="000003"/>
                      <w:sz w:val="18"/>
                    </w:rPr>
                    <w:t>УДД</w:t>
                  </w:r>
                </w:p>
                <w:p w:rsidR="002D5C2A" w:rsidRDefault="00280B42">
                  <w:pPr>
                    <w:framePr w:wrap="around" w:vAnchor="text" w:hAnchor="margin"/>
                    <w:spacing w:after="0"/>
                    <w:ind w:left="53"/>
                    <w:suppressOverlap/>
                  </w:pPr>
                  <w:r>
                    <w:rPr>
                      <w:rFonts w:ascii="Times New Roman" w:eastAsia="Times New Roman" w:hAnsi="Times New Roman" w:cs="Times New Roman"/>
                      <w:color w:val="000003"/>
                      <w:sz w:val="18"/>
                    </w:rPr>
                    <w:t>Level</w:t>
                  </w:r>
                </w:p>
              </w:tc>
              <w:tc>
                <w:tcPr>
                  <w:tcW w:w="8901" w:type="dxa"/>
                  <w:tcBorders>
                    <w:top w:val="single" w:sz="4" w:space="0" w:color="000003"/>
                    <w:left w:val="single" w:sz="4" w:space="0" w:color="000003"/>
                    <w:bottom w:val="single" w:sz="4" w:space="0" w:color="000003"/>
                    <w:right w:val="single" w:sz="4" w:space="0" w:color="000003"/>
                  </w:tcBorders>
                  <w:shd w:val="clear" w:color="auto" w:fill="EFEFF0"/>
                </w:tcPr>
                <w:p w:rsidR="002D5C2A" w:rsidRDefault="00280B42">
                  <w:pPr>
                    <w:framePr w:wrap="around" w:vAnchor="text" w:hAnchor="margin"/>
                    <w:spacing w:after="0"/>
                    <w:ind w:left="3393" w:right="3459"/>
                    <w:suppressOverlap/>
                    <w:jc w:val="center"/>
                  </w:pPr>
                  <w:r>
                    <w:rPr>
                      <w:rFonts w:ascii="Times New Roman" w:eastAsia="Times New Roman" w:hAnsi="Times New Roman" w:cs="Times New Roman"/>
                      <w:color w:val="000003"/>
                      <w:sz w:val="18"/>
                    </w:rPr>
                    <w:t xml:space="preserve"> Расшифровка  Content</w:t>
                  </w:r>
                </w:p>
              </w:tc>
            </w:tr>
            <w:tr w:rsidR="002D5C2A">
              <w:trPr>
                <w:trHeight w:val="493"/>
              </w:trPr>
              <w:tc>
                <w:tcPr>
                  <w:tcW w:w="737" w:type="dxa"/>
                  <w:tcBorders>
                    <w:top w:val="single" w:sz="4" w:space="0" w:color="000003"/>
                    <w:left w:val="single" w:sz="4" w:space="0" w:color="000003"/>
                    <w:bottom w:val="single" w:sz="4" w:space="0" w:color="000003"/>
                    <w:right w:val="single" w:sz="4" w:space="0" w:color="000003"/>
                  </w:tcBorders>
                  <w:shd w:val="clear" w:color="auto" w:fill="EFEFF0"/>
                  <w:vAlign w:val="center"/>
                </w:tcPr>
                <w:p w:rsidR="002D5C2A" w:rsidRDefault="00280B42">
                  <w:pPr>
                    <w:framePr w:wrap="around" w:vAnchor="text" w:hAnchor="margin"/>
                    <w:spacing w:after="0"/>
                    <w:ind w:right="67"/>
                    <w:suppressOverlap/>
                    <w:jc w:val="center"/>
                  </w:pPr>
                  <w:r>
                    <w:rPr>
                      <w:rFonts w:ascii="Times New Roman" w:eastAsia="Times New Roman" w:hAnsi="Times New Roman" w:cs="Times New Roman"/>
                      <w:color w:val="000003"/>
                      <w:sz w:val="18"/>
                    </w:rPr>
                    <w:t>1</w:t>
                  </w:r>
                </w:p>
              </w:tc>
              <w:tc>
                <w:tcPr>
                  <w:tcW w:w="8901" w:type="dxa"/>
                  <w:tcBorders>
                    <w:top w:val="single" w:sz="4" w:space="0" w:color="000003"/>
                    <w:left w:val="single" w:sz="4" w:space="0" w:color="000003"/>
                    <w:bottom w:val="single" w:sz="4" w:space="0" w:color="000003"/>
                    <w:right w:val="single" w:sz="4" w:space="0" w:color="000003"/>
                  </w:tcBorders>
                  <w:shd w:val="clear" w:color="auto" w:fill="EFEFF0"/>
                </w:tcPr>
                <w:p w:rsidR="002D5C2A" w:rsidRDefault="00280B42">
                  <w:pPr>
                    <w:framePr w:wrap="around" w:vAnchor="text" w:hAnchor="margin"/>
                    <w:spacing w:after="0"/>
                    <w:suppressOverlap/>
                    <w:jc w:val="both"/>
                  </w:pPr>
                  <w:r>
                    <w:rPr>
                      <w:rFonts w:ascii="Times New Roman" w:eastAsia="Times New Roman" w:hAnsi="Times New Roman" w:cs="Times New Roman"/>
                      <w:color w:val="000003"/>
                      <w:sz w:val="18"/>
                    </w:rPr>
                    <w:t>Систематический обзор рандомизированных клинических исследований с применением метаанализа Systematic review of randomised clinical trials with meta-analysis</w:t>
                  </w:r>
                </w:p>
              </w:tc>
            </w:tr>
            <w:tr w:rsidR="002D5C2A">
              <w:trPr>
                <w:trHeight w:val="1063"/>
              </w:trPr>
              <w:tc>
                <w:tcPr>
                  <w:tcW w:w="737" w:type="dxa"/>
                  <w:tcBorders>
                    <w:top w:val="single" w:sz="4" w:space="0" w:color="000003"/>
                    <w:left w:val="single" w:sz="4" w:space="0" w:color="000003"/>
                    <w:bottom w:val="single" w:sz="4" w:space="0" w:color="000003"/>
                    <w:right w:val="single" w:sz="4" w:space="0" w:color="000003"/>
                  </w:tcBorders>
                  <w:shd w:val="clear" w:color="auto" w:fill="EFEFF0"/>
                  <w:vAlign w:val="center"/>
                </w:tcPr>
                <w:p w:rsidR="002D5C2A" w:rsidRDefault="00280B42">
                  <w:pPr>
                    <w:framePr w:wrap="around" w:vAnchor="text" w:hAnchor="margin"/>
                    <w:spacing w:after="0"/>
                    <w:ind w:right="67"/>
                    <w:suppressOverlap/>
                    <w:jc w:val="center"/>
                  </w:pPr>
                  <w:r>
                    <w:rPr>
                      <w:rFonts w:ascii="Times New Roman" w:eastAsia="Times New Roman" w:hAnsi="Times New Roman" w:cs="Times New Roman"/>
                      <w:color w:val="000003"/>
                      <w:sz w:val="18"/>
                    </w:rPr>
                    <w:t>2</w:t>
                  </w:r>
                </w:p>
              </w:tc>
              <w:tc>
                <w:tcPr>
                  <w:tcW w:w="8901" w:type="dxa"/>
                  <w:tcBorders>
                    <w:top w:val="single" w:sz="4" w:space="0" w:color="000003"/>
                    <w:left w:val="single" w:sz="4" w:space="0" w:color="000003"/>
                    <w:bottom w:val="single" w:sz="4" w:space="0" w:color="000003"/>
                    <w:right w:val="single" w:sz="4" w:space="0" w:color="000003"/>
                  </w:tcBorders>
                  <w:shd w:val="clear" w:color="auto" w:fill="EFEFF0"/>
                </w:tcPr>
                <w:p w:rsidR="002D5C2A" w:rsidRDefault="00280B42">
                  <w:pPr>
                    <w:framePr w:wrap="around" w:vAnchor="text" w:hAnchor="margin"/>
                    <w:spacing w:after="0" w:line="219" w:lineRule="auto"/>
                    <w:ind w:right="188"/>
                    <w:suppressOverlap/>
                  </w:pPr>
                  <w:r>
                    <w:rPr>
                      <w:rFonts w:ascii="Times New Roman" w:eastAsia="Times New Roman" w:hAnsi="Times New Roman" w:cs="Times New Roman"/>
                      <w:color w:val="000003"/>
                      <w:sz w:val="18"/>
                    </w:rPr>
                    <w:t>Отдельные рандомизированные клинические исследования и систематические обзоры исследований любого дизайна, за исключением рандомизированных клинических исследований, с применением метаанализа</w:t>
                  </w:r>
                </w:p>
                <w:p w:rsidR="002D5C2A" w:rsidRDefault="00280B42">
                  <w:pPr>
                    <w:framePr w:wrap="around" w:vAnchor="text" w:hAnchor="margin"/>
                    <w:spacing w:after="0"/>
                    <w:suppressOverlap/>
                  </w:pPr>
                  <w:r>
                    <w:rPr>
                      <w:rFonts w:ascii="Times New Roman" w:eastAsia="Times New Roman" w:hAnsi="Times New Roman" w:cs="Times New Roman"/>
                      <w:color w:val="000003"/>
                      <w:sz w:val="18"/>
                    </w:rPr>
                    <w:t>Selected randomised clinical trials and systematic reviews of an</w:t>
                  </w:r>
                  <w:r>
                    <w:rPr>
                      <w:rFonts w:ascii="Times New Roman" w:eastAsia="Times New Roman" w:hAnsi="Times New Roman" w:cs="Times New Roman"/>
                      <w:color w:val="000003"/>
                      <w:sz w:val="18"/>
                    </w:rPr>
                    <w:t>y design studies, except for randomised clinical trials, using meta-analysis</w:t>
                  </w:r>
                </w:p>
              </w:tc>
            </w:tr>
            <w:tr w:rsidR="002D5C2A">
              <w:trPr>
                <w:trHeight w:val="493"/>
              </w:trPr>
              <w:tc>
                <w:tcPr>
                  <w:tcW w:w="737" w:type="dxa"/>
                  <w:tcBorders>
                    <w:top w:val="single" w:sz="4" w:space="0" w:color="000003"/>
                    <w:left w:val="single" w:sz="4" w:space="0" w:color="000003"/>
                    <w:bottom w:val="single" w:sz="4" w:space="0" w:color="000003"/>
                    <w:right w:val="single" w:sz="4" w:space="0" w:color="000003"/>
                  </w:tcBorders>
                  <w:shd w:val="clear" w:color="auto" w:fill="EFEFF0"/>
                  <w:vAlign w:val="center"/>
                </w:tcPr>
                <w:p w:rsidR="002D5C2A" w:rsidRDefault="00280B42">
                  <w:pPr>
                    <w:framePr w:wrap="around" w:vAnchor="text" w:hAnchor="margin"/>
                    <w:spacing w:after="0"/>
                    <w:ind w:right="67"/>
                    <w:suppressOverlap/>
                    <w:jc w:val="center"/>
                  </w:pPr>
                  <w:r>
                    <w:rPr>
                      <w:rFonts w:ascii="Times New Roman" w:eastAsia="Times New Roman" w:hAnsi="Times New Roman" w:cs="Times New Roman"/>
                      <w:color w:val="000003"/>
                      <w:sz w:val="18"/>
                    </w:rPr>
                    <w:t>3</w:t>
                  </w:r>
                </w:p>
              </w:tc>
              <w:tc>
                <w:tcPr>
                  <w:tcW w:w="8901" w:type="dxa"/>
                  <w:tcBorders>
                    <w:top w:val="single" w:sz="4" w:space="0" w:color="000003"/>
                    <w:left w:val="single" w:sz="4" w:space="0" w:color="000003"/>
                    <w:bottom w:val="single" w:sz="4" w:space="0" w:color="000003"/>
                    <w:right w:val="single" w:sz="4" w:space="0" w:color="000003"/>
                  </w:tcBorders>
                  <w:shd w:val="clear" w:color="auto" w:fill="EFEFF0"/>
                </w:tcPr>
                <w:p w:rsidR="002D5C2A" w:rsidRDefault="00280B42">
                  <w:pPr>
                    <w:framePr w:wrap="around" w:vAnchor="text" w:hAnchor="margin"/>
                    <w:spacing w:after="0"/>
                    <w:suppressOverlap/>
                  </w:pPr>
                  <w:r>
                    <w:rPr>
                      <w:rFonts w:ascii="Times New Roman" w:eastAsia="Times New Roman" w:hAnsi="Times New Roman" w:cs="Times New Roman"/>
                      <w:color w:val="000003"/>
                      <w:sz w:val="18"/>
                    </w:rPr>
                    <w:t>Нерандомизированные сравнительные исследования, в том числе когортные исследования Non-randomised comparative trials, including cohort trials</w:t>
                  </w:r>
                </w:p>
              </w:tc>
            </w:tr>
            <w:tr w:rsidR="002D5C2A">
              <w:trPr>
                <w:trHeight w:val="683"/>
              </w:trPr>
              <w:tc>
                <w:tcPr>
                  <w:tcW w:w="737" w:type="dxa"/>
                  <w:tcBorders>
                    <w:top w:val="single" w:sz="4" w:space="0" w:color="000003"/>
                    <w:left w:val="single" w:sz="4" w:space="0" w:color="000003"/>
                    <w:bottom w:val="single" w:sz="4" w:space="0" w:color="000003"/>
                    <w:right w:val="single" w:sz="4" w:space="0" w:color="000003"/>
                  </w:tcBorders>
                  <w:shd w:val="clear" w:color="auto" w:fill="EFEFF0"/>
                  <w:vAlign w:val="center"/>
                </w:tcPr>
                <w:p w:rsidR="002D5C2A" w:rsidRDefault="00280B42">
                  <w:pPr>
                    <w:framePr w:wrap="around" w:vAnchor="text" w:hAnchor="margin"/>
                    <w:spacing w:after="0"/>
                    <w:ind w:right="67"/>
                    <w:suppressOverlap/>
                    <w:jc w:val="center"/>
                  </w:pPr>
                  <w:r>
                    <w:rPr>
                      <w:rFonts w:ascii="Times New Roman" w:eastAsia="Times New Roman" w:hAnsi="Times New Roman" w:cs="Times New Roman"/>
                      <w:color w:val="000003"/>
                      <w:sz w:val="18"/>
                    </w:rPr>
                    <w:t>4</w:t>
                  </w:r>
                </w:p>
              </w:tc>
              <w:tc>
                <w:tcPr>
                  <w:tcW w:w="8901" w:type="dxa"/>
                  <w:tcBorders>
                    <w:top w:val="single" w:sz="4" w:space="0" w:color="000003"/>
                    <w:left w:val="single" w:sz="4" w:space="0" w:color="000003"/>
                    <w:bottom w:val="single" w:sz="4" w:space="0" w:color="000003"/>
                    <w:right w:val="single" w:sz="4" w:space="0" w:color="000003"/>
                  </w:tcBorders>
                  <w:shd w:val="clear" w:color="auto" w:fill="EFEFF0"/>
                </w:tcPr>
                <w:p w:rsidR="002D5C2A" w:rsidRDefault="00280B42">
                  <w:pPr>
                    <w:framePr w:wrap="around" w:vAnchor="text" w:hAnchor="margin"/>
                    <w:spacing w:after="0"/>
                    <w:suppressOverlap/>
                  </w:pPr>
                  <w:r>
                    <w:rPr>
                      <w:rFonts w:ascii="Times New Roman" w:eastAsia="Times New Roman" w:hAnsi="Times New Roman" w:cs="Times New Roman"/>
                      <w:color w:val="000003"/>
                      <w:sz w:val="18"/>
                    </w:rPr>
                    <w:t xml:space="preserve">Несравнительные исследования, описание клинического случая или серии случаев, исследование </w:t>
                  </w:r>
                </w:p>
                <w:p w:rsidR="002D5C2A" w:rsidRDefault="00280B42">
                  <w:pPr>
                    <w:framePr w:wrap="around" w:vAnchor="text" w:hAnchor="margin"/>
                    <w:spacing w:after="0"/>
                    <w:suppressOverlap/>
                  </w:pPr>
                  <w:r>
                    <w:rPr>
                      <w:rFonts w:ascii="Times New Roman" w:eastAsia="Times New Roman" w:hAnsi="Times New Roman" w:cs="Times New Roman"/>
                      <w:color w:val="000003"/>
                      <w:sz w:val="18"/>
                    </w:rPr>
                    <w:t>«случай-контроль»</w:t>
                  </w:r>
                </w:p>
                <w:p w:rsidR="002D5C2A" w:rsidRDefault="00280B42">
                  <w:pPr>
                    <w:framePr w:wrap="around" w:vAnchor="text" w:hAnchor="margin"/>
                    <w:spacing w:after="0"/>
                    <w:suppressOverlap/>
                  </w:pPr>
                  <w:r>
                    <w:rPr>
                      <w:rFonts w:ascii="Times New Roman" w:eastAsia="Times New Roman" w:hAnsi="Times New Roman" w:cs="Times New Roman"/>
                      <w:color w:val="000003"/>
                      <w:sz w:val="18"/>
                    </w:rPr>
                    <w:t>Non-comparative studies, clinical case or case series descriptions, case-control studies</w:t>
                  </w:r>
                </w:p>
              </w:tc>
            </w:tr>
            <w:tr w:rsidR="002D5C2A">
              <w:trPr>
                <w:trHeight w:val="683"/>
              </w:trPr>
              <w:tc>
                <w:tcPr>
                  <w:tcW w:w="737" w:type="dxa"/>
                  <w:tcBorders>
                    <w:top w:val="single" w:sz="4" w:space="0" w:color="000003"/>
                    <w:left w:val="single" w:sz="4" w:space="0" w:color="000003"/>
                    <w:bottom w:val="single" w:sz="4" w:space="0" w:color="000003"/>
                    <w:right w:val="single" w:sz="4" w:space="0" w:color="000003"/>
                  </w:tcBorders>
                  <w:shd w:val="clear" w:color="auto" w:fill="EFEFF0"/>
                  <w:vAlign w:val="center"/>
                </w:tcPr>
                <w:p w:rsidR="002D5C2A" w:rsidRDefault="00280B42">
                  <w:pPr>
                    <w:framePr w:wrap="around" w:vAnchor="text" w:hAnchor="margin"/>
                    <w:spacing w:after="0"/>
                    <w:ind w:right="67"/>
                    <w:suppressOverlap/>
                    <w:jc w:val="center"/>
                  </w:pPr>
                  <w:r>
                    <w:rPr>
                      <w:rFonts w:ascii="Times New Roman" w:eastAsia="Times New Roman" w:hAnsi="Times New Roman" w:cs="Times New Roman"/>
                      <w:color w:val="000003"/>
                      <w:sz w:val="18"/>
                    </w:rPr>
                    <w:t>5</w:t>
                  </w:r>
                </w:p>
              </w:tc>
              <w:tc>
                <w:tcPr>
                  <w:tcW w:w="8901" w:type="dxa"/>
                  <w:tcBorders>
                    <w:top w:val="single" w:sz="4" w:space="0" w:color="000003"/>
                    <w:left w:val="single" w:sz="4" w:space="0" w:color="000003"/>
                    <w:bottom w:val="single" w:sz="4" w:space="0" w:color="000003"/>
                    <w:right w:val="single" w:sz="4" w:space="0" w:color="000003"/>
                  </w:tcBorders>
                  <w:shd w:val="clear" w:color="auto" w:fill="EFEFF0"/>
                </w:tcPr>
                <w:p w:rsidR="002D5C2A" w:rsidRDefault="00280B42">
                  <w:pPr>
                    <w:framePr w:wrap="around" w:vAnchor="text" w:hAnchor="margin"/>
                    <w:spacing w:after="0" w:line="219" w:lineRule="auto"/>
                    <w:suppressOverlap/>
                  </w:pPr>
                  <w:r>
                    <w:rPr>
                      <w:rFonts w:ascii="Times New Roman" w:eastAsia="Times New Roman" w:hAnsi="Times New Roman" w:cs="Times New Roman"/>
                      <w:color w:val="000003"/>
                      <w:sz w:val="18"/>
                    </w:rPr>
                    <w:t>Имеется лишь обоснование механизма действия вмешательства (доклинические исследования) или мнение эксперта</w:t>
                  </w:r>
                </w:p>
                <w:p w:rsidR="002D5C2A" w:rsidRDefault="00280B42">
                  <w:pPr>
                    <w:framePr w:wrap="around" w:vAnchor="text" w:hAnchor="margin"/>
                    <w:spacing w:after="0"/>
                    <w:suppressOverlap/>
                  </w:pPr>
                  <w:r>
                    <w:rPr>
                      <w:rFonts w:ascii="Times New Roman" w:eastAsia="Times New Roman" w:hAnsi="Times New Roman" w:cs="Times New Roman"/>
                      <w:color w:val="000003"/>
                      <w:sz w:val="18"/>
                    </w:rPr>
                    <w:t>Only mechanism’s of intervention validation (preclinical trials) or expert opinion</w:t>
                  </w:r>
                </w:p>
              </w:tc>
            </w:tr>
          </w:tbl>
          <w:p w:rsidR="002D5C2A" w:rsidRDefault="00280B42">
            <w:pPr>
              <w:spacing w:after="58" w:line="250" w:lineRule="auto"/>
              <w:ind w:left="165"/>
              <w:jc w:val="both"/>
            </w:pPr>
            <w:r>
              <w:rPr>
                <w:rFonts w:ascii="Times New Roman" w:eastAsia="Times New Roman" w:hAnsi="Times New Roman" w:cs="Times New Roman"/>
                <w:i/>
                <w:color w:val="000003"/>
                <w:sz w:val="20"/>
              </w:rPr>
              <w:t>Таблица 4.</w:t>
            </w:r>
            <w:r>
              <w:rPr>
                <w:rFonts w:ascii="Times New Roman" w:eastAsia="Times New Roman" w:hAnsi="Times New Roman" w:cs="Times New Roman"/>
                <w:color w:val="000003"/>
                <w:sz w:val="20"/>
              </w:rPr>
              <w:t xml:space="preserve"> Уровни убедительности рекомендаций (УУР) с указанием и</w:t>
            </w:r>
            <w:r>
              <w:rPr>
                <w:rFonts w:ascii="Times New Roman" w:eastAsia="Times New Roman" w:hAnsi="Times New Roman" w:cs="Times New Roman"/>
                <w:color w:val="000003"/>
                <w:sz w:val="20"/>
              </w:rPr>
              <w:t>спользованной классификации уровней убедительности рекомендаций</w:t>
            </w:r>
          </w:p>
          <w:p w:rsidR="002D5C2A" w:rsidRDefault="00280B42">
            <w:pPr>
              <w:spacing w:after="0"/>
              <w:ind w:left="165"/>
              <w:jc w:val="both"/>
            </w:pPr>
            <w:r>
              <w:rPr>
                <w:rFonts w:ascii="Times New Roman" w:eastAsia="Times New Roman" w:hAnsi="Times New Roman" w:cs="Times New Roman"/>
                <w:i/>
                <w:color w:val="000003"/>
                <w:sz w:val="20"/>
              </w:rPr>
              <w:t>Table 4.</w:t>
            </w:r>
            <w:r>
              <w:rPr>
                <w:rFonts w:ascii="Times New Roman" w:eastAsia="Times New Roman" w:hAnsi="Times New Roman" w:cs="Times New Roman"/>
                <w:color w:val="000003"/>
                <w:sz w:val="20"/>
              </w:rPr>
              <w:t xml:space="preserve"> Levels of credibility of recommendations with indication of the assessment classification used</w:t>
            </w:r>
          </w:p>
          <w:tbl>
            <w:tblPr>
              <w:tblStyle w:val="TableGrid"/>
              <w:tblW w:w="9638" w:type="dxa"/>
              <w:tblInd w:w="0" w:type="dxa"/>
              <w:tblCellMar>
                <w:top w:w="50" w:type="dxa"/>
                <w:left w:w="85" w:type="dxa"/>
                <w:bottom w:w="0" w:type="dxa"/>
                <w:right w:w="21" w:type="dxa"/>
              </w:tblCellMar>
              <w:tblLook w:val="04A0" w:firstRow="1" w:lastRow="0" w:firstColumn="1" w:lastColumn="0" w:noHBand="0" w:noVBand="1"/>
            </w:tblPr>
            <w:tblGrid>
              <w:gridCol w:w="624"/>
              <w:gridCol w:w="9014"/>
            </w:tblGrid>
            <w:tr w:rsidR="002D5C2A">
              <w:trPr>
                <w:trHeight w:val="493"/>
              </w:trPr>
              <w:tc>
                <w:tcPr>
                  <w:tcW w:w="624" w:type="dxa"/>
                  <w:tcBorders>
                    <w:top w:val="single" w:sz="4" w:space="0" w:color="000003"/>
                    <w:left w:val="single" w:sz="4" w:space="0" w:color="000003"/>
                    <w:bottom w:val="single" w:sz="4" w:space="0" w:color="000003"/>
                    <w:right w:val="single" w:sz="4" w:space="0" w:color="000003"/>
                  </w:tcBorders>
                  <w:shd w:val="clear" w:color="auto" w:fill="EFEFF0"/>
                  <w:vAlign w:val="center"/>
                </w:tcPr>
                <w:p w:rsidR="002D5C2A" w:rsidRDefault="00280B42">
                  <w:pPr>
                    <w:framePr w:wrap="around" w:vAnchor="text" w:hAnchor="margin"/>
                    <w:spacing w:after="0"/>
                    <w:ind w:left="16"/>
                    <w:suppressOverlap/>
                    <w:jc w:val="both"/>
                  </w:pPr>
                  <w:r>
                    <w:rPr>
                      <w:rFonts w:ascii="Times New Roman" w:eastAsia="Times New Roman" w:hAnsi="Times New Roman" w:cs="Times New Roman"/>
                      <w:color w:val="000003"/>
                      <w:sz w:val="18"/>
                    </w:rPr>
                    <w:t>УУР</w:t>
                  </w:r>
                </w:p>
              </w:tc>
              <w:tc>
                <w:tcPr>
                  <w:tcW w:w="9014" w:type="dxa"/>
                  <w:tcBorders>
                    <w:top w:val="single" w:sz="4" w:space="0" w:color="000003"/>
                    <w:left w:val="single" w:sz="4" w:space="0" w:color="000003"/>
                    <w:bottom w:val="single" w:sz="4" w:space="0" w:color="000003"/>
                    <w:right w:val="single" w:sz="4" w:space="0" w:color="000003"/>
                  </w:tcBorders>
                  <w:shd w:val="clear" w:color="auto" w:fill="EFEFF0"/>
                </w:tcPr>
                <w:p w:rsidR="002D5C2A" w:rsidRDefault="00280B42">
                  <w:pPr>
                    <w:framePr w:wrap="around" w:vAnchor="text" w:hAnchor="margin"/>
                    <w:spacing w:after="0"/>
                    <w:ind w:left="3449" w:right="3514"/>
                    <w:suppressOverlap/>
                    <w:jc w:val="center"/>
                  </w:pPr>
                  <w:r>
                    <w:rPr>
                      <w:rFonts w:ascii="Times New Roman" w:eastAsia="Times New Roman" w:hAnsi="Times New Roman" w:cs="Times New Roman"/>
                      <w:color w:val="000003"/>
                      <w:sz w:val="18"/>
                    </w:rPr>
                    <w:t xml:space="preserve"> Расшифровка Content</w:t>
                  </w:r>
                </w:p>
              </w:tc>
            </w:tr>
            <w:tr w:rsidR="002D5C2A">
              <w:trPr>
                <w:trHeight w:val="1063"/>
              </w:trPr>
              <w:tc>
                <w:tcPr>
                  <w:tcW w:w="624" w:type="dxa"/>
                  <w:tcBorders>
                    <w:top w:val="single" w:sz="4" w:space="0" w:color="000003"/>
                    <w:left w:val="single" w:sz="4" w:space="0" w:color="000003"/>
                    <w:bottom w:val="single" w:sz="4" w:space="0" w:color="000003"/>
                    <w:right w:val="single" w:sz="4" w:space="0" w:color="000003"/>
                  </w:tcBorders>
                  <w:shd w:val="clear" w:color="auto" w:fill="EFEFF0"/>
                  <w:vAlign w:val="center"/>
                </w:tcPr>
                <w:p w:rsidR="002D5C2A" w:rsidRDefault="00280B42">
                  <w:pPr>
                    <w:framePr w:wrap="around" w:vAnchor="text" w:hAnchor="margin"/>
                    <w:spacing w:after="0"/>
                    <w:ind w:right="64"/>
                    <w:suppressOverlap/>
                    <w:jc w:val="center"/>
                  </w:pPr>
                  <w:r>
                    <w:rPr>
                      <w:rFonts w:ascii="Times New Roman" w:eastAsia="Times New Roman" w:hAnsi="Times New Roman" w:cs="Times New Roman"/>
                      <w:color w:val="000003"/>
                      <w:sz w:val="18"/>
                    </w:rPr>
                    <w:t xml:space="preserve"> А</w:t>
                  </w:r>
                </w:p>
              </w:tc>
              <w:tc>
                <w:tcPr>
                  <w:tcW w:w="9014" w:type="dxa"/>
                  <w:tcBorders>
                    <w:top w:val="single" w:sz="4" w:space="0" w:color="000003"/>
                    <w:left w:val="single" w:sz="4" w:space="0" w:color="000003"/>
                    <w:bottom w:val="single" w:sz="4" w:space="0" w:color="000003"/>
                    <w:right w:val="single" w:sz="4" w:space="0" w:color="000003"/>
                  </w:tcBorders>
                  <w:shd w:val="clear" w:color="auto" w:fill="EFEFF0"/>
                </w:tcPr>
                <w:p w:rsidR="002D5C2A" w:rsidRDefault="00280B42">
                  <w:pPr>
                    <w:framePr w:wrap="around" w:vAnchor="text" w:hAnchor="margin"/>
                    <w:spacing w:after="0" w:line="219" w:lineRule="auto"/>
                    <w:suppressOverlap/>
                  </w:pPr>
                  <w:r>
                    <w:rPr>
                      <w:rFonts w:ascii="Times New Roman" w:eastAsia="Times New Roman" w:hAnsi="Times New Roman" w:cs="Times New Roman"/>
                      <w:color w:val="000003"/>
                      <w:sz w:val="18"/>
                    </w:rPr>
                    <w:t>Сильная рекомендация (все рассматриваемые критерии эффективности (исходы) являются важными, все исследования имеют высокое или удовлетворительное методологическое качество, их выводы по интересующим исходам являются согласованными)</w:t>
                  </w:r>
                </w:p>
                <w:p w:rsidR="002D5C2A" w:rsidRDefault="00280B42">
                  <w:pPr>
                    <w:framePr w:wrap="around" w:vAnchor="text" w:hAnchor="margin"/>
                    <w:spacing w:after="0"/>
                    <w:suppressOverlap/>
                  </w:pPr>
                  <w:r>
                    <w:rPr>
                      <w:rFonts w:ascii="Times New Roman" w:eastAsia="Times New Roman" w:hAnsi="Times New Roman" w:cs="Times New Roman"/>
                      <w:color w:val="000003"/>
                      <w:sz w:val="18"/>
                    </w:rPr>
                    <w:t>Strong recommendation (a</w:t>
                  </w:r>
                  <w:r>
                    <w:rPr>
                      <w:rFonts w:ascii="Times New Roman" w:eastAsia="Times New Roman" w:hAnsi="Times New Roman" w:cs="Times New Roman"/>
                      <w:color w:val="000003"/>
                      <w:sz w:val="18"/>
                    </w:rPr>
                    <w:t>ll efficacy criteria (outcomes) are important, all studies possess high or satisfactory methodological quality, conclusions on the outcomes of interest are consistent)</w:t>
                  </w:r>
                </w:p>
              </w:tc>
            </w:tr>
            <w:tr w:rsidR="002D5C2A">
              <w:trPr>
                <w:trHeight w:val="1253"/>
              </w:trPr>
              <w:tc>
                <w:tcPr>
                  <w:tcW w:w="624" w:type="dxa"/>
                  <w:tcBorders>
                    <w:top w:val="single" w:sz="4" w:space="0" w:color="000003"/>
                    <w:left w:val="single" w:sz="4" w:space="0" w:color="000003"/>
                    <w:bottom w:val="single" w:sz="4" w:space="0" w:color="000003"/>
                    <w:right w:val="single" w:sz="4" w:space="0" w:color="000003"/>
                  </w:tcBorders>
                  <w:shd w:val="clear" w:color="auto" w:fill="EFEFF0"/>
                  <w:vAlign w:val="center"/>
                </w:tcPr>
                <w:p w:rsidR="002D5C2A" w:rsidRDefault="00280B42">
                  <w:pPr>
                    <w:framePr w:wrap="around" w:vAnchor="text" w:hAnchor="margin"/>
                    <w:spacing w:after="0"/>
                    <w:ind w:right="64"/>
                    <w:suppressOverlap/>
                    <w:jc w:val="center"/>
                  </w:pPr>
                  <w:r>
                    <w:rPr>
                      <w:rFonts w:ascii="Times New Roman" w:eastAsia="Times New Roman" w:hAnsi="Times New Roman" w:cs="Times New Roman"/>
                      <w:color w:val="000003"/>
                      <w:sz w:val="18"/>
                    </w:rPr>
                    <w:t xml:space="preserve"> В</w:t>
                  </w:r>
                </w:p>
              </w:tc>
              <w:tc>
                <w:tcPr>
                  <w:tcW w:w="9014" w:type="dxa"/>
                  <w:tcBorders>
                    <w:top w:val="single" w:sz="4" w:space="0" w:color="000003"/>
                    <w:left w:val="single" w:sz="4" w:space="0" w:color="000003"/>
                    <w:bottom w:val="single" w:sz="4" w:space="0" w:color="000003"/>
                    <w:right w:val="single" w:sz="4" w:space="0" w:color="000003"/>
                  </w:tcBorders>
                  <w:shd w:val="clear" w:color="auto" w:fill="EFEFF0"/>
                </w:tcPr>
                <w:p w:rsidR="002D5C2A" w:rsidRDefault="00280B42">
                  <w:pPr>
                    <w:framePr w:wrap="around" w:vAnchor="text" w:hAnchor="margin"/>
                    <w:spacing w:after="0" w:line="219" w:lineRule="auto"/>
                    <w:suppressOverlap/>
                  </w:pPr>
                  <w:r>
                    <w:rPr>
                      <w:rFonts w:ascii="Times New Roman" w:eastAsia="Times New Roman" w:hAnsi="Times New Roman" w:cs="Times New Roman"/>
                      <w:color w:val="000003"/>
                      <w:sz w:val="18"/>
                    </w:rPr>
                    <w:t>Условная рекомендация (не все рассматриваемые критерии эффективности (исходы) являются важными, не все исследования имеют высокое или удовлетворительное методологическое качество и/или их выводы по интересующим исходам не являются согласованными)</w:t>
                  </w:r>
                </w:p>
                <w:p w:rsidR="002D5C2A" w:rsidRDefault="00280B42">
                  <w:pPr>
                    <w:framePr w:wrap="around" w:vAnchor="text" w:hAnchor="margin"/>
                    <w:spacing w:after="0"/>
                    <w:suppressOverlap/>
                  </w:pPr>
                  <w:r>
                    <w:rPr>
                      <w:rFonts w:ascii="Times New Roman" w:eastAsia="Times New Roman" w:hAnsi="Times New Roman" w:cs="Times New Roman"/>
                      <w:color w:val="000003"/>
                      <w:sz w:val="18"/>
                    </w:rPr>
                    <w:t>Condition</w:t>
                  </w:r>
                  <w:r>
                    <w:rPr>
                      <w:rFonts w:ascii="Times New Roman" w:eastAsia="Times New Roman" w:hAnsi="Times New Roman" w:cs="Times New Roman"/>
                      <w:color w:val="000003"/>
                      <w:sz w:val="18"/>
                    </w:rPr>
                    <w:t>al recommendation (not all efficacy criteria (outcomes) are important, not all studies are of high or satisfactory methodological quality and/or their conclusions on the outcomes of interest are not consistent)</w:t>
                  </w:r>
                </w:p>
              </w:tc>
            </w:tr>
            <w:tr w:rsidR="002D5C2A">
              <w:trPr>
                <w:trHeight w:val="1253"/>
              </w:trPr>
              <w:tc>
                <w:tcPr>
                  <w:tcW w:w="624" w:type="dxa"/>
                  <w:tcBorders>
                    <w:top w:val="single" w:sz="4" w:space="0" w:color="000003"/>
                    <w:left w:val="single" w:sz="4" w:space="0" w:color="000003"/>
                    <w:bottom w:val="single" w:sz="4" w:space="0" w:color="000003"/>
                    <w:right w:val="single" w:sz="4" w:space="0" w:color="000003"/>
                  </w:tcBorders>
                  <w:shd w:val="clear" w:color="auto" w:fill="EFEFF0"/>
                  <w:vAlign w:val="center"/>
                </w:tcPr>
                <w:p w:rsidR="002D5C2A" w:rsidRDefault="00280B42">
                  <w:pPr>
                    <w:framePr w:wrap="around" w:vAnchor="text" w:hAnchor="margin"/>
                    <w:spacing w:after="0"/>
                    <w:ind w:right="64"/>
                    <w:suppressOverlap/>
                    <w:jc w:val="center"/>
                  </w:pPr>
                  <w:r>
                    <w:rPr>
                      <w:rFonts w:ascii="Times New Roman" w:eastAsia="Times New Roman" w:hAnsi="Times New Roman" w:cs="Times New Roman"/>
                      <w:color w:val="000003"/>
                      <w:sz w:val="18"/>
                    </w:rPr>
                    <w:t xml:space="preserve"> С</w:t>
                  </w:r>
                </w:p>
              </w:tc>
              <w:tc>
                <w:tcPr>
                  <w:tcW w:w="9014" w:type="dxa"/>
                  <w:tcBorders>
                    <w:top w:val="single" w:sz="4" w:space="0" w:color="000003"/>
                    <w:left w:val="single" w:sz="4" w:space="0" w:color="000003"/>
                    <w:bottom w:val="single" w:sz="4" w:space="0" w:color="000003"/>
                    <w:right w:val="single" w:sz="4" w:space="0" w:color="000003"/>
                  </w:tcBorders>
                  <w:shd w:val="clear" w:color="auto" w:fill="EFEFF0"/>
                </w:tcPr>
                <w:p w:rsidR="002D5C2A" w:rsidRDefault="00280B42">
                  <w:pPr>
                    <w:framePr w:wrap="around" w:vAnchor="text" w:hAnchor="margin"/>
                    <w:spacing w:after="0"/>
                    <w:suppressOverlap/>
                  </w:pPr>
                  <w:r>
                    <w:rPr>
                      <w:rFonts w:ascii="Times New Roman" w:eastAsia="Times New Roman" w:hAnsi="Times New Roman" w:cs="Times New Roman"/>
                      <w:color w:val="000003"/>
                      <w:sz w:val="18"/>
                    </w:rPr>
                    <w:t>Слабая рекомендация (отсутствие доказательств надлежащего качества (все рассматриваемые критерии эффективности (исходы) являются неважными, все исследования имеют низкое методологическое качество и их выводы по интересующим исходам не являются согласованны</w:t>
                  </w:r>
                  <w:r>
                    <w:rPr>
                      <w:rFonts w:ascii="Times New Roman" w:eastAsia="Times New Roman" w:hAnsi="Times New Roman" w:cs="Times New Roman"/>
                      <w:color w:val="000003"/>
                      <w:sz w:val="18"/>
                    </w:rPr>
                    <w:t>ми) Weak recommendation (lack of evidence of appropriate quality (all efficacy criteria (outcomes) are irrelevant, all studies are of poor methodological quality and their conclusions on the outcomes of interest are not consistent)</w:t>
                  </w:r>
                </w:p>
              </w:tc>
            </w:tr>
          </w:tbl>
          <w:p w:rsidR="002D5C2A" w:rsidRDefault="002D5C2A"/>
        </w:tc>
      </w:tr>
    </w:tbl>
    <w:p w:rsidR="002D5C2A" w:rsidRDefault="00280B42">
      <w:pPr>
        <w:pStyle w:val="Heading3"/>
        <w:ind w:left="278"/>
      </w:pPr>
      <w:r>
        <w:t>Порядок обновления кл</w:t>
      </w:r>
      <w:r>
        <w:t>инических рекомендаций</w:t>
      </w:r>
    </w:p>
    <w:p w:rsidR="002D5C2A" w:rsidRDefault="00280B42">
      <w:pPr>
        <w:spacing w:after="5" w:line="254" w:lineRule="auto"/>
        <w:ind w:left="-13" w:right="73" w:firstLine="273"/>
        <w:jc w:val="both"/>
      </w:pPr>
      <w:r>
        <w:rPr>
          <w:rFonts w:ascii="Times New Roman" w:eastAsia="Times New Roman" w:hAnsi="Times New Roman" w:cs="Times New Roman"/>
          <w:color w:val="000003"/>
          <w:sz w:val="19"/>
        </w:rPr>
        <w:t>Механизм обновления клинических рекомендаций предусматривает их систематическую актуализацию — не реже чем один раз в три года, а также при появлении новых данных с позиции доказательной медицины по вопросам диагностики, ле</w:t>
      </w:r>
      <w:r>
        <w:rPr>
          <w:rFonts w:ascii="Times New Roman" w:eastAsia="Times New Roman" w:hAnsi="Times New Roman" w:cs="Times New Roman"/>
          <w:color w:val="000003"/>
          <w:sz w:val="19"/>
        </w:rPr>
        <w:t>чения, профилактики инфекционного эзофагита и реабилитации таких больных, наличии обоснованных дополнений/замечаний к ранее утвержденным КР, но не чаще 1 раза в 6 месяцев.</w:t>
      </w:r>
    </w:p>
    <w:p w:rsidR="002D5C2A" w:rsidRDefault="00280B42">
      <w:pPr>
        <w:spacing w:after="52" w:line="254" w:lineRule="auto"/>
        <w:ind w:left="278" w:hanging="10"/>
      </w:pPr>
      <w:r>
        <w:rPr>
          <w:rFonts w:ascii="Times New Roman" w:eastAsia="Times New Roman" w:hAnsi="Times New Roman" w:cs="Times New Roman"/>
          <w:b/>
          <w:color w:val="009EE4"/>
          <w:sz w:val="19"/>
        </w:rPr>
        <w:t>Справочные материалы, включая соответствие показаний к применению и противопоказаний</w:t>
      </w:r>
      <w:r>
        <w:rPr>
          <w:rFonts w:ascii="Times New Roman" w:eastAsia="Times New Roman" w:hAnsi="Times New Roman" w:cs="Times New Roman"/>
          <w:b/>
          <w:color w:val="009EE4"/>
          <w:sz w:val="19"/>
        </w:rPr>
        <w:t>, способов применения и доз лекарственных препаратов, инструкции по применению лекарственного препарата</w:t>
      </w:r>
    </w:p>
    <w:p w:rsidR="002D5C2A" w:rsidRDefault="00280B42">
      <w:pPr>
        <w:spacing w:after="5" w:line="254" w:lineRule="auto"/>
        <w:ind w:left="-13" w:firstLine="273"/>
        <w:jc w:val="both"/>
      </w:pPr>
      <w:r>
        <w:rPr>
          <w:rFonts w:ascii="Times New Roman" w:eastAsia="Times New Roman" w:hAnsi="Times New Roman" w:cs="Times New Roman"/>
          <w:color w:val="000003"/>
          <w:sz w:val="19"/>
        </w:rPr>
        <w:t>Данные клинические рекомендации разработаны с учетом следующих нормативно-правовых документов:</w:t>
      </w:r>
    </w:p>
    <w:p w:rsidR="002D5C2A" w:rsidRDefault="00280B42">
      <w:pPr>
        <w:numPr>
          <w:ilvl w:val="0"/>
          <w:numId w:val="8"/>
        </w:numPr>
        <w:spacing w:after="5" w:line="254" w:lineRule="auto"/>
        <w:ind w:right="36" w:firstLine="273"/>
        <w:jc w:val="both"/>
      </w:pPr>
      <w:r>
        <w:rPr>
          <w:rFonts w:ascii="Times New Roman" w:eastAsia="Times New Roman" w:hAnsi="Times New Roman" w:cs="Times New Roman"/>
          <w:color w:val="000003"/>
          <w:sz w:val="19"/>
        </w:rPr>
        <w:t>Приказ Министерства здравоохранения и социального развити</w:t>
      </w:r>
      <w:r>
        <w:rPr>
          <w:rFonts w:ascii="Times New Roman" w:eastAsia="Times New Roman" w:hAnsi="Times New Roman" w:cs="Times New Roman"/>
          <w:color w:val="000003"/>
          <w:sz w:val="19"/>
        </w:rPr>
        <w:t>я Российской Федерации от 02.06.2010 № 415н «Об утверждении Порядка оказания медицинской помощи населению при заболеваниях гастроэнтерологического профиля».</w:t>
      </w:r>
    </w:p>
    <w:p w:rsidR="002D5C2A" w:rsidRDefault="00280B42">
      <w:pPr>
        <w:numPr>
          <w:ilvl w:val="0"/>
          <w:numId w:val="8"/>
        </w:numPr>
        <w:spacing w:after="226" w:line="254" w:lineRule="auto"/>
        <w:ind w:right="36" w:firstLine="273"/>
        <w:jc w:val="both"/>
      </w:pPr>
      <w:r>
        <w:rPr>
          <w:rFonts w:ascii="Times New Roman" w:eastAsia="Times New Roman" w:hAnsi="Times New Roman" w:cs="Times New Roman"/>
          <w:color w:val="000003"/>
          <w:sz w:val="19"/>
        </w:rPr>
        <w:t>Приказ Министерства здравоохранения Российской Федерации от 10 мая 2017 г. № 203н «Об утверждении к</w:t>
      </w:r>
      <w:r>
        <w:rPr>
          <w:rFonts w:ascii="Times New Roman" w:eastAsia="Times New Roman" w:hAnsi="Times New Roman" w:cs="Times New Roman"/>
          <w:color w:val="000003"/>
          <w:sz w:val="19"/>
        </w:rPr>
        <w:t>ритериев оценки качества медицинской помощи».</w:t>
      </w:r>
    </w:p>
    <w:p w:rsidR="002D5C2A" w:rsidRDefault="00280B42">
      <w:pPr>
        <w:pStyle w:val="Heading2"/>
        <w:spacing w:line="254" w:lineRule="auto"/>
        <w:ind w:left="278" w:right="922"/>
        <w:jc w:val="left"/>
      </w:pPr>
      <w:r>
        <w:t>Приложение В.  Информация для пациента</w:t>
      </w:r>
    </w:p>
    <w:p w:rsidR="002D5C2A" w:rsidRDefault="00280B42">
      <w:pPr>
        <w:spacing w:after="5" w:line="254" w:lineRule="auto"/>
        <w:ind w:left="-13" w:right="73" w:firstLine="273"/>
        <w:jc w:val="both"/>
      </w:pPr>
      <w:r>
        <w:rPr>
          <w:rFonts w:ascii="Times New Roman" w:eastAsia="Times New Roman" w:hAnsi="Times New Roman" w:cs="Times New Roman"/>
          <w:color w:val="000003"/>
          <w:sz w:val="19"/>
        </w:rPr>
        <w:t xml:space="preserve">Основным фактором риска развития инфекционного эзофагита служит снижение иммунной защиты. К самым частым возбудителям заболевания относятся грибы рода </w:t>
      </w:r>
      <w:r>
        <w:rPr>
          <w:rFonts w:ascii="Times New Roman" w:eastAsia="Times New Roman" w:hAnsi="Times New Roman" w:cs="Times New Roman"/>
          <w:i/>
          <w:color w:val="000003"/>
          <w:sz w:val="19"/>
        </w:rPr>
        <w:t>Candida</w:t>
      </w:r>
      <w:r>
        <w:rPr>
          <w:rFonts w:ascii="Times New Roman" w:eastAsia="Times New Roman" w:hAnsi="Times New Roman" w:cs="Times New Roman"/>
          <w:color w:val="000003"/>
          <w:sz w:val="19"/>
        </w:rPr>
        <w:t>, вирус прост</w:t>
      </w:r>
      <w:r>
        <w:rPr>
          <w:rFonts w:ascii="Times New Roman" w:eastAsia="Times New Roman" w:hAnsi="Times New Roman" w:cs="Times New Roman"/>
          <w:color w:val="000003"/>
          <w:sz w:val="19"/>
        </w:rPr>
        <w:t>ого герпеса и цитомегаловирус. Характерные жалобы при инфекционном эзофагите — боль и затруднение при глотании. Каждому пациенту с подозрением на инфекционное поражение пищевода должно проводиться тщательное обследование на наличие инфекции и идентификации</w:t>
      </w:r>
      <w:r>
        <w:rPr>
          <w:rFonts w:ascii="Times New Roman" w:eastAsia="Times New Roman" w:hAnsi="Times New Roman" w:cs="Times New Roman"/>
          <w:color w:val="000003"/>
          <w:sz w:val="19"/>
        </w:rPr>
        <w:t xml:space="preserve"> возбудителя, а также назначаться лечение, направленное на уничтожение микроорганизма (эрадикация). При неэффективности проведенного лечения следует провести повторный курс терапии с другой схемой назначения лекарственных средств. Пациенту важно соблюдать </w:t>
      </w:r>
      <w:r>
        <w:rPr>
          <w:rFonts w:ascii="Times New Roman" w:eastAsia="Times New Roman" w:hAnsi="Times New Roman" w:cs="Times New Roman"/>
          <w:color w:val="000003"/>
          <w:sz w:val="19"/>
        </w:rPr>
        <w:t>приверженность к лечению и строго контролировать прием лекарственных препаратов, а также модифицировать образ жизни, отказаться от курения и употребления алкоголя, соблюдать режим труда и отдыха.</w:t>
      </w:r>
    </w:p>
    <w:p w:rsidR="002D5C2A" w:rsidRDefault="002D5C2A">
      <w:pPr>
        <w:sectPr w:rsidR="002D5C2A">
          <w:type w:val="continuous"/>
          <w:pgSz w:w="11906" w:h="15874"/>
          <w:pgMar w:top="1040" w:right="1133" w:bottom="1143" w:left="1134" w:header="720" w:footer="720" w:gutter="0"/>
          <w:cols w:num="2" w:space="165"/>
        </w:sectPr>
      </w:pPr>
    </w:p>
    <w:p w:rsidR="002D5C2A" w:rsidRDefault="00280B42">
      <w:pPr>
        <w:pStyle w:val="Heading3"/>
        <w:spacing w:after="5"/>
        <w:ind w:left="278"/>
      </w:pPr>
      <w:r>
        <w:t>Литература / References</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 xml:space="preserve">Wilcox C.M. </w:t>
      </w:r>
      <w:r>
        <w:rPr>
          <w:rFonts w:ascii="Times New Roman" w:eastAsia="Times New Roman" w:hAnsi="Times New Roman" w:cs="Times New Roman"/>
          <w:color w:val="000003"/>
          <w:sz w:val="16"/>
        </w:rPr>
        <w:t>Esop</w:t>
      </w:r>
      <w:r>
        <w:rPr>
          <w:rFonts w:ascii="Times New Roman" w:eastAsia="Times New Roman" w:hAnsi="Times New Roman" w:cs="Times New Roman"/>
          <w:color w:val="000003"/>
          <w:sz w:val="16"/>
        </w:rPr>
        <w:t xml:space="preserve">hagitis in the immunocompromised host. In: </w:t>
      </w:r>
      <w:r>
        <w:rPr>
          <w:rFonts w:ascii="Times New Roman" w:eastAsia="Times New Roman" w:hAnsi="Times New Roman" w:cs="Times New Roman"/>
          <w:i/>
          <w:color w:val="000003"/>
          <w:sz w:val="16"/>
        </w:rPr>
        <w:t>Castell D.O., Richter J.E., eds</w:t>
      </w:r>
      <w:r>
        <w:rPr>
          <w:rFonts w:ascii="Times New Roman" w:eastAsia="Times New Roman" w:hAnsi="Times New Roman" w:cs="Times New Roman"/>
          <w:color w:val="000003"/>
          <w:sz w:val="16"/>
        </w:rPr>
        <w:t>. The esophagus, 5th ed. Philadelphia: Lippincott-Raven, 2012:724–39. DOI: 10.1002/9781444346220.ch39. 5</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Ивашкин В.Т., Ющук Н.Д., Маев И.В., Трухманов А.С., Алексеева О.П., Лапина Т.</w:t>
      </w:r>
      <w:r>
        <w:rPr>
          <w:rFonts w:ascii="Times New Roman" w:eastAsia="Times New Roman" w:hAnsi="Times New Roman" w:cs="Times New Roman"/>
          <w:i/>
          <w:color w:val="000003"/>
          <w:sz w:val="16"/>
        </w:rPr>
        <w:t>Л., Пирогов С.С., Ткачев А.В., Шептулин А.А.</w:t>
      </w:r>
      <w:r>
        <w:rPr>
          <w:rFonts w:ascii="Times New Roman" w:eastAsia="Times New Roman" w:hAnsi="Times New Roman" w:cs="Times New Roman"/>
          <w:color w:val="000003"/>
          <w:sz w:val="16"/>
        </w:rPr>
        <w:t xml:space="preserve"> Клинические рекомендации Российской гастроэнтерологической ассоциации по диагностике и лечению инфекционного эзофагита. Рос журн гастроэнтерол гепатол колопроктол. 2015;25(6):77– 81. [</w:t>
      </w:r>
      <w:r>
        <w:rPr>
          <w:rFonts w:ascii="Times New Roman" w:eastAsia="Times New Roman" w:hAnsi="Times New Roman" w:cs="Times New Roman"/>
          <w:i/>
          <w:color w:val="000003"/>
          <w:sz w:val="16"/>
        </w:rPr>
        <w:t>Ivashkin V.T., Jushhuk N.D.</w:t>
      </w:r>
      <w:r>
        <w:rPr>
          <w:rFonts w:ascii="Times New Roman" w:eastAsia="Times New Roman" w:hAnsi="Times New Roman" w:cs="Times New Roman"/>
          <w:i/>
          <w:color w:val="000003"/>
          <w:sz w:val="16"/>
        </w:rPr>
        <w:t>, Maev I.V., Truhmanov A.S., Alekseyeva O.P., Lapina T.L., Pirogov S.S., Tkachev A.V., Sheptulin A.A.</w:t>
      </w:r>
      <w:r>
        <w:rPr>
          <w:rFonts w:ascii="Times New Roman" w:eastAsia="Times New Roman" w:hAnsi="Times New Roman" w:cs="Times New Roman"/>
          <w:color w:val="000003"/>
          <w:sz w:val="16"/>
        </w:rPr>
        <w:t xml:space="preserve"> Diagnostics and treatment of infectious esophagitis: clinical guidelines of the Russian gastroenterological association. Rus J Gastroent Hepatol Coloproct</w:t>
      </w:r>
      <w:r>
        <w:rPr>
          <w:rFonts w:ascii="Times New Roman" w:eastAsia="Times New Roman" w:hAnsi="Times New Roman" w:cs="Times New Roman"/>
          <w:color w:val="000003"/>
          <w:sz w:val="16"/>
        </w:rPr>
        <w:t>ol. 2015;25(6):77–81 (In Russ.)].</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O’Rourke A</w:t>
      </w:r>
      <w:r>
        <w:rPr>
          <w:rFonts w:ascii="Times New Roman" w:eastAsia="Times New Roman" w:hAnsi="Times New Roman" w:cs="Times New Roman"/>
          <w:color w:val="000003"/>
          <w:sz w:val="16"/>
        </w:rPr>
        <w:t xml:space="preserve">. Infective oesophagitis: epidemiology, cause, diagnosis and treatment options. Curr Opin Otolaryngol. </w:t>
      </w:r>
    </w:p>
    <w:p w:rsidR="002D5C2A" w:rsidRDefault="00280B42">
      <w:pPr>
        <w:spacing w:after="3" w:line="241" w:lineRule="auto"/>
        <w:ind w:left="293" w:hanging="10"/>
        <w:jc w:val="both"/>
      </w:pPr>
      <w:r>
        <w:rPr>
          <w:rFonts w:ascii="Times New Roman" w:eastAsia="Times New Roman" w:hAnsi="Times New Roman" w:cs="Times New Roman"/>
          <w:color w:val="000003"/>
          <w:sz w:val="16"/>
        </w:rPr>
        <w:t>Head Neck Surg. 2015;23(6):459–63. DOI: 10.1097/</w:t>
      </w:r>
    </w:p>
    <w:p w:rsidR="002D5C2A" w:rsidRDefault="00280B42">
      <w:pPr>
        <w:spacing w:after="3" w:line="241" w:lineRule="auto"/>
        <w:ind w:left="293" w:hanging="10"/>
        <w:jc w:val="both"/>
      </w:pPr>
      <w:r>
        <w:rPr>
          <w:rFonts w:ascii="Times New Roman" w:eastAsia="Times New Roman" w:hAnsi="Times New Roman" w:cs="Times New Roman"/>
          <w:color w:val="000003"/>
          <w:sz w:val="16"/>
        </w:rPr>
        <w:t>МОО.0000000000000199</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Mulhall B.P., Wong R.K.H.</w:t>
      </w:r>
      <w:r>
        <w:rPr>
          <w:rFonts w:ascii="Times New Roman" w:eastAsia="Times New Roman" w:hAnsi="Times New Roman" w:cs="Times New Roman"/>
          <w:color w:val="000003"/>
          <w:sz w:val="16"/>
        </w:rPr>
        <w:t xml:space="preserve"> </w:t>
      </w:r>
      <w:r>
        <w:rPr>
          <w:rFonts w:ascii="Times New Roman" w:eastAsia="Times New Roman" w:hAnsi="Times New Roman" w:cs="Times New Roman"/>
          <w:color w:val="000003"/>
          <w:sz w:val="16"/>
        </w:rPr>
        <w:t xml:space="preserve">Infectious Esophagitis. Curr Treat Options Gastroenterol. 2003;6(1):55–70. DOI: </w:t>
      </w:r>
    </w:p>
    <w:p w:rsidR="002D5C2A" w:rsidRDefault="00280B42">
      <w:pPr>
        <w:spacing w:after="3" w:line="241" w:lineRule="auto"/>
        <w:ind w:left="293" w:hanging="10"/>
        <w:jc w:val="both"/>
      </w:pPr>
      <w:r>
        <w:rPr>
          <w:rFonts w:ascii="Times New Roman" w:eastAsia="Times New Roman" w:hAnsi="Times New Roman" w:cs="Times New Roman"/>
          <w:color w:val="000003"/>
          <w:sz w:val="16"/>
        </w:rPr>
        <w:t>10.1007/s11938-003-0034-5</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Forrest G</w:t>
      </w:r>
      <w:r>
        <w:rPr>
          <w:rFonts w:ascii="Times New Roman" w:eastAsia="Times New Roman" w:hAnsi="Times New Roman" w:cs="Times New Roman"/>
          <w:color w:val="000003"/>
          <w:sz w:val="16"/>
        </w:rPr>
        <w:t>. Gastrointestinal infections in immunocompromised hosts. Curr Opin Gastroenterol. 2004;20(1):16–21. DOI: 10.1097/00001574-200401000-00005</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R</w:t>
      </w:r>
      <w:r>
        <w:rPr>
          <w:rFonts w:ascii="Times New Roman" w:eastAsia="Times New Roman" w:hAnsi="Times New Roman" w:cs="Times New Roman"/>
          <w:i/>
          <w:color w:val="000003"/>
          <w:sz w:val="16"/>
        </w:rPr>
        <w:t>osołowski M., Kierzkiewicz M</w:t>
      </w:r>
      <w:r>
        <w:rPr>
          <w:rFonts w:ascii="Times New Roman" w:eastAsia="Times New Roman" w:hAnsi="Times New Roman" w:cs="Times New Roman"/>
          <w:color w:val="000003"/>
          <w:sz w:val="16"/>
        </w:rPr>
        <w:t>. Etiology, diagnosis and treatment of infectious esophagitis. Gastroenterol. 2013;8(6):333–7. DOI: 10.5114/pg.2013.39914</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Ahuja N.K., Clarke J.O.</w:t>
      </w:r>
      <w:r>
        <w:rPr>
          <w:rFonts w:ascii="Times New Roman" w:eastAsia="Times New Roman" w:hAnsi="Times New Roman" w:cs="Times New Roman"/>
          <w:color w:val="000003"/>
          <w:sz w:val="16"/>
        </w:rPr>
        <w:t xml:space="preserve"> Evaluation and Management of Infectious Esophagitis in Immunocompromised and Immun</w:t>
      </w:r>
      <w:r>
        <w:rPr>
          <w:rFonts w:ascii="Times New Roman" w:eastAsia="Times New Roman" w:hAnsi="Times New Roman" w:cs="Times New Roman"/>
          <w:color w:val="000003"/>
          <w:sz w:val="16"/>
        </w:rPr>
        <w:t>ocompetent Individuals. Curr Treat Options Gastroenterol. 2016;14(1):28–38. DOI: 10.1007/s11938-016-0082-2</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Winkler B., Capo V., Reumann W., Ma A., Porta R.L., Reilly S., et al</w:t>
      </w:r>
      <w:r>
        <w:rPr>
          <w:rFonts w:ascii="Times New Roman" w:eastAsia="Times New Roman" w:hAnsi="Times New Roman" w:cs="Times New Roman"/>
          <w:color w:val="000003"/>
          <w:sz w:val="16"/>
        </w:rPr>
        <w:t>. Human papillomavirus infection of the esophagus. A clinicopathologic study with demonstration of papillomavirus antigen by the immunoperoxidase technique. Cancer. 1985;55(1):149–55. DOI: 10.1002/1097-</w:t>
      </w:r>
    </w:p>
    <w:p w:rsidR="002D5C2A" w:rsidRDefault="00280B42">
      <w:pPr>
        <w:spacing w:after="3" w:line="241" w:lineRule="auto"/>
        <w:ind w:left="293" w:hanging="10"/>
        <w:jc w:val="both"/>
      </w:pPr>
      <w:r>
        <w:rPr>
          <w:rFonts w:ascii="Times New Roman" w:eastAsia="Times New Roman" w:hAnsi="Times New Roman" w:cs="Times New Roman"/>
          <w:color w:val="000003"/>
          <w:sz w:val="16"/>
        </w:rPr>
        <w:t>0142(19850101)55:1</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Baehr P.H., McDonald G.B</w:t>
      </w:r>
      <w:r>
        <w:rPr>
          <w:rFonts w:ascii="Times New Roman" w:eastAsia="Times New Roman" w:hAnsi="Times New Roman" w:cs="Times New Roman"/>
          <w:color w:val="000003"/>
          <w:sz w:val="16"/>
        </w:rPr>
        <w:t>. Esophage</w:t>
      </w:r>
      <w:r>
        <w:rPr>
          <w:rFonts w:ascii="Times New Roman" w:eastAsia="Times New Roman" w:hAnsi="Times New Roman" w:cs="Times New Roman"/>
          <w:color w:val="000003"/>
          <w:sz w:val="16"/>
        </w:rPr>
        <w:t>al infections: risk factors, presentation, diagnosis, and treatment. Gastroenterology. 1994;106(2):509–32. DOI: 10.1016/00165085(94)90613-0.</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Gill R.A., Gebhard R.L., Dozeman R.L., Sumner H.W</w:t>
      </w:r>
      <w:r>
        <w:rPr>
          <w:rFonts w:ascii="Times New Roman" w:eastAsia="Times New Roman" w:hAnsi="Times New Roman" w:cs="Times New Roman"/>
          <w:color w:val="000003"/>
          <w:sz w:val="16"/>
        </w:rPr>
        <w:t>. Shingles esophagitis: endoscopic diagnosis in two patients. Gast</w:t>
      </w:r>
      <w:r>
        <w:rPr>
          <w:rFonts w:ascii="Times New Roman" w:eastAsia="Times New Roman" w:hAnsi="Times New Roman" w:cs="Times New Roman"/>
          <w:color w:val="000003"/>
          <w:sz w:val="16"/>
        </w:rPr>
        <w:t>rointest Endosc. 1984;30(1):26–7. DOI: 10.1016/ s0016-5107(84)72290-5</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Jain S.K., Jain S., Jain M., Yaduvanshi A</w:t>
      </w:r>
      <w:r>
        <w:rPr>
          <w:rFonts w:ascii="Times New Roman" w:eastAsia="Times New Roman" w:hAnsi="Times New Roman" w:cs="Times New Roman"/>
          <w:color w:val="000003"/>
          <w:sz w:val="16"/>
        </w:rPr>
        <w:t>. Esophageal tuberculosis: is it so rare? Report of 12 cases and review of the literature. Am. J. Gastroenterol. 2002;97(2):287–91. DOI: 10.1111/</w:t>
      </w:r>
      <w:r>
        <w:rPr>
          <w:rFonts w:ascii="Times New Roman" w:eastAsia="Times New Roman" w:hAnsi="Times New Roman" w:cs="Times New Roman"/>
          <w:color w:val="000003"/>
          <w:sz w:val="16"/>
        </w:rPr>
        <w:t>j.1572-0241.2002.05456.x</w:t>
      </w:r>
    </w:p>
    <w:p w:rsidR="002D5C2A" w:rsidRDefault="00280B42">
      <w:pPr>
        <w:numPr>
          <w:ilvl w:val="0"/>
          <w:numId w:val="9"/>
        </w:numPr>
        <w:spacing w:after="3" w:line="241" w:lineRule="auto"/>
        <w:ind w:hanging="283"/>
        <w:jc w:val="both"/>
      </w:pPr>
      <w:r>
        <w:rPr>
          <w:rFonts w:ascii="Times New Roman" w:eastAsia="Times New Roman" w:hAnsi="Times New Roman" w:cs="Times New Roman"/>
          <w:color w:val="000003"/>
          <w:sz w:val="16"/>
        </w:rPr>
        <w:t>Robbins and Cotran Pathologic Basis of Disease. 9th edition. Philadelphia, PA: Elsevier/Saunders, 2015.</w:t>
      </w:r>
    </w:p>
    <w:p w:rsidR="002D5C2A" w:rsidRDefault="00280B42">
      <w:pPr>
        <w:numPr>
          <w:ilvl w:val="0"/>
          <w:numId w:val="9"/>
        </w:numPr>
        <w:spacing w:after="20" w:line="254" w:lineRule="auto"/>
        <w:ind w:hanging="283"/>
        <w:jc w:val="both"/>
      </w:pPr>
      <w:r>
        <w:rPr>
          <w:rFonts w:ascii="Times New Roman" w:eastAsia="Times New Roman" w:hAnsi="Times New Roman" w:cs="Times New Roman"/>
          <w:i/>
          <w:color w:val="000003"/>
          <w:sz w:val="16"/>
        </w:rPr>
        <w:t>López-Dupla M., Sanz P.M., Garcia V.P., Ortega E.V., Uriol P.L., Khamashta M.A., Aguado A.G.</w:t>
      </w:r>
      <w:r>
        <w:rPr>
          <w:rFonts w:ascii="Times New Roman" w:eastAsia="Times New Roman" w:hAnsi="Times New Roman" w:cs="Times New Roman"/>
          <w:color w:val="000003"/>
          <w:sz w:val="16"/>
        </w:rPr>
        <w:t xml:space="preserve"> Clini-</w:t>
      </w:r>
    </w:p>
    <w:p w:rsidR="002D5C2A" w:rsidRDefault="00280B42">
      <w:pPr>
        <w:spacing w:after="3" w:line="241" w:lineRule="auto"/>
        <w:ind w:left="293" w:hanging="10"/>
        <w:jc w:val="both"/>
      </w:pPr>
      <w:r>
        <w:rPr>
          <w:rFonts w:ascii="Times New Roman" w:eastAsia="Times New Roman" w:hAnsi="Times New Roman" w:cs="Times New Roman"/>
          <w:color w:val="000003"/>
          <w:sz w:val="16"/>
        </w:rPr>
        <w:t>cal, endoscopic, immunologi</w:t>
      </w:r>
      <w:r>
        <w:rPr>
          <w:rFonts w:ascii="Times New Roman" w:eastAsia="Times New Roman" w:hAnsi="Times New Roman" w:cs="Times New Roman"/>
          <w:color w:val="000003"/>
          <w:sz w:val="16"/>
        </w:rPr>
        <w:t>c, and therapeutic aspects of oropharyngeal and esophageal candidiasis in HIV-infected patients: a survey of 114 cases. Am J Gastroenterol. 1992;87(12):1771–6.</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von Arnim U., Malfertheiner P.</w:t>
      </w:r>
      <w:r>
        <w:rPr>
          <w:rFonts w:ascii="Times New Roman" w:eastAsia="Times New Roman" w:hAnsi="Times New Roman" w:cs="Times New Roman"/>
          <w:color w:val="000003"/>
          <w:sz w:val="16"/>
        </w:rPr>
        <w:t xml:space="preserve"> Eosinophilic Esophagitis — Treatment of Eosinophilic Esophagitis </w:t>
      </w:r>
      <w:r>
        <w:rPr>
          <w:rFonts w:ascii="Times New Roman" w:eastAsia="Times New Roman" w:hAnsi="Times New Roman" w:cs="Times New Roman"/>
          <w:color w:val="000003"/>
          <w:sz w:val="16"/>
        </w:rPr>
        <w:t>with Drugs: Corticosteroids. Dig. Dis. 2014;32(1–2):126–9. DOI: 10.1159/000357089</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Daniell H.W</w:t>
      </w:r>
      <w:r>
        <w:rPr>
          <w:rFonts w:ascii="Times New Roman" w:eastAsia="Times New Roman" w:hAnsi="Times New Roman" w:cs="Times New Roman"/>
          <w:color w:val="000003"/>
          <w:sz w:val="16"/>
        </w:rPr>
        <w:t>. Acid suppressing therapy as a risk factor for Candida esophagitis: Acid suppression and Candida esophagitis. Dis. Esophagus. 2016;29(5):479–83. DOI: 10.1111/dote</w:t>
      </w:r>
      <w:r>
        <w:rPr>
          <w:rFonts w:ascii="Times New Roman" w:eastAsia="Times New Roman" w:hAnsi="Times New Roman" w:cs="Times New Roman"/>
          <w:color w:val="000003"/>
          <w:sz w:val="16"/>
        </w:rPr>
        <w:t>.12354.</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Underwood J.A., Williams J.W., Keate R.F</w:t>
      </w:r>
      <w:r>
        <w:rPr>
          <w:rFonts w:ascii="Times New Roman" w:eastAsia="Times New Roman" w:hAnsi="Times New Roman" w:cs="Times New Roman"/>
          <w:color w:val="000003"/>
          <w:sz w:val="16"/>
        </w:rPr>
        <w:t>. Clinical findings and risk factors for Candida esophagitis in outpatients. Dis. Esophagus. 2003;16(2):66–9. DOI: 10.1046/j.1442-2050.2003.00305.x</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Jones C.</w:t>
      </w:r>
      <w:r>
        <w:rPr>
          <w:rFonts w:ascii="Times New Roman" w:eastAsia="Times New Roman" w:hAnsi="Times New Roman" w:cs="Times New Roman"/>
          <w:color w:val="000003"/>
          <w:sz w:val="16"/>
        </w:rPr>
        <w:t xml:space="preserve"> Alphaherpesvirus Latency: Its Role in Disease and S</w:t>
      </w:r>
      <w:r>
        <w:rPr>
          <w:rFonts w:ascii="Times New Roman" w:eastAsia="Times New Roman" w:hAnsi="Times New Roman" w:cs="Times New Roman"/>
          <w:color w:val="000003"/>
          <w:sz w:val="16"/>
        </w:rPr>
        <w:t>urvival of the Virus in Nature. Adv Virus Res. 1998;51:81–133. DOI: 10.1016/s0065-3527(08)60784-8</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Wagner E.K., Bloom D.C</w:t>
      </w:r>
      <w:r>
        <w:rPr>
          <w:rFonts w:ascii="Times New Roman" w:eastAsia="Times New Roman" w:hAnsi="Times New Roman" w:cs="Times New Roman"/>
          <w:color w:val="000003"/>
          <w:sz w:val="16"/>
        </w:rPr>
        <w:t xml:space="preserve">. Experimental investigation of herpes simplex virus latency. Clin. Microbiol. Rev. </w:t>
      </w:r>
    </w:p>
    <w:p w:rsidR="002D5C2A" w:rsidRDefault="00280B42">
      <w:pPr>
        <w:spacing w:after="3" w:line="241" w:lineRule="auto"/>
        <w:ind w:left="293" w:hanging="10"/>
        <w:jc w:val="both"/>
      </w:pPr>
      <w:r>
        <w:rPr>
          <w:rFonts w:ascii="Times New Roman" w:eastAsia="Times New Roman" w:hAnsi="Times New Roman" w:cs="Times New Roman"/>
          <w:color w:val="000003"/>
          <w:sz w:val="16"/>
        </w:rPr>
        <w:t>1997;10(3):419–43. DOI: 10.1128/CMR.10.3.419-443.19</w:t>
      </w:r>
      <w:r>
        <w:rPr>
          <w:rFonts w:ascii="Times New Roman" w:eastAsia="Times New Roman" w:hAnsi="Times New Roman" w:cs="Times New Roman"/>
          <w:color w:val="000003"/>
          <w:sz w:val="16"/>
        </w:rPr>
        <w:t>97</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Jones C.</w:t>
      </w:r>
      <w:r>
        <w:rPr>
          <w:rFonts w:ascii="Times New Roman" w:eastAsia="Times New Roman" w:hAnsi="Times New Roman" w:cs="Times New Roman"/>
          <w:color w:val="000003"/>
          <w:sz w:val="16"/>
        </w:rPr>
        <w:t xml:space="preserve"> Herpes Simplex Virus Type 1 and Bovine Herpesvirus 1 Latency. Clin Microbiol Rev. 2003;16(1):79–95. DOI: 10.1128/cmr.16.1.79-95.2003</w:t>
      </w:r>
    </w:p>
    <w:p w:rsidR="002D5C2A" w:rsidRDefault="00280B42">
      <w:pPr>
        <w:numPr>
          <w:ilvl w:val="0"/>
          <w:numId w:val="9"/>
        </w:numPr>
        <w:spacing w:after="0" w:line="234" w:lineRule="auto"/>
        <w:ind w:hanging="283"/>
        <w:jc w:val="both"/>
      </w:pPr>
      <w:r>
        <w:rPr>
          <w:rFonts w:ascii="Times New Roman" w:eastAsia="Times New Roman" w:hAnsi="Times New Roman" w:cs="Times New Roman"/>
          <w:i/>
          <w:color w:val="000003"/>
          <w:sz w:val="16"/>
        </w:rPr>
        <w:t>Itoh T., Takahashi T., Kusaka K., Kawaura K., Nakagawa Y., Yamakawa J., Kanda T.</w:t>
      </w:r>
      <w:r>
        <w:rPr>
          <w:rFonts w:ascii="Times New Roman" w:eastAsia="Times New Roman" w:hAnsi="Times New Roman" w:cs="Times New Roman"/>
          <w:color w:val="000003"/>
          <w:sz w:val="16"/>
        </w:rPr>
        <w:t xml:space="preserve"> </w:t>
      </w:r>
      <w:r>
        <w:rPr>
          <w:rFonts w:ascii="Times New Roman" w:eastAsia="Times New Roman" w:hAnsi="Times New Roman" w:cs="Times New Roman"/>
          <w:color w:val="000003"/>
          <w:sz w:val="16"/>
        </w:rPr>
        <w:t xml:space="preserve">Herpes simplex esophagitis from 1307 autopsy cases. J Gastroenterol </w:t>
      </w:r>
    </w:p>
    <w:p w:rsidR="002D5C2A" w:rsidRDefault="00280B42">
      <w:pPr>
        <w:spacing w:after="3" w:line="241" w:lineRule="auto"/>
        <w:ind w:left="293" w:hanging="10"/>
        <w:jc w:val="both"/>
      </w:pPr>
      <w:r>
        <w:rPr>
          <w:rFonts w:ascii="Times New Roman" w:eastAsia="Times New Roman" w:hAnsi="Times New Roman" w:cs="Times New Roman"/>
          <w:color w:val="000003"/>
          <w:sz w:val="16"/>
        </w:rPr>
        <w:t>Hepatol. 2003;18(12):1407–11. DOI: 10.1046/j.1440-</w:t>
      </w:r>
    </w:p>
    <w:p w:rsidR="002D5C2A" w:rsidRDefault="00280B42">
      <w:pPr>
        <w:numPr>
          <w:ilvl w:val="1"/>
          <w:numId w:val="9"/>
        </w:numPr>
        <w:spacing w:after="3" w:line="241" w:lineRule="auto"/>
        <w:ind w:hanging="407"/>
        <w:jc w:val="both"/>
      </w:pPr>
      <w:r>
        <w:rPr>
          <w:rFonts w:ascii="Times New Roman" w:eastAsia="Times New Roman" w:hAnsi="Times New Roman" w:cs="Times New Roman"/>
          <w:color w:val="000003"/>
          <w:sz w:val="16"/>
        </w:rPr>
        <w:t>2003.03166.x</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Mosimann F., Cuénoud P.F., Steinhäuslin F., Wauters J.P.</w:t>
      </w:r>
      <w:r>
        <w:rPr>
          <w:rFonts w:ascii="Times New Roman" w:eastAsia="Times New Roman" w:hAnsi="Times New Roman" w:cs="Times New Roman"/>
          <w:color w:val="000003"/>
          <w:sz w:val="16"/>
        </w:rPr>
        <w:t xml:space="preserve"> Herpes simplex esophagitis after renal transplantation. Transpl In</w:t>
      </w:r>
      <w:r>
        <w:rPr>
          <w:rFonts w:ascii="Times New Roman" w:eastAsia="Times New Roman" w:hAnsi="Times New Roman" w:cs="Times New Roman"/>
          <w:color w:val="000003"/>
          <w:sz w:val="16"/>
        </w:rPr>
        <w:t>t. 1994;7(2):79–82. DOI: 10.1007/BF00336466</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McBane R.D., Gross J.B.</w:t>
      </w:r>
      <w:r>
        <w:rPr>
          <w:rFonts w:ascii="Times New Roman" w:eastAsia="Times New Roman" w:hAnsi="Times New Roman" w:cs="Times New Roman"/>
          <w:color w:val="000003"/>
          <w:sz w:val="16"/>
        </w:rPr>
        <w:t xml:space="preserve"> Herpes esophagitis: clinical syndrome, endoscopic appearance, and diagnosis in 23 patients. Gastrointest Endosc. 1991;37(6):600–3. DOI: 10.1016/s0016-5107(91)70862-6</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 xml:space="preserve">Nash G., Ross J.S. </w:t>
      </w:r>
      <w:r>
        <w:rPr>
          <w:rFonts w:ascii="Times New Roman" w:eastAsia="Times New Roman" w:hAnsi="Times New Roman" w:cs="Times New Roman"/>
          <w:color w:val="000003"/>
          <w:sz w:val="16"/>
        </w:rPr>
        <w:t>Her</w:t>
      </w:r>
      <w:r>
        <w:rPr>
          <w:rFonts w:ascii="Times New Roman" w:eastAsia="Times New Roman" w:hAnsi="Times New Roman" w:cs="Times New Roman"/>
          <w:color w:val="000003"/>
          <w:sz w:val="16"/>
        </w:rPr>
        <w:t>petic esophagitis. A common cause of esophageal ulceration. Hum Pathol. 1974;5(3):339–45. DOI: 10.1016/s0046-8177(74)80116-4</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 xml:space="preserve">DiPalma J.A., Brady C.E. </w:t>
      </w:r>
      <w:r>
        <w:rPr>
          <w:rFonts w:ascii="Times New Roman" w:eastAsia="Times New Roman" w:hAnsi="Times New Roman" w:cs="Times New Roman"/>
          <w:color w:val="000003"/>
          <w:sz w:val="16"/>
        </w:rPr>
        <w:t>Herpes simplex esophagitis in a nonimmunosuppressed host with gastroesophageal reflux. Gastrointest Endosc</w:t>
      </w:r>
      <w:r>
        <w:rPr>
          <w:rFonts w:ascii="Times New Roman" w:eastAsia="Times New Roman" w:hAnsi="Times New Roman" w:cs="Times New Roman"/>
          <w:color w:val="000003"/>
          <w:sz w:val="16"/>
        </w:rPr>
        <w:t>. 1984;30(1):24–5. DOI: 10.1016/ s0016-5107(84)72289-9</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Pazin G.J.</w:t>
      </w:r>
      <w:r>
        <w:rPr>
          <w:rFonts w:ascii="Times New Roman" w:eastAsia="Times New Roman" w:hAnsi="Times New Roman" w:cs="Times New Roman"/>
          <w:color w:val="000003"/>
          <w:sz w:val="16"/>
        </w:rPr>
        <w:t xml:space="preserve"> Herpes simplex esophagitis after trigeminal nerve surgery. Gastroenterology. 1978;74(4):741–3.</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Castrillero E.C., Durán F.G., Cabello N., Martínez J.G.</w:t>
      </w:r>
      <w:r>
        <w:rPr>
          <w:rFonts w:ascii="Times New Roman" w:eastAsia="Times New Roman" w:hAnsi="Times New Roman" w:cs="Times New Roman"/>
          <w:color w:val="000003"/>
          <w:sz w:val="16"/>
        </w:rPr>
        <w:t xml:space="preserve"> Herpes Esophagitis in Healthy Adults an</w:t>
      </w:r>
      <w:r>
        <w:rPr>
          <w:rFonts w:ascii="Times New Roman" w:eastAsia="Times New Roman" w:hAnsi="Times New Roman" w:cs="Times New Roman"/>
          <w:color w:val="000003"/>
          <w:sz w:val="16"/>
        </w:rPr>
        <w:t>d Adolescents: Report of 3 Cases and Review of the Literature. Medicine (Baltimore). 2010;89(4):204–10. DOI: 10.1097/ MD.0b013e3181e949ed</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Marinho A.V., Bonfim V.M., Alencar L.R., Pinto S.A., Filho J.A.A.</w:t>
      </w:r>
      <w:r>
        <w:rPr>
          <w:rFonts w:ascii="Times New Roman" w:eastAsia="Times New Roman" w:hAnsi="Times New Roman" w:cs="Times New Roman"/>
          <w:color w:val="000003"/>
          <w:sz w:val="16"/>
        </w:rPr>
        <w:t xml:space="preserve"> Herpetic Esophagitis in Immunocompetent Medical Stud</w:t>
      </w:r>
      <w:r>
        <w:rPr>
          <w:rFonts w:ascii="Times New Roman" w:eastAsia="Times New Roman" w:hAnsi="Times New Roman" w:cs="Times New Roman"/>
          <w:color w:val="000003"/>
          <w:sz w:val="16"/>
        </w:rPr>
        <w:t xml:space="preserve">ent. Case Rep Infect Dis. 2014;2014:930459. </w:t>
      </w:r>
    </w:p>
    <w:p w:rsidR="002D5C2A" w:rsidRDefault="00280B42">
      <w:pPr>
        <w:spacing w:after="3" w:line="241" w:lineRule="auto"/>
        <w:ind w:left="293" w:hanging="10"/>
        <w:jc w:val="both"/>
      </w:pPr>
      <w:r>
        <w:rPr>
          <w:rFonts w:ascii="Times New Roman" w:eastAsia="Times New Roman" w:hAnsi="Times New Roman" w:cs="Times New Roman"/>
          <w:color w:val="000003"/>
          <w:sz w:val="16"/>
        </w:rPr>
        <w:t>DOI: 10.1155/2014/930459</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Ashcraft K.A., Hunzeker J., Bonneau R.H</w:t>
      </w:r>
      <w:r>
        <w:rPr>
          <w:rFonts w:ascii="Times New Roman" w:eastAsia="Times New Roman" w:hAnsi="Times New Roman" w:cs="Times New Roman"/>
          <w:color w:val="000003"/>
          <w:sz w:val="16"/>
        </w:rPr>
        <w:t>. Psychological stress impairs the local CD8+ T cell response to mucosal HSV-1 infection and allows for increased pathogenicity via a glucocorticoi</w:t>
      </w:r>
      <w:r>
        <w:rPr>
          <w:rFonts w:ascii="Times New Roman" w:eastAsia="Times New Roman" w:hAnsi="Times New Roman" w:cs="Times New Roman"/>
          <w:color w:val="000003"/>
          <w:sz w:val="16"/>
        </w:rPr>
        <w:t>d receptor-mediated mechanism. Psychoneuroendocrinology. 2008;33(7):951–63. DOI: 10.1016/j. psyneuen.2008.04.010</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 xml:space="preserve">Hoversten P., Kamboj A.K., Katzka D.A. </w:t>
      </w:r>
      <w:r>
        <w:rPr>
          <w:rFonts w:ascii="Times New Roman" w:eastAsia="Times New Roman" w:hAnsi="Times New Roman" w:cs="Times New Roman"/>
          <w:color w:val="000003"/>
          <w:sz w:val="16"/>
        </w:rPr>
        <w:t>Infections of the esophagus: an update on risk factors, diagnosis, and management. Dis Esophagus. 2018;3</w:t>
      </w:r>
      <w:r>
        <w:rPr>
          <w:rFonts w:ascii="Times New Roman" w:eastAsia="Times New Roman" w:hAnsi="Times New Roman" w:cs="Times New Roman"/>
          <w:color w:val="000003"/>
          <w:sz w:val="16"/>
        </w:rPr>
        <w:t>1(12). DOI: 10.1093/ dote/doy094</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Wang H-W., Kuo C-J., Lin W-R., Hsu C-M., Ho Y-P., et al.</w:t>
      </w:r>
      <w:r>
        <w:rPr>
          <w:rFonts w:ascii="Times New Roman" w:eastAsia="Times New Roman" w:hAnsi="Times New Roman" w:cs="Times New Roman"/>
          <w:color w:val="000003"/>
          <w:sz w:val="16"/>
        </w:rPr>
        <w:t xml:space="preserve"> The clinical characteristics and manifestations of cytomegalovirus esophagitis. Dis Esophagus. 2016;29(4):392– 9. DOI: 10.1111/dote.12340</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Bonetti L.R., Losi L., Grego</w:t>
      </w:r>
      <w:r>
        <w:rPr>
          <w:rFonts w:ascii="Times New Roman" w:eastAsia="Times New Roman" w:hAnsi="Times New Roman" w:cs="Times New Roman"/>
          <w:i/>
          <w:color w:val="000003"/>
          <w:sz w:val="16"/>
        </w:rPr>
        <w:t>rio C.D., Bertani A., Merighi A., Bettelli S., et al</w:t>
      </w:r>
      <w:r>
        <w:rPr>
          <w:rFonts w:ascii="Times New Roman" w:eastAsia="Times New Roman" w:hAnsi="Times New Roman" w:cs="Times New Roman"/>
          <w:color w:val="000003"/>
          <w:sz w:val="16"/>
        </w:rPr>
        <w:t xml:space="preserve">. Cytomegalovirus infection of the upper gastrointestinal tract: a clinical and pathological </w:t>
      </w:r>
    </w:p>
    <w:p w:rsidR="002D5C2A" w:rsidRDefault="00280B42">
      <w:pPr>
        <w:spacing w:after="3" w:line="241" w:lineRule="auto"/>
        <w:ind w:left="293" w:hanging="10"/>
        <w:jc w:val="both"/>
      </w:pPr>
      <w:r>
        <w:rPr>
          <w:rFonts w:ascii="Times New Roman" w:eastAsia="Times New Roman" w:hAnsi="Times New Roman" w:cs="Times New Roman"/>
          <w:color w:val="000003"/>
          <w:sz w:val="16"/>
        </w:rPr>
        <w:t>study of 30 cases. Scand. J. Gastroenterol. 2011;46(10):1228– 35. DOI: 10.3109/00365521.2011.594083</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Jain S.S., Somani P.O., Mahey R.C., Shah D.K., Contractor Q.Q., Rathi P.M.</w:t>
      </w:r>
      <w:r>
        <w:rPr>
          <w:rFonts w:ascii="Times New Roman" w:eastAsia="Times New Roman" w:hAnsi="Times New Roman" w:cs="Times New Roman"/>
          <w:color w:val="000003"/>
          <w:sz w:val="16"/>
        </w:rPr>
        <w:t xml:space="preserve"> Esophageal tuberculosis presenting with hematemesis. World J Gastrointest Endosc. </w:t>
      </w:r>
    </w:p>
    <w:p w:rsidR="002D5C2A" w:rsidRDefault="00280B42">
      <w:pPr>
        <w:spacing w:after="3" w:line="241" w:lineRule="auto"/>
        <w:ind w:left="293" w:hanging="10"/>
        <w:jc w:val="both"/>
      </w:pPr>
      <w:r>
        <w:rPr>
          <w:rFonts w:ascii="Times New Roman" w:eastAsia="Times New Roman" w:hAnsi="Times New Roman" w:cs="Times New Roman"/>
          <w:color w:val="000003"/>
          <w:sz w:val="16"/>
        </w:rPr>
        <w:t>2013;5(11):581. DOI: 10.4253/wjge.v5.i11.581</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Чернеховская Н.Е.</w:t>
      </w:r>
      <w:r>
        <w:rPr>
          <w:rFonts w:ascii="Times New Roman" w:eastAsia="Times New Roman" w:hAnsi="Times New Roman" w:cs="Times New Roman"/>
          <w:color w:val="000003"/>
          <w:sz w:val="16"/>
        </w:rPr>
        <w:t xml:space="preserve"> Эндоскопическая диагностика заболев</w:t>
      </w:r>
      <w:r>
        <w:rPr>
          <w:rFonts w:ascii="Times New Roman" w:eastAsia="Times New Roman" w:hAnsi="Times New Roman" w:cs="Times New Roman"/>
          <w:color w:val="000003"/>
          <w:sz w:val="16"/>
        </w:rPr>
        <w:t>аний пищевода, желудка. М.: МЕДпресс-информ, 2010. [</w:t>
      </w:r>
      <w:r>
        <w:rPr>
          <w:rFonts w:ascii="Times New Roman" w:eastAsia="Times New Roman" w:hAnsi="Times New Roman" w:cs="Times New Roman"/>
          <w:i/>
          <w:color w:val="000003"/>
          <w:sz w:val="16"/>
        </w:rPr>
        <w:t>Chernehovskaja N.E.</w:t>
      </w:r>
      <w:r>
        <w:rPr>
          <w:rFonts w:ascii="Times New Roman" w:eastAsia="Times New Roman" w:hAnsi="Times New Roman" w:cs="Times New Roman"/>
          <w:color w:val="000003"/>
          <w:sz w:val="16"/>
        </w:rPr>
        <w:t xml:space="preserve"> </w:t>
      </w:r>
      <w:r>
        <w:rPr>
          <w:rFonts w:ascii="Times New Roman" w:eastAsia="Times New Roman" w:hAnsi="Times New Roman" w:cs="Times New Roman"/>
          <w:color w:val="222222"/>
          <w:sz w:val="16"/>
        </w:rPr>
        <w:t xml:space="preserve">Endoscopic diagnostics of diseases of the esophagus, stomach. Moscow: </w:t>
      </w:r>
      <w:r>
        <w:rPr>
          <w:rFonts w:ascii="Times New Roman" w:eastAsia="Times New Roman" w:hAnsi="Times New Roman" w:cs="Times New Roman"/>
          <w:color w:val="000003"/>
          <w:sz w:val="16"/>
        </w:rPr>
        <w:t>MEDpressinform; 2010 (ISBN 5-98322-639-8) (In Russ)].</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Bohn O.L., Saldivar J., Sanchez-Sosa S.</w:t>
      </w:r>
      <w:r>
        <w:rPr>
          <w:rFonts w:ascii="Times New Roman" w:eastAsia="Times New Roman" w:hAnsi="Times New Roman" w:cs="Times New Roman"/>
          <w:color w:val="000003"/>
          <w:sz w:val="16"/>
        </w:rPr>
        <w:t xml:space="preserve"> Identification of hu</w:t>
      </w:r>
      <w:r>
        <w:rPr>
          <w:rFonts w:ascii="Times New Roman" w:eastAsia="Times New Roman" w:hAnsi="Times New Roman" w:cs="Times New Roman"/>
          <w:color w:val="000003"/>
          <w:sz w:val="16"/>
        </w:rPr>
        <w:t>man papillomavirus in esophageal squamous papillomas. World J Gastroenterol. 2008;14(46):7107. DOI: 10.3748/ wjg.14.7107</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 xml:space="preserve">Takahashi Y., Nagata N., Shimbo T., Nishijima T., Watanabe K., Aoki T., et al. </w:t>
      </w:r>
      <w:r>
        <w:rPr>
          <w:rFonts w:ascii="Times New Roman" w:eastAsia="Times New Roman" w:hAnsi="Times New Roman" w:cs="Times New Roman"/>
          <w:color w:val="000003"/>
          <w:sz w:val="16"/>
        </w:rPr>
        <w:t>Long-Term Trends in Esophageal Candidiasis Prevalence an</w:t>
      </w:r>
      <w:r>
        <w:rPr>
          <w:rFonts w:ascii="Times New Roman" w:eastAsia="Times New Roman" w:hAnsi="Times New Roman" w:cs="Times New Roman"/>
          <w:color w:val="000003"/>
          <w:sz w:val="16"/>
        </w:rPr>
        <w:t>d Associated Risk Factors with or without HIV Infection: Lessons from an Endoscopic Study of 80,219 Patients. PLoS One. 2015;10(7). DOI: 10.1371/journal.pone.0133589</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Connolly G.M., Hawkins D., Harcourt-Webster J.N., Parsons P.A., Husain O.A., Gazzard B.G</w:t>
      </w:r>
      <w:r>
        <w:rPr>
          <w:rFonts w:ascii="Times New Roman" w:eastAsia="Times New Roman" w:hAnsi="Times New Roman" w:cs="Times New Roman"/>
          <w:color w:val="000003"/>
          <w:sz w:val="16"/>
        </w:rPr>
        <w:t xml:space="preserve">. Oesophageal symptoms, their causes, treatment, and prognosis in patients with the acquired immunodeficiency syndrome. Gut. </w:t>
      </w:r>
    </w:p>
    <w:p w:rsidR="002D5C2A" w:rsidRDefault="00280B42">
      <w:pPr>
        <w:spacing w:after="3" w:line="241" w:lineRule="auto"/>
        <w:ind w:left="293" w:hanging="10"/>
        <w:jc w:val="both"/>
      </w:pPr>
      <w:r>
        <w:rPr>
          <w:rFonts w:ascii="Times New Roman" w:eastAsia="Times New Roman" w:hAnsi="Times New Roman" w:cs="Times New Roman"/>
          <w:color w:val="000003"/>
          <w:sz w:val="16"/>
        </w:rPr>
        <w:t>1989;30(8):1033–9. DOI: 10.1136/gut.30.8.1033</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Bonacini M., Young T., Laine L.</w:t>
      </w:r>
      <w:r>
        <w:rPr>
          <w:rFonts w:ascii="Times New Roman" w:eastAsia="Times New Roman" w:hAnsi="Times New Roman" w:cs="Times New Roman"/>
          <w:color w:val="000003"/>
          <w:sz w:val="16"/>
        </w:rPr>
        <w:t xml:space="preserve"> The causes of esophageal symptoms in human immunodef</w:t>
      </w:r>
      <w:r>
        <w:rPr>
          <w:rFonts w:ascii="Times New Roman" w:eastAsia="Times New Roman" w:hAnsi="Times New Roman" w:cs="Times New Roman"/>
          <w:color w:val="000003"/>
          <w:sz w:val="16"/>
        </w:rPr>
        <w:t>iciency virus infection. A prospective study of 110 patients. Arch Intern Med. 1991;151(8):1567–72.</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 xml:space="preserve">Wilcox C.M., Alexander L.N., Clark W.S., Thompson S.E. </w:t>
      </w:r>
      <w:r>
        <w:rPr>
          <w:rFonts w:ascii="Times New Roman" w:eastAsia="Times New Roman" w:hAnsi="Times New Roman" w:cs="Times New Roman"/>
          <w:color w:val="000003"/>
          <w:sz w:val="16"/>
        </w:rPr>
        <w:t>Fluconazole compared with endoscopy for human immunodeficiency virus-infected patients with esophagea</w:t>
      </w:r>
      <w:r>
        <w:rPr>
          <w:rFonts w:ascii="Times New Roman" w:eastAsia="Times New Roman" w:hAnsi="Times New Roman" w:cs="Times New Roman"/>
          <w:color w:val="000003"/>
          <w:sz w:val="16"/>
        </w:rPr>
        <w:t>l symptoms. Gastroenterology. 1996;110(6):1803–9. DOI: 10.1053/gast.1996.v110.pm8964406</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 xml:space="preserve">Frick T., Fryd D.S., Goodale R.L., Simmons R.L., Sutherland D.E., Najarian J.S. </w:t>
      </w:r>
      <w:r>
        <w:rPr>
          <w:rFonts w:ascii="Times New Roman" w:eastAsia="Times New Roman" w:hAnsi="Times New Roman" w:cs="Times New Roman"/>
          <w:color w:val="000003"/>
          <w:sz w:val="16"/>
        </w:rPr>
        <w:t>Incidence and treatment of candida esophagitis in patients undergoing renal transplantat</w:t>
      </w:r>
      <w:r>
        <w:rPr>
          <w:rFonts w:ascii="Times New Roman" w:eastAsia="Times New Roman" w:hAnsi="Times New Roman" w:cs="Times New Roman"/>
          <w:color w:val="000003"/>
          <w:sz w:val="16"/>
        </w:rPr>
        <w:t>ion. Data from the Minnesota prospective randomized trial of cyclosporine versus antilymphocyte globulin-azathioprine. Am J Surg. 1988;155(2):311–3. DOI: 10.1016/s0002-9610(88)80722-0</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Hoversten P., Kamboj A.K., Wu T.T., Katzka D.V.</w:t>
      </w:r>
      <w:r>
        <w:rPr>
          <w:rFonts w:ascii="Times New Roman" w:eastAsia="Times New Roman" w:hAnsi="Times New Roman" w:cs="Times New Roman"/>
          <w:color w:val="000003"/>
          <w:sz w:val="16"/>
        </w:rPr>
        <w:t xml:space="preserve"> Variations in the Clinic</w:t>
      </w:r>
      <w:r>
        <w:rPr>
          <w:rFonts w:ascii="Times New Roman" w:eastAsia="Times New Roman" w:hAnsi="Times New Roman" w:cs="Times New Roman"/>
          <w:color w:val="000003"/>
          <w:sz w:val="16"/>
        </w:rPr>
        <w:t xml:space="preserve">al Course of Patients with Herpes Simplex Virus Esophagitis Based on Immunocompetence and Presence of Underlying Esophageal Disease. Dig. Dis. </w:t>
      </w:r>
    </w:p>
    <w:p w:rsidR="002D5C2A" w:rsidRDefault="00280B42">
      <w:pPr>
        <w:spacing w:after="3" w:line="241" w:lineRule="auto"/>
        <w:ind w:left="293" w:hanging="10"/>
        <w:jc w:val="both"/>
      </w:pPr>
      <w:r>
        <w:rPr>
          <w:rFonts w:ascii="Times New Roman" w:eastAsia="Times New Roman" w:hAnsi="Times New Roman" w:cs="Times New Roman"/>
          <w:color w:val="000003"/>
          <w:sz w:val="16"/>
        </w:rPr>
        <w:t>Sci. 2019;64(7):1893–900. DOI: 10.1007/s10620-01905493-x</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Шулешова А.Г., Минушкин О.Н., Данилов Д.В., Бондарева К</w:t>
      </w:r>
      <w:r>
        <w:rPr>
          <w:rFonts w:ascii="Times New Roman" w:eastAsia="Times New Roman" w:hAnsi="Times New Roman" w:cs="Times New Roman"/>
          <w:i/>
          <w:color w:val="000003"/>
          <w:sz w:val="16"/>
        </w:rPr>
        <w:t xml:space="preserve">.А. </w:t>
      </w:r>
      <w:r>
        <w:rPr>
          <w:rFonts w:ascii="Times New Roman" w:eastAsia="Times New Roman" w:hAnsi="Times New Roman" w:cs="Times New Roman"/>
          <w:color w:val="000003"/>
          <w:sz w:val="16"/>
        </w:rPr>
        <w:t>Изучение персистенции вирусной инфекции в слизистой оболочке пищевода и её возможная роль в развитии эрозивного эзофагита; лечебные подходы. Кремлевская медицина. Клинический вестник. 2017;3:105–11. [</w:t>
      </w:r>
      <w:r>
        <w:rPr>
          <w:rFonts w:ascii="Times New Roman" w:eastAsia="Times New Roman" w:hAnsi="Times New Roman" w:cs="Times New Roman"/>
          <w:i/>
          <w:color w:val="000003"/>
          <w:sz w:val="16"/>
        </w:rPr>
        <w:t>Shuleshova A.G., Minushkin O.N., Danilov D.V., Bonda</w:t>
      </w:r>
      <w:r>
        <w:rPr>
          <w:rFonts w:ascii="Times New Roman" w:eastAsia="Times New Roman" w:hAnsi="Times New Roman" w:cs="Times New Roman"/>
          <w:i/>
          <w:color w:val="000003"/>
          <w:sz w:val="16"/>
        </w:rPr>
        <w:t xml:space="preserve">reva K.A. </w:t>
      </w:r>
      <w:r>
        <w:rPr>
          <w:rFonts w:ascii="Times New Roman" w:eastAsia="Times New Roman" w:hAnsi="Times New Roman" w:cs="Times New Roman"/>
          <w:color w:val="000003"/>
          <w:sz w:val="16"/>
        </w:rPr>
        <w:t>Viral persistence in esophageal mucosa and its putative role in erosive esophagitis development; therapeutic approaches. Kremlin Medicine. Clinical Bulletin. 2017; 3:105–111 (In Russ.)].</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 xml:space="preserve">Шестакова И.В., Шахгильдян В.И., Шипулина О.Ю., Прокопенко </w:t>
      </w:r>
      <w:r>
        <w:rPr>
          <w:rFonts w:ascii="Times New Roman" w:eastAsia="Times New Roman" w:hAnsi="Times New Roman" w:cs="Times New Roman"/>
          <w:i/>
          <w:color w:val="000003"/>
          <w:sz w:val="16"/>
        </w:rPr>
        <w:t>Е.И., Эсауленко Е.В., Сухорук А.А</w:t>
      </w:r>
      <w:r>
        <w:rPr>
          <w:rFonts w:ascii="Times New Roman" w:eastAsia="Times New Roman" w:hAnsi="Times New Roman" w:cs="Times New Roman"/>
          <w:color w:val="000003"/>
          <w:sz w:val="16"/>
        </w:rPr>
        <w:t>. Цитомегаловирусная болезнь у взрослых. Клинические рекомендации Международной ассоциации специалистов в области инфекций. 2016. [</w:t>
      </w:r>
      <w:r>
        <w:rPr>
          <w:rFonts w:ascii="Times New Roman" w:eastAsia="Times New Roman" w:hAnsi="Times New Roman" w:cs="Times New Roman"/>
          <w:i/>
          <w:color w:val="000003"/>
          <w:sz w:val="16"/>
        </w:rPr>
        <w:t>Shestakova I.V., Shakhgildyan V.I., Shipulina O.Y., Prokopenko E.I., Esaulenko E.V., Sukhoru</w:t>
      </w:r>
      <w:r>
        <w:rPr>
          <w:rFonts w:ascii="Times New Roman" w:eastAsia="Times New Roman" w:hAnsi="Times New Roman" w:cs="Times New Roman"/>
          <w:i/>
          <w:color w:val="000003"/>
          <w:sz w:val="16"/>
        </w:rPr>
        <w:t>k A.A.</w:t>
      </w:r>
      <w:r>
        <w:rPr>
          <w:rFonts w:ascii="Times New Roman" w:eastAsia="Times New Roman" w:hAnsi="Times New Roman" w:cs="Times New Roman"/>
          <w:color w:val="000003"/>
          <w:sz w:val="16"/>
        </w:rPr>
        <w:t xml:space="preserve"> Cytomegalovirus disease in adults. Clinical recommendations of the International Association of Specialists in Infectious Diseases. 2016. (In Russ.)] URL: https://legalacts.ru/doc/klinicheskie-rekomendatsii-tsitomegalovirusnaja-bolezn-u-vzroslykh-ut</w:t>
      </w:r>
      <w:r>
        <w:rPr>
          <w:rFonts w:ascii="Times New Roman" w:eastAsia="Times New Roman" w:hAnsi="Times New Roman" w:cs="Times New Roman"/>
          <w:color w:val="000003"/>
          <w:sz w:val="16"/>
        </w:rPr>
        <w:t>v-minzdravom-rossii/</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Torres-Madriz G., Boucher H.W</w:t>
      </w:r>
      <w:r>
        <w:rPr>
          <w:rFonts w:ascii="Times New Roman" w:eastAsia="Times New Roman" w:hAnsi="Times New Roman" w:cs="Times New Roman"/>
          <w:color w:val="000003"/>
          <w:sz w:val="16"/>
        </w:rPr>
        <w:t>. Immunocompromised hosts: perspectives in the treatment and prophylaxis of cytomegalovirus disease in solid-organ transplant recipients. Clin Infect Dis. 2008;47(5):702–11. DOI: 10.1086/590934</w:t>
      </w:r>
    </w:p>
    <w:p w:rsidR="002D5C2A" w:rsidRDefault="00280B42">
      <w:pPr>
        <w:numPr>
          <w:ilvl w:val="0"/>
          <w:numId w:val="9"/>
        </w:numPr>
        <w:spacing w:after="0" w:line="241" w:lineRule="auto"/>
        <w:ind w:hanging="283"/>
        <w:jc w:val="both"/>
      </w:pPr>
      <w:r>
        <w:rPr>
          <w:rFonts w:ascii="Times New Roman" w:eastAsia="Times New Roman" w:hAnsi="Times New Roman" w:cs="Times New Roman"/>
          <w:i/>
          <w:color w:val="000003"/>
          <w:sz w:val="16"/>
        </w:rPr>
        <w:t>Welzel T.M.,</w:t>
      </w:r>
      <w:r>
        <w:rPr>
          <w:rFonts w:ascii="Times New Roman" w:eastAsia="Times New Roman" w:hAnsi="Times New Roman" w:cs="Times New Roman"/>
          <w:i/>
          <w:color w:val="000003"/>
          <w:sz w:val="16"/>
        </w:rPr>
        <w:t xml:space="preserve"> Kawan T., Bohle W., Richter G.M., Bosse A., Zoller W.G. </w:t>
      </w:r>
      <w:r>
        <w:rPr>
          <w:rFonts w:ascii="Times New Roman" w:eastAsia="Times New Roman" w:hAnsi="Times New Roman" w:cs="Times New Roman"/>
          <w:color w:val="000003"/>
          <w:sz w:val="16"/>
        </w:rPr>
        <w:t>An unusual cause of dysphagia: esophageal tuberculosis. J Gastrointest Liver Dis. 2010;19(3):321–4.</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Кузьмина А.О., Таланова О.С., Холева А.О., Савоненкова Л.Н., Арямкина О.Л.</w:t>
      </w:r>
      <w:r>
        <w:rPr>
          <w:rFonts w:ascii="Times New Roman" w:eastAsia="Times New Roman" w:hAnsi="Times New Roman" w:cs="Times New Roman"/>
          <w:color w:val="000003"/>
          <w:sz w:val="16"/>
        </w:rPr>
        <w:t xml:space="preserve"> Туберкулез пищевода. Изв</w:t>
      </w:r>
      <w:r>
        <w:rPr>
          <w:rFonts w:ascii="Times New Roman" w:eastAsia="Times New Roman" w:hAnsi="Times New Roman" w:cs="Times New Roman"/>
          <w:color w:val="000003"/>
          <w:sz w:val="16"/>
        </w:rPr>
        <w:t>естия высших учебных заведений. Поволжский регион. Медицинские науки. 2012;4(24):82–9. [</w:t>
      </w:r>
      <w:r>
        <w:rPr>
          <w:rFonts w:ascii="Times New Roman" w:eastAsia="Times New Roman" w:hAnsi="Times New Roman" w:cs="Times New Roman"/>
          <w:i/>
          <w:color w:val="000003"/>
          <w:sz w:val="16"/>
        </w:rPr>
        <w:t>Kuzmina A.O., Talanova O.S., Kholeva A.O., Savonenkova L.N., Aryamkina O.L.</w:t>
      </w:r>
      <w:r>
        <w:rPr>
          <w:rFonts w:ascii="Times New Roman" w:eastAsia="Times New Roman" w:hAnsi="Times New Roman" w:cs="Times New Roman"/>
          <w:color w:val="000003"/>
          <w:sz w:val="16"/>
        </w:rPr>
        <w:t xml:space="preserve"> Esophageal tuberculosis. Transactions of Higher Education Institutions. Volga Region. Medica</w:t>
      </w:r>
      <w:r>
        <w:rPr>
          <w:rFonts w:ascii="Times New Roman" w:eastAsia="Times New Roman" w:hAnsi="Times New Roman" w:cs="Times New Roman"/>
          <w:color w:val="000003"/>
          <w:sz w:val="16"/>
        </w:rPr>
        <w:t>l Science. 2012;4(24):82–89 (In Russ.)].</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Patel N., Amarapurkar D., Agal S., Baijal R., Kulshrestha P., Pramanik S., Gupte P</w:t>
      </w:r>
      <w:r>
        <w:rPr>
          <w:rFonts w:ascii="Times New Roman" w:eastAsia="Times New Roman" w:hAnsi="Times New Roman" w:cs="Times New Roman"/>
          <w:color w:val="000003"/>
          <w:sz w:val="16"/>
        </w:rPr>
        <w:t xml:space="preserve">. Gastrointestinal luminal tuberculosis: establishing the diagnosis. J Gastroenterol </w:t>
      </w:r>
    </w:p>
    <w:p w:rsidR="002D5C2A" w:rsidRDefault="00280B42">
      <w:pPr>
        <w:spacing w:after="0"/>
        <w:ind w:right="1"/>
        <w:jc w:val="right"/>
      </w:pPr>
      <w:r>
        <w:rPr>
          <w:rFonts w:ascii="Times New Roman" w:eastAsia="Times New Roman" w:hAnsi="Times New Roman" w:cs="Times New Roman"/>
          <w:color w:val="000003"/>
          <w:sz w:val="16"/>
        </w:rPr>
        <w:t>Hepatol. 2004;19(11):1240–6. DOI: 10.1111/j.144</w:t>
      </w:r>
      <w:r>
        <w:rPr>
          <w:rFonts w:ascii="Times New Roman" w:eastAsia="Times New Roman" w:hAnsi="Times New Roman" w:cs="Times New Roman"/>
          <w:color w:val="000003"/>
          <w:sz w:val="16"/>
        </w:rPr>
        <w:t>0-</w:t>
      </w:r>
    </w:p>
    <w:p w:rsidR="002D5C2A" w:rsidRDefault="00280B42">
      <w:pPr>
        <w:numPr>
          <w:ilvl w:val="1"/>
          <w:numId w:val="9"/>
        </w:numPr>
        <w:spacing w:after="3" w:line="241" w:lineRule="auto"/>
        <w:ind w:hanging="407"/>
        <w:jc w:val="both"/>
      </w:pPr>
      <w:r>
        <w:rPr>
          <w:rFonts w:ascii="Times New Roman" w:eastAsia="Times New Roman" w:hAnsi="Times New Roman" w:cs="Times New Roman"/>
          <w:color w:val="000003"/>
          <w:sz w:val="16"/>
        </w:rPr>
        <w:t>2004.03485.x</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Quarto G., Sivero L., Somma P., Rosa G.D., Mosella F., Nunziata G., et al.</w:t>
      </w:r>
      <w:r>
        <w:rPr>
          <w:rFonts w:ascii="Times New Roman" w:eastAsia="Times New Roman" w:hAnsi="Times New Roman" w:cs="Times New Roman"/>
          <w:color w:val="000003"/>
          <w:sz w:val="16"/>
        </w:rPr>
        <w:t xml:space="preserve"> A case of infectious esophagitis caused by human papilloma virus. Minerva Gastroenterol Dietol. 2008;54(3):317–21.</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Mimidis K., Papadopoulos V., Margaritis V., Thomop</w:t>
      </w:r>
      <w:r>
        <w:rPr>
          <w:rFonts w:ascii="Times New Roman" w:eastAsia="Times New Roman" w:hAnsi="Times New Roman" w:cs="Times New Roman"/>
          <w:i/>
          <w:color w:val="000003"/>
          <w:sz w:val="16"/>
        </w:rPr>
        <w:t>oulos K., Gatopoulou A., Nikolopoulou V., Kartalis G</w:t>
      </w:r>
      <w:r>
        <w:rPr>
          <w:rFonts w:ascii="Times New Roman" w:eastAsia="Times New Roman" w:hAnsi="Times New Roman" w:cs="Times New Roman"/>
          <w:color w:val="000003"/>
          <w:sz w:val="16"/>
        </w:rPr>
        <w:t>. Predisposing factors and clinical symptoms in HIV-negative patients with Candida oesophagitis: are they always present? Int J Clin Pract. 2005;59(2):210–3. DOI: 10.1111/j.1742-1241.2004.00249.x</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Wilcox C</w:t>
      </w:r>
      <w:r>
        <w:rPr>
          <w:rFonts w:ascii="Times New Roman" w:eastAsia="Times New Roman" w:hAnsi="Times New Roman" w:cs="Times New Roman"/>
          <w:i/>
          <w:color w:val="000003"/>
          <w:sz w:val="16"/>
        </w:rPr>
        <w:t>.M., Straub R.F., Clark W.S</w:t>
      </w:r>
      <w:r>
        <w:rPr>
          <w:rFonts w:ascii="Times New Roman" w:eastAsia="Times New Roman" w:hAnsi="Times New Roman" w:cs="Times New Roman"/>
          <w:color w:val="000003"/>
          <w:sz w:val="16"/>
        </w:rPr>
        <w:t>. Prospective evaluation of oropharyngeal findings in human immunodeficiency virus-infected patients with esophageal ulceration. Am J Gastroenterol. 1995;90(11):1938–41.</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Wilcox C.M., Straub R.F., Schwartz D.A.</w:t>
      </w:r>
      <w:r>
        <w:rPr>
          <w:rFonts w:ascii="Times New Roman" w:eastAsia="Times New Roman" w:hAnsi="Times New Roman" w:cs="Times New Roman"/>
          <w:color w:val="000003"/>
          <w:sz w:val="16"/>
        </w:rPr>
        <w:t xml:space="preserve"> Cytomegalovirus eso</w:t>
      </w:r>
      <w:r>
        <w:rPr>
          <w:rFonts w:ascii="Times New Roman" w:eastAsia="Times New Roman" w:hAnsi="Times New Roman" w:cs="Times New Roman"/>
          <w:color w:val="000003"/>
          <w:sz w:val="16"/>
        </w:rPr>
        <w:t>phagitis in AIDS: a prospective evaluation of clinical response to ganciclovir therapy, relapse rate, and long-term outcome. Am J Med. 1995;98(2):169–76. DOI: 10.1016/s0002-9343(99)80400-8</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Orlowska J., Jarosz D., Gugulski A., Pachlewski J., Butruk E.</w:t>
      </w:r>
      <w:r>
        <w:rPr>
          <w:rFonts w:ascii="Times New Roman" w:eastAsia="Times New Roman" w:hAnsi="Times New Roman" w:cs="Times New Roman"/>
          <w:color w:val="000003"/>
          <w:sz w:val="16"/>
        </w:rPr>
        <w:t xml:space="preserve"> Squam</w:t>
      </w:r>
      <w:r>
        <w:rPr>
          <w:rFonts w:ascii="Times New Roman" w:eastAsia="Times New Roman" w:hAnsi="Times New Roman" w:cs="Times New Roman"/>
          <w:color w:val="000003"/>
          <w:sz w:val="16"/>
        </w:rPr>
        <w:t>ous Cell Papillomas of the Esophagus: Report of 20 Cases and Literature Review. Am. J. Gastroenterol. 1994;89(3):434–7.</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 xml:space="preserve">Jia N., Tang Y., Li Y., Gan Y. </w:t>
      </w:r>
      <w:r>
        <w:rPr>
          <w:rFonts w:ascii="Times New Roman" w:eastAsia="Times New Roman" w:hAnsi="Times New Roman" w:cs="Times New Roman"/>
          <w:color w:val="000003"/>
          <w:sz w:val="16"/>
        </w:rPr>
        <w:t>A case report: Does the ulcer belong to esophageal carcinoma or HIV? Medi</w:t>
      </w:r>
      <w:r>
        <w:rPr>
          <w:rFonts w:ascii="Times New Roman" w:eastAsia="Times New Roman" w:hAnsi="Times New Roman" w:cs="Times New Roman"/>
          <w:color w:val="000003"/>
          <w:sz w:val="16"/>
        </w:rPr>
        <w:t>cine (Baltimore). 2017;96(49):e9137. DOI: 10.1097/ MD.0000000000009137</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Ramanathan J., Rammouni M., Baran J., Khatib R.</w:t>
      </w:r>
      <w:r>
        <w:rPr>
          <w:rFonts w:ascii="Times New Roman" w:eastAsia="Times New Roman" w:hAnsi="Times New Roman" w:cs="Times New Roman"/>
          <w:color w:val="000003"/>
          <w:sz w:val="16"/>
        </w:rPr>
        <w:t xml:space="preserve"> Herpes simplex virus esophagitis in the immunocompetent host: an overview. Am. J. Gastroenterol. 2000;95(9):2171– 6. DOI: 10.1111/j.1572-</w:t>
      </w:r>
      <w:r>
        <w:rPr>
          <w:rFonts w:ascii="Times New Roman" w:eastAsia="Times New Roman" w:hAnsi="Times New Roman" w:cs="Times New Roman"/>
          <w:color w:val="000003"/>
          <w:sz w:val="16"/>
        </w:rPr>
        <w:t>0241.2000.02299.x</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Byard R.W., Champion M.C., Orizaga M.</w:t>
      </w:r>
      <w:r>
        <w:rPr>
          <w:rFonts w:ascii="Times New Roman" w:eastAsia="Times New Roman" w:hAnsi="Times New Roman" w:cs="Times New Roman"/>
          <w:color w:val="000003"/>
          <w:sz w:val="16"/>
        </w:rPr>
        <w:t xml:space="preserve"> Variability in the clinical presentation and endoscopic findings of herpetic esophagitis. Endoscopy. 1987;19(4):153–5. DOI: 10.1055/s-2007-1018267</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Cronstedt J.L., Bouchama A., Hainau B., Halim M., Kho</w:t>
      </w:r>
      <w:r>
        <w:rPr>
          <w:rFonts w:ascii="Times New Roman" w:eastAsia="Times New Roman" w:hAnsi="Times New Roman" w:cs="Times New Roman"/>
          <w:i/>
          <w:color w:val="000003"/>
          <w:sz w:val="16"/>
        </w:rPr>
        <w:t xml:space="preserve">uqeer F., Darsouny T. </w:t>
      </w:r>
      <w:r>
        <w:rPr>
          <w:rFonts w:ascii="Times New Roman" w:eastAsia="Times New Roman" w:hAnsi="Times New Roman" w:cs="Times New Roman"/>
          <w:color w:val="000003"/>
          <w:sz w:val="16"/>
        </w:rPr>
        <w:t>Spontaneous esophageal perforation in herpes simplex esophagitis. Am. J. Gastroenterol. 1992;87(1):124–7.</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Chalasani N., Parker K.M., Wilcox C.M.</w:t>
      </w:r>
      <w:r>
        <w:rPr>
          <w:rFonts w:ascii="Times New Roman" w:eastAsia="Times New Roman" w:hAnsi="Times New Roman" w:cs="Times New Roman"/>
          <w:color w:val="000003"/>
          <w:sz w:val="16"/>
        </w:rPr>
        <w:t xml:space="preserve"> Bronchoesophageal fistula as a complication of cytomegalovirus esophagitis in AIDS. Endos</w:t>
      </w:r>
      <w:r>
        <w:rPr>
          <w:rFonts w:ascii="Times New Roman" w:eastAsia="Times New Roman" w:hAnsi="Times New Roman" w:cs="Times New Roman"/>
          <w:color w:val="000003"/>
          <w:sz w:val="16"/>
        </w:rPr>
        <w:t xml:space="preserve">copy. 1997;29(5):S28–29. DOI: </w:t>
      </w:r>
    </w:p>
    <w:p w:rsidR="002D5C2A" w:rsidRDefault="00280B42">
      <w:pPr>
        <w:spacing w:after="3" w:line="241" w:lineRule="auto"/>
        <w:ind w:left="293" w:hanging="10"/>
        <w:jc w:val="both"/>
      </w:pPr>
      <w:r>
        <w:rPr>
          <w:rFonts w:ascii="Times New Roman" w:eastAsia="Times New Roman" w:hAnsi="Times New Roman" w:cs="Times New Roman"/>
          <w:color w:val="000003"/>
          <w:sz w:val="16"/>
        </w:rPr>
        <w:t>10.1055/s-2007-1004237</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Obrecht W.F., Richter J.E., Olympio G.A., Gelfand D.W.</w:t>
      </w:r>
      <w:r>
        <w:rPr>
          <w:rFonts w:ascii="Times New Roman" w:eastAsia="Times New Roman" w:hAnsi="Times New Roman" w:cs="Times New Roman"/>
          <w:color w:val="000003"/>
          <w:sz w:val="16"/>
        </w:rPr>
        <w:t xml:space="preserve"> Tracheoesophageal Fistula: A Serious Complication of Infectious Esophagitis. Gastroenterology. 1984;87(5):1174–79.</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Tomizawa M., Shinozaki F., Haseg</w:t>
      </w:r>
      <w:r>
        <w:rPr>
          <w:rFonts w:ascii="Times New Roman" w:eastAsia="Times New Roman" w:hAnsi="Times New Roman" w:cs="Times New Roman"/>
          <w:i/>
          <w:color w:val="000003"/>
          <w:sz w:val="16"/>
        </w:rPr>
        <w:t>awa R., Shirai Y., Motoyoshi Y., Sugiyama T., Yamamoto S., Ishige N.</w:t>
      </w:r>
      <w:r>
        <w:rPr>
          <w:rFonts w:ascii="Times New Roman" w:eastAsia="Times New Roman" w:hAnsi="Times New Roman" w:cs="Times New Roman"/>
          <w:color w:val="000003"/>
          <w:sz w:val="16"/>
        </w:rPr>
        <w:t xml:space="preserve"> Low hemoglobin levels are associated with upper gastrointestinal bleeding. Biomed Rep. 2016;5(3):349–52. DOI: 10.3892/br.2016.727</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Tomizawa M., Shinozaki F., Hasegawa R., Shirai Y., Motoyo</w:t>
      </w:r>
      <w:r>
        <w:rPr>
          <w:rFonts w:ascii="Times New Roman" w:eastAsia="Times New Roman" w:hAnsi="Times New Roman" w:cs="Times New Roman"/>
          <w:i/>
          <w:color w:val="000003"/>
          <w:sz w:val="16"/>
        </w:rPr>
        <w:t xml:space="preserve">shi Y., Sugiyama T., et al. </w:t>
      </w:r>
      <w:r>
        <w:rPr>
          <w:rFonts w:ascii="Times New Roman" w:eastAsia="Times New Roman" w:hAnsi="Times New Roman" w:cs="Times New Roman"/>
          <w:color w:val="000003"/>
          <w:sz w:val="16"/>
        </w:rPr>
        <w:t>Change ratio of hemoglobin has predictive value for upper gastrointestinal bleeding. Biomed Rep. 2016;5(4):479–82. DOI: 10.3892/ br.2016.753</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Clark S.F.</w:t>
      </w:r>
      <w:r>
        <w:rPr>
          <w:rFonts w:ascii="Times New Roman" w:eastAsia="Times New Roman" w:hAnsi="Times New Roman" w:cs="Times New Roman"/>
          <w:color w:val="000003"/>
          <w:sz w:val="16"/>
        </w:rPr>
        <w:t xml:space="preserve"> Iron deficiency anemia. Nutr Clin Pract. 2008;23(2):128–41. DOI: 10.1177/088</w:t>
      </w:r>
      <w:r>
        <w:rPr>
          <w:rFonts w:ascii="Times New Roman" w:eastAsia="Times New Roman" w:hAnsi="Times New Roman" w:cs="Times New Roman"/>
          <w:color w:val="000003"/>
          <w:sz w:val="16"/>
        </w:rPr>
        <w:t>4533608314536</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Абдурахманов Д.Т</w:t>
      </w:r>
      <w:r>
        <w:rPr>
          <w:rFonts w:ascii="Times New Roman" w:eastAsia="Times New Roman" w:hAnsi="Times New Roman" w:cs="Times New Roman"/>
          <w:color w:val="000003"/>
          <w:sz w:val="16"/>
        </w:rPr>
        <w:t>. Железодефицитная анемия при заболеваниях желудочно-кишечного тракта. Фарматека. 2012;13:9–14 [</w:t>
      </w:r>
      <w:r>
        <w:rPr>
          <w:rFonts w:ascii="Times New Roman" w:eastAsia="Times New Roman" w:hAnsi="Times New Roman" w:cs="Times New Roman"/>
          <w:i/>
          <w:color w:val="000003"/>
          <w:sz w:val="16"/>
        </w:rPr>
        <w:t>Abdurakhmanov D.T.</w:t>
      </w:r>
      <w:r>
        <w:rPr>
          <w:rFonts w:ascii="Times New Roman" w:eastAsia="Times New Roman" w:hAnsi="Times New Roman" w:cs="Times New Roman"/>
          <w:color w:val="000003"/>
          <w:sz w:val="16"/>
        </w:rPr>
        <w:t xml:space="preserve"> Iron deficiency anaemia in gastrointestinal diseases. Farmateka. 2012; 13:9–14 (In Russ.)].</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Кучерявый Ю.А., Анд</w:t>
      </w:r>
      <w:r>
        <w:rPr>
          <w:rFonts w:ascii="Times New Roman" w:eastAsia="Times New Roman" w:hAnsi="Times New Roman" w:cs="Times New Roman"/>
          <w:i/>
          <w:color w:val="000003"/>
          <w:sz w:val="16"/>
        </w:rPr>
        <w:t>реев Д.Н., Андреев Н.Г.</w:t>
      </w:r>
      <w:r>
        <w:rPr>
          <w:rFonts w:ascii="Times New Roman" w:eastAsia="Times New Roman" w:hAnsi="Times New Roman" w:cs="Times New Roman"/>
          <w:color w:val="000003"/>
          <w:sz w:val="16"/>
        </w:rPr>
        <w:t xml:space="preserve"> Диагностика и лечение желудочно-кишечных кровотечений с позиций терапевта. Трудный пациент. 2014;12(6). [</w:t>
      </w:r>
      <w:r>
        <w:rPr>
          <w:rFonts w:ascii="Times New Roman" w:eastAsia="Times New Roman" w:hAnsi="Times New Roman" w:cs="Times New Roman"/>
          <w:i/>
          <w:color w:val="000003"/>
          <w:sz w:val="16"/>
        </w:rPr>
        <w:t>Kucheryaviy Yu.A., Andreev D.N., Andreev N.G.</w:t>
      </w:r>
      <w:r>
        <w:rPr>
          <w:rFonts w:ascii="Times New Roman" w:eastAsia="Times New Roman" w:hAnsi="Times New Roman" w:cs="Times New Roman"/>
          <w:b/>
          <w:color w:val="000003"/>
          <w:sz w:val="16"/>
        </w:rPr>
        <w:t xml:space="preserve"> </w:t>
      </w:r>
      <w:r>
        <w:rPr>
          <w:rFonts w:ascii="Times New Roman" w:eastAsia="Times New Roman" w:hAnsi="Times New Roman" w:cs="Times New Roman"/>
          <w:color w:val="000003"/>
          <w:sz w:val="16"/>
        </w:rPr>
        <w:t>Diagnosis and treatment of gastrointestinal bleeding, a therapist’s view. Difficu</w:t>
      </w:r>
      <w:r>
        <w:rPr>
          <w:rFonts w:ascii="Times New Roman" w:eastAsia="Times New Roman" w:hAnsi="Times New Roman" w:cs="Times New Roman"/>
          <w:color w:val="000003"/>
          <w:sz w:val="16"/>
        </w:rPr>
        <w:t>lt Patient. 2014; 12(6) (In Russ.)].</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 xml:space="preserve">Harewood G.C., McConnell J.P., Harrington J.J., Mahoney D.W., Ahlquist D.A. </w:t>
      </w:r>
      <w:r>
        <w:rPr>
          <w:rFonts w:ascii="Times New Roman" w:eastAsia="Times New Roman" w:hAnsi="Times New Roman" w:cs="Times New Roman"/>
          <w:color w:val="000003"/>
          <w:sz w:val="16"/>
        </w:rPr>
        <w:t>Detection of occult upper gastrointestinal tract bleeding: performance differences in fecal occult blood tests. Mayo Clin. Proc. 2002;77(1):23–</w:t>
      </w:r>
      <w:r>
        <w:rPr>
          <w:rFonts w:ascii="Times New Roman" w:eastAsia="Times New Roman" w:hAnsi="Times New Roman" w:cs="Times New Roman"/>
          <w:color w:val="000003"/>
          <w:sz w:val="16"/>
        </w:rPr>
        <w:t>8. DOI: 10.4065/77.1.23</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Jazeron J.-F., Barbe C., Frobert E., Renois F., Talmud D., Brixi-Benmansour H., et al.</w:t>
      </w:r>
      <w:r>
        <w:rPr>
          <w:rFonts w:ascii="Times New Roman" w:eastAsia="Times New Roman" w:hAnsi="Times New Roman" w:cs="Times New Roman"/>
          <w:color w:val="000003"/>
          <w:sz w:val="16"/>
        </w:rPr>
        <w:t xml:space="preserve"> Virological diagnosis of herpes simplex virus 1 esophagitis by quantitative real-time PCR assay. J Clin Microbiol. 2012;50(3):948–52. DOI: 10.112</w:t>
      </w:r>
      <w:r>
        <w:rPr>
          <w:rFonts w:ascii="Times New Roman" w:eastAsia="Times New Roman" w:hAnsi="Times New Roman" w:cs="Times New Roman"/>
          <w:color w:val="000003"/>
          <w:sz w:val="16"/>
        </w:rPr>
        <w:t>8/JCM.05748-11</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Muir S.W., Farquharson M.A., Wheatley D.J., McPhaden A.R.</w:t>
      </w:r>
      <w:r>
        <w:rPr>
          <w:rFonts w:ascii="Times New Roman" w:eastAsia="Times New Roman" w:hAnsi="Times New Roman" w:cs="Times New Roman"/>
          <w:color w:val="000003"/>
          <w:sz w:val="16"/>
        </w:rPr>
        <w:t xml:space="preserve"> Detection of cytomegalovirus in upper gastrointestinal biopsies from heart transplant recipients: comparison of light microscopy, immunocytochemistry, in situ hybridisation, and neste</w:t>
      </w:r>
      <w:r>
        <w:rPr>
          <w:rFonts w:ascii="Times New Roman" w:eastAsia="Times New Roman" w:hAnsi="Times New Roman" w:cs="Times New Roman"/>
          <w:color w:val="000003"/>
          <w:sz w:val="16"/>
        </w:rPr>
        <w:t xml:space="preserve">d PCR. J Clin Pathol. </w:t>
      </w:r>
    </w:p>
    <w:p w:rsidR="002D5C2A" w:rsidRDefault="00280B42">
      <w:pPr>
        <w:spacing w:after="3" w:line="241" w:lineRule="auto"/>
        <w:ind w:left="293" w:hanging="10"/>
        <w:jc w:val="both"/>
      </w:pPr>
      <w:r>
        <w:rPr>
          <w:rFonts w:ascii="Times New Roman" w:eastAsia="Times New Roman" w:hAnsi="Times New Roman" w:cs="Times New Roman"/>
          <w:color w:val="000003"/>
          <w:sz w:val="16"/>
        </w:rPr>
        <w:t>1998;51(11):807–11. DOI: 10.1136/jcp.51.11.807</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 xml:space="preserve">Nishimura S., Nagata N., Shimbo T., Asayama N., Akiyama J., Ohmagari N., et al. </w:t>
      </w:r>
      <w:r>
        <w:rPr>
          <w:rFonts w:ascii="Times New Roman" w:eastAsia="Times New Roman" w:hAnsi="Times New Roman" w:cs="Times New Roman"/>
          <w:color w:val="000003"/>
          <w:sz w:val="16"/>
        </w:rPr>
        <w:t>Factors associated with esophageal candidiasis and its endoscopic severity in the era of antiretroviral th</w:t>
      </w:r>
      <w:r>
        <w:rPr>
          <w:rFonts w:ascii="Times New Roman" w:eastAsia="Times New Roman" w:hAnsi="Times New Roman" w:cs="Times New Roman"/>
          <w:color w:val="000003"/>
          <w:sz w:val="16"/>
        </w:rPr>
        <w:t>erapy. PloS One. 2013;8(3):e58217. DOI: 10.1371/journal.pone.0058217</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Sumantri S., Simadibrata M., Mokoagow M.I., Gunawanjati D., Ulina S.M.M., Adhista B., et al.</w:t>
      </w:r>
      <w:r>
        <w:rPr>
          <w:rFonts w:ascii="Times New Roman" w:eastAsia="Times New Roman" w:hAnsi="Times New Roman" w:cs="Times New Roman"/>
          <w:color w:val="000003"/>
          <w:sz w:val="16"/>
        </w:rPr>
        <w:t xml:space="preserve"> Candida Esophagitis: a Retrospective Study of Upper Gastrointestinal Endoscopic Grading and th</w:t>
      </w:r>
      <w:r>
        <w:rPr>
          <w:rFonts w:ascii="Times New Roman" w:eastAsia="Times New Roman" w:hAnsi="Times New Roman" w:cs="Times New Roman"/>
          <w:color w:val="000003"/>
          <w:sz w:val="16"/>
        </w:rPr>
        <w:t xml:space="preserve">e Characteristic Profile. Indones J Gastroenterol Hepatol Dig Endosc. </w:t>
      </w:r>
    </w:p>
    <w:p w:rsidR="002D5C2A" w:rsidRDefault="00280B42">
      <w:pPr>
        <w:spacing w:after="3" w:line="241" w:lineRule="auto"/>
        <w:ind w:left="293" w:hanging="10"/>
        <w:jc w:val="both"/>
      </w:pPr>
      <w:r>
        <w:rPr>
          <w:rFonts w:ascii="Times New Roman" w:eastAsia="Times New Roman" w:hAnsi="Times New Roman" w:cs="Times New Roman"/>
          <w:color w:val="000003"/>
          <w:sz w:val="16"/>
        </w:rPr>
        <w:t>2011;12(2):95–9. DOI: 10.24871/122201195-99</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 xml:space="preserve">Jung K.H., Choi J., Gong E.J., Lee J.H., Choi K.D., Song H.J., et al. </w:t>
      </w:r>
      <w:r>
        <w:rPr>
          <w:rFonts w:ascii="Times New Roman" w:eastAsia="Times New Roman" w:hAnsi="Times New Roman" w:cs="Times New Roman"/>
          <w:color w:val="000003"/>
          <w:sz w:val="16"/>
        </w:rPr>
        <w:t xml:space="preserve">Can endoscopists differentiate cytomegalovirus esophagitis from herpes </w:t>
      </w:r>
      <w:r>
        <w:rPr>
          <w:rFonts w:ascii="Times New Roman" w:eastAsia="Times New Roman" w:hAnsi="Times New Roman" w:cs="Times New Roman"/>
          <w:color w:val="000003"/>
          <w:sz w:val="16"/>
        </w:rPr>
        <w:t>simplex virus esophagitis based on gross endoscopic findings? Medicine (Baltimore). 2019;98(23):e15845. DOI: 10.1097/ MD.0000000000015845</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Abid S., Jafri W., Hamid S., Khan H., Hussainy A.</w:t>
      </w:r>
      <w:r>
        <w:rPr>
          <w:rFonts w:ascii="Times New Roman" w:eastAsia="Times New Roman" w:hAnsi="Times New Roman" w:cs="Times New Roman"/>
          <w:color w:val="000003"/>
          <w:sz w:val="16"/>
        </w:rPr>
        <w:t xml:space="preserve"> Endoscopic features of esophageal tuberculosis. Gastrointest Endosc.</w:t>
      </w:r>
      <w:r>
        <w:rPr>
          <w:rFonts w:ascii="Times New Roman" w:eastAsia="Times New Roman" w:hAnsi="Times New Roman" w:cs="Times New Roman"/>
          <w:color w:val="000003"/>
          <w:sz w:val="16"/>
        </w:rPr>
        <w:t xml:space="preserve"> 2003;57(6):759–62. DOI: 10.1067/mge.2003.205</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Dahale A.S., Kumar A., Srivastava S., Varakanahalli S., Sachdeva S., Puri A.S.</w:t>
      </w:r>
      <w:r>
        <w:rPr>
          <w:rFonts w:ascii="Times New Roman" w:eastAsia="Times New Roman" w:hAnsi="Times New Roman" w:cs="Times New Roman"/>
          <w:color w:val="000003"/>
          <w:sz w:val="16"/>
        </w:rPr>
        <w:t xml:space="preserve"> Esophageal tuberculosis: Uncommon of common. JGH Open. 2018;2(2):34–8. DOI: 10.1002/jgh3.12043</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Fagundes R.B., Dalcin R.P., Rocha M.</w:t>
      </w:r>
      <w:r>
        <w:rPr>
          <w:rFonts w:ascii="Times New Roman" w:eastAsia="Times New Roman" w:hAnsi="Times New Roman" w:cs="Times New Roman"/>
          <w:i/>
          <w:color w:val="000003"/>
          <w:sz w:val="16"/>
        </w:rPr>
        <w:t xml:space="preserve">P., Moraes C.C., Carlotto V.S., Wink M.O. </w:t>
      </w:r>
      <w:r>
        <w:rPr>
          <w:rFonts w:ascii="Times New Roman" w:eastAsia="Times New Roman" w:hAnsi="Times New Roman" w:cs="Times New Roman"/>
          <w:color w:val="000003"/>
          <w:sz w:val="16"/>
        </w:rPr>
        <w:t>Esophageal tuberculosis. Endoscopy. 2007;39(1):е149. DOI: 10.1055/s-2007-966152</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 xml:space="preserve">Park J.H., Kim S.U., Sohn J.W., Chung I.K., Jung M.K., Jeon S.W., Kim S.K. </w:t>
      </w:r>
      <w:r>
        <w:rPr>
          <w:rFonts w:ascii="Times New Roman" w:eastAsia="Times New Roman" w:hAnsi="Times New Roman" w:cs="Times New Roman"/>
          <w:color w:val="000003"/>
          <w:sz w:val="16"/>
        </w:rPr>
        <w:t>Endoscopic findings and clinical features of esophageal tub</w:t>
      </w:r>
      <w:r>
        <w:rPr>
          <w:rFonts w:ascii="Times New Roman" w:eastAsia="Times New Roman" w:hAnsi="Times New Roman" w:cs="Times New Roman"/>
          <w:color w:val="000003"/>
          <w:sz w:val="16"/>
        </w:rPr>
        <w:t xml:space="preserve">erculosis. Scand J Gastroenterol. 2010;45(11):1269–72. DOI: </w:t>
      </w:r>
    </w:p>
    <w:p w:rsidR="002D5C2A" w:rsidRDefault="00280B42">
      <w:pPr>
        <w:spacing w:after="3" w:line="241" w:lineRule="auto"/>
        <w:ind w:left="293" w:hanging="10"/>
        <w:jc w:val="both"/>
      </w:pPr>
      <w:r>
        <w:rPr>
          <w:rFonts w:ascii="Times New Roman" w:eastAsia="Times New Roman" w:hAnsi="Times New Roman" w:cs="Times New Roman"/>
          <w:color w:val="000003"/>
          <w:sz w:val="16"/>
        </w:rPr>
        <w:t>10.3109/00365521.2010.501524</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Kao P.C., Vecchio J.A., Schned L.M., Blaszyk H.</w:t>
      </w:r>
      <w:r>
        <w:rPr>
          <w:rFonts w:ascii="Times New Roman" w:eastAsia="Times New Roman" w:hAnsi="Times New Roman" w:cs="Times New Roman"/>
          <w:color w:val="000003"/>
          <w:sz w:val="16"/>
        </w:rPr>
        <w:t xml:space="preserve"> Esophageal squamous papillomatosis. Eur. J. Gastroenterol </w:t>
      </w:r>
    </w:p>
    <w:p w:rsidR="002D5C2A" w:rsidRDefault="00280B42">
      <w:pPr>
        <w:spacing w:after="3" w:line="241" w:lineRule="auto"/>
        <w:ind w:left="293" w:hanging="10"/>
        <w:jc w:val="both"/>
      </w:pPr>
      <w:r>
        <w:rPr>
          <w:rFonts w:ascii="Times New Roman" w:eastAsia="Times New Roman" w:hAnsi="Times New Roman" w:cs="Times New Roman"/>
          <w:color w:val="000003"/>
          <w:sz w:val="16"/>
        </w:rPr>
        <w:t>Hepatol. 2005;17(11):1233–7. DOI: 10.1097/00042737-</w:t>
      </w:r>
    </w:p>
    <w:p w:rsidR="002D5C2A" w:rsidRDefault="00280B42">
      <w:pPr>
        <w:spacing w:after="3" w:line="241" w:lineRule="auto"/>
        <w:ind w:left="293" w:hanging="10"/>
        <w:jc w:val="both"/>
      </w:pPr>
      <w:r>
        <w:rPr>
          <w:rFonts w:ascii="Times New Roman" w:eastAsia="Times New Roman" w:hAnsi="Times New Roman" w:cs="Times New Roman"/>
          <w:color w:val="000003"/>
          <w:sz w:val="16"/>
        </w:rPr>
        <w:t>200511000-00013</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 xml:space="preserve">Mosca S., Manes, G., Monaco R., Bellomo P.F., Bottino V., Balzano A. </w:t>
      </w:r>
      <w:r>
        <w:rPr>
          <w:rFonts w:ascii="Times New Roman" w:eastAsia="Times New Roman" w:hAnsi="Times New Roman" w:cs="Times New Roman"/>
          <w:color w:val="000003"/>
          <w:sz w:val="16"/>
        </w:rPr>
        <w:t xml:space="preserve">Squamous papilloma of the esophagus: long-term follow up. J Gastroenterol </w:t>
      </w:r>
    </w:p>
    <w:p w:rsidR="002D5C2A" w:rsidRDefault="00280B42">
      <w:pPr>
        <w:spacing w:after="3" w:line="241" w:lineRule="auto"/>
        <w:ind w:left="293" w:hanging="10"/>
        <w:jc w:val="both"/>
      </w:pPr>
      <w:r>
        <w:rPr>
          <w:rFonts w:ascii="Times New Roman" w:eastAsia="Times New Roman" w:hAnsi="Times New Roman" w:cs="Times New Roman"/>
          <w:color w:val="000003"/>
          <w:sz w:val="16"/>
        </w:rPr>
        <w:t>Hepatol. 2001;16(8):857–61. DOI: 10.1046/j.14401746.2001.02531.x</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 xml:space="preserve">Bucchi D., Stracci F., Buonora </w:t>
      </w:r>
      <w:r>
        <w:rPr>
          <w:rFonts w:ascii="Times New Roman" w:eastAsia="Times New Roman" w:hAnsi="Times New Roman" w:cs="Times New Roman"/>
          <w:i/>
          <w:color w:val="000003"/>
          <w:sz w:val="16"/>
        </w:rPr>
        <w:t xml:space="preserve">N., Masanotti G. </w:t>
      </w:r>
      <w:r>
        <w:rPr>
          <w:rFonts w:ascii="Times New Roman" w:eastAsia="Times New Roman" w:hAnsi="Times New Roman" w:cs="Times New Roman"/>
          <w:color w:val="000003"/>
          <w:sz w:val="16"/>
        </w:rPr>
        <w:t>Human papillomavirus and gastrointestinal cancer: A review. World J Gastroenterol. 2016;22(33):7415–30. DOI: 10.3748/wjg.v22.i33.7415</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 xml:space="preserve">Krones E., Petritsch W., Valentin T., Durchschein F., Gorkiewicz G. </w:t>
      </w:r>
      <w:r>
        <w:rPr>
          <w:rFonts w:ascii="Times New Roman" w:eastAsia="Times New Roman" w:hAnsi="Times New Roman" w:cs="Times New Roman"/>
          <w:color w:val="000003"/>
          <w:sz w:val="16"/>
        </w:rPr>
        <w:t>Visceral dissemination of herpes zost</w:t>
      </w:r>
      <w:r>
        <w:rPr>
          <w:rFonts w:ascii="Times New Roman" w:eastAsia="Times New Roman" w:hAnsi="Times New Roman" w:cs="Times New Roman"/>
          <w:color w:val="000003"/>
          <w:sz w:val="16"/>
        </w:rPr>
        <w:t>er with multiple ulcers in the upper gastrointestinal tract of an apparently immunocompetent patient. Endoscopy. 2012;44 Suppl 2 UCTN:E302–3. DOI: 10.1055/s-0032-1309926</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 xml:space="preserve">Paliwal M., Prasanna K.S., Saraswat V.A., Misra A., Krishnani N., Ghoshal U.C. </w:t>
      </w:r>
      <w:r>
        <w:rPr>
          <w:rFonts w:ascii="Times New Roman" w:eastAsia="Times New Roman" w:hAnsi="Times New Roman" w:cs="Times New Roman"/>
          <w:color w:val="000003"/>
          <w:sz w:val="16"/>
        </w:rPr>
        <w:t>Varicel</w:t>
      </w:r>
      <w:r>
        <w:rPr>
          <w:rFonts w:ascii="Times New Roman" w:eastAsia="Times New Roman" w:hAnsi="Times New Roman" w:cs="Times New Roman"/>
          <w:color w:val="000003"/>
          <w:sz w:val="16"/>
        </w:rPr>
        <w:t>la Zoster Cranial Polyneuropathy Presenting With Dysphagia, Esophagitis and Gastroparesis. J Neurogastroenterol Motil. 2011;17(2):192–4. DOI: 10.5056/jnm.2011.17.2.192</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Shallal A., Patel P., Reaume M., Tariq T., Garg D.</w:t>
      </w:r>
      <w:r>
        <w:rPr>
          <w:rFonts w:ascii="Times New Roman" w:eastAsia="Times New Roman" w:hAnsi="Times New Roman" w:cs="Times New Roman"/>
          <w:color w:val="000003"/>
          <w:sz w:val="16"/>
        </w:rPr>
        <w:t xml:space="preserve"> Varicella Zoster Virus Esophagitis in</w:t>
      </w:r>
      <w:r>
        <w:rPr>
          <w:rFonts w:ascii="Times New Roman" w:eastAsia="Times New Roman" w:hAnsi="Times New Roman" w:cs="Times New Roman"/>
          <w:color w:val="000003"/>
          <w:sz w:val="16"/>
        </w:rPr>
        <w:t xml:space="preserve"> an Immunocompetent Patient. ACG Case Rep J. 2019;6(4):е00044. DOI: </w:t>
      </w:r>
    </w:p>
    <w:p w:rsidR="002D5C2A" w:rsidRDefault="00280B42">
      <w:pPr>
        <w:spacing w:after="3" w:line="241" w:lineRule="auto"/>
        <w:ind w:left="293" w:hanging="10"/>
        <w:jc w:val="both"/>
      </w:pPr>
      <w:r>
        <w:rPr>
          <w:rFonts w:ascii="Times New Roman" w:eastAsia="Times New Roman" w:hAnsi="Times New Roman" w:cs="Times New Roman"/>
          <w:color w:val="000003"/>
          <w:sz w:val="16"/>
        </w:rPr>
        <w:t>10.14309/crj.0000000000000044</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 xml:space="preserve">Han X-M., Yang J-M., Xu L-H., Nie L-H., Zhao Z-S. </w:t>
      </w:r>
      <w:r>
        <w:rPr>
          <w:rFonts w:ascii="Times New Roman" w:eastAsia="Times New Roman" w:hAnsi="Times New Roman" w:cs="Times New Roman"/>
          <w:color w:val="000003"/>
          <w:sz w:val="16"/>
        </w:rPr>
        <w:t xml:space="preserve">Endoscopic ultrasonography in esophageal tuberculosis. </w:t>
      </w:r>
    </w:p>
    <w:p w:rsidR="002D5C2A" w:rsidRDefault="00280B42">
      <w:pPr>
        <w:spacing w:after="3" w:line="241" w:lineRule="auto"/>
        <w:ind w:left="293" w:hanging="10"/>
        <w:jc w:val="both"/>
      </w:pPr>
      <w:r>
        <w:rPr>
          <w:rFonts w:ascii="Times New Roman" w:eastAsia="Times New Roman" w:hAnsi="Times New Roman" w:cs="Times New Roman"/>
          <w:color w:val="000003"/>
          <w:sz w:val="16"/>
        </w:rPr>
        <w:t>Endoscopy. 2008;40(8):701–2. DOI: 10.1055/s-2008107</w:t>
      </w:r>
      <w:r>
        <w:rPr>
          <w:rFonts w:ascii="Times New Roman" w:eastAsia="Times New Roman" w:hAnsi="Times New Roman" w:cs="Times New Roman"/>
          <w:color w:val="000003"/>
          <w:sz w:val="16"/>
        </w:rPr>
        <w:t>7479</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Puri R., Puri R., Khaliq A., Kumar M., Sud R., Vasdev N</w:t>
      </w:r>
      <w:r>
        <w:rPr>
          <w:rFonts w:ascii="Times New Roman" w:eastAsia="Times New Roman" w:hAnsi="Times New Roman" w:cs="Times New Roman"/>
          <w:color w:val="000003"/>
          <w:sz w:val="16"/>
        </w:rPr>
        <w:t>. Esophageal tuberculosis: role of endoscopic ultrasound in diagnosis. Dis Esophagus. 2012;25(2):102–6. DOI: 10.1111/j.1442-2050.2011.01223.x</w:t>
      </w:r>
    </w:p>
    <w:p w:rsidR="002D5C2A" w:rsidRDefault="00280B42">
      <w:pPr>
        <w:numPr>
          <w:ilvl w:val="0"/>
          <w:numId w:val="9"/>
        </w:numPr>
        <w:spacing w:after="0" w:line="233" w:lineRule="auto"/>
        <w:ind w:hanging="283"/>
        <w:jc w:val="both"/>
      </w:pPr>
      <w:r>
        <w:rPr>
          <w:rFonts w:ascii="Times New Roman" w:eastAsia="Times New Roman" w:hAnsi="Times New Roman" w:cs="Times New Roman"/>
          <w:i/>
          <w:color w:val="212121"/>
          <w:sz w:val="16"/>
        </w:rPr>
        <w:t>Mohamed A.A., Lu X.L., Mounmin F.A.</w:t>
      </w:r>
      <w:r>
        <w:rPr>
          <w:rFonts w:ascii="Times New Roman" w:eastAsia="Times New Roman" w:hAnsi="Times New Roman" w:cs="Times New Roman"/>
          <w:color w:val="212121"/>
          <w:sz w:val="16"/>
        </w:rPr>
        <w:t xml:space="preserve"> Diagnosis and Trea</w:t>
      </w:r>
      <w:r>
        <w:rPr>
          <w:rFonts w:ascii="Times New Roman" w:eastAsia="Times New Roman" w:hAnsi="Times New Roman" w:cs="Times New Roman"/>
          <w:color w:val="212121"/>
          <w:sz w:val="16"/>
        </w:rPr>
        <w:t>tment of Esophageal Candidiasis: Current Updates. Can J Gastroenterol Hepatol. 2019;2019:3585136. DOI: 10.1155/2019/3585136.</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Pappas P.G., Kauffman C.A., Andes D.R., Clancy C.J., Marr K.A., Ostrosky-Zeichner L., et al</w:t>
      </w:r>
      <w:r>
        <w:rPr>
          <w:rFonts w:ascii="Times New Roman" w:eastAsia="Times New Roman" w:hAnsi="Times New Roman" w:cs="Times New Roman"/>
          <w:color w:val="000003"/>
          <w:sz w:val="16"/>
        </w:rPr>
        <w:t>. Executive Summary: Clinical Practice G</w:t>
      </w:r>
      <w:r>
        <w:rPr>
          <w:rFonts w:ascii="Times New Roman" w:eastAsia="Times New Roman" w:hAnsi="Times New Roman" w:cs="Times New Roman"/>
          <w:color w:val="000003"/>
          <w:sz w:val="16"/>
        </w:rPr>
        <w:t>uideline for the Management of Candidiasis: 2016 Update by the Infectious Diseases Society of America. Clin Infect Dis. 2016;62(4):409–17. DOI: 10.1093/cid/civ1194</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 xml:space="preserve">Ally R., Schürmann D., Kreisel W., Carosi G., Aguirrebengoa K., Dupont B., et al. </w:t>
      </w:r>
      <w:r>
        <w:rPr>
          <w:rFonts w:ascii="Times New Roman" w:eastAsia="Times New Roman" w:hAnsi="Times New Roman" w:cs="Times New Roman"/>
          <w:color w:val="000003"/>
          <w:sz w:val="16"/>
        </w:rPr>
        <w:t>A randomiz</w:t>
      </w:r>
      <w:r>
        <w:rPr>
          <w:rFonts w:ascii="Times New Roman" w:eastAsia="Times New Roman" w:hAnsi="Times New Roman" w:cs="Times New Roman"/>
          <w:color w:val="000003"/>
          <w:sz w:val="16"/>
        </w:rPr>
        <w:t>ed, doubleblind, double-dummy, multicenter trial of voriconazole and fluconazole in the treatment of esophageal candidiasis in immunocompromised patients. Clin Infect Dis. 2001;33(9):1447–54. DOI: 10.1086/322653</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Barbaro G., Barbarini G., Di Lorenzo G.</w:t>
      </w:r>
      <w:r>
        <w:rPr>
          <w:rFonts w:ascii="Times New Roman" w:eastAsia="Times New Roman" w:hAnsi="Times New Roman" w:cs="Times New Roman"/>
          <w:color w:val="000003"/>
          <w:sz w:val="16"/>
        </w:rPr>
        <w:t xml:space="preserve"> Fluc</w:t>
      </w:r>
      <w:r>
        <w:rPr>
          <w:rFonts w:ascii="Times New Roman" w:eastAsia="Times New Roman" w:hAnsi="Times New Roman" w:cs="Times New Roman"/>
          <w:color w:val="000003"/>
          <w:sz w:val="16"/>
        </w:rPr>
        <w:t>onazole compared with itraconazole in the treatment of esophageal candidiasis in AIDS patients: a double-blind, randomized, controlled clinical study. Scand J Infect Dis. 1995;27(6):613–7. DOI: 10.3109/00365549509047076</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Laine L., Dretler R.H., Conteas C.N.</w:t>
      </w:r>
      <w:r>
        <w:rPr>
          <w:rFonts w:ascii="Times New Roman" w:eastAsia="Times New Roman" w:hAnsi="Times New Roman" w:cs="Times New Roman"/>
          <w:i/>
          <w:color w:val="000003"/>
          <w:sz w:val="16"/>
        </w:rPr>
        <w:t xml:space="preserve">, Tuazon C., Koster F.M., Sattler F., et al. </w:t>
      </w:r>
      <w:r>
        <w:rPr>
          <w:rFonts w:ascii="Times New Roman" w:eastAsia="Times New Roman" w:hAnsi="Times New Roman" w:cs="Times New Roman"/>
          <w:color w:val="000003"/>
          <w:sz w:val="16"/>
        </w:rPr>
        <w:t>Fluconazole compared with ketoconazole for the treatment of Candida esophagitis in AIDS. A randomized trial. Ann Intern Med. 1992;117(8):655–60. DOI: 10.7326/0003-4819-117-8-655</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 xml:space="preserve">Pilmis B., Jullien V., Sobel J., </w:t>
      </w:r>
      <w:r>
        <w:rPr>
          <w:rFonts w:ascii="Times New Roman" w:eastAsia="Times New Roman" w:hAnsi="Times New Roman" w:cs="Times New Roman"/>
          <w:i/>
          <w:color w:val="000003"/>
          <w:sz w:val="16"/>
        </w:rPr>
        <w:t>Lecuit M., Lortholary O., Charlier C.</w:t>
      </w:r>
      <w:r>
        <w:rPr>
          <w:rFonts w:ascii="Times New Roman" w:eastAsia="Times New Roman" w:hAnsi="Times New Roman" w:cs="Times New Roman"/>
          <w:color w:val="000003"/>
          <w:sz w:val="16"/>
        </w:rPr>
        <w:t xml:space="preserve"> Antifungal drugs during pregnancy: an updated review. J Antimicrob Chemother. 2015;70(1):14–22. DOI: 10.1093/jac/dku355</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Aleck K.A., Bartley D.L</w:t>
      </w:r>
      <w:r>
        <w:rPr>
          <w:rFonts w:ascii="Times New Roman" w:eastAsia="Times New Roman" w:hAnsi="Times New Roman" w:cs="Times New Roman"/>
          <w:color w:val="000003"/>
          <w:sz w:val="16"/>
        </w:rPr>
        <w:t>. Multiple malformation syndrome following fluconazole use in pregnancy: Re</w:t>
      </w:r>
      <w:r>
        <w:rPr>
          <w:rFonts w:ascii="Times New Roman" w:eastAsia="Times New Roman" w:hAnsi="Times New Roman" w:cs="Times New Roman"/>
          <w:color w:val="000003"/>
          <w:sz w:val="16"/>
        </w:rPr>
        <w:t>port of an additional patient. Am J Med Genet. 1997;72(3):253–6.</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Wang J-F., Xue Y., Zhu X-B., Fan H.</w:t>
      </w:r>
      <w:r>
        <w:rPr>
          <w:rFonts w:ascii="Times New Roman" w:eastAsia="Times New Roman" w:hAnsi="Times New Roman" w:cs="Times New Roman"/>
          <w:color w:val="000003"/>
          <w:sz w:val="16"/>
        </w:rPr>
        <w:t xml:space="preserve"> Efficacy and safety of echinocandins versus triazoles for the prophylaxis and treatment of fungal infections: a meta-analysis of RCTs. Eur J Clin Microbiol</w:t>
      </w:r>
      <w:r>
        <w:rPr>
          <w:rFonts w:ascii="Times New Roman" w:eastAsia="Times New Roman" w:hAnsi="Times New Roman" w:cs="Times New Roman"/>
          <w:color w:val="000003"/>
          <w:sz w:val="16"/>
        </w:rPr>
        <w:t xml:space="preserve">. Infect Dis. 2015;34(4):651–9. DOI: </w:t>
      </w:r>
    </w:p>
    <w:p w:rsidR="002D5C2A" w:rsidRDefault="00280B42">
      <w:pPr>
        <w:spacing w:after="3" w:line="241" w:lineRule="auto"/>
        <w:ind w:left="293" w:hanging="10"/>
        <w:jc w:val="both"/>
      </w:pPr>
      <w:r>
        <w:rPr>
          <w:rFonts w:ascii="Times New Roman" w:eastAsia="Times New Roman" w:hAnsi="Times New Roman" w:cs="Times New Roman"/>
          <w:color w:val="000003"/>
          <w:sz w:val="16"/>
        </w:rPr>
        <w:t>10.1007/s10096-014-2287-4</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Kim R., Khachikian D., Reboli A.C.</w:t>
      </w:r>
      <w:r>
        <w:rPr>
          <w:rFonts w:ascii="Times New Roman" w:eastAsia="Times New Roman" w:hAnsi="Times New Roman" w:cs="Times New Roman"/>
          <w:color w:val="000003"/>
          <w:sz w:val="16"/>
        </w:rPr>
        <w:t xml:space="preserve"> A comparative evaluation of properties and clinical efficacy of the echinocandins. Expert Opin Pharmacother. 2007;8(10):1479–92. DOI: 10.1517/14656566.8.10.1</w:t>
      </w:r>
      <w:r>
        <w:rPr>
          <w:rFonts w:ascii="Times New Roman" w:eastAsia="Times New Roman" w:hAnsi="Times New Roman" w:cs="Times New Roman"/>
          <w:color w:val="000003"/>
          <w:sz w:val="16"/>
        </w:rPr>
        <w:t>479</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Deray G.</w:t>
      </w:r>
      <w:r>
        <w:rPr>
          <w:rFonts w:ascii="Times New Roman" w:eastAsia="Times New Roman" w:hAnsi="Times New Roman" w:cs="Times New Roman"/>
          <w:color w:val="000003"/>
          <w:sz w:val="16"/>
        </w:rPr>
        <w:t xml:space="preserve"> Amphotericin B nephrotoxicity. J Antimicrob Chemother. 2002;49(1):37–41. DOI: 10.1093/jac/49. suppl_1.37</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 xml:space="preserve">Cannon J.P., Garey K.W., Danziger L.H. </w:t>
      </w:r>
      <w:r>
        <w:rPr>
          <w:rFonts w:ascii="Times New Roman" w:eastAsia="Times New Roman" w:hAnsi="Times New Roman" w:cs="Times New Roman"/>
          <w:color w:val="000003"/>
          <w:sz w:val="16"/>
        </w:rPr>
        <w:t>A prospec</w:t>
      </w:r>
      <w:r>
        <w:rPr>
          <w:rFonts w:ascii="Times New Roman" w:eastAsia="Times New Roman" w:hAnsi="Times New Roman" w:cs="Times New Roman"/>
          <w:color w:val="000003"/>
          <w:sz w:val="16"/>
        </w:rPr>
        <w:t>tive and retrospective analysis of the nephrotoxicity and efficacy of lipid-based amphotericin B formulations. Pharmacotherapy. 2001;21(9):1107–14. DOI: 10.1592/ phco.21.13.1107.34613</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Généreau T., Lortholary O., Bouchaud O., Lacassin F., Vinceneux P., Truc</w:t>
      </w:r>
      <w:r>
        <w:rPr>
          <w:rFonts w:ascii="Times New Roman" w:eastAsia="Times New Roman" w:hAnsi="Times New Roman" w:cs="Times New Roman"/>
          <w:i/>
          <w:color w:val="000003"/>
          <w:sz w:val="16"/>
        </w:rPr>
        <w:t>his P.D., et al.</w:t>
      </w:r>
      <w:r>
        <w:rPr>
          <w:rFonts w:ascii="Times New Roman" w:eastAsia="Times New Roman" w:hAnsi="Times New Roman" w:cs="Times New Roman"/>
          <w:color w:val="000003"/>
          <w:sz w:val="16"/>
        </w:rPr>
        <w:t xml:space="preserve"> Herpes simplex esophagitis in patients with AIDS: report of 34 cases. The Cooperative Study Group on Herpetic Esophagitis in HIV Infection. Clin Infect Dis. 1996;22(6):926–31. DOI: 10.1093/ clinids/22.6.926</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Kurahara K., Aoyagi K., Nakamura</w:t>
      </w:r>
      <w:r>
        <w:rPr>
          <w:rFonts w:ascii="Times New Roman" w:eastAsia="Times New Roman" w:hAnsi="Times New Roman" w:cs="Times New Roman"/>
          <w:i/>
          <w:color w:val="000003"/>
          <w:sz w:val="16"/>
        </w:rPr>
        <w:t xml:space="preserve"> S., Kuwano Y., Yamamoto C., Iida M., Fujishima M.</w:t>
      </w:r>
      <w:r>
        <w:rPr>
          <w:rFonts w:ascii="Times New Roman" w:eastAsia="Times New Roman" w:hAnsi="Times New Roman" w:cs="Times New Roman"/>
          <w:color w:val="000003"/>
          <w:sz w:val="16"/>
        </w:rPr>
        <w:t xml:space="preserve"> Treatment of herpes simplex esophagitis in an immunocompetent patient with intravenous acyclovir: a case report and review of the literature. Am J Gastroenterol. 1998;93(11):2239–40. DOI: 10.1111/j.1572-02</w:t>
      </w:r>
      <w:r>
        <w:rPr>
          <w:rFonts w:ascii="Times New Roman" w:eastAsia="Times New Roman" w:hAnsi="Times New Roman" w:cs="Times New Roman"/>
          <w:color w:val="000003"/>
          <w:sz w:val="16"/>
        </w:rPr>
        <w:t>41.1998.00623.x</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Kato S., Yamamoto R., Yoshimitsu S., Shimazaki K., Ogawa S., Itoh K., Miura S.</w:t>
      </w:r>
      <w:r>
        <w:rPr>
          <w:rFonts w:ascii="Times New Roman" w:eastAsia="Times New Roman" w:hAnsi="Times New Roman" w:cs="Times New Roman"/>
          <w:color w:val="000003"/>
          <w:sz w:val="16"/>
        </w:rPr>
        <w:t xml:space="preserve"> Herpes simplex esophagitis in the immunocompetent host. Dis Esophagus. 2005;18(5):340– 4. DOI: 10.1111/j.1442-2050.2005.00510.x</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 xml:space="preserve">Safrin S., Crumpacker C., Chatis </w:t>
      </w:r>
      <w:r>
        <w:rPr>
          <w:rFonts w:ascii="Times New Roman" w:eastAsia="Times New Roman" w:hAnsi="Times New Roman" w:cs="Times New Roman"/>
          <w:i/>
          <w:color w:val="000003"/>
          <w:sz w:val="16"/>
        </w:rPr>
        <w:t xml:space="preserve">P., Davis R., Hafner R., Rush J., et al. </w:t>
      </w:r>
      <w:r>
        <w:rPr>
          <w:rFonts w:ascii="Times New Roman" w:eastAsia="Times New Roman" w:hAnsi="Times New Roman" w:cs="Times New Roman"/>
          <w:color w:val="000003"/>
          <w:sz w:val="16"/>
        </w:rPr>
        <w:t xml:space="preserve">A controlled trial comparing foscarnet with vidarabine for acyclovir-resistant mucocutaneous herpes simplex in the acquired immunodeficiency syndrome. The AIDS Clinical Trials Group. </w:t>
      </w:r>
    </w:p>
    <w:p w:rsidR="002D5C2A" w:rsidRDefault="00280B42">
      <w:pPr>
        <w:spacing w:after="3" w:line="241" w:lineRule="auto"/>
        <w:ind w:left="293" w:hanging="10"/>
        <w:jc w:val="both"/>
      </w:pPr>
      <w:r>
        <w:rPr>
          <w:rFonts w:ascii="Times New Roman" w:eastAsia="Times New Roman" w:hAnsi="Times New Roman" w:cs="Times New Roman"/>
          <w:color w:val="000003"/>
          <w:sz w:val="16"/>
        </w:rPr>
        <w:t xml:space="preserve">N Engl J Med. </w:t>
      </w:r>
      <w:r>
        <w:rPr>
          <w:rFonts w:ascii="Times New Roman" w:eastAsia="Times New Roman" w:hAnsi="Times New Roman" w:cs="Times New Roman"/>
          <w:color w:val="000003"/>
          <w:sz w:val="16"/>
        </w:rPr>
        <w:t>1991;325(8):551–5. DOI: 10.1056/ NEJM199108223250805</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Chatis P.A., Miller C.H., Schrager L.E., Crumpacker C.S.</w:t>
      </w:r>
      <w:r>
        <w:rPr>
          <w:rFonts w:ascii="Times New Roman" w:eastAsia="Times New Roman" w:hAnsi="Times New Roman" w:cs="Times New Roman"/>
          <w:color w:val="000003"/>
          <w:sz w:val="16"/>
        </w:rPr>
        <w:t xml:space="preserve"> Successful treatment with foscarnet of an acyclovir-resistant mucocutaneous infection with herpes simplex virus in a patient with acquired immunod</w:t>
      </w:r>
      <w:r>
        <w:rPr>
          <w:rFonts w:ascii="Times New Roman" w:eastAsia="Times New Roman" w:hAnsi="Times New Roman" w:cs="Times New Roman"/>
          <w:color w:val="000003"/>
          <w:sz w:val="16"/>
        </w:rPr>
        <w:t>eficiency syndrome. N Engl J Med. 1989;320(5):297–300. DOI: 10.1056/NEJM198902023200507</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Biron K.K</w:t>
      </w:r>
      <w:r>
        <w:rPr>
          <w:rFonts w:ascii="Times New Roman" w:eastAsia="Times New Roman" w:hAnsi="Times New Roman" w:cs="Times New Roman"/>
          <w:color w:val="000003"/>
          <w:sz w:val="16"/>
        </w:rPr>
        <w:t>. Antiviral drugs for cytomegalovirus diseases. Antiviral Res. 2006;1(2–3):154–63. DOI: 10.1016/j.antiviral.2006.05.002</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Martin D.F., Sierra-Madero J., Walmsley</w:t>
      </w:r>
      <w:r>
        <w:rPr>
          <w:rFonts w:ascii="Times New Roman" w:eastAsia="Times New Roman" w:hAnsi="Times New Roman" w:cs="Times New Roman"/>
          <w:i/>
          <w:color w:val="000003"/>
          <w:sz w:val="16"/>
        </w:rPr>
        <w:t xml:space="preserve"> S., Wolitz R.A., Macey K., Georgiou P., et al</w:t>
      </w:r>
      <w:r>
        <w:rPr>
          <w:rFonts w:ascii="Times New Roman" w:eastAsia="Times New Roman" w:hAnsi="Times New Roman" w:cs="Times New Roman"/>
          <w:color w:val="000003"/>
          <w:sz w:val="16"/>
        </w:rPr>
        <w:t>. A controlled trial of valganciclovir as induction therapy for cytomegalovirus retinitis. N Engl J Med. 2002;346(15):1119–26. DOI: 10.1056/NEJMoa011759</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Dieterich D.T., Poles M.A., Dicker M., Tepper R., Lew E.</w:t>
      </w:r>
      <w:r>
        <w:rPr>
          <w:rFonts w:ascii="Times New Roman" w:eastAsia="Times New Roman" w:hAnsi="Times New Roman" w:cs="Times New Roman"/>
          <w:color w:val="000003"/>
          <w:sz w:val="16"/>
        </w:rPr>
        <w:t xml:space="preserve"> </w:t>
      </w:r>
      <w:r>
        <w:rPr>
          <w:rFonts w:ascii="Times New Roman" w:eastAsia="Times New Roman" w:hAnsi="Times New Roman" w:cs="Times New Roman"/>
          <w:color w:val="000003"/>
          <w:sz w:val="16"/>
        </w:rPr>
        <w:t>Foscarnet treatment of cytomegalovirus gastrointestinal infections in acquired immunodeficiency syndrome patients who have failed ganciclovir induction. Am J Gastroenterol. 1993;88(4):542–8.</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Bacigalupo A., Boyd A., Slipper J., Curtis J., Clissold S.</w:t>
      </w:r>
      <w:r>
        <w:rPr>
          <w:rFonts w:ascii="Times New Roman" w:eastAsia="Times New Roman" w:hAnsi="Times New Roman" w:cs="Times New Roman"/>
          <w:color w:val="000003"/>
          <w:sz w:val="16"/>
        </w:rPr>
        <w:t xml:space="preserve"> Foscar</w:t>
      </w:r>
      <w:r>
        <w:rPr>
          <w:rFonts w:ascii="Times New Roman" w:eastAsia="Times New Roman" w:hAnsi="Times New Roman" w:cs="Times New Roman"/>
          <w:color w:val="000003"/>
          <w:sz w:val="16"/>
        </w:rPr>
        <w:t>net in the management of cytomegalovirus infections in hematopoietic stem cell transplant patients. Expert Rev Anti Infect Ther. 2012;10(11):1249–64. DOI: 10.1586/ eri.12.115</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Blanshard C., Benhamou Y., Dohin E., Lernestedt J.O., Gazzard B.G., Katlama C.</w:t>
      </w:r>
      <w:r>
        <w:rPr>
          <w:rFonts w:ascii="Times New Roman" w:eastAsia="Times New Roman" w:hAnsi="Times New Roman" w:cs="Times New Roman"/>
          <w:color w:val="000003"/>
          <w:sz w:val="16"/>
        </w:rPr>
        <w:t xml:space="preserve"> Tr</w:t>
      </w:r>
      <w:r>
        <w:rPr>
          <w:rFonts w:ascii="Times New Roman" w:eastAsia="Times New Roman" w:hAnsi="Times New Roman" w:cs="Times New Roman"/>
          <w:color w:val="000003"/>
          <w:sz w:val="16"/>
        </w:rPr>
        <w:t>eatment of AIDS-associated gastrointestinal cytomegalovirus infection with foscarnet and ganciclovir: a randomized comparison. J Infect Dis. 1995;172(3):622–8. DOI: 10.1093/infdis/172.3.622</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Lim D.S., Lee T.H., Jin S.Y., Lee J.S.</w:t>
      </w:r>
      <w:r>
        <w:rPr>
          <w:rFonts w:ascii="Times New Roman" w:eastAsia="Times New Roman" w:hAnsi="Times New Roman" w:cs="Times New Roman"/>
          <w:color w:val="000003"/>
          <w:sz w:val="16"/>
        </w:rPr>
        <w:t xml:space="preserve"> Cytomegalovirus esophagitis</w:t>
      </w:r>
      <w:r>
        <w:rPr>
          <w:rFonts w:ascii="Times New Roman" w:eastAsia="Times New Roman" w:hAnsi="Times New Roman" w:cs="Times New Roman"/>
          <w:color w:val="000003"/>
          <w:sz w:val="16"/>
        </w:rPr>
        <w:t xml:space="preserve"> in an immunocompetent patient: Case report. Turk J Gastroenterol. 2014;25(5):571–4. DOI: 10.5152/ tjg.2014.4073</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Ni B., Lu X., Gong Q., Zhang W., Li X., Xu H., et al.</w:t>
      </w:r>
      <w:r>
        <w:rPr>
          <w:rFonts w:ascii="Times New Roman" w:eastAsia="Times New Roman" w:hAnsi="Times New Roman" w:cs="Times New Roman"/>
          <w:color w:val="000003"/>
          <w:sz w:val="16"/>
        </w:rPr>
        <w:t xml:space="preserve"> Surgical outcome of esophageal tuberculosis secondary to mediastinal lymphadenitis in adu</w:t>
      </w:r>
      <w:r>
        <w:rPr>
          <w:rFonts w:ascii="Times New Roman" w:eastAsia="Times New Roman" w:hAnsi="Times New Roman" w:cs="Times New Roman"/>
          <w:color w:val="000003"/>
          <w:sz w:val="16"/>
        </w:rPr>
        <w:t xml:space="preserve">lts: experience from single center in China. J Thorac Dis. 2013;5(4):498–505. </w:t>
      </w:r>
    </w:p>
    <w:p w:rsidR="002D5C2A" w:rsidRDefault="00280B42">
      <w:pPr>
        <w:spacing w:after="3" w:line="241" w:lineRule="auto"/>
        <w:ind w:left="293" w:hanging="10"/>
        <w:jc w:val="both"/>
      </w:pPr>
      <w:r>
        <w:rPr>
          <w:rFonts w:ascii="Times New Roman" w:eastAsia="Times New Roman" w:hAnsi="Times New Roman" w:cs="Times New Roman"/>
          <w:color w:val="000003"/>
          <w:sz w:val="16"/>
        </w:rPr>
        <w:t>DOI: 10.3978/j.issn.2072-1439.2013.08.33</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Paya C., Humar A., Dominguez E., Washburn K., Blumberg E., Alexander B., et al.</w:t>
      </w:r>
      <w:r>
        <w:rPr>
          <w:rFonts w:ascii="Times New Roman" w:eastAsia="Times New Roman" w:hAnsi="Times New Roman" w:cs="Times New Roman"/>
          <w:color w:val="000003"/>
          <w:sz w:val="16"/>
        </w:rPr>
        <w:t xml:space="preserve"> Efficacy and safety of valganciclovir vs. oral ganciclov</w:t>
      </w:r>
      <w:r>
        <w:rPr>
          <w:rFonts w:ascii="Times New Roman" w:eastAsia="Times New Roman" w:hAnsi="Times New Roman" w:cs="Times New Roman"/>
          <w:color w:val="000003"/>
          <w:sz w:val="16"/>
        </w:rPr>
        <w:t xml:space="preserve">ir for prevention of cytomegalovirus disease in solid organ transplant recipients. Am </w:t>
      </w:r>
    </w:p>
    <w:p w:rsidR="002D5C2A" w:rsidRDefault="00280B42">
      <w:pPr>
        <w:spacing w:after="3" w:line="241" w:lineRule="auto"/>
        <w:ind w:left="293" w:hanging="10"/>
        <w:jc w:val="both"/>
      </w:pPr>
      <w:r>
        <w:rPr>
          <w:rFonts w:ascii="Times New Roman" w:eastAsia="Times New Roman" w:hAnsi="Times New Roman" w:cs="Times New Roman"/>
          <w:color w:val="000003"/>
          <w:sz w:val="16"/>
        </w:rPr>
        <w:t>J Transplant. 2004;4(4):611–20. DOI: 10.1111/j.1600-</w:t>
      </w:r>
    </w:p>
    <w:p w:rsidR="002D5C2A" w:rsidRDefault="00280B42">
      <w:pPr>
        <w:spacing w:after="3" w:line="241" w:lineRule="auto"/>
        <w:ind w:left="293" w:hanging="10"/>
        <w:jc w:val="both"/>
      </w:pPr>
      <w:r>
        <w:rPr>
          <w:rFonts w:ascii="Times New Roman" w:eastAsia="Times New Roman" w:hAnsi="Times New Roman" w:cs="Times New Roman"/>
          <w:color w:val="000003"/>
          <w:sz w:val="16"/>
        </w:rPr>
        <w:t>6143.2004.00382.x</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Kotton C.N., Kumar D., Caliendo A.M., Huprikar S., Chou S., Danziger-Isakov L., Humar A.</w:t>
      </w:r>
      <w:r>
        <w:rPr>
          <w:rFonts w:ascii="Times New Roman" w:eastAsia="Times New Roman" w:hAnsi="Times New Roman" w:cs="Times New Roman"/>
          <w:color w:val="000003"/>
          <w:sz w:val="16"/>
        </w:rPr>
        <w:t xml:space="preserve"> The Third</w:t>
      </w:r>
      <w:r>
        <w:rPr>
          <w:rFonts w:ascii="Times New Roman" w:eastAsia="Times New Roman" w:hAnsi="Times New Roman" w:cs="Times New Roman"/>
          <w:color w:val="000003"/>
          <w:sz w:val="16"/>
        </w:rPr>
        <w:t xml:space="preserve"> International Consensus Guidelines on the Management of Cytomegalovirus in Solid-organ Transplantation. </w:t>
      </w:r>
    </w:p>
    <w:p w:rsidR="002D5C2A" w:rsidRDefault="00280B42">
      <w:pPr>
        <w:spacing w:after="3" w:line="241" w:lineRule="auto"/>
        <w:ind w:left="293" w:hanging="10"/>
        <w:jc w:val="both"/>
      </w:pPr>
      <w:r>
        <w:rPr>
          <w:rFonts w:ascii="Times New Roman" w:eastAsia="Times New Roman" w:hAnsi="Times New Roman" w:cs="Times New Roman"/>
          <w:color w:val="000003"/>
          <w:sz w:val="16"/>
        </w:rPr>
        <w:t>Transplantation. 2018;102(6):900–31. DOI: 10.1097/</w:t>
      </w:r>
    </w:p>
    <w:p w:rsidR="002D5C2A" w:rsidRDefault="00280B42">
      <w:pPr>
        <w:spacing w:after="3" w:line="241" w:lineRule="auto"/>
        <w:ind w:left="293" w:hanging="10"/>
        <w:jc w:val="both"/>
      </w:pPr>
      <w:r>
        <w:rPr>
          <w:rFonts w:ascii="Times New Roman" w:eastAsia="Times New Roman" w:hAnsi="Times New Roman" w:cs="Times New Roman"/>
          <w:color w:val="000003"/>
          <w:sz w:val="16"/>
        </w:rPr>
        <w:t>TP.0000000000002191</w:t>
      </w:r>
    </w:p>
    <w:p w:rsidR="002D5C2A" w:rsidRDefault="00280B42">
      <w:pPr>
        <w:numPr>
          <w:ilvl w:val="0"/>
          <w:numId w:val="9"/>
        </w:numPr>
        <w:spacing w:after="3" w:line="241" w:lineRule="auto"/>
        <w:ind w:hanging="283"/>
        <w:jc w:val="both"/>
      </w:pPr>
      <w:r>
        <w:rPr>
          <w:rFonts w:ascii="Times New Roman" w:eastAsia="Times New Roman" w:hAnsi="Times New Roman" w:cs="Times New Roman"/>
          <w:i/>
          <w:color w:val="000003"/>
          <w:sz w:val="16"/>
        </w:rPr>
        <w:t>Hodson E.M., Jones C.A., Webster A.C., Strippoli G.F.M., Barclay P.G., Kable K.</w:t>
      </w:r>
      <w:r>
        <w:rPr>
          <w:rFonts w:ascii="Times New Roman" w:eastAsia="Times New Roman" w:hAnsi="Times New Roman" w:cs="Times New Roman"/>
          <w:i/>
          <w:color w:val="000003"/>
          <w:sz w:val="16"/>
        </w:rPr>
        <w:t>, et al</w:t>
      </w:r>
      <w:r>
        <w:rPr>
          <w:rFonts w:ascii="Times New Roman" w:eastAsia="Times New Roman" w:hAnsi="Times New Roman" w:cs="Times New Roman"/>
          <w:color w:val="000003"/>
          <w:sz w:val="16"/>
        </w:rPr>
        <w:t>. Antiviral medications to prevent cytomegalovirus disease and early death in recipients of solid-organ transplants: a systematic review of randomised controlled trials. Lancet. 2005;365(9477):2105–15. DOI: 10.1016/S01406736(05)66553-1</w:t>
      </w:r>
    </w:p>
    <w:p w:rsidR="002D5C2A" w:rsidRDefault="002D5C2A">
      <w:pPr>
        <w:sectPr w:rsidR="002D5C2A">
          <w:type w:val="continuous"/>
          <w:pgSz w:w="11906" w:h="15874"/>
          <w:pgMar w:top="1046" w:right="1133" w:bottom="1233" w:left="1134" w:header="720" w:footer="720" w:gutter="0"/>
          <w:cols w:num="2" w:space="179"/>
        </w:sectPr>
      </w:pPr>
    </w:p>
    <w:p w:rsidR="002D5C2A" w:rsidRDefault="00280B42">
      <w:pPr>
        <w:pStyle w:val="Heading3"/>
        <w:spacing w:after="19"/>
        <w:ind w:left="278"/>
      </w:pPr>
      <w:r>
        <w:t>Сведения об авторах</w:t>
      </w:r>
    </w:p>
    <w:p w:rsidR="002D5C2A" w:rsidRDefault="00280B42">
      <w:pPr>
        <w:spacing w:after="201" w:line="241" w:lineRule="auto"/>
        <w:ind w:left="-5" w:hanging="10"/>
        <w:jc w:val="both"/>
      </w:pPr>
      <w:r>
        <w:rPr>
          <w:rFonts w:ascii="Times New Roman" w:eastAsia="Times New Roman" w:hAnsi="Times New Roman" w:cs="Times New Roman"/>
          <w:b/>
          <w:color w:val="000003"/>
          <w:sz w:val="16"/>
        </w:rPr>
        <w:t>Ивашкин Владимир Трофимович</w:t>
      </w:r>
      <w:r>
        <w:rPr>
          <w:rFonts w:ascii="Times New Roman" w:eastAsia="Times New Roman" w:hAnsi="Times New Roman" w:cs="Times New Roman"/>
          <w:color w:val="000003"/>
          <w:sz w:val="16"/>
        </w:rPr>
        <w:t xml:space="preserve"> — академик РАН, профессор, доктор медицинских наук, заведующий кафедрой пропедевтики внутренних болезней, гастроэнтерологии и гепатологии Института клинической медицины им. Н.В. Скли</w:t>
      </w:r>
      <w:r>
        <w:rPr>
          <w:rFonts w:ascii="Times New Roman" w:eastAsia="Times New Roman" w:hAnsi="Times New Roman" w:cs="Times New Roman"/>
          <w:color w:val="000003"/>
          <w:sz w:val="16"/>
        </w:rPr>
        <w:t>фосовского; директор клиники пропедевтики внутренних болезней, гастроэнтерологии и гепатологии им. В.Х. Василенко ФГАОУ ВО «Первый Московский государственный медицинский университет им. И.М. Сеченова» (Сеченовский Университет); главный специалист-гастроэнт</w:t>
      </w:r>
      <w:r>
        <w:rPr>
          <w:rFonts w:ascii="Times New Roman" w:eastAsia="Times New Roman" w:hAnsi="Times New Roman" w:cs="Times New Roman"/>
          <w:color w:val="000003"/>
          <w:sz w:val="16"/>
        </w:rPr>
        <w:t>еролог Министерства здравоохранения Российской Федерации. Контактная информация: v.t.ivashkin@mail.ru; 119435, г. Москва, ул. Погодинская, д. 1, стр. 1. ORCID: https://orcid.org/0000-0002-6815-6015</w:t>
      </w:r>
    </w:p>
    <w:p w:rsidR="002D5C2A" w:rsidRDefault="00280B42">
      <w:pPr>
        <w:spacing w:after="3" w:line="241" w:lineRule="auto"/>
        <w:ind w:left="-5" w:hanging="10"/>
        <w:jc w:val="both"/>
      </w:pPr>
      <w:r>
        <w:rPr>
          <w:rFonts w:ascii="Times New Roman" w:eastAsia="Times New Roman" w:hAnsi="Times New Roman" w:cs="Times New Roman"/>
          <w:b/>
          <w:color w:val="000003"/>
          <w:sz w:val="16"/>
        </w:rPr>
        <w:t xml:space="preserve">Ющук Николай Дмитриевич — </w:t>
      </w:r>
      <w:r>
        <w:rPr>
          <w:rFonts w:ascii="Times New Roman" w:eastAsia="Times New Roman" w:hAnsi="Times New Roman" w:cs="Times New Roman"/>
          <w:color w:val="000003"/>
          <w:sz w:val="16"/>
        </w:rPr>
        <w:t>академик РАН, доктор медицинских</w:t>
      </w:r>
      <w:r>
        <w:rPr>
          <w:rFonts w:ascii="Times New Roman" w:eastAsia="Times New Roman" w:hAnsi="Times New Roman" w:cs="Times New Roman"/>
          <w:color w:val="000003"/>
          <w:sz w:val="16"/>
        </w:rPr>
        <w:t xml:space="preserve"> наук, профессор, заведующий кафедрой инфекционных болезней и эпидемиологии; президент </w:t>
      </w:r>
      <w:r>
        <w:rPr>
          <w:rFonts w:ascii="Times New Roman" w:eastAsia="Times New Roman" w:hAnsi="Times New Roman" w:cs="Times New Roman"/>
          <w:color w:val="000002"/>
          <w:sz w:val="16"/>
        </w:rPr>
        <w:t xml:space="preserve">ФГБОУ ВО «Московский государственный медико-стоматологический университет им. А.И. Евдокимова» Министерства здравоохранения Российской Федерации. </w:t>
      </w:r>
      <w:r>
        <w:rPr>
          <w:rFonts w:ascii="Times New Roman" w:eastAsia="Times New Roman" w:hAnsi="Times New Roman" w:cs="Times New Roman"/>
          <w:color w:val="000003"/>
          <w:sz w:val="16"/>
        </w:rPr>
        <w:t xml:space="preserve">Контактная информация: </w:t>
      </w:r>
      <w:r>
        <w:rPr>
          <w:rFonts w:ascii="Times New Roman" w:eastAsia="Times New Roman" w:hAnsi="Times New Roman" w:cs="Times New Roman"/>
          <w:color w:val="000003"/>
          <w:sz w:val="16"/>
        </w:rPr>
        <w:t>prof.uyshuk@gmail.com; 127473, г. Москва, ул. Делегатская, д. 20, стр. 1.</w:t>
      </w:r>
    </w:p>
    <w:p w:rsidR="002D5C2A" w:rsidRDefault="00280B42">
      <w:pPr>
        <w:spacing w:after="3" w:line="241" w:lineRule="auto"/>
        <w:ind w:left="-5" w:hanging="10"/>
        <w:jc w:val="both"/>
      </w:pPr>
      <w:r>
        <w:rPr>
          <w:rFonts w:ascii="Times New Roman" w:eastAsia="Times New Roman" w:hAnsi="Times New Roman" w:cs="Times New Roman"/>
          <w:color w:val="000003"/>
          <w:sz w:val="16"/>
        </w:rPr>
        <w:t>ORCID: https://orcid.org/0000-0003-1928-4747</w:t>
      </w:r>
    </w:p>
    <w:p w:rsidR="002D5C2A" w:rsidRDefault="00280B42">
      <w:pPr>
        <w:pStyle w:val="Heading3"/>
        <w:spacing w:after="21"/>
        <w:ind w:left="278"/>
      </w:pPr>
      <w:r>
        <w:t>Information about the authors</w:t>
      </w:r>
    </w:p>
    <w:p w:rsidR="002D5C2A" w:rsidRDefault="00280B42">
      <w:pPr>
        <w:spacing w:after="3" w:line="241" w:lineRule="auto"/>
        <w:ind w:left="-5" w:hanging="10"/>
        <w:jc w:val="both"/>
      </w:pPr>
      <w:r>
        <w:rPr>
          <w:rFonts w:ascii="Times New Roman" w:eastAsia="Times New Roman" w:hAnsi="Times New Roman" w:cs="Times New Roman"/>
          <w:b/>
          <w:color w:val="000003"/>
          <w:sz w:val="16"/>
        </w:rPr>
        <w:t>Vladimir T. Ivashkin</w:t>
      </w:r>
      <w:r>
        <w:rPr>
          <w:rFonts w:ascii="Times New Roman" w:eastAsia="Times New Roman" w:hAnsi="Times New Roman" w:cs="Times New Roman"/>
          <w:color w:val="000003"/>
          <w:sz w:val="16"/>
        </w:rPr>
        <w:t xml:space="preserve"> </w:t>
      </w:r>
      <w:r>
        <w:rPr>
          <w:rFonts w:ascii="Times New Roman" w:eastAsia="Times New Roman" w:hAnsi="Times New Roman" w:cs="Times New Roman"/>
          <w:color w:val="000002"/>
          <w:sz w:val="16"/>
        </w:rPr>
        <w:t>—</w:t>
      </w:r>
      <w:r>
        <w:rPr>
          <w:rFonts w:ascii="Times New Roman" w:eastAsia="Times New Roman" w:hAnsi="Times New Roman" w:cs="Times New Roman"/>
          <w:color w:val="000003"/>
          <w:sz w:val="16"/>
        </w:rPr>
        <w:t xml:space="preserve"> Full Member of the Russian Academy of Sciences, Prof., Dr. Sci. (Med.), Head of the </w:t>
      </w:r>
      <w:r>
        <w:rPr>
          <w:rFonts w:ascii="Times New Roman" w:eastAsia="Times New Roman" w:hAnsi="Times New Roman" w:cs="Times New Roman"/>
          <w:color w:val="000003"/>
          <w:sz w:val="16"/>
        </w:rPr>
        <w:t>Department of Internal Disease Propaedeutics, Gastroenterology and Hepatology, Sklifosovsky Institute of Clinical Medicine; Director, Vasilenko Clinic of Internal Disease Propaedeutics, Gastroenterology and Hepatology, Sechenov First Moscow State Medical U</w:t>
      </w:r>
      <w:r>
        <w:rPr>
          <w:rFonts w:ascii="Times New Roman" w:eastAsia="Times New Roman" w:hAnsi="Times New Roman" w:cs="Times New Roman"/>
          <w:color w:val="000003"/>
          <w:sz w:val="16"/>
        </w:rPr>
        <w:t xml:space="preserve">niversity (Sechenov University); Chief Gastroenterologist, Ministry of Health of the Russian Federation. Contact information: v.t.ivashkin@mail.ru; </w:t>
      </w:r>
    </w:p>
    <w:p w:rsidR="002D5C2A" w:rsidRDefault="00280B42">
      <w:pPr>
        <w:spacing w:after="3" w:line="241" w:lineRule="auto"/>
        <w:ind w:left="-5" w:hanging="10"/>
        <w:jc w:val="both"/>
      </w:pPr>
      <w:r>
        <w:rPr>
          <w:rFonts w:ascii="Times New Roman" w:eastAsia="Times New Roman" w:hAnsi="Times New Roman" w:cs="Times New Roman"/>
          <w:color w:val="000003"/>
          <w:sz w:val="16"/>
        </w:rPr>
        <w:t xml:space="preserve">119435, Moscow, Pogodinskaya str., 1, bld. 1. </w:t>
      </w:r>
    </w:p>
    <w:p w:rsidR="002D5C2A" w:rsidRDefault="00280B42">
      <w:pPr>
        <w:spacing w:after="586" w:line="241" w:lineRule="auto"/>
        <w:ind w:left="-5" w:hanging="10"/>
        <w:jc w:val="both"/>
      </w:pPr>
      <w:r>
        <w:rPr>
          <w:rFonts w:ascii="Times New Roman" w:eastAsia="Times New Roman" w:hAnsi="Times New Roman" w:cs="Times New Roman"/>
          <w:color w:val="000003"/>
          <w:sz w:val="16"/>
        </w:rPr>
        <w:t>ORCID: https://orcid.org/0000-0002-6815-6015</w:t>
      </w:r>
    </w:p>
    <w:p w:rsidR="002D5C2A" w:rsidRDefault="00280B42">
      <w:pPr>
        <w:spacing w:after="3" w:line="241" w:lineRule="auto"/>
        <w:ind w:left="-5" w:hanging="10"/>
        <w:jc w:val="both"/>
      </w:pPr>
      <w:r>
        <w:rPr>
          <w:rFonts w:ascii="Times New Roman" w:eastAsia="Times New Roman" w:hAnsi="Times New Roman" w:cs="Times New Roman"/>
          <w:b/>
          <w:color w:val="000003"/>
          <w:sz w:val="16"/>
        </w:rPr>
        <w:t>Nikolay D. Yusc</w:t>
      </w:r>
      <w:r>
        <w:rPr>
          <w:rFonts w:ascii="Times New Roman" w:eastAsia="Times New Roman" w:hAnsi="Times New Roman" w:cs="Times New Roman"/>
          <w:b/>
          <w:color w:val="000003"/>
          <w:sz w:val="16"/>
        </w:rPr>
        <w:t>huk</w:t>
      </w:r>
      <w:r>
        <w:rPr>
          <w:rFonts w:ascii="Times New Roman" w:eastAsia="Times New Roman" w:hAnsi="Times New Roman" w:cs="Times New Roman"/>
          <w:color w:val="000003"/>
          <w:sz w:val="16"/>
        </w:rPr>
        <w:t xml:space="preserve"> </w:t>
      </w:r>
      <w:r>
        <w:rPr>
          <w:rFonts w:ascii="Times New Roman" w:eastAsia="Times New Roman" w:hAnsi="Times New Roman" w:cs="Times New Roman"/>
          <w:color w:val="000002"/>
          <w:sz w:val="16"/>
        </w:rPr>
        <w:t>—</w:t>
      </w:r>
      <w:r>
        <w:rPr>
          <w:rFonts w:ascii="Times New Roman" w:eastAsia="Times New Roman" w:hAnsi="Times New Roman" w:cs="Times New Roman"/>
          <w:color w:val="000003"/>
          <w:sz w:val="16"/>
        </w:rPr>
        <w:t xml:space="preserve"> Full Member of the Russian Academy of Sciences, Dr. Sci. (Med.), Prof., Head of the Chair of Infectious Diseases and Epidemiology; President, Yevdokimov </w:t>
      </w:r>
    </w:p>
    <w:p w:rsidR="002D5C2A" w:rsidRDefault="00280B42">
      <w:pPr>
        <w:spacing w:after="3" w:line="241" w:lineRule="auto"/>
        <w:ind w:left="-5" w:hanging="10"/>
        <w:jc w:val="both"/>
      </w:pPr>
      <w:r>
        <w:rPr>
          <w:rFonts w:ascii="Times New Roman" w:eastAsia="Times New Roman" w:hAnsi="Times New Roman" w:cs="Times New Roman"/>
          <w:color w:val="000003"/>
          <w:sz w:val="16"/>
        </w:rPr>
        <w:t xml:space="preserve">Moscow State University of Medicine and Dentistry. </w:t>
      </w:r>
    </w:p>
    <w:p w:rsidR="002D5C2A" w:rsidRDefault="00280B42">
      <w:pPr>
        <w:spacing w:after="3" w:line="241" w:lineRule="auto"/>
        <w:ind w:left="-5" w:hanging="10"/>
        <w:jc w:val="both"/>
      </w:pPr>
      <w:r>
        <w:rPr>
          <w:rFonts w:ascii="Times New Roman" w:eastAsia="Times New Roman" w:hAnsi="Times New Roman" w:cs="Times New Roman"/>
          <w:color w:val="000003"/>
          <w:sz w:val="16"/>
        </w:rPr>
        <w:t xml:space="preserve">Contact information: prof.uyshuk@gmail.com; </w:t>
      </w:r>
    </w:p>
    <w:p w:rsidR="002D5C2A" w:rsidRDefault="00280B42">
      <w:pPr>
        <w:spacing w:after="3" w:line="241" w:lineRule="auto"/>
        <w:ind w:left="-5" w:hanging="10"/>
        <w:jc w:val="both"/>
      </w:pPr>
      <w:r>
        <w:rPr>
          <w:rFonts w:ascii="Times New Roman" w:eastAsia="Times New Roman" w:hAnsi="Times New Roman" w:cs="Times New Roman"/>
          <w:color w:val="000003"/>
          <w:sz w:val="16"/>
        </w:rPr>
        <w:t xml:space="preserve">127473, Moscow, Delegatskaya str., 20, bld. 1. </w:t>
      </w:r>
    </w:p>
    <w:p w:rsidR="002D5C2A" w:rsidRDefault="00280B42">
      <w:pPr>
        <w:spacing w:after="3" w:line="241" w:lineRule="auto"/>
        <w:ind w:left="-5" w:hanging="10"/>
        <w:jc w:val="both"/>
      </w:pPr>
      <w:r>
        <w:rPr>
          <w:rFonts w:ascii="Times New Roman" w:eastAsia="Times New Roman" w:hAnsi="Times New Roman" w:cs="Times New Roman"/>
          <w:color w:val="000003"/>
          <w:sz w:val="16"/>
        </w:rPr>
        <w:t xml:space="preserve">ORCID: https://orcid.org/0000-0003-1928-4747 </w:t>
      </w:r>
    </w:p>
    <w:p w:rsidR="002D5C2A" w:rsidRDefault="00280B42">
      <w:pPr>
        <w:spacing w:after="3" w:line="241" w:lineRule="auto"/>
        <w:ind w:left="-5" w:hanging="10"/>
        <w:jc w:val="both"/>
      </w:pPr>
      <w:r>
        <w:rPr>
          <w:rFonts w:ascii="Times New Roman" w:eastAsia="Times New Roman" w:hAnsi="Times New Roman" w:cs="Times New Roman"/>
          <w:b/>
          <w:color w:val="000003"/>
          <w:sz w:val="16"/>
        </w:rPr>
        <w:t xml:space="preserve">Маев Игорь Вениаминович — </w:t>
      </w:r>
      <w:r>
        <w:rPr>
          <w:rFonts w:ascii="Times New Roman" w:eastAsia="Times New Roman" w:hAnsi="Times New Roman" w:cs="Times New Roman"/>
          <w:color w:val="000003"/>
          <w:sz w:val="16"/>
        </w:rPr>
        <w:t>академик РАН, профессор, доктор медицинских наук, заведующий кафедрой пропедевтики внутренних болезней и гастроэнтерологии ФГБОУ ВО «Мо</w:t>
      </w:r>
      <w:r>
        <w:rPr>
          <w:rFonts w:ascii="Times New Roman" w:eastAsia="Times New Roman" w:hAnsi="Times New Roman" w:cs="Times New Roman"/>
          <w:color w:val="000003"/>
          <w:sz w:val="16"/>
        </w:rPr>
        <w:t>сковский государственный медико-стоматологический университет им. А.И. Евдокимова» Министерства здравоохранения Российской Федерации.</w:t>
      </w:r>
    </w:p>
    <w:p w:rsidR="002D5C2A" w:rsidRDefault="00280B42">
      <w:pPr>
        <w:spacing w:after="3" w:line="241" w:lineRule="auto"/>
        <w:ind w:left="-5" w:hanging="10"/>
        <w:jc w:val="both"/>
      </w:pPr>
      <w:r>
        <w:rPr>
          <w:rFonts w:ascii="Times New Roman" w:eastAsia="Times New Roman" w:hAnsi="Times New Roman" w:cs="Times New Roman"/>
          <w:color w:val="000003"/>
          <w:sz w:val="16"/>
        </w:rPr>
        <w:t>Контактная информация: 127473, г. Москва, ул. Делегатская, д. 20, стр. 1.</w:t>
      </w:r>
    </w:p>
    <w:p w:rsidR="002D5C2A" w:rsidRDefault="00280B42">
      <w:pPr>
        <w:spacing w:after="200" w:line="241" w:lineRule="auto"/>
        <w:ind w:left="-5" w:hanging="10"/>
        <w:jc w:val="both"/>
      </w:pPr>
      <w:r>
        <w:rPr>
          <w:rFonts w:ascii="Times New Roman" w:eastAsia="Times New Roman" w:hAnsi="Times New Roman" w:cs="Times New Roman"/>
          <w:color w:val="000003"/>
          <w:sz w:val="16"/>
        </w:rPr>
        <w:t>ORCID: https://orcid.org/0000-0001-6114-564X</w:t>
      </w:r>
    </w:p>
    <w:p w:rsidR="002D5C2A" w:rsidRDefault="00280B42">
      <w:pPr>
        <w:spacing w:after="201" w:line="241" w:lineRule="auto"/>
        <w:ind w:left="-5" w:hanging="10"/>
        <w:jc w:val="both"/>
      </w:pPr>
      <w:r>
        <w:rPr>
          <w:rFonts w:ascii="Times New Roman" w:eastAsia="Times New Roman" w:hAnsi="Times New Roman" w:cs="Times New Roman"/>
          <w:b/>
          <w:color w:val="000003"/>
          <w:sz w:val="16"/>
        </w:rPr>
        <w:t>Тру</w:t>
      </w:r>
      <w:r>
        <w:rPr>
          <w:rFonts w:ascii="Times New Roman" w:eastAsia="Times New Roman" w:hAnsi="Times New Roman" w:cs="Times New Roman"/>
          <w:b/>
          <w:color w:val="000003"/>
          <w:sz w:val="16"/>
        </w:rPr>
        <w:t>хманов Александр Сергеевич</w:t>
      </w:r>
      <w:r>
        <w:rPr>
          <w:rFonts w:ascii="Times New Roman" w:eastAsia="Times New Roman" w:hAnsi="Times New Roman" w:cs="Times New Roman"/>
          <w:color w:val="000003"/>
          <w:sz w:val="16"/>
        </w:rPr>
        <w:t xml:space="preserve"> — доктор медицинских наук, профессор кафедры пропедевтики внутренних болезней, гастроэнтерологии и гепатологии Института клинической медицины им. Н.В. Склифосовского ФГАОУ ВО «Первый Московский государственный медицинский универс</w:t>
      </w:r>
      <w:r>
        <w:rPr>
          <w:rFonts w:ascii="Times New Roman" w:eastAsia="Times New Roman" w:hAnsi="Times New Roman" w:cs="Times New Roman"/>
          <w:color w:val="000003"/>
          <w:sz w:val="16"/>
        </w:rPr>
        <w:t>итет им. И.М. Сеченова» (Сеченовский Университет). Контактная информация: troukh@mail.ru; 119435, г. Москва, ул. Погодинская, д. 1, стр. 1. ORCID: https://orcid.org/0000-0003-3362-2968</w:t>
      </w:r>
    </w:p>
    <w:p w:rsidR="002D5C2A" w:rsidRDefault="00280B42">
      <w:pPr>
        <w:spacing w:after="3" w:line="241" w:lineRule="auto"/>
        <w:ind w:left="-5" w:hanging="10"/>
        <w:jc w:val="both"/>
      </w:pPr>
      <w:r>
        <w:rPr>
          <w:rFonts w:ascii="Times New Roman" w:eastAsia="Times New Roman" w:hAnsi="Times New Roman" w:cs="Times New Roman"/>
          <w:b/>
          <w:color w:val="000003"/>
          <w:sz w:val="16"/>
        </w:rPr>
        <w:t>Сторонова Ольга Андреевна*</w:t>
      </w:r>
      <w:r>
        <w:rPr>
          <w:rFonts w:ascii="Times New Roman" w:eastAsia="Times New Roman" w:hAnsi="Times New Roman" w:cs="Times New Roman"/>
          <w:color w:val="000003"/>
          <w:sz w:val="16"/>
        </w:rPr>
        <w:t xml:space="preserve"> — кандидат медицинских наук, врач отделения </w:t>
      </w:r>
      <w:r>
        <w:rPr>
          <w:rFonts w:ascii="Times New Roman" w:eastAsia="Times New Roman" w:hAnsi="Times New Roman" w:cs="Times New Roman"/>
          <w:color w:val="000003"/>
          <w:sz w:val="16"/>
        </w:rPr>
        <w:t>функциональной диагностики Клиники пропедевтики внутренних болезней, гастроэнтерологии и гепатологии им. В.Х. Василенко ФГАОУ ВО «Первый Московский государственный медицинский университет им. И.М. Сеченова» (Сеченовский Университет) Министерства здравоохра</w:t>
      </w:r>
      <w:r>
        <w:rPr>
          <w:rFonts w:ascii="Times New Roman" w:eastAsia="Times New Roman" w:hAnsi="Times New Roman" w:cs="Times New Roman"/>
          <w:color w:val="000003"/>
          <w:sz w:val="16"/>
        </w:rPr>
        <w:t>нения Российской Федерации.</w:t>
      </w:r>
    </w:p>
    <w:p w:rsidR="002D5C2A" w:rsidRDefault="00280B42">
      <w:pPr>
        <w:spacing w:after="200" w:line="241" w:lineRule="auto"/>
        <w:ind w:left="-5" w:right="490" w:hanging="10"/>
      </w:pPr>
      <w:r>
        <w:rPr>
          <w:rFonts w:ascii="Times New Roman" w:eastAsia="Times New Roman" w:hAnsi="Times New Roman" w:cs="Times New Roman"/>
          <w:color w:val="000003"/>
          <w:sz w:val="16"/>
        </w:rPr>
        <w:t>Контактная информация: storonova@yandex.ru; 119435, г. Москва, ул. Погодинская, д. 1, стр. 1. ORCID: https://orcid.org/0000-0002-0960-1166</w:t>
      </w:r>
    </w:p>
    <w:p w:rsidR="002D5C2A" w:rsidRDefault="00280B42">
      <w:pPr>
        <w:spacing w:after="3" w:line="241" w:lineRule="auto"/>
        <w:ind w:left="-5" w:hanging="10"/>
        <w:jc w:val="both"/>
      </w:pPr>
      <w:r>
        <w:rPr>
          <w:rFonts w:ascii="Times New Roman" w:eastAsia="Times New Roman" w:hAnsi="Times New Roman" w:cs="Times New Roman"/>
          <w:b/>
          <w:color w:val="000003"/>
          <w:sz w:val="16"/>
        </w:rPr>
        <w:t xml:space="preserve">Макушина Анастасия Алексеевна — </w:t>
      </w:r>
      <w:r>
        <w:rPr>
          <w:rFonts w:ascii="Times New Roman" w:eastAsia="Times New Roman" w:hAnsi="Times New Roman" w:cs="Times New Roman"/>
          <w:color w:val="000003"/>
          <w:sz w:val="16"/>
        </w:rPr>
        <w:t>ординатор кафе</w:t>
      </w:r>
      <w:r>
        <w:rPr>
          <w:rFonts w:ascii="Times New Roman" w:eastAsia="Times New Roman" w:hAnsi="Times New Roman" w:cs="Times New Roman"/>
          <w:color w:val="000003"/>
          <w:sz w:val="16"/>
        </w:rPr>
        <w:t>дры пропедевтики внутренних болезней, гастроэнтерологии и гепатологии Института клинической медицины им. Н.В. Склифосовского ФГАОУ ВО «Первый Московский государственный медицинский университет им. И.М. Сеченова» (Сеченовский Университет) Министерства здрав</w:t>
      </w:r>
      <w:r>
        <w:rPr>
          <w:rFonts w:ascii="Times New Roman" w:eastAsia="Times New Roman" w:hAnsi="Times New Roman" w:cs="Times New Roman"/>
          <w:color w:val="000003"/>
          <w:sz w:val="16"/>
        </w:rPr>
        <w:t>оохранения Российской Федерации. Контактная информация: makushinanast@gmail.com; 119435, Москва, ул. Погодинская, д. 1, стр. 1.</w:t>
      </w:r>
    </w:p>
    <w:p w:rsidR="002D5C2A" w:rsidRDefault="00280B42">
      <w:pPr>
        <w:spacing w:after="201" w:line="241" w:lineRule="auto"/>
        <w:ind w:left="-5" w:hanging="10"/>
        <w:jc w:val="both"/>
      </w:pPr>
      <w:r>
        <w:rPr>
          <w:rFonts w:ascii="Times New Roman" w:eastAsia="Times New Roman" w:hAnsi="Times New Roman" w:cs="Times New Roman"/>
          <w:color w:val="000003"/>
          <w:sz w:val="16"/>
        </w:rPr>
        <w:t>ORCID: https://orcid.org/0000-0002-1390-2981</w:t>
      </w:r>
    </w:p>
    <w:p w:rsidR="002D5C2A" w:rsidRDefault="00280B42">
      <w:pPr>
        <w:spacing w:after="3" w:line="241" w:lineRule="auto"/>
        <w:ind w:left="-5" w:hanging="10"/>
        <w:jc w:val="both"/>
      </w:pPr>
      <w:r>
        <w:rPr>
          <w:rFonts w:ascii="Times New Roman" w:eastAsia="Times New Roman" w:hAnsi="Times New Roman" w:cs="Times New Roman"/>
          <w:b/>
          <w:color w:val="000003"/>
          <w:sz w:val="16"/>
        </w:rPr>
        <w:t>Пирогов Сергей Сергеевич</w:t>
      </w:r>
      <w:r>
        <w:rPr>
          <w:rFonts w:ascii="Times New Roman" w:eastAsia="Times New Roman" w:hAnsi="Times New Roman" w:cs="Times New Roman"/>
          <w:color w:val="000003"/>
          <w:sz w:val="16"/>
        </w:rPr>
        <w:t xml:space="preserve"> — доктор медицинских наук, заведующий отделом эндоскопии М</w:t>
      </w:r>
      <w:r>
        <w:rPr>
          <w:rFonts w:ascii="Times New Roman" w:eastAsia="Times New Roman" w:hAnsi="Times New Roman" w:cs="Times New Roman"/>
          <w:color w:val="000003"/>
          <w:sz w:val="16"/>
        </w:rPr>
        <w:t>осковского научно-исследовательского онкологического института им. П.А. Герцена, филиала ФГБУ «Национальный медицинский исследовательский центр радиологии» Министерства здравоохранения Российской Федерации.</w:t>
      </w:r>
    </w:p>
    <w:p w:rsidR="002D5C2A" w:rsidRDefault="00280B42">
      <w:pPr>
        <w:spacing w:after="3" w:line="241" w:lineRule="auto"/>
        <w:ind w:left="-5" w:hanging="10"/>
        <w:jc w:val="both"/>
      </w:pPr>
      <w:r>
        <w:rPr>
          <w:rFonts w:ascii="Times New Roman" w:eastAsia="Times New Roman" w:hAnsi="Times New Roman" w:cs="Times New Roman"/>
          <w:color w:val="000003"/>
          <w:sz w:val="16"/>
        </w:rPr>
        <w:t>Контактная информация: pirogov@mail.ru;</w:t>
      </w:r>
    </w:p>
    <w:p w:rsidR="002D5C2A" w:rsidRDefault="00280B42">
      <w:pPr>
        <w:spacing w:after="3" w:line="241" w:lineRule="auto"/>
        <w:ind w:left="-5" w:hanging="10"/>
        <w:jc w:val="both"/>
      </w:pPr>
      <w:r>
        <w:rPr>
          <w:rFonts w:ascii="Times New Roman" w:eastAsia="Times New Roman" w:hAnsi="Times New Roman" w:cs="Times New Roman"/>
          <w:color w:val="000003"/>
          <w:sz w:val="16"/>
        </w:rPr>
        <w:t>125284, г</w:t>
      </w:r>
      <w:r>
        <w:rPr>
          <w:rFonts w:ascii="Times New Roman" w:eastAsia="Times New Roman" w:hAnsi="Times New Roman" w:cs="Times New Roman"/>
          <w:color w:val="000003"/>
          <w:sz w:val="16"/>
        </w:rPr>
        <w:t>. Москва, 2-й Боткинский пр., д. 3.</w:t>
      </w:r>
    </w:p>
    <w:p w:rsidR="002D5C2A" w:rsidRDefault="00280B42">
      <w:pPr>
        <w:spacing w:after="201" w:line="241" w:lineRule="auto"/>
        <w:ind w:left="-5" w:hanging="10"/>
        <w:jc w:val="both"/>
      </w:pPr>
      <w:r>
        <w:rPr>
          <w:rFonts w:ascii="Times New Roman" w:eastAsia="Times New Roman" w:hAnsi="Times New Roman" w:cs="Times New Roman"/>
          <w:color w:val="000003"/>
          <w:sz w:val="16"/>
        </w:rPr>
        <w:t>ORCID: https://orcid.org/0000-002-8101-2155</w:t>
      </w:r>
    </w:p>
    <w:p w:rsidR="002D5C2A" w:rsidRDefault="00280B42">
      <w:pPr>
        <w:spacing w:after="3" w:line="241" w:lineRule="auto"/>
        <w:ind w:left="-5" w:hanging="10"/>
        <w:jc w:val="both"/>
      </w:pPr>
      <w:r>
        <w:rPr>
          <w:rFonts w:ascii="Times New Roman" w:eastAsia="Times New Roman" w:hAnsi="Times New Roman" w:cs="Times New Roman"/>
          <w:b/>
          <w:color w:val="000003"/>
          <w:sz w:val="16"/>
        </w:rPr>
        <w:t>Зайратьянц Олег Вадимович</w:t>
      </w:r>
      <w:r>
        <w:rPr>
          <w:rFonts w:ascii="Times New Roman" w:eastAsia="Times New Roman" w:hAnsi="Times New Roman" w:cs="Times New Roman"/>
          <w:color w:val="000003"/>
          <w:sz w:val="16"/>
        </w:rPr>
        <w:t xml:space="preserve"> — доктор медицинских наук, профессор, заведующий кафедрой патологической анатомии ФГБОУ ВО «Московский государственный медико-стоматологический универ</w:t>
      </w:r>
      <w:r>
        <w:rPr>
          <w:rFonts w:ascii="Times New Roman" w:eastAsia="Times New Roman" w:hAnsi="Times New Roman" w:cs="Times New Roman"/>
          <w:color w:val="000003"/>
          <w:sz w:val="16"/>
        </w:rPr>
        <w:t>ситет им. А.И. Евдокимова» Министерства здравоохранения Российской Федерации. Контактная информация: ovzair@mail.ru;</w:t>
      </w:r>
    </w:p>
    <w:p w:rsidR="002D5C2A" w:rsidRDefault="00280B42">
      <w:pPr>
        <w:spacing w:after="201" w:line="241" w:lineRule="auto"/>
        <w:ind w:left="-5" w:right="236" w:hanging="10"/>
        <w:jc w:val="both"/>
      </w:pPr>
      <w:r>
        <w:rPr>
          <w:rFonts w:ascii="Times New Roman" w:eastAsia="Times New Roman" w:hAnsi="Times New Roman" w:cs="Times New Roman"/>
          <w:color w:val="000003"/>
          <w:sz w:val="16"/>
        </w:rPr>
        <w:t>127473, г. Москва, ул. Делегатская, д. 20. стр. 1. ORCID: https://orcid.org/0000-0003-3606-3823</w:t>
      </w:r>
    </w:p>
    <w:p w:rsidR="002D5C2A" w:rsidRDefault="00280B42">
      <w:pPr>
        <w:spacing w:after="3" w:line="241" w:lineRule="auto"/>
        <w:ind w:left="-5" w:hanging="10"/>
        <w:jc w:val="both"/>
      </w:pPr>
      <w:r>
        <w:rPr>
          <w:rFonts w:ascii="Times New Roman" w:eastAsia="Times New Roman" w:hAnsi="Times New Roman" w:cs="Times New Roman"/>
          <w:b/>
          <w:color w:val="000003"/>
          <w:sz w:val="16"/>
        </w:rPr>
        <w:t>Алексеева Ольга Поликарповна</w:t>
      </w:r>
      <w:r>
        <w:rPr>
          <w:rFonts w:ascii="Times New Roman" w:eastAsia="Times New Roman" w:hAnsi="Times New Roman" w:cs="Times New Roman"/>
          <w:color w:val="000003"/>
          <w:sz w:val="16"/>
        </w:rPr>
        <w:t xml:space="preserve"> — доктор медиц</w:t>
      </w:r>
      <w:r>
        <w:rPr>
          <w:rFonts w:ascii="Times New Roman" w:eastAsia="Times New Roman" w:hAnsi="Times New Roman" w:cs="Times New Roman"/>
          <w:color w:val="000003"/>
          <w:sz w:val="16"/>
        </w:rPr>
        <w:t>инских наук, профессор кафедры госпитальной терапии и общеврачебной практики им. В.Г. Вогралика ФГБОУ ВО «Приволжский исследовательский медицинский университет». Контактная информация: al_op@mail.ru;</w:t>
      </w:r>
    </w:p>
    <w:p w:rsidR="002D5C2A" w:rsidRDefault="00280B42">
      <w:pPr>
        <w:spacing w:after="3" w:line="241" w:lineRule="auto"/>
        <w:ind w:left="-5" w:hanging="10"/>
        <w:jc w:val="both"/>
      </w:pPr>
      <w:r>
        <w:rPr>
          <w:rFonts w:ascii="Times New Roman" w:eastAsia="Times New Roman" w:hAnsi="Times New Roman" w:cs="Times New Roman"/>
          <w:color w:val="000003"/>
          <w:sz w:val="16"/>
        </w:rPr>
        <w:t xml:space="preserve">603005, г. Нижний Новгород, пл. Минина и Пожарского, д. </w:t>
      </w:r>
      <w:r>
        <w:rPr>
          <w:rFonts w:ascii="Times New Roman" w:eastAsia="Times New Roman" w:hAnsi="Times New Roman" w:cs="Times New Roman"/>
          <w:color w:val="000003"/>
          <w:sz w:val="16"/>
        </w:rPr>
        <w:t>10/1.</w:t>
      </w:r>
    </w:p>
    <w:p w:rsidR="002D5C2A" w:rsidRDefault="00280B42">
      <w:pPr>
        <w:spacing w:after="3" w:line="241" w:lineRule="auto"/>
        <w:ind w:left="-5" w:hanging="10"/>
        <w:jc w:val="both"/>
      </w:pPr>
      <w:r>
        <w:rPr>
          <w:rFonts w:ascii="Times New Roman" w:eastAsia="Times New Roman" w:hAnsi="Times New Roman" w:cs="Times New Roman"/>
          <w:color w:val="000003"/>
          <w:sz w:val="16"/>
        </w:rPr>
        <w:t>ORCID: https://orcid.org/0000-0002-1475-6584</w:t>
      </w:r>
    </w:p>
    <w:p w:rsidR="002D5C2A" w:rsidRDefault="00280B42">
      <w:pPr>
        <w:spacing w:after="3" w:line="241" w:lineRule="auto"/>
        <w:ind w:left="-5" w:hanging="10"/>
        <w:jc w:val="both"/>
      </w:pPr>
      <w:r>
        <w:rPr>
          <w:rFonts w:ascii="Times New Roman" w:eastAsia="Times New Roman" w:hAnsi="Times New Roman" w:cs="Times New Roman"/>
          <w:b/>
          <w:color w:val="000003"/>
          <w:sz w:val="16"/>
        </w:rPr>
        <w:t>Igor V. Maev</w:t>
      </w:r>
      <w:r>
        <w:rPr>
          <w:rFonts w:ascii="Times New Roman" w:eastAsia="Times New Roman" w:hAnsi="Times New Roman" w:cs="Times New Roman"/>
          <w:color w:val="000003"/>
          <w:sz w:val="16"/>
        </w:rPr>
        <w:t xml:space="preserve"> </w:t>
      </w:r>
      <w:r>
        <w:rPr>
          <w:rFonts w:ascii="Times New Roman" w:eastAsia="Times New Roman" w:hAnsi="Times New Roman" w:cs="Times New Roman"/>
          <w:color w:val="000002"/>
          <w:sz w:val="16"/>
        </w:rPr>
        <w:t>—</w:t>
      </w:r>
      <w:r>
        <w:rPr>
          <w:rFonts w:ascii="Times New Roman" w:eastAsia="Times New Roman" w:hAnsi="Times New Roman" w:cs="Times New Roman"/>
          <w:color w:val="000003"/>
          <w:sz w:val="16"/>
        </w:rPr>
        <w:t xml:space="preserve"> Full Member of the Russian Academy of Sciences, Prof., Dr. Sci. (Med.), Head of Chair of Internal Medicine Propaedeutics and Gastroenterology, Yevdokimov Moscow State University of Medicine </w:t>
      </w:r>
      <w:r>
        <w:rPr>
          <w:rFonts w:ascii="Times New Roman" w:eastAsia="Times New Roman" w:hAnsi="Times New Roman" w:cs="Times New Roman"/>
          <w:color w:val="000003"/>
          <w:sz w:val="16"/>
        </w:rPr>
        <w:t xml:space="preserve">and Dentistry. Contact information: 127473, Moscow, Delegatskaya str., 20, bld. 1. </w:t>
      </w:r>
    </w:p>
    <w:p w:rsidR="002D5C2A" w:rsidRDefault="00280B42">
      <w:pPr>
        <w:spacing w:after="585" w:line="241" w:lineRule="auto"/>
        <w:ind w:left="-5" w:hanging="10"/>
        <w:jc w:val="both"/>
      </w:pPr>
      <w:r>
        <w:rPr>
          <w:rFonts w:ascii="Times New Roman" w:eastAsia="Times New Roman" w:hAnsi="Times New Roman" w:cs="Times New Roman"/>
          <w:color w:val="000003"/>
          <w:sz w:val="16"/>
        </w:rPr>
        <w:t>ORCID: https://orcid.org/0000-0001-6114-564X</w:t>
      </w:r>
    </w:p>
    <w:p w:rsidR="002D5C2A" w:rsidRDefault="00280B42">
      <w:pPr>
        <w:spacing w:after="3" w:line="241" w:lineRule="auto"/>
        <w:ind w:left="-5" w:hanging="10"/>
        <w:jc w:val="both"/>
      </w:pPr>
      <w:r>
        <w:rPr>
          <w:rFonts w:ascii="Times New Roman" w:eastAsia="Times New Roman" w:hAnsi="Times New Roman" w:cs="Times New Roman"/>
          <w:b/>
          <w:color w:val="000003"/>
          <w:sz w:val="16"/>
        </w:rPr>
        <w:t>Alexander S. Trukhmanov</w:t>
      </w:r>
      <w:r>
        <w:rPr>
          <w:rFonts w:ascii="Times New Roman" w:eastAsia="Times New Roman" w:hAnsi="Times New Roman" w:cs="Times New Roman"/>
          <w:color w:val="000003"/>
          <w:sz w:val="16"/>
        </w:rPr>
        <w:t xml:space="preserve"> </w:t>
      </w:r>
      <w:r>
        <w:rPr>
          <w:rFonts w:ascii="Times New Roman" w:eastAsia="Times New Roman" w:hAnsi="Times New Roman" w:cs="Times New Roman"/>
          <w:color w:val="000002"/>
          <w:sz w:val="16"/>
        </w:rPr>
        <w:t>—</w:t>
      </w:r>
      <w:r>
        <w:rPr>
          <w:rFonts w:ascii="Times New Roman" w:eastAsia="Times New Roman" w:hAnsi="Times New Roman" w:cs="Times New Roman"/>
          <w:color w:val="000003"/>
          <w:sz w:val="16"/>
        </w:rPr>
        <w:t xml:space="preserve"> Dr. Sci. (Med.), Prof., Department of Internal Disease Propaedeutics, Gastroenterology and Hepatology</w:t>
      </w:r>
      <w:r>
        <w:rPr>
          <w:rFonts w:ascii="Times New Roman" w:eastAsia="Times New Roman" w:hAnsi="Times New Roman" w:cs="Times New Roman"/>
          <w:color w:val="000003"/>
          <w:sz w:val="16"/>
        </w:rPr>
        <w:t xml:space="preserve">, Sklifosovsky Institute of Clinical Medicine, Sechenov First Moscow State Medical University (Sechenov </w:t>
      </w:r>
    </w:p>
    <w:p w:rsidR="002D5C2A" w:rsidRDefault="00280B42">
      <w:pPr>
        <w:spacing w:after="3" w:line="241" w:lineRule="auto"/>
        <w:ind w:left="-5" w:hanging="10"/>
        <w:jc w:val="both"/>
      </w:pPr>
      <w:r>
        <w:rPr>
          <w:rFonts w:ascii="Times New Roman" w:eastAsia="Times New Roman" w:hAnsi="Times New Roman" w:cs="Times New Roman"/>
          <w:color w:val="000003"/>
          <w:sz w:val="16"/>
        </w:rPr>
        <w:t xml:space="preserve">University). </w:t>
      </w:r>
    </w:p>
    <w:p w:rsidR="002D5C2A" w:rsidRDefault="00280B42">
      <w:pPr>
        <w:spacing w:after="3" w:line="241" w:lineRule="auto"/>
        <w:ind w:left="-5" w:hanging="10"/>
        <w:jc w:val="both"/>
      </w:pPr>
      <w:r>
        <w:rPr>
          <w:rFonts w:ascii="Times New Roman" w:eastAsia="Times New Roman" w:hAnsi="Times New Roman" w:cs="Times New Roman"/>
          <w:color w:val="000003"/>
          <w:sz w:val="16"/>
        </w:rPr>
        <w:t xml:space="preserve">Contact information: troukh@mail.ru; </w:t>
      </w:r>
    </w:p>
    <w:p w:rsidR="002D5C2A" w:rsidRDefault="00280B42">
      <w:pPr>
        <w:spacing w:after="3" w:line="241" w:lineRule="auto"/>
        <w:ind w:left="-5" w:hanging="10"/>
        <w:jc w:val="both"/>
      </w:pPr>
      <w:r>
        <w:rPr>
          <w:rFonts w:ascii="Times New Roman" w:eastAsia="Times New Roman" w:hAnsi="Times New Roman" w:cs="Times New Roman"/>
          <w:color w:val="000003"/>
          <w:sz w:val="16"/>
        </w:rPr>
        <w:t xml:space="preserve">119435, Moscow, Pogodinskaya str., 1, bld. 1. </w:t>
      </w:r>
    </w:p>
    <w:p w:rsidR="002D5C2A" w:rsidRDefault="00280B42">
      <w:pPr>
        <w:spacing w:after="394" w:line="241" w:lineRule="auto"/>
        <w:ind w:left="-5" w:hanging="10"/>
        <w:jc w:val="both"/>
      </w:pPr>
      <w:r>
        <w:rPr>
          <w:rFonts w:ascii="Times New Roman" w:eastAsia="Times New Roman" w:hAnsi="Times New Roman" w:cs="Times New Roman"/>
          <w:color w:val="000003"/>
          <w:sz w:val="16"/>
        </w:rPr>
        <w:t>ORCID: https://orcid.org/0000-0003-3362-2968</w:t>
      </w:r>
    </w:p>
    <w:p w:rsidR="002D5C2A" w:rsidRDefault="00280B42">
      <w:pPr>
        <w:spacing w:after="3" w:line="241" w:lineRule="auto"/>
        <w:ind w:left="-5" w:hanging="10"/>
        <w:jc w:val="both"/>
      </w:pPr>
      <w:r>
        <w:rPr>
          <w:rFonts w:ascii="Times New Roman" w:eastAsia="Times New Roman" w:hAnsi="Times New Roman" w:cs="Times New Roman"/>
          <w:b/>
          <w:color w:val="000003"/>
          <w:sz w:val="16"/>
        </w:rPr>
        <w:t xml:space="preserve">Olga A. Storonova* </w:t>
      </w:r>
      <w:r>
        <w:rPr>
          <w:rFonts w:ascii="Times New Roman" w:eastAsia="Times New Roman" w:hAnsi="Times New Roman" w:cs="Times New Roman"/>
          <w:color w:val="000002"/>
          <w:sz w:val="16"/>
        </w:rPr>
        <w:t>—</w:t>
      </w:r>
      <w:r>
        <w:rPr>
          <w:rFonts w:ascii="Times New Roman" w:eastAsia="Times New Roman" w:hAnsi="Times New Roman" w:cs="Times New Roman"/>
          <w:color w:val="000003"/>
          <w:sz w:val="16"/>
        </w:rPr>
        <w:t xml:space="preserve"> Cand. Sci. (Med.), Physician (functional diagnostics), Vasilenko Clinic of Internal Disease Propaedeutics, Gastroenterology and Hepatology, Sechenov First Moscow State Medical University (Sechenov University). </w:t>
      </w:r>
    </w:p>
    <w:p w:rsidR="002D5C2A" w:rsidRDefault="00280B42">
      <w:pPr>
        <w:spacing w:after="3" w:line="241" w:lineRule="auto"/>
        <w:ind w:left="-5" w:hanging="10"/>
        <w:jc w:val="both"/>
      </w:pPr>
      <w:r>
        <w:rPr>
          <w:rFonts w:ascii="Times New Roman" w:eastAsia="Times New Roman" w:hAnsi="Times New Roman" w:cs="Times New Roman"/>
          <w:color w:val="000003"/>
          <w:sz w:val="16"/>
        </w:rPr>
        <w:t>Contact information: sto</w:t>
      </w:r>
      <w:r>
        <w:rPr>
          <w:rFonts w:ascii="Times New Roman" w:eastAsia="Times New Roman" w:hAnsi="Times New Roman" w:cs="Times New Roman"/>
          <w:color w:val="000003"/>
          <w:sz w:val="16"/>
        </w:rPr>
        <w:t xml:space="preserve">ronova@yandex.ru; </w:t>
      </w:r>
    </w:p>
    <w:p w:rsidR="002D5C2A" w:rsidRDefault="00280B42">
      <w:pPr>
        <w:spacing w:after="3" w:line="241" w:lineRule="auto"/>
        <w:ind w:left="-5" w:hanging="10"/>
        <w:jc w:val="both"/>
      </w:pPr>
      <w:r>
        <w:rPr>
          <w:rFonts w:ascii="Times New Roman" w:eastAsia="Times New Roman" w:hAnsi="Times New Roman" w:cs="Times New Roman"/>
          <w:color w:val="000003"/>
          <w:sz w:val="16"/>
        </w:rPr>
        <w:t xml:space="preserve">119435, Moscow, Pogodinskaya str., 1, bld. 1 </w:t>
      </w:r>
    </w:p>
    <w:p w:rsidR="002D5C2A" w:rsidRDefault="00280B42">
      <w:pPr>
        <w:spacing w:after="777" w:line="241" w:lineRule="auto"/>
        <w:ind w:left="-5" w:hanging="10"/>
        <w:jc w:val="both"/>
      </w:pPr>
      <w:r>
        <w:rPr>
          <w:rFonts w:ascii="Times New Roman" w:eastAsia="Times New Roman" w:hAnsi="Times New Roman" w:cs="Times New Roman"/>
          <w:color w:val="000003"/>
          <w:sz w:val="16"/>
        </w:rPr>
        <w:t>ORCID: https://orcid.org/0000-0002-0960-1166</w:t>
      </w:r>
    </w:p>
    <w:p w:rsidR="002D5C2A" w:rsidRDefault="00280B42">
      <w:pPr>
        <w:spacing w:after="3" w:line="241" w:lineRule="auto"/>
        <w:ind w:left="-5" w:hanging="10"/>
        <w:jc w:val="both"/>
      </w:pPr>
      <w:r>
        <w:rPr>
          <w:rFonts w:ascii="Times New Roman" w:eastAsia="Times New Roman" w:hAnsi="Times New Roman" w:cs="Times New Roman"/>
          <w:b/>
          <w:color w:val="000003"/>
          <w:sz w:val="16"/>
        </w:rPr>
        <w:t xml:space="preserve">Anastasia A. Makushina </w:t>
      </w:r>
      <w:r>
        <w:rPr>
          <w:rFonts w:ascii="Times New Roman" w:eastAsia="Times New Roman" w:hAnsi="Times New Roman" w:cs="Times New Roman"/>
          <w:color w:val="000002"/>
          <w:sz w:val="16"/>
        </w:rPr>
        <w:t>—</w:t>
      </w:r>
      <w:r>
        <w:rPr>
          <w:rFonts w:ascii="Times New Roman" w:eastAsia="Times New Roman" w:hAnsi="Times New Roman" w:cs="Times New Roman"/>
          <w:color w:val="000003"/>
          <w:sz w:val="16"/>
        </w:rPr>
        <w:t xml:space="preserve"> Clinical Resident, Department of Internal Disease Propaedeutics, Gastroenterology and Hepa</w:t>
      </w:r>
      <w:r>
        <w:rPr>
          <w:rFonts w:ascii="Times New Roman" w:eastAsia="Times New Roman" w:hAnsi="Times New Roman" w:cs="Times New Roman"/>
          <w:color w:val="000003"/>
          <w:sz w:val="16"/>
        </w:rPr>
        <w:t xml:space="preserve">tology, Sklifosovsky Institute of Clinical Medicine, Sechenov First Moscow State Medical University (Sechenov University). </w:t>
      </w:r>
    </w:p>
    <w:p w:rsidR="002D5C2A" w:rsidRDefault="00280B42">
      <w:pPr>
        <w:spacing w:after="3" w:line="241" w:lineRule="auto"/>
        <w:ind w:left="-5" w:hanging="10"/>
        <w:jc w:val="both"/>
      </w:pPr>
      <w:r>
        <w:rPr>
          <w:rFonts w:ascii="Times New Roman" w:eastAsia="Times New Roman" w:hAnsi="Times New Roman" w:cs="Times New Roman"/>
          <w:color w:val="000003"/>
          <w:sz w:val="16"/>
        </w:rPr>
        <w:t xml:space="preserve">Contact information: makushinanast@gmail.com; </w:t>
      </w:r>
    </w:p>
    <w:p w:rsidR="002D5C2A" w:rsidRDefault="00280B42">
      <w:pPr>
        <w:spacing w:after="3" w:line="241" w:lineRule="auto"/>
        <w:ind w:left="-5" w:hanging="10"/>
        <w:jc w:val="both"/>
      </w:pPr>
      <w:r>
        <w:rPr>
          <w:rFonts w:ascii="Times New Roman" w:eastAsia="Times New Roman" w:hAnsi="Times New Roman" w:cs="Times New Roman"/>
          <w:color w:val="000003"/>
          <w:sz w:val="16"/>
        </w:rPr>
        <w:t xml:space="preserve">119435, Moscow, Pogodinskaya str., 1, bld. 1. </w:t>
      </w:r>
    </w:p>
    <w:p w:rsidR="002D5C2A" w:rsidRDefault="00280B42">
      <w:pPr>
        <w:spacing w:after="778" w:line="241" w:lineRule="auto"/>
        <w:ind w:left="-5" w:hanging="10"/>
        <w:jc w:val="both"/>
      </w:pPr>
      <w:r>
        <w:rPr>
          <w:rFonts w:ascii="Times New Roman" w:eastAsia="Times New Roman" w:hAnsi="Times New Roman" w:cs="Times New Roman"/>
          <w:color w:val="000003"/>
          <w:sz w:val="16"/>
        </w:rPr>
        <w:t>ORCID: https://orcid.org/0000-0002-139</w:t>
      </w:r>
      <w:r>
        <w:rPr>
          <w:rFonts w:ascii="Times New Roman" w:eastAsia="Times New Roman" w:hAnsi="Times New Roman" w:cs="Times New Roman"/>
          <w:color w:val="000003"/>
          <w:sz w:val="16"/>
        </w:rPr>
        <w:t>0-2981</w:t>
      </w:r>
    </w:p>
    <w:p w:rsidR="002D5C2A" w:rsidRDefault="00280B42">
      <w:pPr>
        <w:spacing w:after="3" w:line="241" w:lineRule="auto"/>
        <w:ind w:left="-5" w:hanging="10"/>
        <w:jc w:val="both"/>
      </w:pPr>
      <w:r>
        <w:rPr>
          <w:rFonts w:ascii="Times New Roman" w:eastAsia="Times New Roman" w:hAnsi="Times New Roman" w:cs="Times New Roman"/>
          <w:b/>
          <w:color w:val="000003"/>
          <w:sz w:val="16"/>
        </w:rPr>
        <w:t>Sergey S. Pirogov</w:t>
      </w:r>
      <w:r>
        <w:rPr>
          <w:rFonts w:ascii="Times New Roman" w:eastAsia="Times New Roman" w:hAnsi="Times New Roman" w:cs="Times New Roman"/>
          <w:color w:val="000003"/>
          <w:sz w:val="16"/>
        </w:rPr>
        <w:t xml:space="preserve"> </w:t>
      </w:r>
      <w:r>
        <w:rPr>
          <w:rFonts w:ascii="Times New Roman" w:eastAsia="Times New Roman" w:hAnsi="Times New Roman" w:cs="Times New Roman"/>
          <w:color w:val="000002"/>
          <w:sz w:val="16"/>
        </w:rPr>
        <w:t>—</w:t>
      </w:r>
      <w:r>
        <w:rPr>
          <w:rFonts w:ascii="Times New Roman" w:eastAsia="Times New Roman" w:hAnsi="Times New Roman" w:cs="Times New Roman"/>
          <w:color w:val="000003"/>
          <w:sz w:val="16"/>
        </w:rPr>
        <w:t xml:space="preserve"> Dr. Sci. (Med.), Head of the Endoscopy Department, Herzen Moscow Oncology Research Center — Branch of the National Medical Research Radiology Center. </w:t>
      </w:r>
    </w:p>
    <w:p w:rsidR="002D5C2A" w:rsidRDefault="00280B42">
      <w:pPr>
        <w:spacing w:after="3" w:line="241" w:lineRule="auto"/>
        <w:ind w:left="-5" w:hanging="10"/>
        <w:jc w:val="both"/>
      </w:pPr>
      <w:r>
        <w:rPr>
          <w:rFonts w:ascii="Times New Roman" w:eastAsia="Times New Roman" w:hAnsi="Times New Roman" w:cs="Times New Roman"/>
          <w:color w:val="000003"/>
          <w:sz w:val="16"/>
        </w:rPr>
        <w:t xml:space="preserve">Contact information: pirogov@mail.ru; </w:t>
      </w:r>
    </w:p>
    <w:p w:rsidR="002D5C2A" w:rsidRDefault="00280B42">
      <w:pPr>
        <w:spacing w:after="3" w:line="241" w:lineRule="auto"/>
        <w:ind w:left="-5" w:hanging="10"/>
        <w:jc w:val="both"/>
      </w:pPr>
      <w:r>
        <w:rPr>
          <w:rFonts w:ascii="Times New Roman" w:eastAsia="Times New Roman" w:hAnsi="Times New Roman" w:cs="Times New Roman"/>
          <w:color w:val="000003"/>
          <w:sz w:val="16"/>
        </w:rPr>
        <w:t xml:space="preserve">125284, Moscow, Vtoroy Botkinskiy pr., </w:t>
      </w:r>
      <w:r>
        <w:rPr>
          <w:rFonts w:ascii="Times New Roman" w:eastAsia="Times New Roman" w:hAnsi="Times New Roman" w:cs="Times New Roman"/>
          <w:color w:val="000003"/>
          <w:sz w:val="16"/>
        </w:rPr>
        <w:t xml:space="preserve">3. </w:t>
      </w:r>
    </w:p>
    <w:p w:rsidR="002D5C2A" w:rsidRDefault="00280B42">
      <w:pPr>
        <w:spacing w:after="778" w:line="241" w:lineRule="auto"/>
        <w:ind w:left="-5" w:hanging="10"/>
        <w:jc w:val="both"/>
      </w:pPr>
      <w:r>
        <w:rPr>
          <w:rFonts w:ascii="Times New Roman" w:eastAsia="Times New Roman" w:hAnsi="Times New Roman" w:cs="Times New Roman"/>
          <w:color w:val="000003"/>
          <w:sz w:val="16"/>
        </w:rPr>
        <w:t>ORCID: https://orcid.org/0000-002-8101-2155</w:t>
      </w:r>
    </w:p>
    <w:p w:rsidR="002D5C2A" w:rsidRDefault="00280B42">
      <w:pPr>
        <w:spacing w:after="3" w:line="241" w:lineRule="auto"/>
        <w:ind w:left="-5" w:hanging="10"/>
        <w:jc w:val="both"/>
      </w:pPr>
      <w:r>
        <w:rPr>
          <w:rFonts w:ascii="Times New Roman" w:eastAsia="Times New Roman" w:hAnsi="Times New Roman" w:cs="Times New Roman"/>
          <w:b/>
          <w:color w:val="000003"/>
          <w:sz w:val="16"/>
        </w:rPr>
        <w:t>Oleg V. Zayratyants</w:t>
      </w:r>
      <w:r>
        <w:rPr>
          <w:rFonts w:ascii="Times New Roman" w:eastAsia="Times New Roman" w:hAnsi="Times New Roman" w:cs="Times New Roman"/>
          <w:color w:val="000003"/>
          <w:sz w:val="16"/>
        </w:rPr>
        <w:t xml:space="preserve"> </w:t>
      </w:r>
      <w:r>
        <w:rPr>
          <w:rFonts w:ascii="Times New Roman" w:eastAsia="Times New Roman" w:hAnsi="Times New Roman" w:cs="Times New Roman"/>
          <w:color w:val="000002"/>
          <w:sz w:val="16"/>
        </w:rPr>
        <w:t>—</w:t>
      </w:r>
      <w:r>
        <w:rPr>
          <w:rFonts w:ascii="Times New Roman" w:eastAsia="Times New Roman" w:hAnsi="Times New Roman" w:cs="Times New Roman"/>
          <w:color w:val="000003"/>
          <w:sz w:val="16"/>
        </w:rPr>
        <w:t xml:space="preserve"> Dr. Sci. (Med.), Prof., Head of the Chair of Morbid Anatomy, Yevdokimov Moscow State University of Medicine and Dentistry. Contact information: ovzair@mail.ru; </w:t>
      </w:r>
    </w:p>
    <w:p w:rsidR="002D5C2A" w:rsidRDefault="00280B42">
      <w:pPr>
        <w:spacing w:after="3" w:line="241" w:lineRule="auto"/>
        <w:ind w:left="-5" w:hanging="10"/>
        <w:jc w:val="both"/>
      </w:pPr>
      <w:r>
        <w:rPr>
          <w:rFonts w:ascii="Times New Roman" w:eastAsia="Times New Roman" w:hAnsi="Times New Roman" w:cs="Times New Roman"/>
          <w:color w:val="000003"/>
          <w:sz w:val="16"/>
        </w:rPr>
        <w:t>127473, Moscow, Delegatsk</w:t>
      </w:r>
      <w:r>
        <w:rPr>
          <w:rFonts w:ascii="Times New Roman" w:eastAsia="Times New Roman" w:hAnsi="Times New Roman" w:cs="Times New Roman"/>
          <w:color w:val="000003"/>
          <w:sz w:val="16"/>
        </w:rPr>
        <w:t xml:space="preserve">aya str., 20, bld. 1. </w:t>
      </w:r>
    </w:p>
    <w:p w:rsidR="002D5C2A" w:rsidRDefault="00280B42">
      <w:pPr>
        <w:spacing w:after="586" w:line="241" w:lineRule="auto"/>
        <w:ind w:left="-5" w:hanging="10"/>
        <w:jc w:val="both"/>
      </w:pPr>
      <w:r>
        <w:rPr>
          <w:rFonts w:ascii="Times New Roman" w:eastAsia="Times New Roman" w:hAnsi="Times New Roman" w:cs="Times New Roman"/>
          <w:color w:val="000003"/>
          <w:sz w:val="16"/>
        </w:rPr>
        <w:t>ORCID: https://orcid.org/0000-0003-3606-3823</w:t>
      </w:r>
    </w:p>
    <w:p w:rsidR="002D5C2A" w:rsidRDefault="00280B42">
      <w:pPr>
        <w:spacing w:after="3" w:line="241" w:lineRule="auto"/>
        <w:ind w:left="-5" w:hanging="10"/>
        <w:jc w:val="both"/>
      </w:pPr>
      <w:r>
        <w:rPr>
          <w:rFonts w:ascii="Times New Roman" w:eastAsia="Times New Roman" w:hAnsi="Times New Roman" w:cs="Times New Roman"/>
          <w:b/>
          <w:color w:val="000003"/>
          <w:sz w:val="16"/>
        </w:rPr>
        <w:t xml:space="preserve">Olga P. Alekseeva </w:t>
      </w:r>
      <w:r>
        <w:rPr>
          <w:rFonts w:ascii="Times New Roman" w:eastAsia="Times New Roman" w:hAnsi="Times New Roman" w:cs="Times New Roman"/>
          <w:color w:val="000002"/>
          <w:sz w:val="16"/>
        </w:rPr>
        <w:t>—</w:t>
      </w:r>
      <w:r>
        <w:rPr>
          <w:rFonts w:ascii="Times New Roman" w:eastAsia="Times New Roman" w:hAnsi="Times New Roman" w:cs="Times New Roman"/>
          <w:color w:val="000003"/>
          <w:sz w:val="16"/>
        </w:rPr>
        <w:t xml:space="preserve"> Dr. Sci. (Med.), Prof., Chair of Hospital Therapy and General Practice named after V.G. Vogralik, </w:t>
      </w:r>
    </w:p>
    <w:p w:rsidR="002D5C2A" w:rsidRDefault="00280B42">
      <w:pPr>
        <w:spacing w:after="3" w:line="241" w:lineRule="auto"/>
        <w:ind w:left="-5" w:hanging="10"/>
        <w:jc w:val="both"/>
      </w:pPr>
      <w:r>
        <w:rPr>
          <w:rFonts w:ascii="Times New Roman" w:eastAsia="Times New Roman" w:hAnsi="Times New Roman" w:cs="Times New Roman"/>
          <w:color w:val="000003"/>
          <w:sz w:val="16"/>
        </w:rPr>
        <w:t xml:space="preserve">Privolzhsky Research Medical University. </w:t>
      </w:r>
    </w:p>
    <w:p w:rsidR="002D5C2A" w:rsidRDefault="00280B42">
      <w:pPr>
        <w:spacing w:after="3" w:line="241" w:lineRule="auto"/>
        <w:ind w:left="-5" w:hanging="10"/>
        <w:jc w:val="both"/>
      </w:pPr>
      <w:r>
        <w:rPr>
          <w:rFonts w:ascii="Times New Roman" w:eastAsia="Times New Roman" w:hAnsi="Times New Roman" w:cs="Times New Roman"/>
          <w:color w:val="000003"/>
          <w:sz w:val="16"/>
        </w:rPr>
        <w:t>Contact information: al_op@</w:t>
      </w:r>
      <w:r>
        <w:rPr>
          <w:rFonts w:ascii="Times New Roman" w:eastAsia="Times New Roman" w:hAnsi="Times New Roman" w:cs="Times New Roman"/>
          <w:color w:val="000003"/>
          <w:sz w:val="16"/>
        </w:rPr>
        <w:t xml:space="preserve">mail.ru; </w:t>
      </w:r>
    </w:p>
    <w:p w:rsidR="002D5C2A" w:rsidRDefault="00280B42">
      <w:pPr>
        <w:spacing w:after="3" w:line="241" w:lineRule="auto"/>
        <w:ind w:left="-5" w:hanging="10"/>
        <w:jc w:val="both"/>
      </w:pPr>
      <w:r>
        <w:rPr>
          <w:rFonts w:ascii="Times New Roman" w:eastAsia="Times New Roman" w:hAnsi="Times New Roman" w:cs="Times New Roman"/>
          <w:color w:val="000003"/>
          <w:sz w:val="16"/>
        </w:rPr>
        <w:t xml:space="preserve">603005, Nizhny Novgorod, Minina i Pozharskogo sq., 10/1. ORCID: https://orcid.org/0000-0002-1475-6584. </w:t>
      </w:r>
    </w:p>
    <w:p w:rsidR="002D5C2A" w:rsidRDefault="00280B42">
      <w:pPr>
        <w:spacing w:after="3" w:line="241" w:lineRule="auto"/>
        <w:ind w:left="-5" w:hanging="10"/>
        <w:jc w:val="both"/>
      </w:pPr>
      <w:r>
        <w:rPr>
          <w:rFonts w:ascii="Times New Roman" w:eastAsia="Times New Roman" w:hAnsi="Times New Roman" w:cs="Times New Roman"/>
          <w:b/>
          <w:color w:val="000003"/>
          <w:sz w:val="16"/>
        </w:rPr>
        <w:t>Андреев Дмитрий Николаевич</w:t>
      </w:r>
      <w:r>
        <w:rPr>
          <w:rFonts w:ascii="Times New Roman" w:eastAsia="Times New Roman" w:hAnsi="Times New Roman" w:cs="Times New Roman"/>
          <w:color w:val="000003"/>
          <w:sz w:val="16"/>
        </w:rPr>
        <w:t xml:space="preserve"> — кандидат медицинских наук, доцент кафедры пропедевтики внутренних болез</w:t>
      </w:r>
      <w:r>
        <w:rPr>
          <w:rFonts w:ascii="Times New Roman" w:eastAsia="Times New Roman" w:hAnsi="Times New Roman" w:cs="Times New Roman"/>
          <w:color w:val="000003"/>
          <w:sz w:val="16"/>
        </w:rPr>
        <w:t>ней и гастроэнтерологии ФГБОУ ВО «Московский государственный медико-стоматологический университет им. А.И. Евдокимова» Министерства здравоохранения Российской Федерации.</w:t>
      </w:r>
    </w:p>
    <w:p w:rsidR="002D5C2A" w:rsidRDefault="00280B42">
      <w:pPr>
        <w:spacing w:after="3" w:line="241" w:lineRule="auto"/>
        <w:ind w:left="-5" w:hanging="10"/>
        <w:jc w:val="both"/>
      </w:pPr>
      <w:r>
        <w:rPr>
          <w:rFonts w:ascii="Times New Roman" w:eastAsia="Times New Roman" w:hAnsi="Times New Roman" w:cs="Times New Roman"/>
          <w:color w:val="000003"/>
          <w:sz w:val="16"/>
        </w:rPr>
        <w:t>Контактная информация: dna-mit8@mail.ru;</w:t>
      </w:r>
    </w:p>
    <w:p w:rsidR="002D5C2A" w:rsidRDefault="00280B42">
      <w:pPr>
        <w:spacing w:after="202" w:line="241" w:lineRule="auto"/>
        <w:ind w:left="-5" w:right="236" w:hanging="10"/>
        <w:jc w:val="both"/>
      </w:pPr>
      <w:r>
        <w:rPr>
          <w:rFonts w:ascii="Times New Roman" w:eastAsia="Times New Roman" w:hAnsi="Times New Roman" w:cs="Times New Roman"/>
          <w:color w:val="000003"/>
          <w:sz w:val="16"/>
        </w:rPr>
        <w:t>127473, г. Москва, ул. Делегатская, д. 20, ст</w:t>
      </w:r>
      <w:r>
        <w:rPr>
          <w:rFonts w:ascii="Times New Roman" w:eastAsia="Times New Roman" w:hAnsi="Times New Roman" w:cs="Times New Roman"/>
          <w:color w:val="000003"/>
          <w:sz w:val="16"/>
        </w:rPr>
        <w:t>р. 1. ORCID: https://orcid.org/0000-0002-4007-7112</w:t>
      </w:r>
    </w:p>
    <w:p w:rsidR="002D5C2A" w:rsidRDefault="00280B42">
      <w:pPr>
        <w:spacing w:after="3" w:line="241" w:lineRule="auto"/>
        <w:ind w:left="-5" w:hanging="10"/>
        <w:jc w:val="both"/>
      </w:pPr>
      <w:r>
        <w:rPr>
          <w:rFonts w:ascii="Times New Roman" w:eastAsia="Times New Roman" w:hAnsi="Times New Roman" w:cs="Times New Roman"/>
          <w:b/>
          <w:color w:val="000003"/>
          <w:sz w:val="16"/>
        </w:rPr>
        <w:t>Лапина Татьяна Львовна</w:t>
      </w:r>
      <w:r>
        <w:rPr>
          <w:rFonts w:ascii="Times New Roman" w:eastAsia="Times New Roman" w:hAnsi="Times New Roman" w:cs="Times New Roman"/>
          <w:color w:val="000003"/>
          <w:sz w:val="16"/>
        </w:rPr>
        <w:t xml:space="preserve"> — кандидат медицинских наук, доцент кафедры пропедевтики внутренних болезней, гастроэнтерологии и гепатологии Института клинической медицины им. Н.В. Склифосовского ФГАОУ ВО «Первый </w:t>
      </w:r>
      <w:r>
        <w:rPr>
          <w:rFonts w:ascii="Times New Roman" w:eastAsia="Times New Roman" w:hAnsi="Times New Roman" w:cs="Times New Roman"/>
          <w:color w:val="000003"/>
          <w:sz w:val="16"/>
        </w:rPr>
        <w:t>Московский государственный медицинский университет им. И.М. Сеченова» (Сеченовский Университет).</w:t>
      </w:r>
    </w:p>
    <w:p w:rsidR="002D5C2A" w:rsidRDefault="00280B42">
      <w:pPr>
        <w:spacing w:after="200" w:line="241" w:lineRule="auto"/>
        <w:ind w:left="-5" w:right="490" w:hanging="10"/>
      </w:pPr>
      <w:r>
        <w:rPr>
          <w:rFonts w:ascii="Times New Roman" w:eastAsia="Times New Roman" w:hAnsi="Times New Roman" w:cs="Times New Roman"/>
          <w:color w:val="000003"/>
          <w:sz w:val="16"/>
        </w:rPr>
        <w:t>Контактная информация: tatlapina@gmail.com; 119435, г. Москва, ул. Погодинская, д. 1, стр. 1. ORCID: https://orcid.org/0000-0003-4456-8725</w:t>
      </w:r>
    </w:p>
    <w:p w:rsidR="002D5C2A" w:rsidRDefault="00280B42">
      <w:pPr>
        <w:spacing w:after="3" w:line="241" w:lineRule="auto"/>
        <w:ind w:left="-5" w:hanging="10"/>
        <w:jc w:val="both"/>
      </w:pPr>
      <w:r>
        <w:rPr>
          <w:rFonts w:ascii="Times New Roman" w:eastAsia="Times New Roman" w:hAnsi="Times New Roman" w:cs="Times New Roman"/>
          <w:b/>
          <w:color w:val="000003"/>
          <w:sz w:val="16"/>
        </w:rPr>
        <w:t>Ткачев Александр Вас</w:t>
      </w:r>
      <w:r>
        <w:rPr>
          <w:rFonts w:ascii="Times New Roman" w:eastAsia="Times New Roman" w:hAnsi="Times New Roman" w:cs="Times New Roman"/>
          <w:b/>
          <w:color w:val="000003"/>
          <w:sz w:val="16"/>
        </w:rPr>
        <w:t>ильевич</w:t>
      </w:r>
      <w:r>
        <w:rPr>
          <w:rFonts w:ascii="Times New Roman" w:eastAsia="Times New Roman" w:hAnsi="Times New Roman" w:cs="Times New Roman"/>
          <w:color w:val="000003"/>
          <w:sz w:val="16"/>
        </w:rPr>
        <w:t xml:space="preserve"> — доктор медицинских наук, профессор, заведующий кафедрой пропедевтики внутренних болезней ФГБОУ ВО «Ростовский государственный медицинский университет» Министерства здравоохранения Российской Федерации.</w:t>
      </w:r>
    </w:p>
    <w:p w:rsidR="002D5C2A" w:rsidRDefault="00280B42">
      <w:pPr>
        <w:spacing w:after="3" w:line="241" w:lineRule="auto"/>
        <w:ind w:left="-5" w:hanging="10"/>
        <w:jc w:val="both"/>
      </w:pPr>
      <w:r>
        <w:rPr>
          <w:rFonts w:ascii="Times New Roman" w:eastAsia="Times New Roman" w:hAnsi="Times New Roman" w:cs="Times New Roman"/>
          <w:color w:val="000003"/>
          <w:sz w:val="16"/>
        </w:rPr>
        <w:t>Контактная информация: tkachev@aaanet.ru;</w:t>
      </w:r>
    </w:p>
    <w:p w:rsidR="002D5C2A" w:rsidRDefault="00280B42">
      <w:pPr>
        <w:spacing w:after="202" w:line="241" w:lineRule="auto"/>
        <w:ind w:left="-5" w:hanging="10"/>
        <w:jc w:val="both"/>
      </w:pPr>
      <w:r>
        <w:rPr>
          <w:rFonts w:ascii="Times New Roman" w:eastAsia="Times New Roman" w:hAnsi="Times New Roman" w:cs="Times New Roman"/>
          <w:color w:val="000003"/>
          <w:sz w:val="16"/>
        </w:rPr>
        <w:t>34</w:t>
      </w:r>
      <w:r>
        <w:rPr>
          <w:rFonts w:ascii="Times New Roman" w:eastAsia="Times New Roman" w:hAnsi="Times New Roman" w:cs="Times New Roman"/>
          <w:color w:val="000003"/>
          <w:sz w:val="16"/>
        </w:rPr>
        <w:t>4022, г. Ростов-на-Дону, переулок Нахичеванский, д. 29. ORCID: https://orcid.org/0000-0002-5554-7084</w:t>
      </w:r>
    </w:p>
    <w:p w:rsidR="002D5C2A" w:rsidRDefault="00280B42">
      <w:pPr>
        <w:spacing w:after="3" w:line="241" w:lineRule="auto"/>
        <w:ind w:left="-5" w:hanging="10"/>
        <w:jc w:val="both"/>
      </w:pPr>
      <w:r>
        <w:rPr>
          <w:rFonts w:ascii="Times New Roman" w:eastAsia="Times New Roman" w:hAnsi="Times New Roman" w:cs="Times New Roman"/>
          <w:b/>
          <w:color w:val="000003"/>
          <w:sz w:val="16"/>
        </w:rPr>
        <w:t xml:space="preserve">Успенский Юрий Павлович </w:t>
      </w:r>
      <w:r>
        <w:rPr>
          <w:rFonts w:ascii="Times New Roman" w:eastAsia="Times New Roman" w:hAnsi="Times New Roman" w:cs="Times New Roman"/>
          <w:color w:val="000003"/>
          <w:sz w:val="16"/>
        </w:rPr>
        <w:t>— доктор медицинских наук, профессор, заведующий кафедрой факультетской терапии имени профессора В.А. Вальдмана ФГБОУ ВО «СанктПете</w:t>
      </w:r>
      <w:r>
        <w:rPr>
          <w:rFonts w:ascii="Times New Roman" w:eastAsia="Times New Roman" w:hAnsi="Times New Roman" w:cs="Times New Roman"/>
          <w:color w:val="000003"/>
          <w:sz w:val="16"/>
        </w:rPr>
        <w:t>рбургский государственный педиатрический медицинский университет» Министерства здравоохранения Российской Федерации; профессор кафедры внутренних болезней стоматологического факультета ФГБОУ ВО «Первый Санкт-Петербургский государственный медицинский универ</w:t>
      </w:r>
      <w:r>
        <w:rPr>
          <w:rFonts w:ascii="Times New Roman" w:eastAsia="Times New Roman" w:hAnsi="Times New Roman" w:cs="Times New Roman"/>
          <w:color w:val="000003"/>
          <w:sz w:val="16"/>
        </w:rPr>
        <w:t>ситет имени академика И.П. Павлова» Министерства здравоохранения Российской Федерации.</w:t>
      </w:r>
    </w:p>
    <w:p w:rsidR="002D5C2A" w:rsidRDefault="00280B42">
      <w:pPr>
        <w:spacing w:after="200" w:line="241" w:lineRule="auto"/>
        <w:ind w:left="-5" w:right="490" w:hanging="10"/>
      </w:pPr>
      <w:r>
        <w:rPr>
          <w:rFonts w:ascii="Times New Roman" w:eastAsia="Times New Roman" w:hAnsi="Times New Roman" w:cs="Times New Roman"/>
          <w:color w:val="000003"/>
          <w:sz w:val="16"/>
        </w:rPr>
        <w:t>Контактная информация: uspenskiy65@mail.ru; 194100, г. Санкт-Петербург, ул. Литовская, д. 2. ORCID: https://orcid.org/0000-0001-6434-1267</w:t>
      </w:r>
    </w:p>
    <w:p w:rsidR="002D5C2A" w:rsidRDefault="00280B42">
      <w:pPr>
        <w:spacing w:after="3" w:line="241" w:lineRule="auto"/>
        <w:ind w:left="-5" w:hanging="10"/>
        <w:jc w:val="both"/>
      </w:pPr>
      <w:r>
        <w:rPr>
          <w:rFonts w:ascii="Times New Roman" w:eastAsia="Times New Roman" w:hAnsi="Times New Roman" w:cs="Times New Roman"/>
          <w:b/>
          <w:color w:val="000003"/>
          <w:sz w:val="16"/>
        </w:rPr>
        <w:t>Шептулин Аркадий Александрович</w:t>
      </w:r>
      <w:r>
        <w:rPr>
          <w:rFonts w:ascii="Times New Roman" w:eastAsia="Times New Roman" w:hAnsi="Times New Roman" w:cs="Times New Roman"/>
          <w:color w:val="000003"/>
          <w:sz w:val="16"/>
        </w:rPr>
        <w:t xml:space="preserve"> </w:t>
      </w:r>
      <w:r>
        <w:rPr>
          <w:rFonts w:ascii="Times New Roman" w:eastAsia="Times New Roman" w:hAnsi="Times New Roman" w:cs="Times New Roman"/>
          <w:color w:val="000003"/>
          <w:sz w:val="16"/>
        </w:rPr>
        <w:t>— доктор медицинских наук, профессор кафедры пропедевтики внутренних болезней, гастроэнтерологии и гепатологии Института Клинической Медицины им. Н.В. Склифосовского ФГАОУ ВО «Первый Московский государственный медицинский университет им. И.М. Сеченова (Сеч</w:t>
      </w:r>
      <w:r>
        <w:rPr>
          <w:rFonts w:ascii="Times New Roman" w:eastAsia="Times New Roman" w:hAnsi="Times New Roman" w:cs="Times New Roman"/>
          <w:color w:val="000003"/>
          <w:sz w:val="16"/>
        </w:rPr>
        <w:t>еновский Университет) Министерства здравоохранения Российской Федерации. Контактная информация: arkalshep@gmail.com;</w:t>
      </w:r>
    </w:p>
    <w:p w:rsidR="002D5C2A" w:rsidRDefault="00280B42">
      <w:pPr>
        <w:spacing w:after="3" w:line="241" w:lineRule="auto"/>
        <w:ind w:left="-5" w:hanging="10"/>
        <w:jc w:val="both"/>
      </w:pPr>
      <w:r>
        <w:rPr>
          <w:rFonts w:ascii="Times New Roman" w:eastAsia="Times New Roman" w:hAnsi="Times New Roman" w:cs="Times New Roman"/>
          <w:color w:val="000003"/>
          <w:sz w:val="16"/>
        </w:rPr>
        <w:t>119435, г. Москва, ул. Погодинская, д. 1, корп. 1.</w:t>
      </w:r>
    </w:p>
    <w:p w:rsidR="002D5C2A" w:rsidRDefault="00280B42">
      <w:pPr>
        <w:spacing w:after="0"/>
      </w:pPr>
      <w:r>
        <w:rPr>
          <w:rFonts w:ascii="Times New Roman" w:eastAsia="Times New Roman" w:hAnsi="Times New Roman" w:cs="Times New Roman"/>
          <w:color w:val="000003"/>
          <w:sz w:val="16"/>
        </w:rPr>
        <w:t xml:space="preserve">ORCID: </w:t>
      </w:r>
      <w:r>
        <w:rPr>
          <w:rFonts w:ascii="Times New Roman" w:eastAsia="Times New Roman" w:hAnsi="Times New Roman" w:cs="Times New Roman"/>
          <w:color w:val="000002"/>
          <w:sz w:val="16"/>
        </w:rPr>
        <w:t>https://orcid.org/0000-0002-1395-9566</w:t>
      </w:r>
    </w:p>
    <w:p w:rsidR="002D5C2A" w:rsidRDefault="00280B42">
      <w:pPr>
        <w:spacing w:after="3" w:line="241" w:lineRule="auto"/>
        <w:ind w:left="-5" w:hanging="10"/>
        <w:jc w:val="both"/>
      </w:pPr>
      <w:r>
        <w:rPr>
          <w:rFonts w:ascii="Times New Roman" w:eastAsia="Times New Roman" w:hAnsi="Times New Roman" w:cs="Times New Roman"/>
          <w:b/>
          <w:color w:val="000003"/>
          <w:sz w:val="16"/>
        </w:rPr>
        <w:t>Dmitriy N. Andreyev</w:t>
      </w:r>
      <w:r>
        <w:rPr>
          <w:rFonts w:ascii="Times New Roman" w:eastAsia="Times New Roman" w:hAnsi="Times New Roman" w:cs="Times New Roman"/>
          <w:color w:val="000003"/>
          <w:sz w:val="16"/>
        </w:rPr>
        <w:t xml:space="preserve"> — Cand. Sci. (Med.), As</w:t>
      </w:r>
      <w:r>
        <w:rPr>
          <w:rFonts w:ascii="Times New Roman" w:eastAsia="Times New Roman" w:hAnsi="Times New Roman" w:cs="Times New Roman"/>
          <w:color w:val="000003"/>
          <w:sz w:val="16"/>
        </w:rPr>
        <w:t xml:space="preserve">soc. Prof., Chair of Internal Medicine Propaedeutics and Gastroenterology, Yevdokimov Moscow State University of Medicine and </w:t>
      </w:r>
    </w:p>
    <w:p w:rsidR="002D5C2A" w:rsidRDefault="00280B42">
      <w:pPr>
        <w:spacing w:after="3" w:line="241" w:lineRule="auto"/>
        <w:ind w:left="-5" w:hanging="10"/>
        <w:jc w:val="both"/>
      </w:pPr>
      <w:r>
        <w:rPr>
          <w:rFonts w:ascii="Times New Roman" w:eastAsia="Times New Roman" w:hAnsi="Times New Roman" w:cs="Times New Roman"/>
          <w:color w:val="000003"/>
          <w:sz w:val="16"/>
        </w:rPr>
        <w:t xml:space="preserve">Dentistry. </w:t>
      </w:r>
    </w:p>
    <w:p w:rsidR="002D5C2A" w:rsidRDefault="00280B42">
      <w:pPr>
        <w:spacing w:after="3" w:line="241" w:lineRule="auto"/>
        <w:ind w:left="-5" w:hanging="10"/>
        <w:jc w:val="both"/>
      </w:pPr>
      <w:r>
        <w:rPr>
          <w:rFonts w:ascii="Times New Roman" w:eastAsia="Times New Roman" w:hAnsi="Times New Roman" w:cs="Times New Roman"/>
          <w:color w:val="000003"/>
          <w:sz w:val="16"/>
        </w:rPr>
        <w:t xml:space="preserve">Contact information: dna-mit8@mail.ru; </w:t>
      </w:r>
    </w:p>
    <w:p w:rsidR="002D5C2A" w:rsidRDefault="00280B42">
      <w:pPr>
        <w:spacing w:after="3" w:line="241" w:lineRule="auto"/>
        <w:ind w:left="-5" w:hanging="10"/>
        <w:jc w:val="both"/>
      </w:pPr>
      <w:r>
        <w:rPr>
          <w:rFonts w:ascii="Times New Roman" w:eastAsia="Times New Roman" w:hAnsi="Times New Roman" w:cs="Times New Roman"/>
          <w:color w:val="000003"/>
          <w:sz w:val="16"/>
        </w:rPr>
        <w:t xml:space="preserve">127473, Moscow, Delegatskaya str., 20, bld. 1. </w:t>
      </w:r>
    </w:p>
    <w:p w:rsidR="002D5C2A" w:rsidRDefault="00280B42">
      <w:pPr>
        <w:spacing w:after="586" w:line="241" w:lineRule="auto"/>
        <w:ind w:left="-5" w:hanging="10"/>
        <w:jc w:val="both"/>
      </w:pPr>
      <w:r>
        <w:rPr>
          <w:rFonts w:ascii="Times New Roman" w:eastAsia="Times New Roman" w:hAnsi="Times New Roman" w:cs="Times New Roman"/>
          <w:color w:val="000003"/>
          <w:sz w:val="16"/>
        </w:rPr>
        <w:t>ORCID: https://orcid.org/0000-0002-4007-7112</w:t>
      </w:r>
    </w:p>
    <w:p w:rsidR="002D5C2A" w:rsidRDefault="00280B42">
      <w:pPr>
        <w:spacing w:after="3" w:line="241" w:lineRule="auto"/>
        <w:ind w:left="-5" w:hanging="10"/>
        <w:jc w:val="both"/>
      </w:pPr>
      <w:r>
        <w:rPr>
          <w:rFonts w:ascii="Times New Roman" w:eastAsia="Times New Roman" w:hAnsi="Times New Roman" w:cs="Times New Roman"/>
          <w:b/>
          <w:color w:val="000003"/>
          <w:sz w:val="16"/>
        </w:rPr>
        <w:t xml:space="preserve">Tatyana L. Lapina </w:t>
      </w:r>
      <w:r>
        <w:rPr>
          <w:rFonts w:ascii="Times New Roman" w:eastAsia="Times New Roman" w:hAnsi="Times New Roman" w:cs="Times New Roman"/>
          <w:color w:val="000002"/>
          <w:sz w:val="16"/>
        </w:rPr>
        <w:t>—</w:t>
      </w:r>
      <w:r>
        <w:rPr>
          <w:rFonts w:ascii="Times New Roman" w:eastAsia="Times New Roman" w:hAnsi="Times New Roman" w:cs="Times New Roman"/>
          <w:color w:val="000003"/>
          <w:sz w:val="16"/>
        </w:rPr>
        <w:t xml:space="preserve"> Cand. Sci. (Med.), Assoc. Prof., Department of Internal Disease Propaedeutics, Gastroenterology and Hepatology, Sklifosovsky Institute of Clinical Medicine, Sechenov First Moscow State Medica</w:t>
      </w:r>
      <w:r>
        <w:rPr>
          <w:rFonts w:ascii="Times New Roman" w:eastAsia="Times New Roman" w:hAnsi="Times New Roman" w:cs="Times New Roman"/>
          <w:color w:val="000003"/>
          <w:sz w:val="16"/>
        </w:rPr>
        <w:t xml:space="preserve">l University (Sechenov </w:t>
      </w:r>
    </w:p>
    <w:p w:rsidR="002D5C2A" w:rsidRDefault="00280B42">
      <w:pPr>
        <w:spacing w:after="3" w:line="241" w:lineRule="auto"/>
        <w:ind w:left="-5" w:hanging="10"/>
        <w:jc w:val="both"/>
      </w:pPr>
      <w:r>
        <w:rPr>
          <w:rFonts w:ascii="Times New Roman" w:eastAsia="Times New Roman" w:hAnsi="Times New Roman" w:cs="Times New Roman"/>
          <w:color w:val="000003"/>
          <w:sz w:val="16"/>
        </w:rPr>
        <w:t xml:space="preserve">University). </w:t>
      </w:r>
    </w:p>
    <w:p w:rsidR="002D5C2A" w:rsidRDefault="00280B42">
      <w:pPr>
        <w:spacing w:after="3" w:line="241" w:lineRule="auto"/>
        <w:ind w:left="-5" w:hanging="10"/>
        <w:jc w:val="both"/>
      </w:pPr>
      <w:r>
        <w:rPr>
          <w:rFonts w:ascii="Times New Roman" w:eastAsia="Times New Roman" w:hAnsi="Times New Roman" w:cs="Times New Roman"/>
          <w:color w:val="000003"/>
          <w:sz w:val="16"/>
        </w:rPr>
        <w:t xml:space="preserve">Contact information: tatlapina@gmail.com; </w:t>
      </w:r>
    </w:p>
    <w:p w:rsidR="002D5C2A" w:rsidRDefault="00280B42">
      <w:pPr>
        <w:spacing w:after="3" w:line="241" w:lineRule="auto"/>
        <w:ind w:left="-5" w:hanging="10"/>
        <w:jc w:val="both"/>
      </w:pPr>
      <w:r>
        <w:rPr>
          <w:rFonts w:ascii="Times New Roman" w:eastAsia="Times New Roman" w:hAnsi="Times New Roman" w:cs="Times New Roman"/>
          <w:color w:val="000003"/>
          <w:sz w:val="16"/>
        </w:rPr>
        <w:t xml:space="preserve">119435, Moscow, Pogodinskaya str., 1, bld. 1. </w:t>
      </w:r>
    </w:p>
    <w:p w:rsidR="002D5C2A" w:rsidRDefault="00280B42">
      <w:pPr>
        <w:spacing w:after="393" w:line="241" w:lineRule="auto"/>
        <w:ind w:left="-5" w:hanging="10"/>
        <w:jc w:val="both"/>
      </w:pPr>
      <w:r>
        <w:rPr>
          <w:rFonts w:ascii="Times New Roman" w:eastAsia="Times New Roman" w:hAnsi="Times New Roman" w:cs="Times New Roman"/>
          <w:color w:val="000003"/>
          <w:sz w:val="16"/>
        </w:rPr>
        <w:t>ORCID: https://orcid.org/0000-0003-4456-8725</w:t>
      </w:r>
    </w:p>
    <w:p w:rsidR="002D5C2A" w:rsidRDefault="00280B42">
      <w:pPr>
        <w:spacing w:after="3" w:line="241" w:lineRule="auto"/>
        <w:ind w:left="-5" w:hanging="10"/>
        <w:jc w:val="both"/>
      </w:pPr>
      <w:r>
        <w:rPr>
          <w:rFonts w:ascii="Times New Roman" w:eastAsia="Times New Roman" w:hAnsi="Times New Roman" w:cs="Times New Roman"/>
          <w:b/>
          <w:color w:val="000003"/>
          <w:sz w:val="16"/>
        </w:rPr>
        <w:t xml:space="preserve">Alexander V. Tkachev </w:t>
      </w:r>
      <w:r>
        <w:rPr>
          <w:rFonts w:ascii="Times New Roman" w:eastAsia="Times New Roman" w:hAnsi="Times New Roman" w:cs="Times New Roman"/>
          <w:color w:val="000002"/>
          <w:sz w:val="16"/>
        </w:rPr>
        <w:t>—</w:t>
      </w:r>
      <w:r>
        <w:rPr>
          <w:rFonts w:ascii="Times New Roman" w:eastAsia="Times New Roman" w:hAnsi="Times New Roman" w:cs="Times New Roman"/>
          <w:color w:val="000003"/>
          <w:sz w:val="16"/>
        </w:rPr>
        <w:t xml:space="preserve"> Dr. Sci. (Med.), Prof., Head of the Chair of Internal Diseas</w:t>
      </w:r>
      <w:r>
        <w:rPr>
          <w:rFonts w:ascii="Times New Roman" w:eastAsia="Times New Roman" w:hAnsi="Times New Roman" w:cs="Times New Roman"/>
          <w:color w:val="000003"/>
          <w:sz w:val="16"/>
        </w:rPr>
        <w:t xml:space="preserve">e Propaedeutics, Rostov State Medical </w:t>
      </w:r>
    </w:p>
    <w:p w:rsidR="002D5C2A" w:rsidRDefault="00280B42">
      <w:pPr>
        <w:spacing w:after="3" w:line="241" w:lineRule="auto"/>
        <w:ind w:left="-5" w:hanging="10"/>
        <w:jc w:val="both"/>
      </w:pPr>
      <w:r>
        <w:rPr>
          <w:rFonts w:ascii="Times New Roman" w:eastAsia="Times New Roman" w:hAnsi="Times New Roman" w:cs="Times New Roman"/>
          <w:color w:val="000003"/>
          <w:sz w:val="16"/>
        </w:rPr>
        <w:t xml:space="preserve">University. </w:t>
      </w:r>
    </w:p>
    <w:p w:rsidR="002D5C2A" w:rsidRDefault="00280B42">
      <w:pPr>
        <w:spacing w:after="3" w:line="241" w:lineRule="auto"/>
        <w:ind w:left="-5" w:hanging="10"/>
        <w:jc w:val="both"/>
      </w:pPr>
      <w:r>
        <w:rPr>
          <w:rFonts w:ascii="Times New Roman" w:eastAsia="Times New Roman" w:hAnsi="Times New Roman" w:cs="Times New Roman"/>
          <w:color w:val="000003"/>
          <w:sz w:val="16"/>
        </w:rPr>
        <w:t xml:space="preserve">Contact information: tkachev@aaanet.ru; </w:t>
      </w:r>
    </w:p>
    <w:p w:rsidR="002D5C2A" w:rsidRDefault="00280B42">
      <w:pPr>
        <w:spacing w:after="587" w:line="241" w:lineRule="auto"/>
        <w:ind w:left="-5" w:right="128" w:hanging="10"/>
        <w:jc w:val="both"/>
      </w:pPr>
      <w:r>
        <w:rPr>
          <w:rFonts w:ascii="Times New Roman" w:eastAsia="Times New Roman" w:hAnsi="Times New Roman" w:cs="Times New Roman"/>
          <w:color w:val="000003"/>
          <w:sz w:val="16"/>
        </w:rPr>
        <w:t>344022, Rostov-on-Don, Nakhichevanskiy per., 29. ORCID: https://orcid.org/0000-0002-5554-7084</w:t>
      </w:r>
    </w:p>
    <w:p w:rsidR="002D5C2A" w:rsidRDefault="00280B42">
      <w:pPr>
        <w:spacing w:after="3" w:line="241" w:lineRule="auto"/>
        <w:ind w:left="-5" w:hanging="10"/>
        <w:jc w:val="both"/>
      </w:pPr>
      <w:r>
        <w:rPr>
          <w:rFonts w:ascii="Times New Roman" w:eastAsia="Times New Roman" w:hAnsi="Times New Roman" w:cs="Times New Roman"/>
          <w:b/>
          <w:color w:val="000003"/>
          <w:sz w:val="16"/>
        </w:rPr>
        <w:t xml:space="preserve">Yuriy P. Uspenskiy </w:t>
      </w:r>
      <w:r>
        <w:rPr>
          <w:rFonts w:ascii="Times New Roman" w:eastAsia="Times New Roman" w:hAnsi="Times New Roman" w:cs="Times New Roman"/>
          <w:color w:val="000002"/>
          <w:sz w:val="16"/>
        </w:rPr>
        <w:t>—</w:t>
      </w:r>
      <w:r>
        <w:rPr>
          <w:rFonts w:ascii="Times New Roman" w:eastAsia="Times New Roman" w:hAnsi="Times New Roman" w:cs="Times New Roman"/>
          <w:color w:val="000003"/>
          <w:sz w:val="16"/>
        </w:rPr>
        <w:t xml:space="preserve"> Dr. Sci. (Med.), Prof., Head of the Chair of Fac</w:t>
      </w:r>
      <w:r>
        <w:rPr>
          <w:rFonts w:ascii="Times New Roman" w:eastAsia="Times New Roman" w:hAnsi="Times New Roman" w:cs="Times New Roman"/>
          <w:color w:val="000003"/>
          <w:sz w:val="16"/>
        </w:rPr>
        <w:t xml:space="preserve">ulty Therapy named after Professor V.A. Valdman, Saint-Petersburg State Pediatric Medical University; Prof., Chair of Internal Medicine, Faculty of Dentistry, Pavlov First Saint-Petersburg State Medical University. </w:t>
      </w:r>
    </w:p>
    <w:p w:rsidR="002D5C2A" w:rsidRDefault="00280B42">
      <w:pPr>
        <w:spacing w:after="3" w:line="241" w:lineRule="auto"/>
        <w:ind w:left="-5" w:hanging="10"/>
        <w:jc w:val="both"/>
      </w:pPr>
      <w:r>
        <w:rPr>
          <w:rFonts w:ascii="Times New Roman" w:eastAsia="Times New Roman" w:hAnsi="Times New Roman" w:cs="Times New Roman"/>
          <w:color w:val="000003"/>
          <w:sz w:val="16"/>
        </w:rPr>
        <w:t>Contact information: uspenskiy65@mail.ru</w:t>
      </w:r>
      <w:r>
        <w:rPr>
          <w:rFonts w:ascii="Times New Roman" w:eastAsia="Times New Roman" w:hAnsi="Times New Roman" w:cs="Times New Roman"/>
          <w:color w:val="000003"/>
          <w:sz w:val="16"/>
        </w:rPr>
        <w:t xml:space="preserve">; </w:t>
      </w:r>
    </w:p>
    <w:p w:rsidR="002D5C2A" w:rsidRDefault="00280B42">
      <w:pPr>
        <w:spacing w:after="3" w:line="241" w:lineRule="auto"/>
        <w:ind w:left="-5" w:hanging="10"/>
        <w:jc w:val="both"/>
      </w:pPr>
      <w:r>
        <w:rPr>
          <w:rFonts w:ascii="Times New Roman" w:eastAsia="Times New Roman" w:hAnsi="Times New Roman" w:cs="Times New Roman"/>
          <w:color w:val="000003"/>
          <w:sz w:val="16"/>
        </w:rPr>
        <w:t xml:space="preserve">194100, St. Petersburg, Litovskaya str., 2. </w:t>
      </w:r>
    </w:p>
    <w:p w:rsidR="002D5C2A" w:rsidRDefault="00280B42">
      <w:pPr>
        <w:spacing w:after="1162" w:line="241" w:lineRule="auto"/>
        <w:ind w:left="-5" w:hanging="10"/>
        <w:jc w:val="both"/>
      </w:pPr>
      <w:r>
        <w:rPr>
          <w:rFonts w:ascii="Times New Roman" w:eastAsia="Times New Roman" w:hAnsi="Times New Roman" w:cs="Times New Roman"/>
          <w:color w:val="000003"/>
          <w:sz w:val="16"/>
        </w:rPr>
        <w:t xml:space="preserve">ORCID: https://orcid.org/0000-0001-6434-1267 </w:t>
      </w:r>
    </w:p>
    <w:p w:rsidR="002D5C2A" w:rsidRDefault="00280B42">
      <w:pPr>
        <w:spacing w:after="3" w:line="241" w:lineRule="auto"/>
        <w:ind w:left="-5" w:hanging="10"/>
        <w:jc w:val="both"/>
      </w:pPr>
      <w:r>
        <w:rPr>
          <w:rFonts w:ascii="Times New Roman" w:eastAsia="Times New Roman" w:hAnsi="Times New Roman" w:cs="Times New Roman"/>
          <w:b/>
          <w:color w:val="000003"/>
          <w:sz w:val="16"/>
        </w:rPr>
        <w:t>Arkadiy A. Sheptulin</w:t>
      </w:r>
      <w:r>
        <w:rPr>
          <w:rFonts w:ascii="Times New Roman" w:eastAsia="Times New Roman" w:hAnsi="Times New Roman" w:cs="Times New Roman"/>
          <w:color w:val="000003"/>
          <w:sz w:val="16"/>
        </w:rPr>
        <w:t xml:space="preserve"> </w:t>
      </w:r>
      <w:r>
        <w:rPr>
          <w:rFonts w:ascii="Times New Roman" w:eastAsia="Times New Roman" w:hAnsi="Times New Roman" w:cs="Times New Roman"/>
          <w:color w:val="000002"/>
          <w:sz w:val="16"/>
        </w:rPr>
        <w:t>—</w:t>
      </w:r>
      <w:r>
        <w:rPr>
          <w:rFonts w:ascii="Times New Roman" w:eastAsia="Times New Roman" w:hAnsi="Times New Roman" w:cs="Times New Roman"/>
          <w:color w:val="000003"/>
          <w:sz w:val="16"/>
        </w:rPr>
        <w:t xml:space="preserve"> Dr. Sci. (Med.), Prof., Department of Internal Disease Propaedeutics, Gastroenterology and Hepatology, Sklifosovsky Institute of Clinical M</w:t>
      </w:r>
      <w:r>
        <w:rPr>
          <w:rFonts w:ascii="Times New Roman" w:eastAsia="Times New Roman" w:hAnsi="Times New Roman" w:cs="Times New Roman"/>
          <w:color w:val="000003"/>
          <w:sz w:val="16"/>
        </w:rPr>
        <w:t xml:space="preserve">edicine, Sechenov First Moscow State Medical University (Sechenov University). </w:t>
      </w:r>
    </w:p>
    <w:p w:rsidR="002D5C2A" w:rsidRDefault="00280B42">
      <w:pPr>
        <w:spacing w:after="3" w:line="241" w:lineRule="auto"/>
        <w:ind w:left="-5" w:hanging="10"/>
        <w:jc w:val="both"/>
      </w:pPr>
      <w:r>
        <w:rPr>
          <w:rFonts w:ascii="Times New Roman" w:eastAsia="Times New Roman" w:hAnsi="Times New Roman" w:cs="Times New Roman"/>
          <w:color w:val="000003"/>
          <w:sz w:val="16"/>
        </w:rPr>
        <w:t xml:space="preserve">Contact information: arkalshep@gmail.com; </w:t>
      </w:r>
    </w:p>
    <w:p w:rsidR="002D5C2A" w:rsidRDefault="00280B42">
      <w:pPr>
        <w:spacing w:after="3" w:line="241" w:lineRule="auto"/>
        <w:ind w:left="-5" w:hanging="10"/>
        <w:jc w:val="both"/>
      </w:pPr>
      <w:r>
        <w:rPr>
          <w:rFonts w:ascii="Times New Roman" w:eastAsia="Times New Roman" w:hAnsi="Times New Roman" w:cs="Times New Roman"/>
          <w:color w:val="000003"/>
          <w:sz w:val="16"/>
        </w:rPr>
        <w:t xml:space="preserve">119435, Moscow, Pogodinskaya str., 1, bld. 1. </w:t>
      </w:r>
    </w:p>
    <w:p w:rsidR="002D5C2A" w:rsidRDefault="00280B42">
      <w:pPr>
        <w:spacing w:after="3" w:line="241" w:lineRule="auto"/>
        <w:ind w:left="-5" w:hanging="10"/>
        <w:jc w:val="both"/>
      </w:pPr>
      <w:r>
        <w:rPr>
          <w:rFonts w:ascii="Times New Roman" w:eastAsia="Times New Roman" w:hAnsi="Times New Roman" w:cs="Times New Roman"/>
          <w:color w:val="000003"/>
          <w:sz w:val="16"/>
        </w:rPr>
        <w:t>ORCID: https://orcid.org/0000-0002-1395-9566</w:t>
      </w:r>
    </w:p>
    <w:p w:rsidR="002D5C2A" w:rsidRDefault="002D5C2A">
      <w:pPr>
        <w:sectPr w:rsidR="002D5C2A">
          <w:type w:val="continuous"/>
          <w:pgSz w:w="11906" w:h="15874"/>
          <w:pgMar w:top="1050" w:right="1133" w:bottom="1572" w:left="1134" w:header="720" w:footer="720" w:gutter="0"/>
          <w:cols w:num="2" w:space="180"/>
        </w:sectPr>
      </w:pPr>
    </w:p>
    <w:p w:rsidR="002D5C2A" w:rsidRDefault="00280B42">
      <w:pPr>
        <w:spacing w:after="0" w:line="265" w:lineRule="auto"/>
        <w:ind w:left="10" w:right="-15" w:hanging="10"/>
        <w:jc w:val="right"/>
      </w:pPr>
      <w:r>
        <w:rPr>
          <w:rFonts w:ascii="Times New Roman" w:eastAsia="Times New Roman" w:hAnsi="Times New Roman" w:cs="Times New Roman"/>
          <w:color w:val="000003"/>
          <w:sz w:val="19"/>
        </w:rPr>
        <w:t>Поступила: 07.09.2020 Принята: 30.09.2020 Опубликована: 30.10.2020</w:t>
      </w:r>
    </w:p>
    <w:p w:rsidR="002D5C2A" w:rsidRDefault="00280B42">
      <w:pPr>
        <w:spacing w:after="2553" w:line="265" w:lineRule="auto"/>
        <w:ind w:left="10" w:right="-15" w:hanging="10"/>
        <w:jc w:val="right"/>
      </w:pPr>
      <w:r>
        <w:rPr>
          <w:rFonts w:ascii="Times New Roman" w:eastAsia="Times New Roman" w:hAnsi="Times New Roman" w:cs="Times New Roman"/>
          <w:color w:val="000003"/>
          <w:sz w:val="19"/>
        </w:rPr>
        <w:t>Submitted: 07.09.2020 Accepted: 30.09.2020 Published: 30.10.2020</w:t>
      </w:r>
    </w:p>
    <w:p w:rsidR="002D5C2A" w:rsidRDefault="00280B42">
      <w:pPr>
        <w:spacing w:after="3" w:line="241" w:lineRule="auto"/>
        <w:ind w:left="-5" w:hanging="10"/>
        <w:jc w:val="both"/>
      </w:pPr>
      <w:r>
        <w:rPr>
          <w:rFonts w:ascii="Times New Roman" w:eastAsia="Times New Roman" w:hAnsi="Times New Roman" w:cs="Times New Roman"/>
          <w:color w:val="000003"/>
          <w:sz w:val="16"/>
        </w:rPr>
        <w:t>* Автор, ответственный за переписку / Corresponding author</w:t>
      </w:r>
    </w:p>
    <w:sectPr w:rsidR="002D5C2A">
      <w:type w:val="continuous"/>
      <w:pgSz w:w="11906" w:h="15874"/>
      <w:pgMar w:top="1050" w:right="1134" w:bottom="1201"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00000" w:rsidRDefault="00280B42">
      <w:pPr>
        <w:spacing w:after="0" w:line="240" w:lineRule="auto"/>
      </w:pPr>
      <w:r>
        <w:separator/>
      </w:r>
    </w:p>
  </w:endnote>
  <w:endnote w:type="continuationSeparator" w:id="0">
    <w:p w:rsidR="00000000" w:rsidRDefault="00280B4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D5C2A" w:rsidRDefault="00280B42">
    <w:pPr>
      <w:tabs>
        <w:tab w:val="right" w:pos="9638"/>
      </w:tabs>
      <w:spacing w:after="0"/>
      <w:ind w:left="-206"/>
    </w:pPr>
    <w:r>
      <w:rPr>
        <w:noProof/>
      </w:rPr>
      <mc:AlternateContent>
        <mc:Choice Requires="wpg">
          <w:drawing>
            <wp:anchor distT="0" distB="0" distL="114300" distR="114300" simplePos="0" relativeHeight="251664384" behindDoc="0" locked="0" layoutInCell="1" allowOverlap="1">
              <wp:simplePos x="0" y="0"/>
              <wp:positionH relativeFrom="page">
                <wp:posOffset>720000</wp:posOffset>
              </wp:positionH>
              <wp:positionV relativeFrom="page">
                <wp:posOffset>9504003</wp:posOffset>
              </wp:positionV>
              <wp:extent cx="6120003" cy="3810"/>
              <wp:effectExtent l="0" t="0" r="0" b="0"/>
              <wp:wrapSquare wrapText="bothSides"/>
              <wp:docPr id="46702" name="Group 46702"/>
              <wp:cNvGraphicFramePr/>
              <a:graphic xmlns:a="http://schemas.openxmlformats.org/drawingml/2006/main">
                <a:graphicData uri="http://schemas.microsoft.com/office/word/2010/wordprocessingGroup">
                  <wpg:wgp>
                    <wpg:cNvGrpSpPr/>
                    <wpg:grpSpPr>
                      <a:xfrm>
                        <a:off x="0" y="0"/>
                        <a:ext cx="6120003" cy="3810"/>
                        <a:chOff x="0" y="0"/>
                        <a:chExt cx="6120003" cy="3810"/>
                      </a:xfrm>
                    </wpg:grpSpPr>
                    <wps:wsp>
                      <wps:cNvPr id="46703" name="Shape 46703"/>
                      <wps:cNvSpPr/>
                      <wps:spPr>
                        <a:xfrm>
                          <a:off x="0" y="0"/>
                          <a:ext cx="6120003" cy="0"/>
                        </a:xfrm>
                        <a:custGeom>
                          <a:avLst/>
                          <a:gdLst/>
                          <a:ahLst/>
                          <a:cxnLst/>
                          <a:rect l="0" t="0" r="0" b="0"/>
                          <a:pathLst>
                            <a:path w="6120003">
                              <a:moveTo>
                                <a:pt x="0" y="0"/>
                              </a:moveTo>
                              <a:lnTo>
                                <a:pt x="6120003" y="0"/>
                              </a:lnTo>
                            </a:path>
                          </a:pathLst>
                        </a:custGeom>
                        <a:ln w="3810" cap="flat">
                          <a:miter lim="100000"/>
                        </a:ln>
                      </wps:spPr>
                      <wps:style>
                        <a:lnRef idx="1">
                          <a:srgbClr val="000003"/>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46702" style="width:481.89pt;height:0.3pt;position:absolute;mso-position-horizontal-relative:page;mso-position-horizontal:absolute;margin-left:56.6929pt;mso-position-vertical-relative:page;margin-top:748.347pt;" coordsize="61200,38">
              <v:shape id="Shape 46703" style="position:absolute;width:61200;height:0;left:0;top:0;" coordsize="6120003,0" path="m0,0l6120003,0">
                <v:stroke weight="0.3pt" endcap="flat" joinstyle="miter" miterlimit="4" on="true" color="#000003"/>
                <v:fill on="false" color="#000000" opacity="0"/>
              </v:shape>
              <w10:wrap type="square"/>
            </v:group>
          </w:pict>
        </mc:Fallback>
      </mc:AlternateContent>
    </w:r>
    <w:r>
      <w:fldChar w:fldCharType="begin"/>
    </w:r>
    <w:r>
      <w:instrText xml:space="preserve"> PAGE   \* MERGEFORMAT </w:instrText>
    </w:r>
    <w:r>
      <w:fldChar w:fldCharType="separate"/>
    </w:r>
    <w:r>
      <w:rPr>
        <w:color w:val="000003"/>
        <w:sz w:val="24"/>
      </w:rPr>
      <w:t>64</w:t>
    </w:r>
    <w:r>
      <w:rPr>
        <w:color w:val="000003"/>
        <w:sz w:val="24"/>
      </w:rPr>
      <w:fldChar w:fldCharType="end"/>
    </w:r>
    <w:r>
      <w:rPr>
        <w:color w:val="000003"/>
        <w:sz w:val="24"/>
      </w:rPr>
      <w:tab/>
    </w:r>
    <w:r>
      <w:rPr>
        <w:rFonts w:ascii="Times New Roman" w:eastAsia="Times New Roman" w:hAnsi="Times New Roman" w:cs="Times New Roman"/>
        <w:color w:val="000003"/>
        <w:sz w:val="17"/>
      </w:rPr>
      <w:t>Рос журн гастроэнтерол гепатол колопроктол 2020; 30(5) / Rus J Gastroenterol Hepatol Coloproctol 2020; 30(5)</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D5C2A" w:rsidRDefault="00280B42">
    <w:pPr>
      <w:tabs>
        <w:tab w:val="right" w:pos="9845"/>
      </w:tabs>
      <w:spacing w:after="0"/>
      <w:ind w:right="-207"/>
    </w:pPr>
    <w:r>
      <w:rPr>
        <w:noProof/>
      </w:rPr>
      <mc:AlternateContent>
        <mc:Choice Requires="wpg">
          <w:drawing>
            <wp:anchor distT="0" distB="0" distL="114300" distR="114300" simplePos="0" relativeHeight="251665408" behindDoc="0" locked="0" layoutInCell="1" allowOverlap="1">
              <wp:simplePos x="0" y="0"/>
              <wp:positionH relativeFrom="page">
                <wp:posOffset>720000</wp:posOffset>
              </wp:positionH>
              <wp:positionV relativeFrom="page">
                <wp:posOffset>9504003</wp:posOffset>
              </wp:positionV>
              <wp:extent cx="6120003" cy="3810"/>
              <wp:effectExtent l="0" t="0" r="0" b="0"/>
              <wp:wrapSquare wrapText="bothSides"/>
              <wp:docPr id="46674" name="Group 46674"/>
              <wp:cNvGraphicFramePr/>
              <a:graphic xmlns:a="http://schemas.openxmlformats.org/drawingml/2006/main">
                <a:graphicData uri="http://schemas.microsoft.com/office/word/2010/wordprocessingGroup">
                  <wpg:wgp>
                    <wpg:cNvGrpSpPr/>
                    <wpg:grpSpPr>
                      <a:xfrm>
                        <a:off x="0" y="0"/>
                        <a:ext cx="6120003" cy="3810"/>
                        <a:chOff x="0" y="0"/>
                        <a:chExt cx="6120003" cy="3810"/>
                      </a:xfrm>
                    </wpg:grpSpPr>
                    <wps:wsp>
                      <wps:cNvPr id="46675" name="Shape 46675"/>
                      <wps:cNvSpPr/>
                      <wps:spPr>
                        <a:xfrm>
                          <a:off x="0" y="0"/>
                          <a:ext cx="6120003" cy="0"/>
                        </a:xfrm>
                        <a:custGeom>
                          <a:avLst/>
                          <a:gdLst/>
                          <a:ahLst/>
                          <a:cxnLst/>
                          <a:rect l="0" t="0" r="0" b="0"/>
                          <a:pathLst>
                            <a:path w="6120003">
                              <a:moveTo>
                                <a:pt x="0" y="0"/>
                              </a:moveTo>
                              <a:lnTo>
                                <a:pt x="6120003" y="0"/>
                              </a:lnTo>
                            </a:path>
                          </a:pathLst>
                        </a:custGeom>
                        <a:ln w="3810" cap="flat">
                          <a:miter lim="100000"/>
                        </a:ln>
                      </wps:spPr>
                      <wps:style>
                        <a:lnRef idx="1">
                          <a:srgbClr val="000003"/>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46674" style="width:481.89pt;height:0.3pt;position:absolute;mso-position-horizontal-relative:page;mso-position-horizontal:absolute;margin-left:56.6929pt;mso-position-vertical-relative:page;margin-top:748.347pt;" coordsize="61200,38">
              <v:shape id="Shape 46675" style="position:absolute;width:61200;height:0;left:0;top:0;" coordsize="6120003,0" path="m0,0l6120003,0">
                <v:stroke weight="0.3pt" endcap="flat" joinstyle="miter" miterlimit="4" on="true" color="#000003"/>
                <v:fill on="false" color="#000000" opacity="0"/>
              </v:shape>
              <w10:wrap type="square"/>
            </v:group>
          </w:pict>
        </mc:Fallback>
      </mc:AlternateContent>
    </w:r>
    <w:r>
      <w:rPr>
        <w:rFonts w:ascii="Times New Roman" w:eastAsia="Times New Roman" w:hAnsi="Times New Roman" w:cs="Times New Roman"/>
        <w:color w:val="000003"/>
        <w:sz w:val="17"/>
      </w:rPr>
      <w:t>Рос журн гастроэнтерол гепатол колопроктол 2020; 30(5) / Rus J Gastroenterol Hepatol Coloproctol 202</w:t>
    </w:r>
    <w:r>
      <w:rPr>
        <w:rFonts w:ascii="Times New Roman" w:eastAsia="Times New Roman" w:hAnsi="Times New Roman" w:cs="Times New Roman"/>
        <w:color w:val="000003"/>
        <w:sz w:val="17"/>
      </w:rPr>
      <w:t>0; 30(5)</w:t>
    </w:r>
    <w:r>
      <w:rPr>
        <w:rFonts w:ascii="Times New Roman" w:eastAsia="Times New Roman" w:hAnsi="Times New Roman" w:cs="Times New Roman"/>
        <w:color w:val="000003"/>
        <w:sz w:val="17"/>
      </w:rPr>
      <w:tab/>
    </w:r>
    <w:r>
      <w:fldChar w:fldCharType="begin"/>
    </w:r>
    <w:r>
      <w:instrText xml:space="preserve"> PAGE   \* MERGEFORMAT </w:instrText>
    </w:r>
    <w:r>
      <w:fldChar w:fldCharType="separate"/>
    </w:r>
    <w:r w:rsidRPr="00280B42">
      <w:rPr>
        <w:noProof/>
        <w:color w:val="000003"/>
        <w:sz w:val="24"/>
      </w:rPr>
      <w:t>63</w:t>
    </w:r>
    <w:r>
      <w:rPr>
        <w:color w:val="000003"/>
        <w:sz w:val="2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D5C2A" w:rsidRDefault="00280B42">
    <w:pPr>
      <w:tabs>
        <w:tab w:val="right" w:pos="9845"/>
      </w:tabs>
      <w:spacing w:after="0"/>
      <w:ind w:right="-207"/>
    </w:pPr>
    <w:r>
      <w:rPr>
        <w:noProof/>
      </w:rPr>
      <mc:AlternateContent>
        <mc:Choice Requires="wpg">
          <w:drawing>
            <wp:anchor distT="0" distB="0" distL="114300" distR="114300" simplePos="0" relativeHeight="251666432" behindDoc="0" locked="0" layoutInCell="1" allowOverlap="1">
              <wp:simplePos x="0" y="0"/>
              <wp:positionH relativeFrom="page">
                <wp:posOffset>720000</wp:posOffset>
              </wp:positionH>
              <wp:positionV relativeFrom="page">
                <wp:posOffset>9504003</wp:posOffset>
              </wp:positionV>
              <wp:extent cx="6120003" cy="3810"/>
              <wp:effectExtent l="0" t="0" r="0" b="0"/>
              <wp:wrapSquare wrapText="bothSides"/>
              <wp:docPr id="46646" name="Group 46646"/>
              <wp:cNvGraphicFramePr/>
              <a:graphic xmlns:a="http://schemas.openxmlformats.org/drawingml/2006/main">
                <a:graphicData uri="http://schemas.microsoft.com/office/word/2010/wordprocessingGroup">
                  <wpg:wgp>
                    <wpg:cNvGrpSpPr/>
                    <wpg:grpSpPr>
                      <a:xfrm>
                        <a:off x="0" y="0"/>
                        <a:ext cx="6120003" cy="3810"/>
                        <a:chOff x="0" y="0"/>
                        <a:chExt cx="6120003" cy="3810"/>
                      </a:xfrm>
                    </wpg:grpSpPr>
                    <wps:wsp>
                      <wps:cNvPr id="46647" name="Shape 46647"/>
                      <wps:cNvSpPr/>
                      <wps:spPr>
                        <a:xfrm>
                          <a:off x="0" y="0"/>
                          <a:ext cx="6120003" cy="0"/>
                        </a:xfrm>
                        <a:custGeom>
                          <a:avLst/>
                          <a:gdLst/>
                          <a:ahLst/>
                          <a:cxnLst/>
                          <a:rect l="0" t="0" r="0" b="0"/>
                          <a:pathLst>
                            <a:path w="6120003">
                              <a:moveTo>
                                <a:pt x="0" y="0"/>
                              </a:moveTo>
                              <a:lnTo>
                                <a:pt x="6120003" y="0"/>
                              </a:lnTo>
                            </a:path>
                          </a:pathLst>
                        </a:custGeom>
                        <a:ln w="3810" cap="flat">
                          <a:miter lim="100000"/>
                        </a:ln>
                      </wps:spPr>
                      <wps:style>
                        <a:lnRef idx="1">
                          <a:srgbClr val="000003"/>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46646" style="width:481.89pt;height:0.3pt;position:absolute;mso-position-horizontal-relative:page;mso-position-horizontal:absolute;margin-left:56.6929pt;mso-position-vertical-relative:page;margin-top:748.347pt;" coordsize="61200,38">
              <v:shape id="Shape 46647" style="position:absolute;width:61200;height:0;left:0;top:0;" coordsize="6120003,0" path="m0,0l6120003,0">
                <v:stroke weight="0.3pt" endcap="flat" joinstyle="miter" miterlimit="4" on="true" color="#000003"/>
                <v:fill on="false" color="#000000" opacity="0"/>
              </v:shape>
              <w10:wrap type="square"/>
            </v:group>
          </w:pict>
        </mc:Fallback>
      </mc:AlternateContent>
    </w:r>
    <w:r>
      <w:rPr>
        <w:rFonts w:ascii="Times New Roman" w:eastAsia="Times New Roman" w:hAnsi="Times New Roman" w:cs="Times New Roman"/>
        <w:color w:val="000003"/>
        <w:sz w:val="17"/>
      </w:rPr>
      <w:t>Рос журн гастроэнтерол гепатол колопроктол 2020; 30(5) / Rus J Gastroenterol Hepatol Coloproctol 2020; 30(5)</w:t>
    </w:r>
    <w:r>
      <w:rPr>
        <w:rFonts w:ascii="Times New Roman" w:eastAsia="Times New Roman" w:hAnsi="Times New Roman" w:cs="Times New Roman"/>
        <w:color w:val="000003"/>
        <w:sz w:val="17"/>
      </w:rPr>
      <w:tab/>
    </w:r>
    <w:r>
      <w:fldChar w:fldCharType="begin"/>
    </w:r>
    <w:r>
      <w:instrText xml:space="preserve"> PAGE   \* MERGEFORMAT </w:instrText>
    </w:r>
    <w:r>
      <w:fldChar w:fldCharType="separate"/>
    </w:r>
    <w:r>
      <w:rPr>
        <w:color w:val="000003"/>
        <w:sz w:val="24"/>
      </w:rPr>
      <w:t>63</w:t>
    </w:r>
    <w:r>
      <w:rPr>
        <w:color w:val="000003"/>
        <w:sz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00000" w:rsidRDefault="00280B42">
      <w:pPr>
        <w:spacing w:after="0" w:line="240" w:lineRule="auto"/>
      </w:pPr>
      <w:r>
        <w:separator/>
      </w:r>
    </w:p>
  </w:footnote>
  <w:footnote w:type="continuationSeparator" w:id="0">
    <w:p w:rsidR="00000000" w:rsidRDefault="00280B4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134" w:tblpY="532"/>
      <w:tblOverlap w:val="never"/>
      <w:tblW w:w="6576" w:type="dxa"/>
      <w:tblInd w:w="0" w:type="dxa"/>
      <w:tblCellMar>
        <w:top w:w="11" w:type="dxa"/>
        <w:left w:w="57" w:type="dxa"/>
        <w:bottom w:w="0" w:type="dxa"/>
        <w:right w:w="115" w:type="dxa"/>
      </w:tblCellMar>
      <w:tblLook w:val="04A0" w:firstRow="1" w:lastRow="0" w:firstColumn="1" w:lastColumn="0" w:noHBand="0" w:noVBand="1"/>
    </w:tblPr>
    <w:tblGrid>
      <w:gridCol w:w="6576"/>
    </w:tblGrid>
    <w:tr w:rsidR="002D5C2A">
      <w:trPr>
        <w:trHeight w:val="240"/>
      </w:trPr>
      <w:tc>
        <w:tcPr>
          <w:tcW w:w="6576" w:type="dxa"/>
          <w:tcBorders>
            <w:top w:val="nil"/>
            <w:left w:val="nil"/>
            <w:bottom w:val="nil"/>
            <w:right w:val="nil"/>
          </w:tcBorders>
          <w:shd w:val="clear" w:color="auto" w:fill="EFEFF0"/>
        </w:tcPr>
        <w:p w:rsidR="002D5C2A" w:rsidRDefault="00280B42">
          <w:pPr>
            <w:spacing w:after="0"/>
          </w:pPr>
          <w:r>
            <w:rPr>
              <w:rFonts w:ascii="Garamond" w:eastAsia="Garamond" w:hAnsi="Garamond" w:cs="Garamond"/>
              <w:color w:val="000003"/>
              <w:sz w:val="20"/>
            </w:rPr>
            <w:t>Клинические рекомендации / Clinical guidelines</w:t>
          </w:r>
        </w:p>
      </w:tc>
    </w:tr>
  </w:tbl>
  <w:p w:rsidR="002D5C2A" w:rsidRDefault="00280B42">
    <w:pPr>
      <w:spacing w:after="0"/>
      <w:jc w:val="right"/>
    </w:pPr>
    <w:r>
      <w:rPr>
        <w:noProof/>
      </w:rPr>
      <mc:AlternateContent>
        <mc:Choice Requires="wpg">
          <w:drawing>
            <wp:anchor distT="0" distB="0" distL="114300" distR="114300" simplePos="0" relativeHeight="251658240" behindDoc="0" locked="0" layoutInCell="1" allowOverlap="1">
              <wp:simplePos x="0" y="0"/>
              <wp:positionH relativeFrom="page">
                <wp:posOffset>720000</wp:posOffset>
              </wp:positionH>
              <wp:positionV relativeFrom="page">
                <wp:posOffset>288003</wp:posOffset>
              </wp:positionV>
              <wp:extent cx="6120003" cy="3810"/>
              <wp:effectExtent l="0" t="0" r="0" b="0"/>
              <wp:wrapSquare wrapText="bothSides"/>
              <wp:docPr id="46690" name="Group 46690"/>
              <wp:cNvGraphicFramePr/>
              <a:graphic xmlns:a="http://schemas.openxmlformats.org/drawingml/2006/main">
                <a:graphicData uri="http://schemas.microsoft.com/office/word/2010/wordprocessingGroup">
                  <wpg:wgp>
                    <wpg:cNvGrpSpPr/>
                    <wpg:grpSpPr>
                      <a:xfrm>
                        <a:off x="0" y="0"/>
                        <a:ext cx="6120003" cy="3810"/>
                        <a:chOff x="0" y="0"/>
                        <a:chExt cx="6120003" cy="3810"/>
                      </a:xfrm>
                    </wpg:grpSpPr>
                    <wps:wsp>
                      <wps:cNvPr id="46691" name="Shape 46691"/>
                      <wps:cNvSpPr/>
                      <wps:spPr>
                        <a:xfrm>
                          <a:off x="0" y="0"/>
                          <a:ext cx="6120003" cy="0"/>
                        </a:xfrm>
                        <a:custGeom>
                          <a:avLst/>
                          <a:gdLst/>
                          <a:ahLst/>
                          <a:cxnLst/>
                          <a:rect l="0" t="0" r="0" b="0"/>
                          <a:pathLst>
                            <a:path w="6120003">
                              <a:moveTo>
                                <a:pt x="0" y="0"/>
                              </a:moveTo>
                              <a:lnTo>
                                <a:pt x="6120003" y="0"/>
                              </a:lnTo>
                            </a:path>
                          </a:pathLst>
                        </a:custGeom>
                        <a:ln w="3810" cap="flat">
                          <a:miter lim="100000"/>
                        </a:ln>
                      </wps:spPr>
                      <wps:style>
                        <a:lnRef idx="1">
                          <a:srgbClr val="009EE4"/>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46690" style="width:481.89pt;height:0.3pt;position:absolute;mso-position-horizontal-relative:page;mso-position-horizontal:absolute;margin-left:56.6929pt;mso-position-vertical-relative:page;margin-top:22.6774pt;" coordsize="61200,38">
              <v:shape id="Shape 46691" style="position:absolute;width:61200;height:0;left:0;top:0;" coordsize="6120003,0" path="m0,0l6120003,0">
                <v:stroke weight="0.3pt" endcap="flat" joinstyle="miter" miterlimit="4" on="true" color="#009ee4"/>
                <v:fill on="false" color="#000000" opacity="0"/>
              </v:shape>
              <w10:wrap type="square"/>
            </v:group>
          </w:pict>
        </mc:Fallback>
      </mc:AlternateContent>
    </w:r>
    <w:r>
      <w:rPr>
        <w:noProof/>
      </w:rPr>
      <mc:AlternateContent>
        <mc:Choice Requires="wpg">
          <w:drawing>
            <wp:anchor distT="0" distB="0" distL="114300" distR="114300" simplePos="0" relativeHeight="251659264" behindDoc="0" locked="0" layoutInCell="1" allowOverlap="1">
              <wp:simplePos x="0" y="0"/>
              <wp:positionH relativeFrom="page">
                <wp:posOffset>720000</wp:posOffset>
              </wp:positionH>
              <wp:positionV relativeFrom="page">
                <wp:posOffset>540003</wp:posOffset>
              </wp:positionV>
              <wp:extent cx="6120003" cy="3810"/>
              <wp:effectExtent l="0" t="0" r="0" b="0"/>
              <wp:wrapSquare wrapText="bothSides"/>
              <wp:docPr id="46692" name="Group 46692"/>
              <wp:cNvGraphicFramePr/>
              <a:graphic xmlns:a="http://schemas.openxmlformats.org/drawingml/2006/main">
                <a:graphicData uri="http://schemas.microsoft.com/office/word/2010/wordprocessingGroup">
                  <wpg:wgp>
                    <wpg:cNvGrpSpPr/>
                    <wpg:grpSpPr>
                      <a:xfrm>
                        <a:off x="0" y="0"/>
                        <a:ext cx="6120003" cy="3810"/>
                        <a:chOff x="0" y="0"/>
                        <a:chExt cx="6120003" cy="3810"/>
                      </a:xfrm>
                    </wpg:grpSpPr>
                    <wps:wsp>
                      <wps:cNvPr id="46693" name="Shape 46693"/>
                      <wps:cNvSpPr/>
                      <wps:spPr>
                        <a:xfrm>
                          <a:off x="0" y="0"/>
                          <a:ext cx="6120003" cy="0"/>
                        </a:xfrm>
                        <a:custGeom>
                          <a:avLst/>
                          <a:gdLst/>
                          <a:ahLst/>
                          <a:cxnLst/>
                          <a:rect l="0" t="0" r="0" b="0"/>
                          <a:pathLst>
                            <a:path w="6120003">
                              <a:moveTo>
                                <a:pt x="0" y="0"/>
                              </a:moveTo>
                              <a:lnTo>
                                <a:pt x="6120003" y="0"/>
                              </a:lnTo>
                            </a:path>
                          </a:pathLst>
                        </a:custGeom>
                        <a:ln w="3810" cap="flat">
                          <a:miter lim="100000"/>
                        </a:ln>
                      </wps:spPr>
                      <wps:style>
                        <a:lnRef idx="1">
                          <a:srgbClr val="009EE4"/>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46692" style="width:481.89pt;height:0.3pt;position:absolute;mso-position-horizontal-relative:page;mso-position-horizontal:absolute;margin-left:56.6929pt;mso-position-vertical-relative:page;margin-top:42.5199pt;" coordsize="61200,38">
              <v:shape id="Shape 46693" style="position:absolute;width:61200;height:0;left:0;top:0;" coordsize="6120003,0" path="m0,0l6120003,0">
                <v:stroke weight="0.3pt" endcap="flat" joinstyle="miter" miterlimit="4" on="true" color="#009ee4"/>
                <v:fill on="false" color="#000000" opacity="0"/>
              </v:shape>
              <w10:wrap type="square"/>
            </v:group>
          </w:pict>
        </mc:Fallback>
      </mc:AlternateContent>
    </w:r>
    <w:r>
      <w:rPr>
        <w:rFonts w:ascii="Times New Roman" w:eastAsia="Times New Roman" w:hAnsi="Times New Roman" w:cs="Times New Roman"/>
        <w:color w:val="000003"/>
        <w:sz w:val="18"/>
      </w:rPr>
      <w:t>www.gastro-j.ru</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4195" w:tblpY="532"/>
      <w:tblOverlap w:val="never"/>
      <w:tblW w:w="6576" w:type="dxa"/>
      <w:tblInd w:w="0" w:type="dxa"/>
      <w:tblCellMar>
        <w:top w:w="11" w:type="dxa"/>
        <w:left w:w="115" w:type="dxa"/>
        <w:bottom w:w="0" w:type="dxa"/>
        <w:right w:w="68" w:type="dxa"/>
      </w:tblCellMar>
      <w:tblLook w:val="04A0" w:firstRow="1" w:lastRow="0" w:firstColumn="1" w:lastColumn="0" w:noHBand="0" w:noVBand="1"/>
    </w:tblPr>
    <w:tblGrid>
      <w:gridCol w:w="6576"/>
    </w:tblGrid>
    <w:tr w:rsidR="002D5C2A">
      <w:trPr>
        <w:trHeight w:val="240"/>
      </w:trPr>
      <w:tc>
        <w:tcPr>
          <w:tcW w:w="6576" w:type="dxa"/>
          <w:tcBorders>
            <w:top w:val="nil"/>
            <w:left w:val="nil"/>
            <w:bottom w:val="nil"/>
            <w:right w:val="nil"/>
          </w:tcBorders>
          <w:shd w:val="clear" w:color="auto" w:fill="EFEFF0"/>
        </w:tcPr>
        <w:p w:rsidR="002D5C2A" w:rsidRDefault="00280B42">
          <w:pPr>
            <w:spacing w:after="0"/>
            <w:jc w:val="right"/>
          </w:pPr>
          <w:r>
            <w:rPr>
              <w:rFonts w:ascii="Garamond" w:eastAsia="Garamond" w:hAnsi="Garamond" w:cs="Garamond"/>
              <w:color w:val="000003"/>
              <w:sz w:val="20"/>
            </w:rPr>
            <w:t>Клинические рекомендации / Clinical guidelines</w:t>
          </w:r>
        </w:p>
      </w:tc>
    </w:tr>
  </w:tbl>
  <w:p w:rsidR="002D5C2A" w:rsidRDefault="00280B42">
    <w:pPr>
      <w:spacing w:after="0"/>
    </w:pPr>
    <w:r>
      <w:rPr>
        <w:noProof/>
      </w:rPr>
      <mc:AlternateContent>
        <mc:Choice Requires="wpg">
          <w:drawing>
            <wp:anchor distT="0" distB="0" distL="114300" distR="114300" simplePos="0" relativeHeight="251660288" behindDoc="0" locked="0" layoutInCell="1" allowOverlap="1">
              <wp:simplePos x="0" y="0"/>
              <wp:positionH relativeFrom="page">
                <wp:posOffset>720000</wp:posOffset>
              </wp:positionH>
              <wp:positionV relativeFrom="page">
                <wp:posOffset>288003</wp:posOffset>
              </wp:positionV>
              <wp:extent cx="6120003" cy="3810"/>
              <wp:effectExtent l="0" t="0" r="0" b="0"/>
              <wp:wrapSquare wrapText="bothSides"/>
              <wp:docPr id="46662" name="Group 46662"/>
              <wp:cNvGraphicFramePr/>
              <a:graphic xmlns:a="http://schemas.openxmlformats.org/drawingml/2006/main">
                <a:graphicData uri="http://schemas.microsoft.com/office/word/2010/wordprocessingGroup">
                  <wpg:wgp>
                    <wpg:cNvGrpSpPr/>
                    <wpg:grpSpPr>
                      <a:xfrm>
                        <a:off x="0" y="0"/>
                        <a:ext cx="6120003" cy="3810"/>
                        <a:chOff x="0" y="0"/>
                        <a:chExt cx="6120003" cy="3810"/>
                      </a:xfrm>
                    </wpg:grpSpPr>
                    <wps:wsp>
                      <wps:cNvPr id="46663" name="Shape 46663"/>
                      <wps:cNvSpPr/>
                      <wps:spPr>
                        <a:xfrm>
                          <a:off x="0" y="0"/>
                          <a:ext cx="6120003" cy="0"/>
                        </a:xfrm>
                        <a:custGeom>
                          <a:avLst/>
                          <a:gdLst/>
                          <a:ahLst/>
                          <a:cxnLst/>
                          <a:rect l="0" t="0" r="0" b="0"/>
                          <a:pathLst>
                            <a:path w="6120003">
                              <a:moveTo>
                                <a:pt x="0" y="0"/>
                              </a:moveTo>
                              <a:lnTo>
                                <a:pt x="6120003" y="0"/>
                              </a:lnTo>
                            </a:path>
                          </a:pathLst>
                        </a:custGeom>
                        <a:ln w="3810" cap="flat">
                          <a:miter lim="100000"/>
                        </a:ln>
                      </wps:spPr>
                      <wps:style>
                        <a:lnRef idx="1">
                          <a:srgbClr val="009EE4"/>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46662" style="width:481.89pt;height:0.3pt;position:absolute;mso-position-horizontal-relative:page;mso-position-horizontal:absolute;margin-left:56.6929pt;mso-position-vertical-relative:page;margin-top:22.6774pt;" coordsize="61200,38">
              <v:shape id="Shape 46663" style="position:absolute;width:61200;height:0;left:0;top:0;" coordsize="6120003,0" path="m0,0l6120003,0">
                <v:stroke weight="0.3pt" endcap="flat" joinstyle="miter" miterlimit="4" on="true" color="#009ee4"/>
                <v:fill on="false" color="#000000" opacity="0"/>
              </v:shape>
              <w10:wrap type="square"/>
            </v:group>
          </w:pict>
        </mc:Fallback>
      </mc:AlternateContent>
    </w:r>
    <w:r>
      <w:rPr>
        <w:noProof/>
      </w:rPr>
      <mc:AlternateContent>
        <mc:Choice Requires="wpg">
          <w:drawing>
            <wp:anchor distT="0" distB="0" distL="114300" distR="114300" simplePos="0" relativeHeight="251661312" behindDoc="0" locked="0" layoutInCell="1" allowOverlap="1">
              <wp:simplePos x="0" y="0"/>
              <wp:positionH relativeFrom="page">
                <wp:posOffset>720000</wp:posOffset>
              </wp:positionH>
              <wp:positionV relativeFrom="page">
                <wp:posOffset>540003</wp:posOffset>
              </wp:positionV>
              <wp:extent cx="6120003" cy="3810"/>
              <wp:effectExtent l="0" t="0" r="0" b="0"/>
              <wp:wrapSquare wrapText="bothSides"/>
              <wp:docPr id="46664" name="Group 46664"/>
              <wp:cNvGraphicFramePr/>
              <a:graphic xmlns:a="http://schemas.openxmlformats.org/drawingml/2006/main">
                <a:graphicData uri="http://schemas.microsoft.com/office/word/2010/wordprocessingGroup">
                  <wpg:wgp>
                    <wpg:cNvGrpSpPr/>
                    <wpg:grpSpPr>
                      <a:xfrm>
                        <a:off x="0" y="0"/>
                        <a:ext cx="6120003" cy="3810"/>
                        <a:chOff x="0" y="0"/>
                        <a:chExt cx="6120003" cy="3810"/>
                      </a:xfrm>
                    </wpg:grpSpPr>
                    <wps:wsp>
                      <wps:cNvPr id="46665" name="Shape 46665"/>
                      <wps:cNvSpPr/>
                      <wps:spPr>
                        <a:xfrm>
                          <a:off x="0" y="0"/>
                          <a:ext cx="6120003" cy="0"/>
                        </a:xfrm>
                        <a:custGeom>
                          <a:avLst/>
                          <a:gdLst/>
                          <a:ahLst/>
                          <a:cxnLst/>
                          <a:rect l="0" t="0" r="0" b="0"/>
                          <a:pathLst>
                            <a:path w="6120003">
                              <a:moveTo>
                                <a:pt x="0" y="0"/>
                              </a:moveTo>
                              <a:lnTo>
                                <a:pt x="6120003" y="0"/>
                              </a:lnTo>
                            </a:path>
                          </a:pathLst>
                        </a:custGeom>
                        <a:ln w="3810" cap="flat">
                          <a:miter lim="100000"/>
                        </a:ln>
                      </wps:spPr>
                      <wps:style>
                        <a:lnRef idx="1">
                          <a:srgbClr val="009EE4"/>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46664" style="width:481.89pt;height:0.3pt;position:absolute;mso-position-horizontal-relative:page;mso-position-horizontal:absolute;margin-left:56.6929pt;mso-position-vertical-relative:page;margin-top:42.5199pt;" coordsize="61200,38">
              <v:shape id="Shape 46665" style="position:absolute;width:61200;height:0;left:0;top:0;" coordsize="6120003,0" path="m0,0l6120003,0">
                <v:stroke weight="0.3pt" endcap="flat" joinstyle="miter" miterlimit="4" on="true" color="#009ee4"/>
                <v:fill on="false" color="#000000" opacity="0"/>
              </v:shape>
              <w10:wrap type="square"/>
            </v:group>
          </w:pict>
        </mc:Fallback>
      </mc:AlternateContent>
    </w:r>
    <w:r>
      <w:rPr>
        <w:rFonts w:ascii="Times New Roman" w:eastAsia="Times New Roman" w:hAnsi="Times New Roman" w:cs="Times New Roman"/>
        <w:color w:val="000003"/>
        <w:sz w:val="18"/>
      </w:rPr>
      <w:t>www.gastro-j.ru</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4195" w:tblpY="532"/>
      <w:tblOverlap w:val="never"/>
      <w:tblW w:w="6576" w:type="dxa"/>
      <w:tblInd w:w="0" w:type="dxa"/>
      <w:tblCellMar>
        <w:top w:w="11" w:type="dxa"/>
        <w:left w:w="115" w:type="dxa"/>
        <w:bottom w:w="0" w:type="dxa"/>
        <w:right w:w="68" w:type="dxa"/>
      </w:tblCellMar>
      <w:tblLook w:val="04A0" w:firstRow="1" w:lastRow="0" w:firstColumn="1" w:lastColumn="0" w:noHBand="0" w:noVBand="1"/>
    </w:tblPr>
    <w:tblGrid>
      <w:gridCol w:w="6576"/>
    </w:tblGrid>
    <w:tr w:rsidR="002D5C2A">
      <w:trPr>
        <w:trHeight w:val="240"/>
      </w:trPr>
      <w:tc>
        <w:tcPr>
          <w:tcW w:w="6576" w:type="dxa"/>
          <w:tcBorders>
            <w:top w:val="nil"/>
            <w:left w:val="nil"/>
            <w:bottom w:val="nil"/>
            <w:right w:val="nil"/>
          </w:tcBorders>
          <w:shd w:val="clear" w:color="auto" w:fill="EFEFF0"/>
        </w:tcPr>
        <w:p w:rsidR="002D5C2A" w:rsidRDefault="00280B42">
          <w:pPr>
            <w:spacing w:after="0"/>
            <w:jc w:val="right"/>
          </w:pPr>
          <w:r>
            <w:rPr>
              <w:rFonts w:ascii="Garamond" w:eastAsia="Garamond" w:hAnsi="Garamond" w:cs="Garamond"/>
              <w:color w:val="000003"/>
              <w:sz w:val="20"/>
            </w:rPr>
            <w:t>Клинические рекомендации / Clinical guidelines</w:t>
          </w:r>
        </w:p>
      </w:tc>
    </w:tr>
  </w:tbl>
  <w:p w:rsidR="002D5C2A" w:rsidRDefault="00280B42">
    <w:pPr>
      <w:spacing w:after="0"/>
    </w:pPr>
    <w:r>
      <w:rPr>
        <w:noProof/>
      </w:rPr>
      <mc:AlternateContent>
        <mc:Choice Requires="wpg">
          <w:drawing>
            <wp:anchor distT="0" distB="0" distL="114300" distR="114300" simplePos="0" relativeHeight="251662336" behindDoc="0" locked="0" layoutInCell="1" allowOverlap="1">
              <wp:simplePos x="0" y="0"/>
              <wp:positionH relativeFrom="page">
                <wp:posOffset>720000</wp:posOffset>
              </wp:positionH>
              <wp:positionV relativeFrom="page">
                <wp:posOffset>288003</wp:posOffset>
              </wp:positionV>
              <wp:extent cx="6120003" cy="3810"/>
              <wp:effectExtent l="0" t="0" r="0" b="0"/>
              <wp:wrapSquare wrapText="bothSides"/>
              <wp:docPr id="46634" name="Group 46634"/>
              <wp:cNvGraphicFramePr/>
              <a:graphic xmlns:a="http://schemas.openxmlformats.org/drawingml/2006/main">
                <a:graphicData uri="http://schemas.microsoft.com/office/word/2010/wordprocessingGroup">
                  <wpg:wgp>
                    <wpg:cNvGrpSpPr/>
                    <wpg:grpSpPr>
                      <a:xfrm>
                        <a:off x="0" y="0"/>
                        <a:ext cx="6120003" cy="3810"/>
                        <a:chOff x="0" y="0"/>
                        <a:chExt cx="6120003" cy="3810"/>
                      </a:xfrm>
                    </wpg:grpSpPr>
                    <wps:wsp>
                      <wps:cNvPr id="46635" name="Shape 46635"/>
                      <wps:cNvSpPr/>
                      <wps:spPr>
                        <a:xfrm>
                          <a:off x="0" y="0"/>
                          <a:ext cx="6120003" cy="0"/>
                        </a:xfrm>
                        <a:custGeom>
                          <a:avLst/>
                          <a:gdLst/>
                          <a:ahLst/>
                          <a:cxnLst/>
                          <a:rect l="0" t="0" r="0" b="0"/>
                          <a:pathLst>
                            <a:path w="6120003">
                              <a:moveTo>
                                <a:pt x="0" y="0"/>
                              </a:moveTo>
                              <a:lnTo>
                                <a:pt x="6120003" y="0"/>
                              </a:lnTo>
                            </a:path>
                          </a:pathLst>
                        </a:custGeom>
                        <a:ln w="3810" cap="flat">
                          <a:miter lim="100000"/>
                        </a:ln>
                      </wps:spPr>
                      <wps:style>
                        <a:lnRef idx="1">
                          <a:srgbClr val="009EE4"/>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46634" style="width:481.89pt;height:0.3pt;position:absolute;mso-position-horizontal-relative:page;mso-position-horizontal:absolute;margin-left:56.6929pt;mso-position-vertical-relative:page;margin-top:22.6774pt;" coordsize="61200,38">
              <v:shape id="Shape 46635" style="position:absolute;width:61200;height:0;left:0;top:0;" coordsize="6120003,0" path="m0,0l6120003,0">
                <v:stroke weight="0.3pt" endcap="flat" joinstyle="miter" miterlimit="4" on="true" color="#009ee4"/>
                <v:fill on="false" color="#000000" opacity="0"/>
              </v:shape>
              <w10:wrap type="square"/>
            </v:group>
          </w:pict>
        </mc:Fallback>
      </mc:AlternateContent>
    </w:r>
    <w:r>
      <w:rPr>
        <w:noProof/>
      </w:rPr>
      <mc:AlternateContent>
        <mc:Choice Requires="wpg">
          <w:drawing>
            <wp:anchor distT="0" distB="0" distL="114300" distR="114300" simplePos="0" relativeHeight="251663360" behindDoc="0" locked="0" layoutInCell="1" allowOverlap="1">
              <wp:simplePos x="0" y="0"/>
              <wp:positionH relativeFrom="page">
                <wp:posOffset>720000</wp:posOffset>
              </wp:positionH>
              <wp:positionV relativeFrom="page">
                <wp:posOffset>540003</wp:posOffset>
              </wp:positionV>
              <wp:extent cx="6120003" cy="3810"/>
              <wp:effectExtent l="0" t="0" r="0" b="0"/>
              <wp:wrapSquare wrapText="bothSides"/>
              <wp:docPr id="46636" name="Group 46636"/>
              <wp:cNvGraphicFramePr/>
              <a:graphic xmlns:a="http://schemas.openxmlformats.org/drawingml/2006/main">
                <a:graphicData uri="http://schemas.microsoft.com/office/word/2010/wordprocessingGroup">
                  <wpg:wgp>
                    <wpg:cNvGrpSpPr/>
                    <wpg:grpSpPr>
                      <a:xfrm>
                        <a:off x="0" y="0"/>
                        <a:ext cx="6120003" cy="3810"/>
                        <a:chOff x="0" y="0"/>
                        <a:chExt cx="6120003" cy="3810"/>
                      </a:xfrm>
                    </wpg:grpSpPr>
                    <wps:wsp>
                      <wps:cNvPr id="46637" name="Shape 46637"/>
                      <wps:cNvSpPr/>
                      <wps:spPr>
                        <a:xfrm>
                          <a:off x="0" y="0"/>
                          <a:ext cx="6120003" cy="0"/>
                        </a:xfrm>
                        <a:custGeom>
                          <a:avLst/>
                          <a:gdLst/>
                          <a:ahLst/>
                          <a:cxnLst/>
                          <a:rect l="0" t="0" r="0" b="0"/>
                          <a:pathLst>
                            <a:path w="6120003">
                              <a:moveTo>
                                <a:pt x="0" y="0"/>
                              </a:moveTo>
                              <a:lnTo>
                                <a:pt x="6120003" y="0"/>
                              </a:lnTo>
                            </a:path>
                          </a:pathLst>
                        </a:custGeom>
                        <a:ln w="3810" cap="flat">
                          <a:miter lim="100000"/>
                        </a:ln>
                      </wps:spPr>
                      <wps:style>
                        <a:lnRef idx="1">
                          <a:srgbClr val="009EE4"/>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46636" style="width:481.89pt;height:0.3pt;position:absolute;mso-position-horizontal-relative:page;mso-position-horizontal:absolute;margin-left:56.6929pt;mso-position-vertical-relative:page;margin-top:42.5199pt;" coordsize="61200,38">
              <v:shape id="Shape 46637" style="position:absolute;width:61200;height:0;left:0;top:0;" coordsize="6120003,0" path="m0,0l6120003,0">
                <v:stroke weight="0.3pt" endcap="flat" joinstyle="miter" miterlimit="4" on="true" color="#009ee4"/>
                <v:fill on="false" color="#000000" opacity="0"/>
              </v:shape>
              <w10:wrap type="square"/>
            </v:group>
          </w:pict>
        </mc:Fallback>
      </mc:AlternateContent>
    </w:r>
    <w:r>
      <w:rPr>
        <w:rFonts w:ascii="Times New Roman" w:eastAsia="Times New Roman" w:hAnsi="Times New Roman" w:cs="Times New Roman"/>
        <w:color w:val="000003"/>
        <w:sz w:val="18"/>
      </w:rPr>
      <w:t>www.gastro-j.ru</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60050B"/>
    <w:multiLevelType w:val="hybridMultilevel"/>
    <w:tmpl w:val="64D0E892"/>
    <w:lvl w:ilvl="0" w:tplc="D7C40B82">
      <w:start w:val="1"/>
      <w:numFmt w:val="bullet"/>
      <w:lvlText w:val="•"/>
      <w:lvlJc w:val="left"/>
      <w:pPr>
        <w:ind w:left="0"/>
      </w:pPr>
      <w:rPr>
        <w:rFonts w:ascii="Times New Roman" w:eastAsia="Times New Roman" w:hAnsi="Times New Roman" w:cs="Times New Roman"/>
        <w:b w:val="0"/>
        <w:i w:val="0"/>
        <w:strike w:val="0"/>
        <w:dstrike w:val="0"/>
        <w:color w:val="000003"/>
        <w:sz w:val="19"/>
        <w:szCs w:val="19"/>
        <w:u w:val="none" w:color="000000"/>
        <w:bdr w:val="none" w:sz="0" w:space="0" w:color="auto"/>
        <w:shd w:val="clear" w:color="auto" w:fill="auto"/>
        <w:vertAlign w:val="baseline"/>
      </w:rPr>
    </w:lvl>
    <w:lvl w:ilvl="1" w:tplc="BF303E56">
      <w:start w:val="1"/>
      <w:numFmt w:val="bullet"/>
      <w:lvlText w:val="o"/>
      <w:lvlJc w:val="left"/>
      <w:pPr>
        <w:ind w:left="1364"/>
      </w:pPr>
      <w:rPr>
        <w:rFonts w:ascii="Times New Roman" w:eastAsia="Times New Roman" w:hAnsi="Times New Roman" w:cs="Times New Roman"/>
        <w:b w:val="0"/>
        <w:i w:val="0"/>
        <w:strike w:val="0"/>
        <w:dstrike w:val="0"/>
        <w:color w:val="000003"/>
        <w:sz w:val="19"/>
        <w:szCs w:val="19"/>
        <w:u w:val="none" w:color="000000"/>
        <w:bdr w:val="none" w:sz="0" w:space="0" w:color="auto"/>
        <w:shd w:val="clear" w:color="auto" w:fill="auto"/>
        <w:vertAlign w:val="baseline"/>
      </w:rPr>
    </w:lvl>
    <w:lvl w:ilvl="2" w:tplc="F8B26FC6">
      <w:start w:val="1"/>
      <w:numFmt w:val="bullet"/>
      <w:lvlText w:val="▪"/>
      <w:lvlJc w:val="left"/>
      <w:pPr>
        <w:ind w:left="2084"/>
      </w:pPr>
      <w:rPr>
        <w:rFonts w:ascii="Times New Roman" w:eastAsia="Times New Roman" w:hAnsi="Times New Roman" w:cs="Times New Roman"/>
        <w:b w:val="0"/>
        <w:i w:val="0"/>
        <w:strike w:val="0"/>
        <w:dstrike w:val="0"/>
        <w:color w:val="000003"/>
        <w:sz w:val="19"/>
        <w:szCs w:val="19"/>
        <w:u w:val="none" w:color="000000"/>
        <w:bdr w:val="none" w:sz="0" w:space="0" w:color="auto"/>
        <w:shd w:val="clear" w:color="auto" w:fill="auto"/>
        <w:vertAlign w:val="baseline"/>
      </w:rPr>
    </w:lvl>
    <w:lvl w:ilvl="3" w:tplc="5D18D962">
      <w:start w:val="1"/>
      <w:numFmt w:val="bullet"/>
      <w:lvlText w:val="•"/>
      <w:lvlJc w:val="left"/>
      <w:pPr>
        <w:ind w:left="2804"/>
      </w:pPr>
      <w:rPr>
        <w:rFonts w:ascii="Times New Roman" w:eastAsia="Times New Roman" w:hAnsi="Times New Roman" w:cs="Times New Roman"/>
        <w:b w:val="0"/>
        <w:i w:val="0"/>
        <w:strike w:val="0"/>
        <w:dstrike w:val="0"/>
        <w:color w:val="000003"/>
        <w:sz w:val="19"/>
        <w:szCs w:val="19"/>
        <w:u w:val="none" w:color="000000"/>
        <w:bdr w:val="none" w:sz="0" w:space="0" w:color="auto"/>
        <w:shd w:val="clear" w:color="auto" w:fill="auto"/>
        <w:vertAlign w:val="baseline"/>
      </w:rPr>
    </w:lvl>
    <w:lvl w:ilvl="4" w:tplc="3FB80774">
      <w:start w:val="1"/>
      <w:numFmt w:val="bullet"/>
      <w:lvlText w:val="o"/>
      <w:lvlJc w:val="left"/>
      <w:pPr>
        <w:ind w:left="3524"/>
      </w:pPr>
      <w:rPr>
        <w:rFonts w:ascii="Times New Roman" w:eastAsia="Times New Roman" w:hAnsi="Times New Roman" w:cs="Times New Roman"/>
        <w:b w:val="0"/>
        <w:i w:val="0"/>
        <w:strike w:val="0"/>
        <w:dstrike w:val="0"/>
        <w:color w:val="000003"/>
        <w:sz w:val="19"/>
        <w:szCs w:val="19"/>
        <w:u w:val="none" w:color="000000"/>
        <w:bdr w:val="none" w:sz="0" w:space="0" w:color="auto"/>
        <w:shd w:val="clear" w:color="auto" w:fill="auto"/>
        <w:vertAlign w:val="baseline"/>
      </w:rPr>
    </w:lvl>
    <w:lvl w:ilvl="5" w:tplc="7098FD12">
      <w:start w:val="1"/>
      <w:numFmt w:val="bullet"/>
      <w:lvlText w:val="▪"/>
      <w:lvlJc w:val="left"/>
      <w:pPr>
        <w:ind w:left="4244"/>
      </w:pPr>
      <w:rPr>
        <w:rFonts w:ascii="Times New Roman" w:eastAsia="Times New Roman" w:hAnsi="Times New Roman" w:cs="Times New Roman"/>
        <w:b w:val="0"/>
        <w:i w:val="0"/>
        <w:strike w:val="0"/>
        <w:dstrike w:val="0"/>
        <w:color w:val="000003"/>
        <w:sz w:val="19"/>
        <w:szCs w:val="19"/>
        <w:u w:val="none" w:color="000000"/>
        <w:bdr w:val="none" w:sz="0" w:space="0" w:color="auto"/>
        <w:shd w:val="clear" w:color="auto" w:fill="auto"/>
        <w:vertAlign w:val="baseline"/>
      </w:rPr>
    </w:lvl>
    <w:lvl w:ilvl="6" w:tplc="271EF1A0">
      <w:start w:val="1"/>
      <w:numFmt w:val="bullet"/>
      <w:lvlText w:val="•"/>
      <w:lvlJc w:val="left"/>
      <w:pPr>
        <w:ind w:left="4964"/>
      </w:pPr>
      <w:rPr>
        <w:rFonts w:ascii="Times New Roman" w:eastAsia="Times New Roman" w:hAnsi="Times New Roman" w:cs="Times New Roman"/>
        <w:b w:val="0"/>
        <w:i w:val="0"/>
        <w:strike w:val="0"/>
        <w:dstrike w:val="0"/>
        <w:color w:val="000003"/>
        <w:sz w:val="19"/>
        <w:szCs w:val="19"/>
        <w:u w:val="none" w:color="000000"/>
        <w:bdr w:val="none" w:sz="0" w:space="0" w:color="auto"/>
        <w:shd w:val="clear" w:color="auto" w:fill="auto"/>
        <w:vertAlign w:val="baseline"/>
      </w:rPr>
    </w:lvl>
    <w:lvl w:ilvl="7" w:tplc="1B5E4D16">
      <w:start w:val="1"/>
      <w:numFmt w:val="bullet"/>
      <w:lvlText w:val="o"/>
      <w:lvlJc w:val="left"/>
      <w:pPr>
        <w:ind w:left="5684"/>
      </w:pPr>
      <w:rPr>
        <w:rFonts w:ascii="Times New Roman" w:eastAsia="Times New Roman" w:hAnsi="Times New Roman" w:cs="Times New Roman"/>
        <w:b w:val="0"/>
        <w:i w:val="0"/>
        <w:strike w:val="0"/>
        <w:dstrike w:val="0"/>
        <w:color w:val="000003"/>
        <w:sz w:val="19"/>
        <w:szCs w:val="19"/>
        <w:u w:val="none" w:color="000000"/>
        <w:bdr w:val="none" w:sz="0" w:space="0" w:color="auto"/>
        <w:shd w:val="clear" w:color="auto" w:fill="auto"/>
        <w:vertAlign w:val="baseline"/>
      </w:rPr>
    </w:lvl>
    <w:lvl w:ilvl="8" w:tplc="BE1E2C9C">
      <w:start w:val="1"/>
      <w:numFmt w:val="bullet"/>
      <w:lvlText w:val="▪"/>
      <w:lvlJc w:val="left"/>
      <w:pPr>
        <w:ind w:left="6404"/>
      </w:pPr>
      <w:rPr>
        <w:rFonts w:ascii="Times New Roman" w:eastAsia="Times New Roman" w:hAnsi="Times New Roman" w:cs="Times New Roman"/>
        <w:b w:val="0"/>
        <w:i w:val="0"/>
        <w:strike w:val="0"/>
        <w:dstrike w:val="0"/>
        <w:color w:val="000003"/>
        <w:sz w:val="19"/>
        <w:szCs w:val="19"/>
        <w:u w:val="none" w:color="000000"/>
        <w:bdr w:val="none" w:sz="0" w:space="0" w:color="auto"/>
        <w:shd w:val="clear" w:color="auto" w:fill="auto"/>
        <w:vertAlign w:val="baseline"/>
      </w:rPr>
    </w:lvl>
  </w:abstractNum>
  <w:abstractNum w:abstractNumId="1" w15:restartNumberingAfterBreak="0">
    <w:nsid w:val="17B9554F"/>
    <w:multiLevelType w:val="hybridMultilevel"/>
    <w:tmpl w:val="15E2023E"/>
    <w:lvl w:ilvl="0" w:tplc="5C2A0F62">
      <w:start w:val="1"/>
      <w:numFmt w:val="decimal"/>
      <w:lvlText w:val="%1"/>
      <w:lvlJc w:val="left"/>
      <w:pPr>
        <w:ind w:left="112"/>
      </w:pPr>
      <w:rPr>
        <w:rFonts w:ascii="Times New Roman" w:eastAsia="Times New Roman" w:hAnsi="Times New Roman" w:cs="Times New Roman"/>
        <w:b w:val="0"/>
        <w:i/>
        <w:iCs/>
        <w:strike w:val="0"/>
        <w:dstrike w:val="0"/>
        <w:color w:val="000002"/>
        <w:sz w:val="14"/>
        <w:szCs w:val="14"/>
        <w:u w:val="none" w:color="000000"/>
        <w:bdr w:val="none" w:sz="0" w:space="0" w:color="auto"/>
        <w:shd w:val="clear" w:color="auto" w:fill="auto"/>
        <w:vertAlign w:val="superscript"/>
      </w:rPr>
    </w:lvl>
    <w:lvl w:ilvl="1" w:tplc="9DB6C058">
      <w:start w:val="1"/>
      <w:numFmt w:val="lowerLetter"/>
      <w:lvlText w:val="%2"/>
      <w:lvlJc w:val="left"/>
      <w:pPr>
        <w:ind w:left="1080"/>
      </w:pPr>
      <w:rPr>
        <w:rFonts w:ascii="Times New Roman" w:eastAsia="Times New Roman" w:hAnsi="Times New Roman" w:cs="Times New Roman"/>
        <w:b w:val="0"/>
        <w:i/>
        <w:iCs/>
        <w:strike w:val="0"/>
        <w:dstrike w:val="0"/>
        <w:color w:val="000002"/>
        <w:sz w:val="14"/>
        <w:szCs w:val="14"/>
        <w:u w:val="none" w:color="000000"/>
        <w:bdr w:val="none" w:sz="0" w:space="0" w:color="auto"/>
        <w:shd w:val="clear" w:color="auto" w:fill="auto"/>
        <w:vertAlign w:val="superscript"/>
      </w:rPr>
    </w:lvl>
    <w:lvl w:ilvl="2" w:tplc="8FD441A0">
      <w:start w:val="1"/>
      <w:numFmt w:val="lowerRoman"/>
      <w:lvlText w:val="%3"/>
      <w:lvlJc w:val="left"/>
      <w:pPr>
        <w:ind w:left="1800"/>
      </w:pPr>
      <w:rPr>
        <w:rFonts w:ascii="Times New Roman" w:eastAsia="Times New Roman" w:hAnsi="Times New Roman" w:cs="Times New Roman"/>
        <w:b w:val="0"/>
        <w:i/>
        <w:iCs/>
        <w:strike w:val="0"/>
        <w:dstrike w:val="0"/>
        <w:color w:val="000002"/>
        <w:sz w:val="14"/>
        <w:szCs w:val="14"/>
        <w:u w:val="none" w:color="000000"/>
        <w:bdr w:val="none" w:sz="0" w:space="0" w:color="auto"/>
        <w:shd w:val="clear" w:color="auto" w:fill="auto"/>
        <w:vertAlign w:val="superscript"/>
      </w:rPr>
    </w:lvl>
    <w:lvl w:ilvl="3" w:tplc="F83CAA5C">
      <w:start w:val="1"/>
      <w:numFmt w:val="decimal"/>
      <w:lvlText w:val="%4"/>
      <w:lvlJc w:val="left"/>
      <w:pPr>
        <w:ind w:left="2520"/>
      </w:pPr>
      <w:rPr>
        <w:rFonts w:ascii="Times New Roman" w:eastAsia="Times New Roman" w:hAnsi="Times New Roman" w:cs="Times New Roman"/>
        <w:b w:val="0"/>
        <w:i/>
        <w:iCs/>
        <w:strike w:val="0"/>
        <w:dstrike w:val="0"/>
        <w:color w:val="000002"/>
        <w:sz w:val="14"/>
        <w:szCs w:val="14"/>
        <w:u w:val="none" w:color="000000"/>
        <w:bdr w:val="none" w:sz="0" w:space="0" w:color="auto"/>
        <w:shd w:val="clear" w:color="auto" w:fill="auto"/>
        <w:vertAlign w:val="superscript"/>
      </w:rPr>
    </w:lvl>
    <w:lvl w:ilvl="4" w:tplc="2214D6D6">
      <w:start w:val="1"/>
      <w:numFmt w:val="lowerLetter"/>
      <w:lvlText w:val="%5"/>
      <w:lvlJc w:val="left"/>
      <w:pPr>
        <w:ind w:left="3240"/>
      </w:pPr>
      <w:rPr>
        <w:rFonts w:ascii="Times New Roman" w:eastAsia="Times New Roman" w:hAnsi="Times New Roman" w:cs="Times New Roman"/>
        <w:b w:val="0"/>
        <w:i/>
        <w:iCs/>
        <w:strike w:val="0"/>
        <w:dstrike w:val="0"/>
        <w:color w:val="000002"/>
        <w:sz w:val="14"/>
        <w:szCs w:val="14"/>
        <w:u w:val="none" w:color="000000"/>
        <w:bdr w:val="none" w:sz="0" w:space="0" w:color="auto"/>
        <w:shd w:val="clear" w:color="auto" w:fill="auto"/>
        <w:vertAlign w:val="superscript"/>
      </w:rPr>
    </w:lvl>
    <w:lvl w:ilvl="5" w:tplc="737614D2">
      <w:start w:val="1"/>
      <w:numFmt w:val="lowerRoman"/>
      <w:lvlText w:val="%6"/>
      <w:lvlJc w:val="left"/>
      <w:pPr>
        <w:ind w:left="3960"/>
      </w:pPr>
      <w:rPr>
        <w:rFonts w:ascii="Times New Roman" w:eastAsia="Times New Roman" w:hAnsi="Times New Roman" w:cs="Times New Roman"/>
        <w:b w:val="0"/>
        <w:i/>
        <w:iCs/>
        <w:strike w:val="0"/>
        <w:dstrike w:val="0"/>
        <w:color w:val="000002"/>
        <w:sz w:val="14"/>
        <w:szCs w:val="14"/>
        <w:u w:val="none" w:color="000000"/>
        <w:bdr w:val="none" w:sz="0" w:space="0" w:color="auto"/>
        <w:shd w:val="clear" w:color="auto" w:fill="auto"/>
        <w:vertAlign w:val="superscript"/>
      </w:rPr>
    </w:lvl>
    <w:lvl w:ilvl="6" w:tplc="1DAC9D10">
      <w:start w:val="1"/>
      <w:numFmt w:val="decimal"/>
      <w:lvlText w:val="%7"/>
      <w:lvlJc w:val="left"/>
      <w:pPr>
        <w:ind w:left="4680"/>
      </w:pPr>
      <w:rPr>
        <w:rFonts w:ascii="Times New Roman" w:eastAsia="Times New Roman" w:hAnsi="Times New Roman" w:cs="Times New Roman"/>
        <w:b w:val="0"/>
        <w:i/>
        <w:iCs/>
        <w:strike w:val="0"/>
        <w:dstrike w:val="0"/>
        <w:color w:val="000002"/>
        <w:sz w:val="14"/>
        <w:szCs w:val="14"/>
        <w:u w:val="none" w:color="000000"/>
        <w:bdr w:val="none" w:sz="0" w:space="0" w:color="auto"/>
        <w:shd w:val="clear" w:color="auto" w:fill="auto"/>
        <w:vertAlign w:val="superscript"/>
      </w:rPr>
    </w:lvl>
    <w:lvl w:ilvl="7" w:tplc="ED7419F6">
      <w:start w:val="1"/>
      <w:numFmt w:val="lowerLetter"/>
      <w:lvlText w:val="%8"/>
      <w:lvlJc w:val="left"/>
      <w:pPr>
        <w:ind w:left="5400"/>
      </w:pPr>
      <w:rPr>
        <w:rFonts w:ascii="Times New Roman" w:eastAsia="Times New Roman" w:hAnsi="Times New Roman" w:cs="Times New Roman"/>
        <w:b w:val="0"/>
        <w:i/>
        <w:iCs/>
        <w:strike w:val="0"/>
        <w:dstrike w:val="0"/>
        <w:color w:val="000002"/>
        <w:sz w:val="14"/>
        <w:szCs w:val="14"/>
        <w:u w:val="none" w:color="000000"/>
        <w:bdr w:val="none" w:sz="0" w:space="0" w:color="auto"/>
        <w:shd w:val="clear" w:color="auto" w:fill="auto"/>
        <w:vertAlign w:val="superscript"/>
      </w:rPr>
    </w:lvl>
    <w:lvl w:ilvl="8" w:tplc="7660E004">
      <w:start w:val="1"/>
      <w:numFmt w:val="lowerRoman"/>
      <w:lvlText w:val="%9"/>
      <w:lvlJc w:val="left"/>
      <w:pPr>
        <w:ind w:left="6120"/>
      </w:pPr>
      <w:rPr>
        <w:rFonts w:ascii="Times New Roman" w:eastAsia="Times New Roman" w:hAnsi="Times New Roman" w:cs="Times New Roman"/>
        <w:b w:val="0"/>
        <w:i/>
        <w:iCs/>
        <w:strike w:val="0"/>
        <w:dstrike w:val="0"/>
        <w:color w:val="000002"/>
        <w:sz w:val="14"/>
        <w:szCs w:val="14"/>
        <w:u w:val="none" w:color="000000"/>
        <w:bdr w:val="none" w:sz="0" w:space="0" w:color="auto"/>
        <w:shd w:val="clear" w:color="auto" w:fill="auto"/>
        <w:vertAlign w:val="superscript"/>
      </w:rPr>
    </w:lvl>
  </w:abstractNum>
  <w:abstractNum w:abstractNumId="2" w15:restartNumberingAfterBreak="0">
    <w:nsid w:val="1D533544"/>
    <w:multiLevelType w:val="hybridMultilevel"/>
    <w:tmpl w:val="398894DA"/>
    <w:lvl w:ilvl="0" w:tplc="FC0620BE">
      <w:start w:val="1"/>
      <w:numFmt w:val="bullet"/>
      <w:lvlText w:val="•"/>
      <w:lvlJc w:val="left"/>
      <w:pPr>
        <w:ind w:left="0"/>
      </w:pPr>
      <w:rPr>
        <w:rFonts w:ascii="Times New Roman" w:eastAsia="Times New Roman" w:hAnsi="Times New Roman" w:cs="Times New Roman"/>
        <w:b w:val="0"/>
        <w:i w:val="0"/>
        <w:strike w:val="0"/>
        <w:dstrike w:val="0"/>
        <w:color w:val="000003"/>
        <w:sz w:val="19"/>
        <w:szCs w:val="19"/>
        <w:u w:val="none" w:color="000000"/>
        <w:bdr w:val="none" w:sz="0" w:space="0" w:color="auto"/>
        <w:shd w:val="clear" w:color="auto" w:fill="auto"/>
        <w:vertAlign w:val="baseline"/>
      </w:rPr>
    </w:lvl>
    <w:lvl w:ilvl="1" w:tplc="6C324D40">
      <w:start w:val="1"/>
      <w:numFmt w:val="bullet"/>
      <w:lvlText w:val="o"/>
      <w:lvlJc w:val="left"/>
      <w:pPr>
        <w:ind w:left="1363"/>
      </w:pPr>
      <w:rPr>
        <w:rFonts w:ascii="Times New Roman" w:eastAsia="Times New Roman" w:hAnsi="Times New Roman" w:cs="Times New Roman"/>
        <w:b w:val="0"/>
        <w:i w:val="0"/>
        <w:strike w:val="0"/>
        <w:dstrike w:val="0"/>
        <w:color w:val="000003"/>
        <w:sz w:val="19"/>
        <w:szCs w:val="19"/>
        <w:u w:val="none" w:color="000000"/>
        <w:bdr w:val="none" w:sz="0" w:space="0" w:color="auto"/>
        <w:shd w:val="clear" w:color="auto" w:fill="auto"/>
        <w:vertAlign w:val="baseline"/>
      </w:rPr>
    </w:lvl>
    <w:lvl w:ilvl="2" w:tplc="F3CCA270">
      <w:start w:val="1"/>
      <w:numFmt w:val="bullet"/>
      <w:lvlText w:val="▪"/>
      <w:lvlJc w:val="left"/>
      <w:pPr>
        <w:ind w:left="2083"/>
      </w:pPr>
      <w:rPr>
        <w:rFonts w:ascii="Times New Roman" w:eastAsia="Times New Roman" w:hAnsi="Times New Roman" w:cs="Times New Roman"/>
        <w:b w:val="0"/>
        <w:i w:val="0"/>
        <w:strike w:val="0"/>
        <w:dstrike w:val="0"/>
        <w:color w:val="000003"/>
        <w:sz w:val="19"/>
        <w:szCs w:val="19"/>
        <w:u w:val="none" w:color="000000"/>
        <w:bdr w:val="none" w:sz="0" w:space="0" w:color="auto"/>
        <w:shd w:val="clear" w:color="auto" w:fill="auto"/>
        <w:vertAlign w:val="baseline"/>
      </w:rPr>
    </w:lvl>
    <w:lvl w:ilvl="3" w:tplc="46F6B19E">
      <w:start w:val="1"/>
      <w:numFmt w:val="bullet"/>
      <w:lvlText w:val="•"/>
      <w:lvlJc w:val="left"/>
      <w:pPr>
        <w:ind w:left="2803"/>
      </w:pPr>
      <w:rPr>
        <w:rFonts w:ascii="Times New Roman" w:eastAsia="Times New Roman" w:hAnsi="Times New Roman" w:cs="Times New Roman"/>
        <w:b w:val="0"/>
        <w:i w:val="0"/>
        <w:strike w:val="0"/>
        <w:dstrike w:val="0"/>
        <w:color w:val="000003"/>
        <w:sz w:val="19"/>
        <w:szCs w:val="19"/>
        <w:u w:val="none" w:color="000000"/>
        <w:bdr w:val="none" w:sz="0" w:space="0" w:color="auto"/>
        <w:shd w:val="clear" w:color="auto" w:fill="auto"/>
        <w:vertAlign w:val="baseline"/>
      </w:rPr>
    </w:lvl>
    <w:lvl w:ilvl="4" w:tplc="A6EC42DC">
      <w:start w:val="1"/>
      <w:numFmt w:val="bullet"/>
      <w:lvlText w:val="o"/>
      <w:lvlJc w:val="left"/>
      <w:pPr>
        <w:ind w:left="3523"/>
      </w:pPr>
      <w:rPr>
        <w:rFonts w:ascii="Times New Roman" w:eastAsia="Times New Roman" w:hAnsi="Times New Roman" w:cs="Times New Roman"/>
        <w:b w:val="0"/>
        <w:i w:val="0"/>
        <w:strike w:val="0"/>
        <w:dstrike w:val="0"/>
        <w:color w:val="000003"/>
        <w:sz w:val="19"/>
        <w:szCs w:val="19"/>
        <w:u w:val="none" w:color="000000"/>
        <w:bdr w:val="none" w:sz="0" w:space="0" w:color="auto"/>
        <w:shd w:val="clear" w:color="auto" w:fill="auto"/>
        <w:vertAlign w:val="baseline"/>
      </w:rPr>
    </w:lvl>
    <w:lvl w:ilvl="5" w:tplc="51B295EC">
      <w:start w:val="1"/>
      <w:numFmt w:val="bullet"/>
      <w:lvlText w:val="▪"/>
      <w:lvlJc w:val="left"/>
      <w:pPr>
        <w:ind w:left="4243"/>
      </w:pPr>
      <w:rPr>
        <w:rFonts w:ascii="Times New Roman" w:eastAsia="Times New Roman" w:hAnsi="Times New Roman" w:cs="Times New Roman"/>
        <w:b w:val="0"/>
        <w:i w:val="0"/>
        <w:strike w:val="0"/>
        <w:dstrike w:val="0"/>
        <w:color w:val="000003"/>
        <w:sz w:val="19"/>
        <w:szCs w:val="19"/>
        <w:u w:val="none" w:color="000000"/>
        <w:bdr w:val="none" w:sz="0" w:space="0" w:color="auto"/>
        <w:shd w:val="clear" w:color="auto" w:fill="auto"/>
        <w:vertAlign w:val="baseline"/>
      </w:rPr>
    </w:lvl>
    <w:lvl w:ilvl="6" w:tplc="075A5FD4">
      <w:start w:val="1"/>
      <w:numFmt w:val="bullet"/>
      <w:lvlText w:val="•"/>
      <w:lvlJc w:val="left"/>
      <w:pPr>
        <w:ind w:left="4963"/>
      </w:pPr>
      <w:rPr>
        <w:rFonts w:ascii="Times New Roman" w:eastAsia="Times New Roman" w:hAnsi="Times New Roman" w:cs="Times New Roman"/>
        <w:b w:val="0"/>
        <w:i w:val="0"/>
        <w:strike w:val="0"/>
        <w:dstrike w:val="0"/>
        <w:color w:val="000003"/>
        <w:sz w:val="19"/>
        <w:szCs w:val="19"/>
        <w:u w:val="none" w:color="000000"/>
        <w:bdr w:val="none" w:sz="0" w:space="0" w:color="auto"/>
        <w:shd w:val="clear" w:color="auto" w:fill="auto"/>
        <w:vertAlign w:val="baseline"/>
      </w:rPr>
    </w:lvl>
    <w:lvl w:ilvl="7" w:tplc="D52A364A">
      <w:start w:val="1"/>
      <w:numFmt w:val="bullet"/>
      <w:lvlText w:val="o"/>
      <w:lvlJc w:val="left"/>
      <w:pPr>
        <w:ind w:left="5683"/>
      </w:pPr>
      <w:rPr>
        <w:rFonts w:ascii="Times New Roman" w:eastAsia="Times New Roman" w:hAnsi="Times New Roman" w:cs="Times New Roman"/>
        <w:b w:val="0"/>
        <w:i w:val="0"/>
        <w:strike w:val="0"/>
        <w:dstrike w:val="0"/>
        <w:color w:val="000003"/>
        <w:sz w:val="19"/>
        <w:szCs w:val="19"/>
        <w:u w:val="none" w:color="000000"/>
        <w:bdr w:val="none" w:sz="0" w:space="0" w:color="auto"/>
        <w:shd w:val="clear" w:color="auto" w:fill="auto"/>
        <w:vertAlign w:val="baseline"/>
      </w:rPr>
    </w:lvl>
    <w:lvl w:ilvl="8" w:tplc="1F880F4C">
      <w:start w:val="1"/>
      <w:numFmt w:val="bullet"/>
      <w:lvlText w:val="▪"/>
      <w:lvlJc w:val="left"/>
      <w:pPr>
        <w:ind w:left="6403"/>
      </w:pPr>
      <w:rPr>
        <w:rFonts w:ascii="Times New Roman" w:eastAsia="Times New Roman" w:hAnsi="Times New Roman" w:cs="Times New Roman"/>
        <w:b w:val="0"/>
        <w:i w:val="0"/>
        <w:strike w:val="0"/>
        <w:dstrike w:val="0"/>
        <w:color w:val="000003"/>
        <w:sz w:val="19"/>
        <w:szCs w:val="19"/>
        <w:u w:val="none" w:color="000000"/>
        <w:bdr w:val="none" w:sz="0" w:space="0" w:color="auto"/>
        <w:shd w:val="clear" w:color="auto" w:fill="auto"/>
        <w:vertAlign w:val="baseline"/>
      </w:rPr>
    </w:lvl>
  </w:abstractNum>
  <w:abstractNum w:abstractNumId="3" w15:restartNumberingAfterBreak="0">
    <w:nsid w:val="34A3096E"/>
    <w:multiLevelType w:val="hybridMultilevel"/>
    <w:tmpl w:val="F38E40C8"/>
    <w:lvl w:ilvl="0" w:tplc="941C9A96">
      <w:start w:val="1"/>
      <w:numFmt w:val="decimal"/>
      <w:lvlText w:val="%1)"/>
      <w:lvlJc w:val="left"/>
      <w:pPr>
        <w:ind w:left="0"/>
      </w:pPr>
      <w:rPr>
        <w:rFonts w:ascii="Times New Roman" w:eastAsia="Times New Roman" w:hAnsi="Times New Roman" w:cs="Times New Roman"/>
        <w:b w:val="0"/>
        <w:i w:val="0"/>
        <w:strike w:val="0"/>
        <w:dstrike w:val="0"/>
        <w:color w:val="000003"/>
        <w:sz w:val="19"/>
        <w:szCs w:val="19"/>
        <w:u w:val="none" w:color="000000"/>
        <w:bdr w:val="none" w:sz="0" w:space="0" w:color="auto"/>
        <w:shd w:val="clear" w:color="auto" w:fill="auto"/>
        <w:vertAlign w:val="baseline"/>
      </w:rPr>
    </w:lvl>
    <w:lvl w:ilvl="1" w:tplc="D4462FB2">
      <w:start w:val="1"/>
      <w:numFmt w:val="lowerLetter"/>
      <w:lvlText w:val="%2"/>
      <w:lvlJc w:val="left"/>
      <w:pPr>
        <w:ind w:left="1363"/>
      </w:pPr>
      <w:rPr>
        <w:rFonts w:ascii="Times New Roman" w:eastAsia="Times New Roman" w:hAnsi="Times New Roman" w:cs="Times New Roman"/>
        <w:b w:val="0"/>
        <w:i w:val="0"/>
        <w:strike w:val="0"/>
        <w:dstrike w:val="0"/>
        <w:color w:val="000003"/>
        <w:sz w:val="19"/>
        <w:szCs w:val="19"/>
        <w:u w:val="none" w:color="000000"/>
        <w:bdr w:val="none" w:sz="0" w:space="0" w:color="auto"/>
        <w:shd w:val="clear" w:color="auto" w:fill="auto"/>
        <w:vertAlign w:val="baseline"/>
      </w:rPr>
    </w:lvl>
    <w:lvl w:ilvl="2" w:tplc="20608554">
      <w:start w:val="1"/>
      <w:numFmt w:val="lowerRoman"/>
      <w:lvlText w:val="%3"/>
      <w:lvlJc w:val="left"/>
      <w:pPr>
        <w:ind w:left="2083"/>
      </w:pPr>
      <w:rPr>
        <w:rFonts w:ascii="Times New Roman" w:eastAsia="Times New Roman" w:hAnsi="Times New Roman" w:cs="Times New Roman"/>
        <w:b w:val="0"/>
        <w:i w:val="0"/>
        <w:strike w:val="0"/>
        <w:dstrike w:val="0"/>
        <w:color w:val="000003"/>
        <w:sz w:val="19"/>
        <w:szCs w:val="19"/>
        <w:u w:val="none" w:color="000000"/>
        <w:bdr w:val="none" w:sz="0" w:space="0" w:color="auto"/>
        <w:shd w:val="clear" w:color="auto" w:fill="auto"/>
        <w:vertAlign w:val="baseline"/>
      </w:rPr>
    </w:lvl>
    <w:lvl w:ilvl="3" w:tplc="82A2F554">
      <w:start w:val="1"/>
      <w:numFmt w:val="decimal"/>
      <w:lvlText w:val="%4"/>
      <w:lvlJc w:val="left"/>
      <w:pPr>
        <w:ind w:left="2803"/>
      </w:pPr>
      <w:rPr>
        <w:rFonts w:ascii="Times New Roman" w:eastAsia="Times New Roman" w:hAnsi="Times New Roman" w:cs="Times New Roman"/>
        <w:b w:val="0"/>
        <w:i w:val="0"/>
        <w:strike w:val="0"/>
        <w:dstrike w:val="0"/>
        <w:color w:val="000003"/>
        <w:sz w:val="19"/>
        <w:szCs w:val="19"/>
        <w:u w:val="none" w:color="000000"/>
        <w:bdr w:val="none" w:sz="0" w:space="0" w:color="auto"/>
        <w:shd w:val="clear" w:color="auto" w:fill="auto"/>
        <w:vertAlign w:val="baseline"/>
      </w:rPr>
    </w:lvl>
    <w:lvl w:ilvl="4" w:tplc="5ACA5132">
      <w:start w:val="1"/>
      <w:numFmt w:val="lowerLetter"/>
      <w:lvlText w:val="%5"/>
      <w:lvlJc w:val="left"/>
      <w:pPr>
        <w:ind w:left="3523"/>
      </w:pPr>
      <w:rPr>
        <w:rFonts w:ascii="Times New Roman" w:eastAsia="Times New Roman" w:hAnsi="Times New Roman" w:cs="Times New Roman"/>
        <w:b w:val="0"/>
        <w:i w:val="0"/>
        <w:strike w:val="0"/>
        <w:dstrike w:val="0"/>
        <w:color w:val="000003"/>
        <w:sz w:val="19"/>
        <w:szCs w:val="19"/>
        <w:u w:val="none" w:color="000000"/>
        <w:bdr w:val="none" w:sz="0" w:space="0" w:color="auto"/>
        <w:shd w:val="clear" w:color="auto" w:fill="auto"/>
        <w:vertAlign w:val="baseline"/>
      </w:rPr>
    </w:lvl>
    <w:lvl w:ilvl="5" w:tplc="4D5419C6">
      <w:start w:val="1"/>
      <w:numFmt w:val="lowerRoman"/>
      <w:lvlText w:val="%6"/>
      <w:lvlJc w:val="left"/>
      <w:pPr>
        <w:ind w:left="4243"/>
      </w:pPr>
      <w:rPr>
        <w:rFonts w:ascii="Times New Roman" w:eastAsia="Times New Roman" w:hAnsi="Times New Roman" w:cs="Times New Roman"/>
        <w:b w:val="0"/>
        <w:i w:val="0"/>
        <w:strike w:val="0"/>
        <w:dstrike w:val="0"/>
        <w:color w:val="000003"/>
        <w:sz w:val="19"/>
        <w:szCs w:val="19"/>
        <w:u w:val="none" w:color="000000"/>
        <w:bdr w:val="none" w:sz="0" w:space="0" w:color="auto"/>
        <w:shd w:val="clear" w:color="auto" w:fill="auto"/>
        <w:vertAlign w:val="baseline"/>
      </w:rPr>
    </w:lvl>
    <w:lvl w:ilvl="6" w:tplc="2F1EFC20">
      <w:start w:val="1"/>
      <w:numFmt w:val="decimal"/>
      <w:lvlText w:val="%7"/>
      <w:lvlJc w:val="left"/>
      <w:pPr>
        <w:ind w:left="4963"/>
      </w:pPr>
      <w:rPr>
        <w:rFonts w:ascii="Times New Roman" w:eastAsia="Times New Roman" w:hAnsi="Times New Roman" w:cs="Times New Roman"/>
        <w:b w:val="0"/>
        <w:i w:val="0"/>
        <w:strike w:val="0"/>
        <w:dstrike w:val="0"/>
        <w:color w:val="000003"/>
        <w:sz w:val="19"/>
        <w:szCs w:val="19"/>
        <w:u w:val="none" w:color="000000"/>
        <w:bdr w:val="none" w:sz="0" w:space="0" w:color="auto"/>
        <w:shd w:val="clear" w:color="auto" w:fill="auto"/>
        <w:vertAlign w:val="baseline"/>
      </w:rPr>
    </w:lvl>
    <w:lvl w:ilvl="7" w:tplc="1F1611FA">
      <w:start w:val="1"/>
      <w:numFmt w:val="lowerLetter"/>
      <w:lvlText w:val="%8"/>
      <w:lvlJc w:val="left"/>
      <w:pPr>
        <w:ind w:left="5683"/>
      </w:pPr>
      <w:rPr>
        <w:rFonts w:ascii="Times New Roman" w:eastAsia="Times New Roman" w:hAnsi="Times New Roman" w:cs="Times New Roman"/>
        <w:b w:val="0"/>
        <w:i w:val="0"/>
        <w:strike w:val="0"/>
        <w:dstrike w:val="0"/>
        <w:color w:val="000003"/>
        <w:sz w:val="19"/>
        <w:szCs w:val="19"/>
        <w:u w:val="none" w:color="000000"/>
        <w:bdr w:val="none" w:sz="0" w:space="0" w:color="auto"/>
        <w:shd w:val="clear" w:color="auto" w:fill="auto"/>
        <w:vertAlign w:val="baseline"/>
      </w:rPr>
    </w:lvl>
    <w:lvl w:ilvl="8" w:tplc="E4A8C528">
      <w:start w:val="1"/>
      <w:numFmt w:val="lowerRoman"/>
      <w:lvlText w:val="%9"/>
      <w:lvlJc w:val="left"/>
      <w:pPr>
        <w:ind w:left="6403"/>
      </w:pPr>
      <w:rPr>
        <w:rFonts w:ascii="Times New Roman" w:eastAsia="Times New Roman" w:hAnsi="Times New Roman" w:cs="Times New Roman"/>
        <w:b w:val="0"/>
        <w:i w:val="0"/>
        <w:strike w:val="0"/>
        <w:dstrike w:val="0"/>
        <w:color w:val="000003"/>
        <w:sz w:val="19"/>
        <w:szCs w:val="19"/>
        <w:u w:val="none" w:color="000000"/>
        <w:bdr w:val="none" w:sz="0" w:space="0" w:color="auto"/>
        <w:shd w:val="clear" w:color="auto" w:fill="auto"/>
        <w:vertAlign w:val="baseline"/>
      </w:rPr>
    </w:lvl>
  </w:abstractNum>
  <w:abstractNum w:abstractNumId="4" w15:restartNumberingAfterBreak="0">
    <w:nsid w:val="45603E99"/>
    <w:multiLevelType w:val="hybridMultilevel"/>
    <w:tmpl w:val="5852C3A4"/>
    <w:lvl w:ilvl="0" w:tplc="129E8472">
      <w:start w:val="1"/>
      <w:numFmt w:val="decimal"/>
      <w:lvlText w:val="%1."/>
      <w:lvlJc w:val="left"/>
      <w:pPr>
        <w:ind w:left="0"/>
      </w:pPr>
      <w:rPr>
        <w:rFonts w:ascii="Times New Roman" w:eastAsia="Times New Roman" w:hAnsi="Times New Roman" w:cs="Times New Roman"/>
        <w:b w:val="0"/>
        <w:i w:val="0"/>
        <w:strike w:val="0"/>
        <w:dstrike w:val="0"/>
        <w:color w:val="000003"/>
        <w:sz w:val="19"/>
        <w:szCs w:val="19"/>
        <w:u w:val="none" w:color="000000"/>
        <w:bdr w:val="none" w:sz="0" w:space="0" w:color="auto"/>
        <w:shd w:val="clear" w:color="auto" w:fill="auto"/>
        <w:vertAlign w:val="baseline"/>
      </w:rPr>
    </w:lvl>
    <w:lvl w:ilvl="1" w:tplc="A3B2822C">
      <w:start w:val="1"/>
      <w:numFmt w:val="lowerLetter"/>
      <w:lvlText w:val="%2"/>
      <w:lvlJc w:val="left"/>
      <w:pPr>
        <w:ind w:left="1363"/>
      </w:pPr>
      <w:rPr>
        <w:rFonts w:ascii="Times New Roman" w:eastAsia="Times New Roman" w:hAnsi="Times New Roman" w:cs="Times New Roman"/>
        <w:b w:val="0"/>
        <w:i w:val="0"/>
        <w:strike w:val="0"/>
        <w:dstrike w:val="0"/>
        <w:color w:val="000003"/>
        <w:sz w:val="19"/>
        <w:szCs w:val="19"/>
        <w:u w:val="none" w:color="000000"/>
        <w:bdr w:val="none" w:sz="0" w:space="0" w:color="auto"/>
        <w:shd w:val="clear" w:color="auto" w:fill="auto"/>
        <w:vertAlign w:val="baseline"/>
      </w:rPr>
    </w:lvl>
    <w:lvl w:ilvl="2" w:tplc="3DE04CA4">
      <w:start w:val="1"/>
      <w:numFmt w:val="lowerRoman"/>
      <w:lvlText w:val="%3"/>
      <w:lvlJc w:val="left"/>
      <w:pPr>
        <w:ind w:left="2083"/>
      </w:pPr>
      <w:rPr>
        <w:rFonts w:ascii="Times New Roman" w:eastAsia="Times New Roman" w:hAnsi="Times New Roman" w:cs="Times New Roman"/>
        <w:b w:val="0"/>
        <w:i w:val="0"/>
        <w:strike w:val="0"/>
        <w:dstrike w:val="0"/>
        <w:color w:val="000003"/>
        <w:sz w:val="19"/>
        <w:szCs w:val="19"/>
        <w:u w:val="none" w:color="000000"/>
        <w:bdr w:val="none" w:sz="0" w:space="0" w:color="auto"/>
        <w:shd w:val="clear" w:color="auto" w:fill="auto"/>
        <w:vertAlign w:val="baseline"/>
      </w:rPr>
    </w:lvl>
    <w:lvl w:ilvl="3" w:tplc="9A5E6D1C">
      <w:start w:val="1"/>
      <w:numFmt w:val="decimal"/>
      <w:lvlText w:val="%4"/>
      <w:lvlJc w:val="left"/>
      <w:pPr>
        <w:ind w:left="2803"/>
      </w:pPr>
      <w:rPr>
        <w:rFonts w:ascii="Times New Roman" w:eastAsia="Times New Roman" w:hAnsi="Times New Roman" w:cs="Times New Roman"/>
        <w:b w:val="0"/>
        <w:i w:val="0"/>
        <w:strike w:val="0"/>
        <w:dstrike w:val="0"/>
        <w:color w:val="000003"/>
        <w:sz w:val="19"/>
        <w:szCs w:val="19"/>
        <w:u w:val="none" w:color="000000"/>
        <w:bdr w:val="none" w:sz="0" w:space="0" w:color="auto"/>
        <w:shd w:val="clear" w:color="auto" w:fill="auto"/>
        <w:vertAlign w:val="baseline"/>
      </w:rPr>
    </w:lvl>
    <w:lvl w:ilvl="4" w:tplc="40464DB8">
      <w:start w:val="1"/>
      <w:numFmt w:val="lowerLetter"/>
      <w:lvlText w:val="%5"/>
      <w:lvlJc w:val="left"/>
      <w:pPr>
        <w:ind w:left="3523"/>
      </w:pPr>
      <w:rPr>
        <w:rFonts w:ascii="Times New Roman" w:eastAsia="Times New Roman" w:hAnsi="Times New Roman" w:cs="Times New Roman"/>
        <w:b w:val="0"/>
        <w:i w:val="0"/>
        <w:strike w:val="0"/>
        <w:dstrike w:val="0"/>
        <w:color w:val="000003"/>
        <w:sz w:val="19"/>
        <w:szCs w:val="19"/>
        <w:u w:val="none" w:color="000000"/>
        <w:bdr w:val="none" w:sz="0" w:space="0" w:color="auto"/>
        <w:shd w:val="clear" w:color="auto" w:fill="auto"/>
        <w:vertAlign w:val="baseline"/>
      </w:rPr>
    </w:lvl>
    <w:lvl w:ilvl="5" w:tplc="245A010A">
      <w:start w:val="1"/>
      <w:numFmt w:val="lowerRoman"/>
      <w:lvlText w:val="%6"/>
      <w:lvlJc w:val="left"/>
      <w:pPr>
        <w:ind w:left="4243"/>
      </w:pPr>
      <w:rPr>
        <w:rFonts w:ascii="Times New Roman" w:eastAsia="Times New Roman" w:hAnsi="Times New Roman" w:cs="Times New Roman"/>
        <w:b w:val="0"/>
        <w:i w:val="0"/>
        <w:strike w:val="0"/>
        <w:dstrike w:val="0"/>
        <w:color w:val="000003"/>
        <w:sz w:val="19"/>
        <w:szCs w:val="19"/>
        <w:u w:val="none" w:color="000000"/>
        <w:bdr w:val="none" w:sz="0" w:space="0" w:color="auto"/>
        <w:shd w:val="clear" w:color="auto" w:fill="auto"/>
        <w:vertAlign w:val="baseline"/>
      </w:rPr>
    </w:lvl>
    <w:lvl w:ilvl="6" w:tplc="3C36373C">
      <w:start w:val="1"/>
      <w:numFmt w:val="decimal"/>
      <w:lvlText w:val="%7"/>
      <w:lvlJc w:val="left"/>
      <w:pPr>
        <w:ind w:left="4963"/>
      </w:pPr>
      <w:rPr>
        <w:rFonts w:ascii="Times New Roman" w:eastAsia="Times New Roman" w:hAnsi="Times New Roman" w:cs="Times New Roman"/>
        <w:b w:val="0"/>
        <w:i w:val="0"/>
        <w:strike w:val="0"/>
        <w:dstrike w:val="0"/>
        <w:color w:val="000003"/>
        <w:sz w:val="19"/>
        <w:szCs w:val="19"/>
        <w:u w:val="none" w:color="000000"/>
        <w:bdr w:val="none" w:sz="0" w:space="0" w:color="auto"/>
        <w:shd w:val="clear" w:color="auto" w:fill="auto"/>
        <w:vertAlign w:val="baseline"/>
      </w:rPr>
    </w:lvl>
    <w:lvl w:ilvl="7" w:tplc="4334AF7E">
      <w:start w:val="1"/>
      <w:numFmt w:val="lowerLetter"/>
      <w:lvlText w:val="%8"/>
      <w:lvlJc w:val="left"/>
      <w:pPr>
        <w:ind w:left="5683"/>
      </w:pPr>
      <w:rPr>
        <w:rFonts w:ascii="Times New Roman" w:eastAsia="Times New Roman" w:hAnsi="Times New Roman" w:cs="Times New Roman"/>
        <w:b w:val="0"/>
        <w:i w:val="0"/>
        <w:strike w:val="0"/>
        <w:dstrike w:val="0"/>
        <w:color w:val="000003"/>
        <w:sz w:val="19"/>
        <w:szCs w:val="19"/>
        <w:u w:val="none" w:color="000000"/>
        <w:bdr w:val="none" w:sz="0" w:space="0" w:color="auto"/>
        <w:shd w:val="clear" w:color="auto" w:fill="auto"/>
        <w:vertAlign w:val="baseline"/>
      </w:rPr>
    </w:lvl>
    <w:lvl w:ilvl="8" w:tplc="1BA857C6">
      <w:start w:val="1"/>
      <w:numFmt w:val="lowerRoman"/>
      <w:lvlText w:val="%9"/>
      <w:lvlJc w:val="left"/>
      <w:pPr>
        <w:ind w:left="6403"/>
      </w:pPr>
      <w:rPr>
        <w:rFonts w:ascii="Times New Roman" w:eastAsia="Times New Roman" w:hAnsi="Times New Roman" w:cs="Times New Roman"/>
        <w:b w:val="0"/>
        <w:i w:val="0"/>
        <w:strike w:val="0"/>
        <w:dstrike w:val="0"/>
        <w:color w:val="000003"/>
        <w:sz w:val="19"/>
        <w:szCs w:val="19"/>
        <w:u w:val="none" w:color="000000"/>
        <w:bdr w:val="none" w:sz="0" w:space="0" w:color="auto"/>
        <w:shd w:val="clear" w:color="auto" w:fill="auto"/>
        <w:vertAlign w:val="baseline"/>
      </w:rPr>
    </w:lvl>
  </w:abstractNum>
  <w:abstractNum w:abstractNumId="5" w15:restartNumberingAfterBreak="0">
    <w:nsid w:val="4ED03B5A"/>
    <w:multiLevelType w:val="hybridMultilevel"/>
    <w:tmpl w:val="327655DA"/>
    <w:lvl w:ilvl="0" w:tplc="20EC4936">
      <w:start w:val="1"/>
      <w:numFmt w:val="decimal"/>
      <w:lvlText w:val="%1"/>
      <w:lvlJc w:val="left"/>
      <w:pPr>
        <w:ind w:left="76"/>
      </w:pPr>
      <w:rPr>
        <w:rFonts w:ascii="Calibri" w:eastAsia="Calibri" w:hAnsi="Calibri" w:cs="Calibri"/>
        <w:b w:val="0"/>
        <w:i/>
        <w:iCs/>
        <w:strike w:val="0"/>
        <w:dstrike w:val="0"/>
        <w:color w:val="000003"/>
        <w:sz w:val="14"/>
        <w:szCs w:val="14"/>
        <w:u w:val="none" w:color="000000"/>
        <w:bdr w:val="none" w:sz="0" w:space="0" w:color="auto"/>
        <w:shd w:val="clear" w:color="auto" w:fill="auto"/>
        <w:vertAlign w:val="superscript"/>
      </w:rPr>
    </w:lvl>
    <w:lvl w:ilvl="1" w:tplc="32BE096C">
      <w:start w:val="1"/>
      <w:numFmt w:val="lowerLetter"/>
      <w:lvlText w:val="%2"/>
      <w:lvlJc w:val="left"/>
      <w:pPr>
        <w:ind w:left="1080"/>
      </w:pPr>
      <w:rPr>
        <w:rFonts w:ascii="Calibri" w:eastAsia="Calibri" w:hAnsi="Calibri" w:cs="Calibri"/>
        <w:b w:val="0"/>
        <w:i/>
        <w:iCs/>
        <w:strike w:val="0"/>
        <w:dstrike w:val="0"/>
        <w:color w:val="000003"/>
        <w:sz w:val="14"/>
        <w:szCs w:val="14"/>
        <w:u w:val="none" w:color="000000"/>
        <w:bdr w:val="none" w:sz="0" w:space="0" w:color="auto"/>
        <w:shd w:val="clear" w:color="auto" w:fill="auto"/>
        <w:vertAlign w:val="superscript"/>
      </w:rPr>
    </w:lvl>
    <w:lvl w:ilvl="2" w:tplc="CC509B86">
      <w:start w:val="1"/>
      <w:numFmt w:val="lowerRoman"/>
      <w:lvlText w:val="%3"/>
      <w:lvlJc w:val="left"/>
      <w:pPr>
        <w:ind w:left="1800"/>
      </w:pPr>
      <w:rPr>
        <w:rFonts w:ascii="Calibri" w:eastAsia="Calibri" w:hAnsi="Calibri" w:cs="Calibri"/>
        <w:b w:val="0"/>
        <w:i/>
        <w:iCs/>
        <w:strike w:val="0"/>
        <w:dstrike w:val="0"/>
        <w:color w:val="000003"/>
        <w:sz w:val="14"/>
        <w:szCs w:val="14"/>
        <w:u w:val="none" w:color="000000"/>
        <w:bdr w:val="none" w:sz="0" w:space="0" w:color="auto"/>
        <w:shd w:val="clear" w:color="auto" w:fill="auto"/>
        <w:vertAlign w:val="superscript"/>
      </w:rPr>
    </w:lvl>
    <w:lvl w:ilvl="3" w:tplc="06728FC6">
      <w:start w:val="1"/>
      <w:numFmt w:val="decimal"/>
      <w:lvlText w:val="%4"/>
      <w:lvlJc w:val="left"/>
      <w:pPr>
        <w:ind w:left="2520"/>
      </w:pPr>
      <w:rPr>
        <w:rFonts w:ascii="Calibri" w:eastAsia="Calibri" w:hAnsi="Calibri" w:cs="Calibri"/>
        <w:b w:val="0"/>
        <w:i/>
        <w:iCs/>
        <w:strike w:val="0"/>
        <w:dstrike w:val="0"/>
        <w:color w:val="000003"/>
        <w:sz w:val="14"/>
        <w:szCs w:val="14"/>
        <w:u w:val="none" w:color="000000"/>
        <w:bdr w:val="none" w:sz="0" w:space="0" w:color="auto"/>
        <w:shd w:val="clear" w:color="auto" w:fill="auto"/>
        <w:vertAlign w:val="superscript"/>
      </w:rPr>
    </w:lvl>
    <w:lvl w:ilvl="4" w:tplc="17A44B54">
      <w:start w:val="1"/>
      <w:numFmt w:val="lowerLetter"/>
      <w:lvlText w:val="%5"/>
      <w:lvlJc w:val="left"/>
      <w:pPr>
        <w:ind w:left="3240"/>
      </w:pPr>
      <w:rPr>
        <w:rFonts w:ascii="Calibri" w:eastAsia="Calibri" w:hAnsi="Calibri" w:cs="Calibri"/>
        <w:b w:val="0"/>
        <w:i/>
        <w:iCs/>
        <w:strike w:val="0"/>
        <w:dstrike w:val="0"/>
        <w:color w:val="000003"/>
        <w:sz w:val="14"/>
        <w:szCs w:val="14"/>
        <w:u w:val="none" w:color="000000"/>
        <w:bdr w:val="none" w:sz="0" w:space="0" w:color="auto"/>
        <w:shd w:val="clear" w:color="auto" w:fill="auto"/>
        <w:vertAlign w:val="superscript"/>
      </w:rPr>
    </w:lvl>
    <w:lvl w:ilvl="5" w:tplc="282C83DA">
      <w:start w:val="1"/>
      <w:numFmt w:val="lowerRoman"/>
      <w:lvlText w:val="%6"/>
      <w:lvlJc w:val="left"/>
      <w:pPr>
        <w:ind w:left="3960"/>
      </w:pPr>
      <w:rPr>
        <w:rFonts w:ascii="Calibri" w:eastAsia="Calibri" w:hAnsi="Calibri" w:cs="Calibri"/>
        <w:b w:val="0"/>
        <w:i/>
        <w:iCs/>
        <w:strike w:val="0"/>
        <w:dstrike w:val="0"/>
        <w:color w:val="000003"/>
        <w:sz w:val="14"/>
        <w:szCs w:val="14"/>
        <w:u w:val="none" w:color="000000"/>
        <w:bdr w:val="none" w:sz="0" w:space="0" w:color="auto"/>
        <w:shd w:val="clear" w:color="auto" w:fill="auto"/>
        <w:vertAlign w:val="superscript"/>
      </w:rPr>
    </w:lvl>
    <w:lvl w:ilvl="6" w:tplc="DD965F86">
      <w:start w:val="1"/>
      <w:numFmt w:val="decimal"/>
      <w:lvlText w:val="%7"/>
      <w:lvlJc w:val="left"/>
      <w:pPr>
        <w:ind w:left="4680"/>
      </w:pPr>
      <w:rPr>
        <w:rFonts w:ascii="Calibri" w:eastAsia="Calibri" w:hAnsi="Calibri" w:cs="Calibri"/>
        <w:b w:val="0"/>
        <w:i/>
        <w:iCs/>
        <w:strike w:val="0"/>
        <w:dstrike w:val="0"/>
        <w:color w:val="000003"/>
        <w:sz w:val="14"/>
        <w:szCs w:val="14"/>
        <w:u w:val="none" w:color="000000"/>
        <w:bdr w:val="none" w:sz="0" w:space="0" w:color="auto"/>
        <w:shd w:val="clear" w:color="auto" w:fill="auto"/>
        <w:vertAlign w:val="superscript"/>
      </w:rPr>
    </w:lvl>
    <w:lvl w:ilvl="7" w:tplc="0A6E9272">
      <w:start w:val="1"/>
      <w:numFmt w:val="lowerLetter"/>
      <w:lvlText w:val="%8"/>
      <w:lvlJc w:val="left"/>
      <w:pPr>
        <w:ind w:left="5400"/>
      </w:pPr>
      <w:rPr>
        <w:rFonts w:ascii="Calibri" w:eastAsia="Calibri" w:hAnsi="Calibri" w:cs="Calibri"/>
        <w:b w:val="0"/>
        <w:i/>
        <w:iCs/>
        <w:strike w:val="0"/>
        <w:dstrike w:val="0"/>
        <w:color w:val="000003"/>
        <w:sz w:val="14"/>
        <w:szCs w:val="14"/>
        <w:u w:val="none" w:color="000000"/>
        <w:bdr w:val="none" w:sz="0" w:space="0" w:color="auto"/>
        <w:shd w:val="clear" w:color="auto" w:fill="auto"/>
        <w:vertAlign w:val="superscript"/>
      </w:rPr>
    </w:lvl>
    <w:lvl w:ilvl="8" w:tplc="937C93AA">
      <w:start w:val="1"/>
      <w:numFmt w:val="lowerRoman"/>
      <w:lvlText w:val="%9"/>
      <w:lvlJc w:val="left"/>
      <w:pPr>
        <w:ind w:left="6120"/>
      </w:pPr>
      <w:rPr>
        <w:rFonts w:ascii="Calibri" w:eastAsia="Calibri" w:hAnsi="Calibri" w:cs="Calibri"/>
        <w:b w:val="0"/>
        <w:i/>
        <w:iCs/>
        <w:strike w:val="0"/>
        <w:dstrike w:val="0"/>
        <w:color w:val="000003"/>
        <w:sz w:val="14"/>
        <w:szCs w:val="14"/>
        <w:u w:val="none" w:color="000000"/>
        <w:bdr w:val="none" w:sz="0" w:space="0" w:color="auto"/>
        <w:shd w:val="clear" w:color="auto" w:fill="auto"/>
        <w:vertAlign w:val="superscript"/>
      </w:rPr>
    </w:lvl>
  </w:abstractNum>
  <w:abstractNum w:abstractNumId="6" w15:restartNumberingAfterBreak="0">
    <w:nsid w:val="5FAE610C"/>
    <w:multiLevelType w:val="hybridMultilevel"/>
    <w:tmpl w:val="9AB47B42"/>
    <w:lvl w:ilvl="0" w:tplc="F4283546">
      <w:start w:val="4"/>
      <w:numFmt w:val="decimal"/>
      <w:lvlText w:val="%1"/>
      <w:lvlJc w:val="left"/>
      <w:pPr>
        <w:ind w:left="87"/>
      </w:pPr>
      <w:rPr>
        <w:rFonts w:ascii="Times New Roman" w:eastAsia="Times New Roman" w:hAnsi="Times New Roman" w:cs="Times New Roman"/>
        <w:b w:val="0"/>
        <w:i/>
        <w:iCs/>
        <w:strike w:val="0"/>
        <w:dstrike w:val="0"/>
        <w:color w:val="000003"/>
        <w:sz w:val="14"/>
        <w:szCs w:val="14"/>
        <w:u w:val="none" w:color="000000"/>
        <w:bdr w:val="none" w:sz="0" w:space="0" w:color="auto"/>
        <w:shd w:val="clear" w:color="auto" w:fill="auto"/>
        <w:vertAlign w:val="superscript"/>
      </w:rPr>
    </w:lvl>
    <w:lvl w:ilvl="1" w:tplc="08EA464A">
      <w:start w:val="1"/>
      <w:numFmt w:val="lowerLetter"/>
      <w:lvlText w:val="%2"/>
      <w:lvlJc w:val="left"/>
      <w:pPr>
        <w:ind w:left="1080"/>
      </w:pPr>
      <w:rPr>
        <w:rFonts w:ascii="Times New Roman" w:eastAsia="Times New Roman" w:hAnsi="Times New Roman" w:cs="Times New Roman"/>
        <w:b w:val="0"/>
        <w:i/>
        <w:iCs/>
        <w:strike w:val="0"/>
        <w:dstrike w:val="0"/>
        <w:color w:val="000003"/>
        <w:sz w:val="14"/>
        <w:szCs w:val="14"/>
        <w:u w:val="none" w:color="000000"/>
        <w:bdr w:val="none" w:sz="0" w:space="0" w:color="auto"/>
        <w:shd w:val="clear" w:color="auto" w:fill="auto"/>
        <w:vertAlign w:val="superscript"/>
      </w:rPr>
    </w:lvl>
    <w:lvl w:ilvl="2" w:tplc="DF02CAD0">
      <w:start w:val="1"/>
      <w:numFmt w:val="lowerRoman"/>
      <w:lvlText w:val="%3"/>
      <w:lvlJc w:val="left"/>
      <w:pPr>
        <w:ind w:left="1800"/>
      </w:pPr>
      <w:rPr>
        <w:rFonts w:ascii="Times New Roman" w:eastAsia="Times New Roman" w:hAnsi="Times New Roman" w:cs="Times New Roman"/>
        <w:b w:val="0"/>
        <w:i/>
        <w:iCs/>
        <w:strike w:val="0"/>
        <w:dstrike w:val="0"/>
        <w:color w:val="000003"/>
        <w:sz w:val="14"/>
        <w:szCs w:val="14"/>
        <w:u w:val="none" w:color="000000"/>
        <w:bdr w:val="none" w:sz="0" w:space="0" w:color="auto"/>
        <w:shd w:val="clear" w:color="auto" w:fill="auto"/>
        <w:vertAlign w:val="superscript"/>
      </w:rPr>
    </w:lvl>
    <w:lvl w:ilvl="3" w:tplc="49A6E324">
      <w:start w:val="1"/>
      <w:numFmt w:val="decimal"/>
      <w:lvlText w:val="%4"/>
      <w:lvlJc w:val="left"/>
      <w:pPr>
        <w:ind w:left="2520"/>
      </w:pPr>
      <w:rPr>
        <w:rFonts w:ascii="Times New Roman" w:eastAsia="Times New Roman" w:hAnsi="Times New Roman" w:cs="Times New Roman"/>
        <w:b w:val="0"/>
        <w:i/>
        <w:iCs/>
        <w:strike w:val="0"/>
        <w:dstrike w:val="0"/>
        <w:color w:val="000003"/>
        <w:sz w:val="14"/>
        <w:szCs w:val="14"/>
        <w:u w:val="none" w:color="000000"/>
        <w:bdr w:val="none" w:sz="0" w:space="0" w:color="auto"/>
        <w:shd w:val="clear" w:color="auto" w:fill="auto"/>
        <w:vertAlign w:val="superscript"/>
      </w:rPr>
    </w:lvl>
    <w:lvl w:ilvl="4" w:tplc="6CA8F48C">
      <w:start w:val="1"/>
      <w:numFmt w:val="lowerLetter"/>
      <w:lvlText w:val="%5"/>
      <w:lvlJc w:val="left"/>
      <w:pPr>
        <w:ind w:left="3240"/>
      </w:pPr>
      <w:rPr>
        <w:rFonts w:ascii="Times New Roman" w:eastAsia="Times New Roman" w:hAnsi="Times New Roman" w:cs="Times New Roman"/>
        <w:b w:val="0"/>
        <w:i/>
        <w:iCs/>
        <w:strike w:val="0"/>
        <w:dstrike w:val="0"/>
        <w:color w:val="000003"/>
        <w:sz w:val="14"/>
        <w:szCs w:val="14"/>
        <w:u w:val="none" w:color="000000"/>
        <w:bdr w:val="none" w:sz="0" w:space="0" w:color="auto"/>
        <w:shd w:val="clear" w:color="auto" w:fill="auto"/>
        <w:vertAlign w:val="superscript"/>
      </w:rPr>
    </w:lvl>
    <w:lvl w:ilvl="5" w:tplc="569AB91E">
      <w:start w:val="1"/>
      <w:numFmt w:val="lowerRoman"/>
      <w:lvlText w:val="%6"/>
      <w:lvlJc w:val="left"/>
      <w:pPr>
        <w:ind w:left="3960"/>
      </w:pPr>
      <w:rPr>
        <w:rFonts w:ascii="Times New Roman" w:eastAsia="Times New Roman" w:hAnsi="Times New Roman" w:cs="Times New Roman"/>
        <w:b w:val="0"/>
        <w:i/>
        <w:iCs/>
        <w:strike w:val="0"/>
        <w:dstrike w:val="0"/>
        <w:color w:val="000003"/>
        <w:sz w:val="14"/>
        <w:szCs w:val="14"/>
        <w:u w:val="none" w:color="000000"/>
        <w:bdr w:val="none" w:sz="0" w:space="0" w:color="auto"/>
        <w:shd w:val="clear" w:color="auto" w:fill="auto"/>
        <w:vertAlign w:val="superscript"/>
      </w:rPr>
    </w:lvl>
    <w:lvl w:ilvl="6" w:tplc="476A0CA4">
      <w:start w:val="1"/>
      <w:numFmt w:val="decimal"/>
      <w:lvlText w:val="%7"/>
      <w:lvlJc w:val="left"/>
      <w:pPr>
        <w:ind w:left="4680"/>
      </w:pPr>
      <w:rPr>
        <w:rFonts w:ascii="Times New Roman" w:eastAsia="Times New Roman" w:hAnsi="Times New Roman" w:cs="Times New Roman"/>
        <w:b w:val="0"/>
        <w:i/>
        <w:iCs/>
        <w:strike w:val="0"/>
        <w:dstrike w:val="0"/>
        <w:color w:val="000003"/>
        <w:sz w:val="14"/>
        <w:szCs w:val="14"/>
        <w:u w:val="none" w:color="000000"/>
        <w:bdr w:val="none" w:sz="0" w:space="0" w:color="auto"/>
        <w:shd w:val="clear" w:color="auto" w:fill="auto"/>
        <w:vertAlign w:val="superscript"/>
      </w:rPr>
    </w:lvl>
    <w:lvl w:ilvl="7" w:tplc="52DACB74">
      <w:start w:val="1"/>
      <w:numFmt w:val="lowerLetter"/>
      <w:lvlText w:val="%8"/>
      <w:lvlJc w:val="left"/>
      <w:pPr>
        <w:ind w:left="5400"/>
      </w:pPr>
      <w:rPr>
        <w:rFonts w:ascii="Times New Roman" w:eastAsia="Times New Roman" w:hAnsi="Times New Roman" w:cs="Times New Roman"/>
        <w:b w:val="0"/>
        <w:i/>
        <w:iCs/>
        <w:strike w:val="0"/>
        <w:dstrike w:val="0"/>
        <w:color w:val="000003"/>
        <w:sz w:val="14"/>
        <w:szCs w:val="14"/>
        <w:u w:val="none" w:color="000000"/>
        <w:bdr w:val="none" w:sz="0" w:space="0" w:color="auto"/>
        <w:shd w:val="clear" w:color="auto" w:fill="auto"/>
        <w:vertAlign w:val="superscript"/>
      </w:rPr>
    </w:lvl>
    <w:lvl w:ilvl="8" w:tplc="CEE0FB70">
      <w:start w:val="1"/>
      <w:numFmt w:val="lowerRoman"/>
      <w:lvlText w:val="%9"/>
      <w:lvlJc w:val="left"/>
      <w:pPr>
        <w:ind w:left="6120"/>
      </w:pPr>
      <w:rPr>
        <w:rFonts w:ascii="Times New Roman" w:eastAsia="Times New Roman" w:hAnsi="Times New Roman" w:cs="Times New Roman"/>
        <w:b w:val="0"/>
        <w:i/>
        <w:iCs/>
        <w:strike w:val="0"/>
        <w:dstrike w:val="0"/>
        <w:color w:val="000003"/>
        <w:sz w:val="14"/>
        <w:szCs w:val="14"/>
        <w:u w:val="none" w:color="000000"/>
        <w:bdr w:val="none" w:sz="0" w:space="0" w:color="auto"/>
        <w:shd w:val="clear" w:color="auto" w:fill="auto"/>
        <w:vertAlign w:val="superscript"/>
      </w:rPr>
    </w:lvl>
  </w:abstractNum>
  <w:abstractNum w:abstractNumId="7" w15:restartNumberingAfterBreak="0">
    <w:nsid w:val="6AB1476D"/>
    <w:multiLevelType w:val="hybridMultilevel"/>
    <w:tmpl w:val="C6369D36"/>
    <w:lvl w:ilvl="0" w:tplc="917A92A2">
      <w:start w:val="1"/>
      <w:numFmt w:val="decimal"/>
      <w:lvlText w:val="%1."/>
      <w:lvlJc w:val="left"/>
      <w:pPr>
        <w:ind w:left="524"/>
      </w:pPr>
      <w:rPr>
        <w:rFonts w:ascii="Times New Roman" w:eastAsia="Times New Roman" w:hAnsi="Times New Roman" w:cs="Times New Roman"/>
        <w:b w:val="0"/>
        <w:i w:val="0"/>
        <w:strike w:val="0"/>
        <w:dstrike w:val="0"/>
        <w:color w:val="000003"/>
        <w:sz w:val="19"/>
        <w:szCs w:val="19"/>
        <w:u w:val="none" w:color="000000"/>
        <w:bdr w:val="none" w:sz="0" w:space="0" w:color="auto"/>
        <w:shd w:val="clear" w:color="auto" w:fill="auto"/>
        <w:vertAlign w:val="baseline"/>
      </w:rPr>
    </w:lvl>
    <w:lvl w:ilvl="1" w:tplc="F6967FEE">
      <w:start w:val="1"/>
      <w:numFmt w:val="lowerLetter"/>
      <w:lvlText w:val="%2"/>
      <w:lvlJc w:val="left"/>
      <w:pPr>
        <w:ind w:left="1363"/>
      </w:pPr>
      <w:rPr>
        <w:rFonts w:ascii="Times New Roman" w:eastAsia="Times New Roman" w:hAnsi="Times New Roman" w:cs="Times New Roman"/>
        <w:b w:val="0"/>
        <w:i w:val="0"/>
        <w:strike w:val="0"/>
        <w:dstrike w:val="0"/>
        <w:color w:val="000003"/>
        <w:sz w:val="19"/>
        <w:szCs w:val="19"/>
        <w:u w:val="none" w:color="000000"/>
        <w:bdr w:val="none" w:sz="0" w:space="0" w:color="auto"/>
        <w:shd w:val="clear" w:color="auto" w:fill="auto"/>
        <w:vertAlign w:val="baseline"/>
      </w:rPr>
    </w:lvl>
    <w:lvl w:ilvl="2" w:tplc="721E877C">
      <w:start w:val="1"/>
      <w:numFmt w:val="lowerRoman"/>
      <w:lvlText w:val="%3"/>
      <w:lvlJc w:val="left"/>
      <w:pPr>
        <w:ind w:left="2083"/>
      </w:pPr>
      <w:rPr>
        <w:rFonts w:ascii="Times New Roman" w:eastAsia="Times New Roman" w:hAnsi="Times New Roman" w:cs="Times New Roman"/>
        <w:b w:val="0"/>
        <w:i w:val="0"/>
        <w:strike w:val="0"/>
        <w:dstrike w:val="0"/>
        <w:color w:val="000003"/>
        <w:sz w:val="19"/>
        <w:szCs w:val="19"/>
        <w:u w:val="none" w:color="000000"/>
        <w:bdr w:val="none" w:sz="0" w:space="0" w:color="auto"/>
        <w:shd w:val="clear" w:color="auto" w:fill="auto"/>
        <w:vertAlign w:val="baseline"/>
      </w:rPr>
    </w:lvl>
    <w:lvl w:ilvl="3" w:tplc="45960FD0">
      <w:start w:val="1"/>
      <w:numFmt w:val="decimal"/>
      <w:lvlText w:val="%4"/>
      <w:lvlJc w:val="left"/>
      <w:pPr>
        <w:ind w:left="2803"/>
      </w:pPr>
      <w:rPr>
        <w:rFonts w:ascii="Times New Roman" w:eastAsia="Times New Roman" w:hAnsi="Times New Roman" w:cs="Times New Roman"/>
        <w:b w:val="0"/>
        <w:i w:val="0"/>
        <w:strike w:val="0"/>
        <w:dstrike w:val="0"/>
        <w:color w:val="000003"/>
        <w:sz w:val="19"/>
        <w:szCs w:val="19"/>
        <w:u w:val="none" w:color="000000"/>
        <w:bdr w:val="none" w:sz="0" w:space="0" w:color="auto"/>
        <w:shd w:val="clear" w:color="auto" w:fill="auto"/>
        <w:vertAlign w:val="baseline"/>
      </w:rPr>
    </w:lvl>
    <w:lvl w:ilvl="4" w:tplc="0EAA00C6">
      <w:start w:val="1"/>
      <w:numFmt w:val="lowerLetter"/>
      <w:lvlText w:val="%5"/>
      <w:lvlJc w:val="left"/>
      <w:pPr>
        <w:ind w:left="3523"/>
      </w:pPr>
      <w:rPr>
        <w:rFonts w:ascii="Times New Roman" w:eastAsia="Times New Roman" w:hAnsi="Times New Roman" w:cs="Times New Roman"/>
        <w:b w:val="0"/>
        <w:i w:val="0"/>
        <w:strike w:val="0"/>
        <w:dstrike w:val="0"/>
        <w:color w:val="000003"/>
        <w:sz w:val="19"/>
        <w:szCs w:val="19"/>
        <w:u w:val="none" w:color="000000"/>
        <w:bdr w:val="none" w:sz="0" w:space="0" w:color="auto"/>
        <w:shd w:val="clear" w:color="auto" w:fill="auto"/>
        <w:vertAlign w:val="baseline"/>
      </w:rPr>
    </w:lvl>
    <w:lvl w:ilvl="5" w:tplc="1B70F184">
      <w:start w:val="1"/>
      <w:numFmt w:val="lowerRoman"/>
      <w:lvlText w:val="%6"/>
      <w:lvlJc w:val="left"/>
      <w:pPr>
        <w:ind w:left="4243"/>
      </w:pPr>
      <w:rPr>
        <w:rFonts w:ascii="Times New Roman" w:eastAsia="Times New Roman" w:hAnsi="Times New Roman" w:cs="Times New Roman"/>
        <w:b w:val="0"/>
        <w:i w:val="0"/>
        <w:strike w:val="0"/>
        <w:dstrike w:val="0"/>
        <w:color w:val="000003"/>
        <w:sz w:val="19"/>
        <w:szCs w:val="19"/>
        <w:u w:val="none" w:color="000000"/>
        <w:bdr w:val="none" w:sz="0" w:space="0" w:color="auto"/>
        <w:shd w:val="clear" w:color="auto" w:fill="auto"/>
        <w:vertAlign w:val="baseline"/>
      </w:rPr>
    </w:lvl>
    <w:lvl w:ilvl="6" w:tplc="E6C48386">
      <w:start w:val="1"/>
      <w:numFmt w:val="decimal"/>
      <w:lvlText w:val="%7"/>
      <w:lvlJc w:val="left"/>
      <w:pPr>
        <w:ind w:left="4963"/>
      </w:pPr>
      <w:rPr>
        <w:rFonts w:ascii="Times New Roman" w:eastAsia="Times New Roman" w:hAnsi="Times New Roman" w:cs="Times New Roman"/>
        <w:b w:val="0"/>
        <w:i w:val="0"/>
        <w:strike w:val="0"/>
        <w:dstrike w:val="0"/>
        <w:color w:val="000003"/>
        <w:sz w:val="19"/>
        <w:szCs w:val="19"/>
        <w:u w:val="none" w:color="000000"/>
        <w:bdr w:val="none" w:sz="0" w:space="0" w:color="auto"/>
        <w:shd w:val="clear" w:color="auto" w:fill="auto"/>
        <w:vertAlign w:val="baseline"/>
      </w:rPr>
    </w:lvl>
    <w:lvl w:ilvl="7" w:tplc="3014DE66">
      <w:start w:val="1"/>
      <w:numFmt w:val="lowerLetter"/>
      <w:lvlText w:val="%8"/>
      <w:lvlJc w:val="left"/>
      <w:pPr>
        <w:ind w:left="5683"/>
      </w:pPr>
      <w:rPr>
        <w:rFonts w:ascii="Times New Roman" w:eastAsia="Times New Roman" w:hAnsi="Times New Roman" w:cs="Times New Roman"/>
        <w:b w:val="0"/>
        <w:i w:val="0"/>
        <w:strike w:val="0"/>
        <w:dstrike w:val="0"/>
        <w:color w:val="000003"/>
        <w:sz w:val="19"/>
        <w:szCs w:val="19"/>
        <w:u w:val="none" w:color="000000"/>
        <w:bdr w:val="none" w:sz="0" w:space="0" w:color="auto"/>
        <w:shd w:val="clear" w:color="auto" w:fill="auto"/>
        <w:vertAlign w:val="baseline"/>
      </w:rPr>
    </w:lvl>
    <w:lvl w:ilvl="8" w:tplc="7DBE766C">
      <w:start w:val="1"/>
      <w:numFmt w:val="lowerRoman"/>
      <w:lvlText w:val="%9"/>
      <w:lvlJc w:val="left"/>
      <w:pPr>
        <w:ind w:left="6403"/>
      </w:pPr>
      <w:rPr>
        <w:rFonts w:ascii="Times New Roman" w:eastAsia="Times New Roman" w:hAnsi="Times New Roman" w:cs="Times New Roman"/>
        <w:b w:val="0"/>
        <w:i w:val="0"/>
        <w:strike w:val="0"/>
        <w:dstrike w:val="0"/>
        <w:color w:val="000003"/>
        <w:sz w:val="19"/>
        <w:szCs w:val="19"/>
        <w:u w:val="none" w:color="000000"/>
        <w:bdr w:val="none" w:sz="0" w:space="0" w:color="auto"/>
        <w:shd w:val="clear" w:color="auto" w:fill="auto"/>
        <w:vertAlign w:val="baseline"/>
      </w:rPr>
    </w:lvl>
  </w:abstractNum>
  <w:abstractNum w:abstractNumId="8" w15:restartNumberingAfterBreak="0">
    <w:nsid w:val="6DE35F4C"/>
    <w:multiLevelType w:val="hybridMultilevel"/>
    <w:tmpl w:val="6120875A"/>
    <w:lvl w:ilvl="0" w:tplc="06EE4758">
      <w:start w:val="1"/>
      <w:numFmt w:val="decimal"/>
      <w:lvlText w:val="%1."/>
      <w:lvlJc w:val="left"/>
      <w:pPr>
        <w:ind w:left="283"/>
      </w:pPr>
      <w:rPr>
        <w:rFonts w:ascii="Times New Roman" w:eastAsia="Times New Roman" w:hAnsi="Times New Roman" w:cs="Times New Roman"/>
        <w:b w:val="0"/>
        <w:i w:val="0"/>
        <w:strike w:val="0"/>
        <w:dstrike w:val="0"/>
        <w:color w:val="000003"/>
        <w:sz w:val="16"/>
        <w:szCs w:val="16"/>
        <w:u w:val="none" w:color="000000"/>
        <w:bdr w:val="none" w:sz="0" w:space="0" w:color="auto"/>
        <w:shd w:val="clear" w:color="auto" w:fill="auto"/>
        <w:vertAlign w:val="baseline"/>
      </w:rPr>
    </w:lvl>
    <w:lvl w:ilvl="1" w:tplc="811C7764">
      <w:start w:val="1746"/>
      <w:numFmt w:val="decimal"/>
      <w:lvlText w:val="%2."/>
      <w:lvlJc w:val="left"/>
      <w:pPr>
        <w:ind w:left="690"/>
      </w:pPr>
      <w:rPr>
        <w:rFonts w:ascii="Times New Roman" w:eastAsia="Times New Roman" w:hAnsi="Times New Roman" w:cs="Times New Roman"/>
        <w:b w:val="0"/>
        <w:i w:val="0"/>
        <w:strike w:val="0"/>
        <w:dstrike w:val="0"/>
        <w:color w:val="000003"/>
        <w:sz w:val="16"/>
        <w:szCs w:val="16"/>
        <w:u w:val="none" w:color="000000"/>
        <w:bdr w:val="none" w:sz="0" w:space="0" w:color="auto"/>
        <w:shd w:val="clear" w:color="auto" w:fill="auto"/>
        <w:vertAlign w:val="baseline"/>
      </w:rPr>
    </w:lvl>
    <w:lvl w:ilvl="2" w:tplc="C6AC5B60">
      <w:start w:val="1"/>
      <w:numFmt w:val="lowerRoman"/>
      <w:lvlText w:val="%3"/>
      <w:lvlJc w:val="left"/>
      <w:pPr>
        <w:ind w:left="1363"/>
      </w:pPr>
      <w:rPr>
        <w:rFonts w:ascii="Times New Roman" w:eastAsia="Times New Roman" w:hAnsi="Times New Roman" w:cs="Times New Roman"/>
        <w:b w:val="0"/>
        <w:i w:val="0"/>
        <w:strike w:val="0"/>
        <w:dstrike w:val="0"/>
        <w:color w:val="000003"/>
        <w:sz w:val="16"/>
        <w:szCs w:val="16"/>
        <w:u w:val="none" w:color="000000"/>
        <w:bdr w:val="none" w:sz="0" w:space="0" w:color="auto"/>
        <w:shd w:val="clear" w:color="auto" w:fill="auto"/>
        <w:vertAlign w:val="baseline"/>
      </w:rPr>
    </w:lvl>
    <w:lvl w:ilvl="3" w:tplc="0A42C268">
      <w:start w:val="1"/>
      <w:numFmt w:val="decimal"/>
      <w:lvlText w:val="%4"/>
      <w:lvlJc w:val="left"/>
      <w:pPr>
        <w:ind w:left="2083"/>
      </w:pPr>
      <w:rPr>
        <w:rFonts w:ascii="Times New Roman" w:eastAsia="Times New Roman" w:hAnsi="Times New Roman" w:cs="Times New Roman"/>
        <w:b w:val="0"/>
        <w:i w:val="0"/>
        <w:strike w:val="0"/>
        <w:dstrike w:val="0"/>
        <w:color w:val="000003"/>
        <w:sz w:val="16"/>
        <w:szCs w:val="16"/>
        <w:u w:val="none" w:color="000000"/>
        <w:bdr w:val="none" w:sz="0" w:space="0" w:color="auto"/>
        <w:shd w:val="clear" w:color="auto" w:fill="auto"/>
        <w:vertAlign w:val="baseline"/>
      </w:rPr>
    </w:lvl>
    <w:lvl w:ilvl="4" w:tplc="B510DDD4">
      <w:start w:val="1"/>
      <w:numFmt w:val="lowerLetter"/>
      <w:lvlText w:val="%5"/>
      <w:lvlJc w:val="left"/>
      <w:pPr>
        <w:ind w:left="2803"/>
      </w:pPr>
      <w:rPr>
        <w:rFonts w:ascii="Times New Roman" w:eastAsia="Times New Roman" w:hAnsi="Times New Roman" w:cs="Times New Roman"/>
        <w:b w:val="0"/>
        <w:i w:val="0"/>
        <w:strike w:val="0"/>
        <w:dstrike w:val="0"/>
        <w:color w:val="000003"/>
        <w:sz w:val="16"/>
        <w:szCs w:val="16"/>
        <w:u w:val="none" w:color="000000"/>
        <w:bdr w:val="none" w:sz="0" w:space="0" w:color="auto"/>
        <w:shd w:val="clear" w:color="auto" w:fill="auto"/>
        <w:vertAlign w:val="baseline"/>
      </w:rPr>
    </w:lvl>
    <w:lvl w:ilvl="5" w:tplc="D0002192">
      <w:start w:val="1"/>
      <w:numFmt w:val="lowerRoman"/>
      <w:lvlText w:val="%6"/>
      <w:lvlJc w:val="left"/>
      <w:pPr>
        <w:ind w:left="3523"/>
      </w:pPr>
      <w:rPr>
        <w:rFonts w:ascii="Times New Roman" w:eastAsia="Times New Roman" w:hAnsi="Times New Roman" w:cs="Times New Roman"/>
        <w:b w:val="0"/>
        <w:i w:val="0"/>
        <w:strike w:val="0"/>
        <w:dstrike w:val="0"/>
        <w:color w:val="000003"/>
        <w:sz w:val="16"/>
        <w:szCs w:val="16"/>
        <w:u w:val="none" w:color="000000"/>
        <w:bdr w:val="none" w:sz="0" w:space="0" w:color="auto"/>
        <w:shd w:val="clear" w:color="auto" w:fill="auto"/>
        <w:vertAlign w:val="baseline"/>
      </w:rPr>
    </w:lvl>
    <w:lvl w:ilvl="6" w:tplc="693EDECA">
      <w:start w:val="1"/>
      <w:numFmt w:val="decimal"/>
      <w:lvlText w:val="%7"/>
      <w:lvlJc w:val="left"/>
      <w:pPr>
        <w:ind w:left="4243"/>
      </w:pPr>
      <w:rPr>
        <w:rFonts w:ascii="Times New Roman" w:eastAsia="Times New Roman" w:hAnsi="Times New Roman" w:cs="Times New Roman"/>
        <w:b w:val="0"/>
        <w:i w:val="0"/>
        <w:strike w:val="0"/>
        <w:dstrike w:val="0"/>
        <w:color w:val="000003"/>
        <w:sz w:val="16"/>
        <w:szCs w:val="16"/>
        <w:u w:val="none" w:color="000000"/>
        <w:bdr w:val="none" w:sz="0" w:space="0" w:color="auto"/>
        <w:shd w:val="clear" w:color="auto" w:fill="auto"/>
        <w:vertAlign w:val="baseline"/>
      </w:rPr>
    </w:lvl>
    <w:lvl w:ilvl="7" w:tplc="A2BCA3C6">
      <w:start w:val="1"/>
      <w:numFmt w:val="lowerLetter"/>
      <w:lvlText w:val="%8"/>
      <w:lvlJc w:val="left"/>
      <w:pPr>
        <w:ind w:left="4963"/>
      </w:pPr>
      <w:rPr>
        <w:rFonts w:ascii="Times New Roman" w:eastAsia="Times New Roman" w:hAnsi="Times New Roman" w:cs="Times New Roman"/>
        <w:b w:val="0"/>
        <w:i w:val="0"/>
        <w:strike w:val="0"/>
        <w:dstrike w:val="0"/>
        <w:color w:val="000003"/>
        <w:sz w:val="16"/>
        <w:szCs w:val="16"/>
        <w:u w:val="none" w:color="000000"/>
        <w:bdr w:val="none" w:sz="0" w:space="0" w:color="auto"/>
        <w:shd w:val="clear" w:color="auto" w:fill="auto"/>
        <w:vertAlign w:val="baseline"/>
      </w:rPr>
    </w:lvl>
    <w:lvl w:ilvl="8" w:tplc="5616DC6C">
      <w:start w:val="1"/>
      <w:numFmt w:val="lowerRoman"/>
      <w:lvlText w:val="%9"/>
      <w:lvlJc w:val="left"/>
      <w:pPr>
        <w:ind w:left="5683"/>
      </w:pPr>
      <w:rPr>
        <w:rFonts w:ascii="Times New Roman" w:eastAsia="Times New Roman" w:hAnsi="Times New Roman" w:cs="Times New Roman"/>
        <w:b w:val="0"/>
        <w:i w:val="0"/>
        <w:strike w:val="0"/>
        <w:dstrike w:val="0"/>
        <w:color w:val="000003"/>
        <w:sz w:val="16"/>
        <w:szCs w:val="16"/>
        <w:u w:val="none" w:color="000000"/>
        <w:bdr w:val="none" w:sz="0" w:space="0" w:color="auto"/>
        <w:shd w:val="clear" w:color="auto" w:fill="auto"/>
        <w:vertAlign w:val="baseline"/>
      </w:rPr>
    </w:lvl>
  </w:abstractNum>
  <w:num w:numId="1">
    <w:abstractNumId w:val="1"/>
  </w:num>
  <w:num w:numId="2">
    <w:abstractNumId w:val="6"/>
  </w:num>
  <w:num w:numId="3">
    <w:abstractNumId w:val="5"/>
  </w:num>
  <w:num w:numId="4">
    <w:abstractNumId w:val="3"/>
  </w:num>
  <w:num w:numId="5">
    <w:abstractNumId w:val="2"/>
  </w:num>
  <w:num w:numId="6">
    <w:abstractNumId w:val="0"/>
  </w:num>
  <w:num w:numId="7">
    <w:abstractNumId w:val="7"/>
  </w:num>
  <w:num w:numId="8">
    <w:abstractNumId w:val="4"/>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zoom w:percent="100"/>
  <w:revisionView w:inkAnnotations="0"/>
  <w:defaultTabStop w:val="720"/>
  <w:evenAndOddHeaders/>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D5C2A"/>
    <w:rsid w:val="00280B42"/>
    <w:rsid w:val="002D5C2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docId w15:val="{A8B2929C-0030-4F46-BF30-17172FF47A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Calibri" w:eastAsia="Calibri" w:hAnsi="Calibri" w:cs="Calibri"/>
      <w:color w:val="000000"/>
    </w:rPr>
  </w:style>
  <w:style w:type="paragraph" w:styleId="Heading1">
    <w:name w:val="heading 1"/>
    <w:next w:val="Normal"/>
    <w:link w:val="Heading1Char"/>
    <w:uiPriority w:val="9"/>
    <w:unhideWhenUsed/>
    <w:qFormat/>
    <w:pPr>
      <w:keepNext/>
      <w:keepLines/>
      <w:spacing w:after="14" w:line="236" w:lineRule="auto"/>
      <w:ind w:right="465"/>
      <w:outlineLvl w:val="0"/>
    </w:pPr>
    <w:rPr>
      <w:rFonts w:ascii="Calibri" w:eastAsia="Calibri" w:hAnsi="Calibri" w:cs="Calibri"/>
      <w:b/>
      <w:color w:val="009EE4"/>
      <w:sz w:val="24"/>
    </w:rPr>
  </w:style>
  <w:style w:type="paragraph" w:styleId="Heading2">
    <w:name w:val="heading 2"/>
    <w:next w:val="Normal"/>
    <w:link w:val="Heading2Char"/>
    <w:uiPriority w:val="9"/>
    <w:unhideWhenUsed/>
    <w:qFormat/>
    <w:pPr>
      <w:keepNext/>
      <w:keepLines/>
      <w:spacing w:after="0" w:line="249" w:lineRule="auto"/>
      <w:ind w:left="293" w:hanging="10"/>
      <w:jc w:val="both"/>
      <w:outlineLvl w:val="1"/>
    </w:pPr>
    <w:rPr>
      <w:rFonts w:ascii="Times New Roman" w:eastAsia="Times New Roman" w:hAnsi="Times New Roman" w:cs="Times New Roman"/>
      <w:b/>
      <w:color w:val="6EBBED"/>
      <w:sz w:val="24"/>
    </w:rPr>
  </w:style>
  <w:style w:type="paragraph" w:styleId="Heading3">
    <w:name w:val="heading 3"/>
    <w:next w:val="Normal"/>
    <w:link w:val="Heading3Char"/>
    <w:uiPriority w:val="9"/>
    <w:unhideWhenUsed/>
    <w:qFormat/>
    <w:pPr>
      <w:keepNext/>
      <w:keepLines/>
      <w:spacing w:after="52" w:line="254" w:lineRule="auto"/>
      <w:ind w:left="293" w:hanging="10"/>
      <w:outlineLvl w:val="2"/>
    </w:pPr>
    <w:rPr>
      <w:rFonts w:ascii="Times New Roman" w:eastAsia="Times New Roman" w:hAnsi="Times New Roman" w:cs="Times New Roman"/>
      <w:b/>
      <w:color w:val="009EE4"/>
      <w:sz w:val="1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Calibri" w:eastAsia="Calibri" w:hAnsi="Calibri" w:cs="Calibri"/>
      <w:b/>
      <w:color w:val="009EE4"/>
      <w:sz w:val="24"/>
    </w:rPr>
  </w:style>
  <w:style w:type="character" w:customStyle="1" w:styleId="Heading2Char">
    <w:name w:val="Heading 2 Char"/>
    <w:link w:val="Heading2"/>
    <w:rPr>
      <w:rFonts w:ascii="Times New Roman" w:eastAsia="Times New Roman" w:hAnsi="Times New Roman" w:cs="Times New Roman"/>
      <w:b/>
      <w:color w:val="6EBBED"/>
      <w:sz w:val="24"/>
    </w:rPr>
  </w:style>
  <w:style w:type="character" w:customStyle="1" w:styleId="Heading3Char">
    <w:name w:val="Heading 3 Char"/>
    <w:link w:val="Heading3"/>
    <w:rPr>
      <w:rFonts w:ascii="Times New Roman" w:eastAsia="Times New Roman" w:hAnsi="Times New Roman" w:cs="Times New Roman"/>
      <w:b/>
      <w:color w:val="009EE4"/>
      <w:sz w:val="19"/>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image" Target="media/image1.jpg"/><Relationship Id="rId18" Type="http://schemas.openxmlformats.org/officeDocument/2006/relationships/image" Target="media/image16.jpg"/><Relationship Id="rId26" Type="http://schemas.openxmlformats.org/officeDocument/2006/relationships/image" Target="media/image8.jpg"/><Relationship Id="rId39" Type="http://schemas.openxmlformats.org/officeDocument/2006/relationships/image" Target="media/image120.jpg"/><Relationship Id="rId21" Type="http://schemas.openxmlformats.org/officeDocument/2006/relationships/image" Target="media/image5.jpg"/><Relationship Id="rId34" Type="http://schemas.openxmlformats.org/officeDocument/2006/relationships/image" Target="media/image90.jpg"/><Relationship Id="rId42" Type="http://schemas.openxmlformats.org/officeDocument/2006/relationships/image" Target="media/image140.jpg"/><Relationship Id="rId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4.jpg"/><Relationship Id="rId20" Type="http://schemas.openxmlformats.org/officeDocument/2006/relationships/image" Target="media/image30.jpg"/><Relationship Id="rId29" Type="http://schemas.openxmlformats.org/officeDocument/2006/relationships/image" Target="media/image9.jpg"/><Relationship Id="rId41" Type="http://schemas.openxmlformats.org/officeDocument/2006/relationships/image" Target="media/image15.jp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24" Type="http://schemas.openxmlformats.org/officeDocument/2006/relationships/image" Target="media/image60.jpg"/><Relationship Id="rId32" Type="http://schemas.openxmlformats.org/officeDocument/2006/relationships/image" Target="media/image12.jpg"/><Relationship Id="rId37" Type="http://schemas.openxmlformats.org/officeDocument/2006/relationships/image" Target="media/image13.jpg"/><Relationship Id="rId40" Type="http://schemas.openxmlformats.org/officeDocument/2006/relationships/image" Target="media/image130.jpg"/><Relationship Id="rId5" Type="http://schemas.openxmlformats.org/officeDocument/2006/relationships/footnotes" Target="footnotes.xml"/><Relationship Id="rId15" Type="http://schemas.openxmlformats.org/officeDocument/2006/relationships/image" Target="media/image3.jpg"/><Relationship Id="rId23" Type="http://schemas.openxmlformats.org/officeDocument/2006/relationships/image" Target="media/image40.jpg"/><Relationship Id="rId28" Type="http://schemas.openxmlformats.org/officeDocument/2006/relationships/image" Target="media/image70.jpg"/><Relationship Id="rId36" Type="http://schemas.openxmlformats.org/officeDocument/2006/relationships/image" Target="media/image110.jpg"/><Relationship Id="rId10" Type="http://schemas.openxmlformats.org/officeDocument/2006/relationships/footer" Target="footer2.xml"/><Relationship Id="rId19" Type="http://schemas.openxmlformats.org/officeDocument/2006/relationships/image" Target="media/image20.jpg"/><Relationship Id="rId31" Type="http://schemas.openxmlformats.org/officeDocument/2006/relationships/image" Target="media/image11.jpg"/><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2.jpg"/><Relationship Id="rId22" Type="http://schemas.openxmlformats.org/officeDocument/2006/relationships/image" Target="media/image6.jpg"/><Relationship Id="rId27" Type="http://schemas.openxmlformats.org/officeDocument/2006/relationships/image" Target="media/image50.jpg"/><Relationship Id="rId30" Type="http://schemas.openxmlformats.org/officeDocument/2006/relationships/image" Target="media/image10.jpg"/><Relationship Id="rId35" Type="http://schemas.openxmlformats.org/officeDocument/2006/relationships/image" Target="media/image100.jpg"/><Relationship Id="rId43" Type="http://schemas.openxmlformats.org/officeDocument/2006/relationships/fontTable" Target="fontTable.xml"/><Relationship Id="rId8" Type="http://schemas.openxmlformats.org/officeDocument/2006/relationships/header" Target="header2.xml"/><Relationship Id="rId3" Type="http://schemas.openxmlformats.org/officeDocument/2006/relationships/settings" Target="settings.xml"/><Relationship Id="rId12" Type="http://schemas.openxmlformats.org/officeDocument/2006/relationships/footer" Target="footer3.xml"/><Relationship Id="rId17" Type="http://schemas.openxmlformats.org/officeDocument/2006/relationships/image" Target="media/image0.jpg"/><Relationship Id="rId25" Type="http://schemas.openxmlformats.org/officeDocument/2006/relationships/image" Target="media/image7.jpg"/><Relationship Id="rId33" Type="http://schemas.openxmlformats.org/officeDocument/2006/relationships/image" Target="media/image80.jpg"/><Relationship Id="rId38" Type="http://schemas.openxmlformats.org/officeDocument/2006/relationships/image" Target="media/image1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Pages>
  <Words>14568</Words>
  <Characters>83038</Characters>
  <Application>Microsoft Office Word</Application>
  <DocSecurity>4</DocSecurity>
  <Lines>691</Lines>
  <Paragraphs>194</Paragraphs>
  <ScaleCrop>false</ScaleCrop>
  <Company/>
  <LinksUpToDate>false</LinksUpToDate>
  <CharactersWithSpaces>97412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Icecream PDF Split&amp;Merge</dc:creator>
  <cp:keywords/>
  <cp:lastModifiedBy>word</cp:lastModifiedBy>
  <cp:revision>2</cp:revision>
  <dcterms:created xsi:type="dcterms:W3CDTF">2026-06-01T14:40:00Z</dcterms:created>
  <dcterms:modified xsi:type="dcterms:W3CDTF">2026-06-01T14:40:00Z</dcterms:modified>
</cp:coreProperties>
</file>