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6A1" w:rsidRPr="00CB56A1" w:rsidRDefault="00CB56A1" w:rsidP="00CB56A1">
      <w:pPr>
        <w:spacing w:after="0" w:line="240" w:lineRule="auto"/>
        <w:jc w:val="center"/>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000000"/>
          <w:spacing w:val="4"/>
          <w:sz w:val="24"/>
          <w:szCs w:val="24"/>
          <w:lang w:eastAsia="ru-RU"/>
        </w:rPr>
        <w:br/>
      </w:r>
      <w:r w:rsidRPr="00CB56A1">
        <w:rPr>
          <w:rFonts w:ascii="Inter" w:eastAsia="Times New Roman" w:hAnsi="Inter" w:cs="Times New Roman"/>
          <w:noProof/>
          <w:color w:val="000000"/>
          <w:spacing w:val="4"/>
          <w:sz w:val="24"/>
          <w:szCs w:val="24"/>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B45DF8"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CB56A1" w:rsidRPr="00CB56A1" w:rsidRDefault="00CB56A1" w:rsidP="00CB56A1">
      <w:pPr>
        <w:spacing w:after="0" w:line="240" w:lineRule="auto"/>
        <w:jc w:val="center"/>
        <w:rPr>
          <w:rFonts w:ascii="Inter" w:eastAsia="Times New Roman" w:hAnsi="Inter" w:cs="Times New Roman"/>
          <w:color w:val="000000"/>
          <w:spacing w:val="4"/>
          <w:sz w:val="24"/>
          <w:szCs w:val="24"/>
          <w:lang w:eastAsia="ru-RU"/>
        </w:rPr>
      </w:pPr>
      <w:r w:rsidRPr="00CB56A1">
        <w:rPr>
          <w:rFonts w:ascii="Inter" w:eastAsia="Times New Roman" w:hAnsi="Inter" w:cs="Times New Roman"/>
          <w:b/>
          <w:bCs/>
          <w:color w:val="575756"/>
          <w:spacing w:val="4"/>
          <w:sz w:val="27"/>
          <w:szCs w:val="27"/>
          <w:lang w:eastAsia="ru-RU"/>
        </w:rPr>
        <w:t>Министерство</w:t>
      </w:r>
      <w:r w:rsidRPr="00CB56A1">
        <w:rPr>
          <w:rFonts w:ascii="Inter" w:eastAsia="Times New Roman" w:hAnsi="Inter" w:cs="Times New Roman"/>
          <w:b/>
          <w:bCs/>
          <w:color w:val="575756"/>
          <w:spacing w:val="4"/>
          <w:sz w:val="27"/>
          <w:szCs w:val="27"/>
          <w:lang w:eastAsia="ru-RU"/>
        </w:rPr>
        <w:br/>
        <w:t>Здравоохранения</w:t>
      </w:r>
      <w:r w:rsidRPr="00CB56A1">
        <w:rPr>
          <w:rFonts w:ascii="Inter" w:eastAsia="Times New Roman" w:hAnsi="Inter" w:cs="Times New Roman"/>
          <w:b/>
          <w:bCs/>
          <w:color w:val="575756"/>
          <w:spacing w:val="4"/>
          <w:sz w:val="27"/>
          <w:szCs w:val="27"/>
          <w:lang w:eastAsia="ru-RU"/>
        </w:rPr>
        <w:br/>
        <w:t>Российской Федерации</w:t>
      </w:r>
    </w:p>
    <w:p w:rsidR="00CB56A1" w:rsidRPr="00CB56A1" w:rsidRDefault="00CB56A1" w:rsidP="00CB56A1">
      <w:pPr>
        <w:spacing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808080"/>
          <w:spacing w:val="4"/>
          <w:sz w:val="24"/>
          <w:szCs w:val="24"/>
          <w:lang w:eastAsia="ru-RU"/>
        </w:rPr>
        <w:t>Клинические рекомендации</w:t>
      </w:r>
      <w:r w:rsidRPr="00CB56A1">
        <w:rPr>
          <w:rFonts w:ascii="Inter" w:eastAsia="Times New Roman" w:hAnsi="Inter" w:cs="Times New Roman"/>
          <w:b/>
          <w:bCs/>
          <w:color w:val="008000"/>
          <w:spacing w:val="4"/>
          <w:sz w:val="42"/>
          <w:szCs w:val="42"/>
          <w:lang w:eastAsia="ru-RU"/>
        </w:rPr>
        <w:t>Атрофия и аномалии зрительного нерва</w:t>
      </w:r>
    </w:p>
    <w:p w:rsidR="00CB56A1" w:rsidRPr="00CB56A1" w:rsidRDefault="00CB56A1" w:rsidP="00CB56A1">
      <w:pPr>
        <w:spacing w:after="0"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CB56A1">
        <w:rPr>
          <w:rFonts w:ascii="Inter" w:eastAsia="Times New Roman" w:hAnsi="Inter" w:cs="Times New Roman"/>
          <w:b/>
          <w:bCs/>
          <w:color w:val="000000"/>
          <w:spacing w:val="4"/>
          <w:sz w:val="27"/>
          <w:szCs w:val="27"/>
          <w:lang w:eastAsia="ru-RU"/>
        </w:rPr>
        <w:t>H47.1, H47.2, H47.3, H48.1, Q14.2</w:t>
      </w:r>
    </w:p>
    <w:p w:rsidR="00CB56A1" w:rsidRPr="00CB56A1" w:rsidRDefault="00CB56A1" w:rsidP="00CB56A1">
      <w:pPr>
        <w:spacing w:after="0"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9E9E9E"/>
          <w:spacing w:val="4"/>
          <w:sz w:val="27"/>
          <w:szCs w:val="27"/>
          <w:lang w:eastAsia="ru-RU"/>
        </w:rPr>
        <w:t>Год утверждения (частота пересмотра):</w:t>
      </w:r>
      <w:r w:rsidRPr="00CB56A1">
        <w:rPr>
          <w:rFonts w:ascii="Inter" w:eastAsia="Times New Roman" w:hAnsi="Inter" w:cs="Times New Roman"/>
          <w:b/>
          <w:bCs/>
          <w:color w:val="000000"/>
          <w:spacing w:val="4"/>
          <w:sz w:val="27"/>
          <w:szCs w:val="27"/>
          <w:lang w:eastAsia="ru-RU"/>
        </w:rPr>
        <w:t>2026</w:t>
      </w:r>
      <w:r w:rsidRPr="00CB56A1">
        <w:rPr>
          <w:rFonts w:ascii="Inter" w:eastAsia="Times New Roman" w:hAnsi="Inter" w:cs="Times New Roman"/>
          <w:color w:val="9E9E9E"/>
          <w:spacing w:val="4"/>
          <w:sz w:val="27"/>
          <w:szCs w:val="27"/>
          <w:lang w:eastAsia="ru-RU"/>
        </w:rPr>
        <w:t>Пересмотр не позднее:</w:t>
      </w:r>
      <w:r w:rsidRPr="00CB56A1">
        <w:rPr>
          <w:rFonts w:ascii="Inter" w:eastAsia="Times New Roman" w:hAnsi="Inter" w:cs="Times New Roman"/>
          <w:b/>
          <w:bCs/>
          <w:color w:val="000000"/>
          <w:spacing w:val="4"/>
          <w:sz w:val="27"/>
          <w:szCs w:val="27"/>
          <w:lang w:eastAsia="ru-RU"/>
        </w:rPr>
        <w:t>2028</w:t>
      </w:r>
    </w:p>
    <w:p w:rsidR="00CB56A1" w:rsidRPr="00CB56A1" w:rsidRDefault="00CB56A1" w:rsidP="00CB56A1">
      <w:pPr>
        <w:spacing w:after="0"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9E9E9E"/>
          <w:spacing w:val="4"/>
          <w:sz w:val="27"/>
          <w:szCs w:val="27"/>
          <w:lang w:eastAsia="ru-RU"/>
        </w:rPr>
        <w:t>ID:</w:t>
      </w:r>
      <w:r w:rsidRPr="00CB56A1">
        <w:rPr>
          <w:rFonts w:ascii="Inter" w:eastAsia="Times New Roman" w:hAnsi="Inter" w:cs="Times New Roman"/>
          <w:b/>
          <w:bCs/>
          <w:color w:val="000000"/>
          <w:spacing w:val="4"/>
          <w:sz w:val="27"/>
          <w:szCs w:val="27"/>
          <w:lang w:eastAsia="ru-RU"/>
        </w:rPr>
        <w:t>1032_1</w:t>
      </w:r>
    </w:p>
    <w:p w:rsidR="00CB56A1" w:rsidRPr="00CB56A1" w:rsidRDefault="00CB56A1" w:rsidP="00CB56A1">
      <w:pPr>
        <w:spacing w:after="0"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9E9E9E"/>
          <w:spacing w:val="4"/>
          <w:sz w:val="27"/>
          <w:szCs w:val="27"/>
          <w:lang w:eastAsia="ru-RU"/>
        </w:rPr>
        <w:t>Возрастная категория:</w:t>
      </w:r>
      <w:r w:rsidRPr="00CB56A1">
        <w:rPr>
          <w:rFonts w:ascii="Inter" w:eastAsia="Times New Roman" w:hAnsi="Inter" w:cs="Times New Roman"/>
          <w:b/>
          <w:bCs/>
          <w:color w:val="000000"/>
          <w:spacing w:val="4"/>
          <w:sz w:val="27"/>
          <w:szCs w:val="27"/>
          <w:lang w:eastAsia="ru-RU"/>
        </w:rPr>
        <w:t>Взрослые, Дети</w:t>
      </w:r>
    </w:p>
    <w:p w:rsidR="00CB56A1" w:rsidRPr="00CB56A1" w:rsidRDefault="00CB56A1" w:rsidP="00CB56A1">
      <w:pPr>
        <w:spacing w:after="0"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9E9E9E"/>
          <w:spacing w:val="4"/>
          <w:sz w:val="27"/>
          <w:szCs w:val="27"/>
          <w:lang w:eastAsia="ru-RU"/>
        </w:rPr>
        <w:t>Специальность:</w:t>
      </w:r>
    </w:p>
    <w:p w:rsidR="00CB56A1" w:rsidRPr="00CB56A1" w:rsidRDefault="00CB56A1" w:rsidP="00CB56A1">
      <w:pPr>
        <w:spacing w:after="0"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808080"/>
          <w:spacing w:val="4"/>
          <w:sz w:val="27"/>
          <w:szCs w:val="27"/>
          <w:lang w:eastAsia="ru-RU"/>
        </w:rPr>
        <w:t>Разработчик клинической рекомендации</w:t>
      </w:r>
      <w:r w:rsidRPr="00CB56A1">
        <w:rPr>
          <w:rFonts w:ascii="Inter" w:eastAsia="Times New Roman" w:hAnsi="Inter" w:cs="Times New Roman"/>
          <w:b/>
          <w:bCs/>
          <w:color w:val="000000"/>
          <w:spacing w:val="4"/>
          <w:sz w:val="27"/>
          <w:szCs w:val="27"/>
          <w:lang w:eastAsia="ru-RU"/>
        </w:rPr>
        <w:t>Общероссийская общественная организация "Ассоциация врачей-офтальмологов"</w:t>
      </w:r>
    </w:p>
    <w:p w:rsidR="00CB56A1" w:rsidRPr="00CB56A1" w:rsidRDefault="00CB56A1" w:rsidP="00CB56A1">
      <w:pPr>
        <w:spacing w:line="240" w:lineRule="auto"/>
        <w:rPr>
          <w:rFonts w:ascii="Inter" w:eastAsia="Times New Roman" w:hAnsi="Inter" w:cs="Times New Roman"/>
          <w:color w:val="000000"/>
          <w:spacing w:val="4"/>
          <w:sz w:val="24"/>
          <w:szCs w:val="24"/>
          <w:lang w:eastAsia="ru-RU"/>
        </w:rPr>
      </w:pPr>
      <w:r w:rsidRPr="00CB56A1">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Оглавление</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Список сокращений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Термины и определения</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2.1 Жалобы и анамнез</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2.2 Физикальное обследование</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2.3 Лабораторные диагностические исследования</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2.4 Инструментальные диагностические исследования</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lastRenderedPageBreak/>
        <w:t>2.5 Иные диагностические исследования</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6. Организация оказания медицинской помощи</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Критерии оценки качества медицинской помощи</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Список литературы</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Приложение Б. Алгоритмы действий врача</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Приложение В. Информация для пациента</w:t>
      </w:r>
    </w:p>
    <w:p w:rsidR="00CB56A1" w:rsidRPr="00CB56A1" w:rsidRDefault="00CB56A1" w:rsidP="00CB56A1">
      <w:pPr>
        <w:numPr>
          <w:ilvl w:val="0"/>
          <w:numId w:val="1"/>
        </w:numPr>
        <w:spacing w:after="0" w:line="330" w:lineRule="atLeast"/>
        <w:ind w:left="0"/>
        <w:rPr>
          <w:rFonts w:ascii="Inter" w:eastAsia="Times New Roman" w:hAnsi="Inter" w:cs="Times New Roman"/>
          <w:color w:val="2979FF"/>
          <w:spacing w:val="4"/>
          <w:sz w:val="27"/>
          <w:szCs w:val="27"/>
          <w:lang w:eastAsia="ru-RU"/>
        </w:rPr>
      </w:pPr>
      <w:r w:rsidRPr="00CB56A1">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Список сокращений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АЗН – атрофия зрительного нерва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АКТГ – адренокортикотропный гормон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АМФ – аденозинмонофосфат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АТФ – аденозинтрифосфорная кислота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ГКС – ганглиозные клетки сетчатки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ДЗН – диск зрительного нерва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ЗВП – зрительные вызванные потенциалы коры головного мозга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ЗН – зрительный нерв</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КТ – компьютерная томография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МКБ 10 – международная классификация болезней 10-го пересмотра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МРТ – магнитно-резонансная томография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НЗН – неврит зрительного нерва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НКТ – наружное коленчатое тело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ОАЗД – относительный афферентный зрачковый дефект</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ОКТ – оптическая когерентная томография (оптическое исследование сетчатки или головки зрительного нерва и слоя нервных волокон с помощью компьютерного анализатора)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ОКТ-А – оптическая когерентная томография в режиме ангиографии (оптическое исследование сетчатки или головки зрительного нерва и слоя нервных волокон с помощью компьютерного анализатора в режиме ангиографии)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СНВС – слой нервных волокон сетчатки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ФАГ – флюоресцентная ангиография глаза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УЗИ – ультразвуковое исследование</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ЦДК – цветовое допплеровское картирование</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ЦНС – центральная нервная система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hyperlink r:id="rId5" w:history="1">
        <w:r w:rsidRPr="00CB56A1">
          <w:rPr>
            <w:rFonts w:ascii="Times New Roman" w:eastAsia="Times New Roman" w:hAnsi="Times New Roman" w:cs="Times New Roman"/>
            <w:color w:val="0000FF"/>
            <w:spacing w:val="4"/>
            <w:sz w:val="27"/>
            <w:szCs w:val="27"/>
            <w:u w:val="single"/>
            <w:lang w:eastAsia="ru-RU"/>
          </w:rPr>
          <w:t>NMDA </w:t>
        </w:r>
      </w:hyperlink>
      <w:r w:rsidRPr="00CB56A1">
        <w:rPr>
          <w:rFonts w:ascii="Times New Roman" w:eastAsia="Times New Roman" w:hAnsi="Times New Roman" w:cs="Times New Roman"/>
          <w:color w:val="222222"/>
          <w:spacing w:val="4"/>
          <w:sz w:val="27"/>
          <w:szCs w:val="27"/>
          <w:lang w:eastAsia="ru-RU"/>
        </w:rPr>
        <w:t>– </w:t>
      </w:r>
      <w:hyperlink r:id="rId6" w:history="1">
        <w:r w:rsidRPr="00CB56A1">
          <w:rPr>
            <w:rFonts w:ascii="Times New Roman" w:eastAsia="Times New Roman" w:hAnsi="Times New Roman" w:cs="Times New Roman"/>
            <w:color w:val="0000FF"/>
            <w:spacing w:val="4"/>
            <w:sz w:val="27"/>
            <w:szCs w:val="27"/>
            <w:u w:val="single"/>
            <w:lang w:eastAsia="ru-RU"/>
          </w:rPr>
          <w:t>ионотропный рецептор</w:t>
        </w:r>
      </w:hyperlink>
      <w:r w:rsidRPr="00CB56A1">
        <w:rPr>
          <w:rFonts w:ascii="Times New Roman" w:eastAsia="Times New Roman" w:hAnsi="Times New Roman" w:cs="Times New Roman"/>
          <w:color w:val="222222"/>
          <w:spacing w:val="4"/>
          <w:sz w:val="27"/>
          <w:szCs w:val="27"/>
          <w:lang w:eastAsia="ru-RU"/>
        </w:rPr>
        <w:t> </w:t>
      </w:r>
      <w:hyperlink r:id="rId7" w:history="1">
        <w:r w:rsidRPr="00CB56A1">
          <w:rPr>
            <w:rFonts w:ascii="Times New Roman" w:eastAsia="Times New Roman" w:hAnsi="Times New Roman" w:cs="Times New Roman"/>
            <w:color w:val="0000FF"/>
            <w:spacing w:val="4"/>
            <w:sz w:val="27"/>
            <w:szCs w:val="27"/>
            <w:u w:val="single"/>
            <w:lang w:eastAsia="ru-RU"/>
          </w:rPr>
          <w:t>глутамата</w:t>
        </w:r>
      </w:hyperlink>
      <w:r w:rsidRPr="00CB56A1">
        <w:rPr>
          <w:rFonts w:ascii="Times New Roman" w:eastAsia="Times New Roman" w:hAnsi="Times New Roman" w:cs="Times New Roman"/>
          <w:color w:val="222222"/>
          <w:spacing w:val="4"/>
          <w:sz w:val="27"/>
          <w:szCs w:val="27"/>
          <w:lang w:eastAsia="ru-RU"/>
        </w:rPr>
        <w:t>, селективно связывающий N-метил-D-аспартат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AMPA – ионотропный рецептор глутамата, который передаёт быстрые возбуждающие сигналы в синапсах нервной системы</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Термины и определения</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Атрофия зрительного нерва (АЗН)</w:t>
      </w:r>
      <w:r w:rsidRPr="00CB56A1">
        <w:rPr>
          <w:rFonts w:ascii="Times New Roman" w:eastAsia="Times New Roman" w:hAnsi="Times New Roman" w:cs="Times New Roman"/>
          <w:color w:val="222222"/>
          <w:spacing w:val="4"/>
          <w:sz w:val="27"/>
          <w:szCs w:val="27"/>
          <w:lang w:eastAsia="ru-RU"/>
        </w:rPr>
        <w:t xml:space="preserve"> – это исход патологических процессов различной этиологии, характеризующийся снижением  зрительных  функций (вплоть до полного отсутствия) вследствие необратимой потери аксонов </w:t>
      </w:r>
      <w:r w:rsidRPr="00CB56A1">
        <w:rPr>
          <w:rFonts w:ascii="Times New Roman" w:eastAsia="Times New Roman" w:hAnsi="Times New Roman" w:cs="Times New Roman"/>
          <w:color w:val="222222"/>
          <w:spacing w:val="4"/>
          <w:sz w:val="27"/>
          <w:szCs w:val="27"/>
          <w:lang w:eastAsia="ru-RU"/>
        </w:rPr>
        <w:lastRenderedPageBreak/>
        <w:t>ганглиозных клеток сетчатки (ГКС), нарушением зрачковых реакций и структурными изменениями диска зрительного нерва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Восходящая АЗН</w:t>
      </w:r>
      <w:r w:rsidRPr="00CB56A1">
        <w:rPr>
          <w:rFonts w:ascii="Times New Roman" w:eastAsia="Times New Roman" w:hAnsi="Times New Roman" w:cs="Times New Roman"/>
          <w:color w:val="222222"/>
          <w:spacing w:val="4"/>
          <w:sz w:val="27"/>
          <w:szCs w:val="27"/>
          <w:lang w:eastAsia="ru-RU"/>
        </w:rPr>
        <w:t> – состояние ЗН для которого характерно повреждение ганглиозных клеток на уровне сетчатки.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Врожденные  аномалии диска зрительного нерва</w:t>
      </w:r>
      <w:r w:rsidRPr="00CB56A1">
        <w:rPr>
          <w:rFonts w:ascii="Times New Roman" w:eastAsia="Times New Roman" w:hAnsi="Times New Roman" w:cs="Times New Roman"/>
          <w:color w:val="222222"/>
          <w:spacing w:val="4"/>
          <w:sz w:val="27"/>
          <w:szCs w:val="27"/>
          <w:lang w:eastAsia="ru-RU"/>
        </w:rPr>
        <w:t> – группа заболеваний ДЗН, обусловленная нарушением его формирования в пренатальном периоде.</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Вторичная АЗН</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b/>
          <w:bCs/>
          <w:color w:val="222222"/>
          <w:spacing w:val="4"/>
          <w:sz w:val="27"/>
          <w:szCs w:val="27"/>
          <w:lang w:eastAsia="ru-RU"/>
        </w:rPr>
        <w:t>–</w:t>
      </w:r>
      <w:r w:rsidRPr="00CB56A1">
        <w:rPr>
          <w:rFonts w:ascii="Times New Roman" w:eastAsia="Times New Roman" w:hAnsi="Times New Roman" w:cs="Times New Roman"/>
          <w:color w:val="222222"/>
          <w:spacing w:val="4"/>
          <w:sz w:val="27"/>
          <w:szCs w:val="27"/>
          <w:lang w:eastAsia="ru-RU"/>
        </w:rPr>
        <w:t> состояние, которое развивается после воспалительных процессов (чаще всего вследствие перенесенного НЗН), вследствие ишемии ЗН при сосудистых нарушениях или на фоне застойного ДЗН, вызванного повышением внутричерепного давления.  </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Гипоплазия ДЗН – </w:t>
      </w:r>
      <w:r w:rsidRPr="00CB56A1">
        <w:rPr>
          <w:rFonts w:ascii="Times New Roman" w:eastAsia="Times New Roman" w:hAnsi="Times New Roman" w:cs="Times New Roman"/>
          <w:color w:val="222222"/>
          <w:spacing w:val="4"/>
          <w:sz w:val="27"/>
          <w:szCs w:val="27"/>
          <w:lang w:eastAsia="ru-RU"/>
        </w:rPr>
        <w:t>нарушение формирования ЗН за счет уменьшения количества его аксонов при нормальном развитии поддерживающих тканей и сосудистой системы сетчатки.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Друзы ДЗН – </w:t>
      </w:r>
      <w:r w:rsidRPr="00CB56A1">
        <w:rPr>
          <w:rFonts w:ascii="Times New Roman" w:eastAsia="Times New Roman" w:hAnsi="Times New Roman" w:cs="Times New Roman"/>
          <w:color w:val="222222"/>
          <w:spacing w:val="4"/>
          <w:sz w:val="27"/>
          <w:szCs w:val="27"/>
          <w:lang w:eastAsia="ru-RU"/>
        </w:rPr>
        <w:t>гиалиноподобные кальцифицированные отложения в толще ДЗН, локализующиеся впереди решетчатой пластины внутриклеточно или экстраклеточно.</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Колобома ДЗН –</w:t>
      </w:r>
      <w:r w:rsidRPr="00CB56A1">
        <w:rPr>
          <w:rFonts w:ascii="Times New Roman" w:eastAsia="Times New Roman" w:hAnsi="Times New Roman" w:cs="Times New Roman"/>
          <w:color w:val="222222"/>
          <w:spacing w:val="4"/>
          <w:sz w:val="27"/>
          <w:szCs w:val="27"/>
          <w:lang w:eastAsia="ru-RU"/>
        </w:rPr>
        <w:t> врожденная аномалия различных размеров, имеющая вид четко очерченной белой выемки (экскавации), расположенной внутри увеличенного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Мегалопапилла</w:t>
      </w:r>
      <w:r w:rsidRPr="00CB56A1">
        <w:rPr>
          <w:rFonts w:ascii="Times New Roman" w:eastAsia="Times New Roman" w:hAnsi="Times New Roman" w:cs="Times New Roman"/>
          <w:color w:val="222222"/>
          <w:spacing w:val="4"/>
          <w:sz w:val="27"/>
          <w:szCs w:val="27"/>
          <w:lang w:eastAsia="ru-RU"/>
        </w:rPr>
        <w:t> – аномально крупный диск зрительного нерва диаметром более 2,1 мм без каких-либо других морфологических изменений.</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Миелиновые нервные волокна – </w:t>
      </w:r>
      <w:r w:rsidRPr="00CB56A1">
        <w:rPr>
          <w:rFonts w:ascii="Times New Roman" w:eastAsia="Times New Roman" w:hAnsi="Times New Roman" w:cs="Times New Roman"/>
          <w:color w:val="222222"/>
          <w:spacing w:val="4"/>
          <w:sz w:val="27"/>
          <w:szCs w:val="27"/>
          <w:lang w:eastAsia="ru-RU"/>
        </w:rPr>
        <w:t>тип нервных волокон, покрытых миелиновой оболочкой, которая состоит из липидов и белков, и образуется олигодендроцитами в центральной нервной системе и шванновскими клетками в периферической нервной системе.</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Нисходящая АЗН </w:t>
      </w:r>
      <w:r w:rsidRPr="00CB56A1">
        <w:rPr>
          <w:rFonts w:ascii="Times New Roman" w:eastAsia="Times New Roman" w:hAnsi="Times New Roman" w:cs="Times New Roman"/>
          <w:color w:val="222222"/>
          <w:spacing w:val="4"/>
          <w:sz w:val="27"/>
          <w:szCs w:val="27"/>
          <w:lang w:eastAsia="ru-RU"/>
        </w:rPr>
        <w:t>– состояние ЗН, для которого характерно поражение любого отдела зрительного пути с постепенным вовлечением в патологический процесс диска зрительного нерва.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Первичная (простая) АЗН –</w:t>
      </w:r>
      <w:r w:rsidRPr="00CB56A1">
        <w:rPr>
          <w:rFonts w:ascii="Times New Roman" w:eastAsia="Times New Roman" w:hAnsi="Times New Roman" w:cs="Times New Roman"/>
          <w:color w:val="222222"/>
          <w:spacing w:val="4"/>
          <w:sz w:val="27"/>
          <w:szCs w:val="27"/>
          <w:lang w:eastAsia="ru-RU"/>
        </w:rPr>
        <w:t> состояние, которое развивается из-за прямого поражения волокон ЗН без предшествующего воспаления, нарушения кровоснабжения или застойного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Перипапиллярная стафилома</w:t>
      </w:r>
      <w:r w:rsidRPr="00CB56A1">
        <w:rPr>
          <w:rFonts w:ascii="Times New Roman" w:eastAsia="Times New Roman" w:hAnsi="Times New Roman" w:cs="Times New Roman"/>
          <w:color w:val="222222"/>
          <w:spacing w:val="4"/>
          <w:sz w:val="27"/>
          <w:szCs w:val="27"/>
          <w:lang w:eastAsia="ru-RU"/>
        </w:rPr>
        <w:t> – врожденная патология, характеризующаяся стафиломатозной экскавацией глазного дна вокруг ДЗН и относительно нормальным внешним видом головки ЗН на дне экскавации.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Синдром «вьюнка</w:t>
      </w:r>
      <w:r w:rsidRPr="00CB56A1">
        <w:rPr>
          <w:rFonts w:ascii="Times New Roman" w:eastAsia="Times New Roman" w:hAnsi="Times New Roman" w:cs="Times New Roman"/>
          <w:i/>
          <w:iCs/>
          <w:color w:val="333333"/>
          <w:spacing w:val="4"/>
          <w:sz w:val="27"/>
          <w:szCs w:val="27"/>
          <w:lang w:eastAsia="ru-RU"/>
        </w:rPr>
        <w:t>»</w:t>
      </w:r>
      <w:r w:rsidRPr="00CB56A1">
        <w:rPr>
          <w:rFonts w:ascii="Times New Roman" w:eastAsia="Times New Roman" w:hAnsi="Times New Roman" w:cs="Times New Roman"/>
          <w:color w:val="222222"/>
          <w:spacing w:val="4"/>
          <w:sz w:val="27"/>
          <w:szCs w:val="27"/>
          <w:lang w:eastAsia="ru-RU"/>
        </w:rPr>
        <w:t> – врожденная аномалия в форме воронки в задней части глазного дна, в которую вовлечен ДЗН, прикрытый пучком глиальной ткани.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Синдром косого входа ДЗН – </w:t>
      </w:r>
      <w:r w:rsidRPr="00CB56A1">
        <w:rPr>
          <w:rFonts w:ascii="Times New Roman" w:eastAsia="Times New Roman" w:hAnsi="Times New Roman" w:cs="Times New Roman"/>
          <w:color w:val="222222"/>
          <w:spacing w:val="4"/>
          <w:sz w:val="27"/>
          <w:szCs w:val="27"/>
          <w:lang w:eastAsia="ru-RU"/>
        </w:rPr>
        <w:t>врожденныий бинокулярный дефект нижнего и/или нижне-носового сегмента ДЗН, сопровождающийся истончением перипапиллярной сетчатки и хориоидеи.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Токсическая АЗН </w:t>
      </w:r>
      <w:r w:rsidRPr="00CB56A1">
        <w:rPr>
          <w:rFonts w:ascii="Times New Roman" w:eastAsia="Times New Roman" w:hAnsi="Times New Roman" w:cs="Times New Roman"/>
          <w:color w:val="222222"/>
          <w:spacing w:val="4"/>
          <w:sz w:val="27"/>
          <w:szCs w:val="27"/>
          <w:lang w:eastAsia="ru-RU"/>
        </w:rPr>
        <w:t>– отдельный вариант вторичной атрофии, развивающейся вследствие воздействия экзогенных токсинов на 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Ямка ДЗН –</w:t>
      </w:r>
      <w:r w:rsidRPr="00CB56A1">
        <w:rPr>
          <w:rFonts w:ascii="Times New Roman" w:eastAsia="Times New Roman" w:hAnsi="Times New Roman" w:cs="Times New Roman"/>
          <w:color w:val="222222"/>
          <w:spacing w:val="4"/>
          <w:sz w:val="27"/>
          <w:szCs w:val="27"/>
          <w:lang w:eastAsia="ru-RU"/>
        </w:rPr>
        <w:t> врождённая аномалия, представляющая собой ограниченное углубление ДЗН. </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Глаукомная АЗН – </w:t>
      </w:r>
      <w:r w:rsidRPr="00CB56A1">
        <w:rPr>
          <w:rFonts w:ascii="Times New Roman" w:eastAsia="Times New Roman" w:hAnsi="Times New Roman" w:cs="Times New Roman"/>
          <w:color w:val="222222"/>
          <w:spacing w:val="4"/>
          <w:sz w:val="27"/>
          <w:szCs w:val="27"/>
          <w:lang w:eastAsia="ru-RU"/>
        </w:rPr>
        <w:t>отдельный вариант вторичной атрофии на фоне типичных глаукомных изменений ДЗН и СНВС.</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1. Краткая информация по заболеванию или состоянию (группы заболеваний или состояний)</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Атрофия зрительного нерва</w:t>
      </w:r>
      <w:r w:rsidRPr="00CB56A1">
        <w:rPr>
          <w:rFonts w:ascii="Times New Roman" w:eastAsia="Times New Roman" w:hAnsi="Times New Roman" w:cs="Times New Roman"/>
          <w:color w:val="222222"/>
          <w:spacing w:val="4"/>
          <w:sz w:val="27"/>
          <w:szCs w:val="27"/>
          <w:lang w:eastAsia="ru-RU"/>
        </w:rPr>
        <w:t> – это исход патологических процессов различной этиологии, характеризующийся снижением зрительных функций (вплоть до полного отсутствия) вследствие необратимой потери аксонов ганглиозных клеток сетчатки (ГКС).</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Характерными клиническими признаками АЗН являются: нарушение зрительных функций и зрачковых реакций, структурные изменения ДЗН.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Врожденные аномалии диска зрительного нерва – группа заболеваний ДЗН, обусловленная нарушением его формирования в пренатальном периоде. Может быть изолированным состоянием, сочетаться с другими аномалиями развития структур глазного яблока или входить в симптомокомплекс врожденных синдромов, включающих мультисистемное поражение. К наиболее частым врожденным аномалиям ДЗН относятся гипоплазия и аплазия зрительного нерва, миелиновые нервные волокна, друзы ДЗН, ямка ДЗН, колобома ДЗН, синдром «вьюнка», синдром косого входа ДЗН мегалопапилла, перипапиллярная стафилома.</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lastRenderedPageBreak/>
        <w:t>1.2 Этиология и патогенез заболевания или состояния (группы заболеваний или состояний)</w:t>
      </w:r>
    </w:p>
    <w:p w:rsidR="00CB56A1" w:rsidRPr="00CB56A1" w:rsidRDefault="00CB56A1" w:rsidP="00CB56A1">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B56A1">
        <w:rPr>
          <w:rFonts w:ascii="Times New Roman" w:eastAsia="Times New Roman" w:hAnsi="Times New Roman" w:cs="Times New Roman"/>
          <w:b/>
          <w:bCs/>
          <w:color w:val="222222"/>
          <w:spacing w:val="4"/>
          <w:sz w:val="33"/>
          <w:szCs w:val="33"/>
          <w:lang w:eastAsia="ru-RU"/>
        </w:rPr>
        <w:t>1.2.1 Этиология и патогенез атрофии зрительного нерва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Любая АЗН сопровождается уменьшением диаметра ЗН на всем протяжении, с нарушением трофики, утратой миелиновых волокон, а также пролиферацией глии [1-3].</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АЗН подразделяется на восходящую и нисходящую. Для восходящей характерно повреждение ганглиозных клеток на уровне сетчатки. При нисходящей АЗН поражение может происходить на любом участке зрительного пути (ЗН, хиазма, зрительный тракт, наружные коленчатые тела) с дальнейшим вовлечением в патологический процесс ГКС [4].</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Основным повреждающим фактором, приводящим к АЗН, является прекращение аксонального транспорта, как вследствие повреждения тела нейрона, так и при поражении его глиальных элементов, когда атрофические процессы распространяются как в сторону тел нейронов, так и в сторону синапса [5].</w:t>
      </w:r>
    </w:p>
    <w:p w:rsidR="00CB56A1" w:rsidRPr="00CB56A1" w:rsidRDefault="00CB56A1" w:rsidP="00CB56A1">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B56A1">
        <w:rPr>
          <w:rFonts w:ascii="Times New Roman" w:eastAsia="Times New Roman" w:hAnsi="Times New Roman" w:cs="Times New Roman"/>
          <w:b/>
          <w:bCs/>
          <w:color w:val="222222"/>
          <w:spacing w:val="4"/>
          <w:sz w:val="27"/>
          <w:szCs w:val="27"/>
          <w:u w:val="single"/>
          <w:lang w:eastAsia="ru-RU"/>
        </w:rPr>
        <w:t>1.2.1.1  Механизмы атрофии ганглиозных клеток</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Острая аксональная дегенерация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 первые минуты после поражения волокон ЗН развивается острая аксональная дегенерация [6]. Происходящий в этот момент быстрый поток внеклеточного кальция в аксон запускает апоптотический сигнал к телу нейрона [7, 8]. Согласно экспериментальным данным, уже спустя 30 минут с момента повреждения наблюдается дезорганизация органелл и значительно уменьшается диаметр самих аксонов, то есть развиваются признаки апоптоза [9].</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Эксайтотоксичность ганглиозных клеток</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Эксайтотоксичность (от </w:t>
      </w:r>
      <w:hyperlink r:id="rId8" w:history="1">
        <w:r w:rsidRPr="00CB56A1">
          <w:rPr>
            <w:rFonts w:ascii="Times New Roman" w:eastAsia="Times New Roman" w:hAnsi="Times New Roman" w:cs="Times New Roman"/>
            <w:color w:val="0000FF"/>
            <w:spacing w:val="4"/>
            <w:sz w:val="27"/>
            <w:szCs w:val="27"/>
            <w:u w:val="single"/>
            <w:lang w:eastAsia="ru-RU"/>
          </w:rPr>
          <w:t>англ.</w:t>
        </w:r>
      </w:hyperlink>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to excite</w:t>
      </w:r>
      <w:r w:rsidRPr="00CB56A1">
        <w:rPr>
          <w:rFonts w:ascii="Times New Roman" w:eastAsia="Times New Roman" w:hAnsi="Times New Roman" w:cs="Times New Roman"/>
          <w:color w:val="222222"/>
          <w:spacing w:val="4"/>
          <w:sz w:val="27"/>
          <w:szCs w:val="27"/>
          <w:lang w:eastAsia="ru-RU"/>
        </w:rPr>
        <w:t> — возбуждать, активировать и </w:t>
      </w:r>
      <w:hyperlink r:id="rId9" w:history="1">
        <w:r w:rsidRPr="00CB56A1">
          <w:rPr>
            <w:rFonts w:ascii="Times New Roman" w:eastAsia="Times New Roman" w:hAnsi="Times New Roman" w:cs="Times New Roman"/>
            <w:color w:val="0000FF"/>
            <w:spacing w:val="4"/>
            <w:sz w:val="27"/>
            <w:szCs w:val="27"/>
            <w:u w:val="single"/>
            <w:lang w:eastAsia="ru-RU"/>
          </w:rPr>
          <w:t>токсичность</w:t>
        </w:r>
      </w:hyperlink>
      <w:r w:rsidRPr="00CB56A1">
        <w:rPr>
          <w:rFonts w:ascii="Times New Roman" w:eastAsia="Times New Roman" w:hAnsi="Times New Roman" w:cs="Times New Roman"/>
          <w:color w:val="222222"/>
          <w:spacing w:val="4"/>
          <w:sz w:val="27"/>
          <w:szCs w:val="27"/>
          <w:lang w:eastAsia="ru-RU"/>
        </w:rPr>
        <w:t>) – это воздействие эксайтотоксинов (нейромедиаторов, способных гиперактивировать </w:t>
      </w:r>
      <w:hyperlink r:id="rId10" w:history="1">
        <w:r w:rsidRPr="00CB56A1">
          <w:rPr>
            <w:rFonts w:ascii="Times New Roman" w:eastAsia="Times New Roman" w:hAnsi="Times New Roman" w:cs="Times New Roman"/>
            <w:color w:val="0000FF"/>
            <w:spacing w:val="4"/>
            <w:sz w:val="27"/>
            <w:szCs w:val="27"/>
            <w:u w:val="single"/>
            <w:lang w:eastAsia="ru-RU"/>
          </w:rPr>
          <w:t>NMDA-</w:t>
        </w:r>
      </w:hyperlink>
      <w:r w:rsidRPr="00CB56A1">
        <w:rPr>
          <w:rFonts w:ascii="Times New Roman" w:eastAsia="Times New Roman" w:hAnsi="Times New Roman" w:cs="Times New Roman"/>
          <w:color w:val="222222"/>
          <w:spacing w:val="4"/>
          <w:sz w:val="27"/>
          <w:szCs w:val="27"/>
          <w:lang w:eastAsia="ru-RU"/>
        </w:rPr>
        <w:t>(</w:t>
      </w:r>
      <w:hyperlink r:id="rId11" w:history="1">
        <w:r w:rsidRPr="00CB56A1">
          <w:rPr>
            <w:rFonts w:ascii="Times New Roman" w:eastAsia="Times New Roman" w:hAnsi="Times New Roman" w:cs="Times New Roman"/>
            <w:color w:val="0000FF"/>
            <w:spacing w:val="4"/>
            <w:sz w:val="27"/>
            <w:szCs w:val="27"/>
            <w:u w:val="single"/>
            <w:lang w:eastAsia="ru-RU"/>
          </w:rPr>
          <w:t>N-метил-D-аспартат</w:t>
        </w:r>
      </w:hyperlink>
      <w:r w:rsidRPr="00CB56A1">
        <w:rPr>
          <w:rFonts w:ascii="Times New Roman" w:eastAsia="Times New Roman" w:hAnsi="Times New Roman" w:cs="Times New Roman"/>
          <w:color w:val="222222"/>
          <w:spacing w:val="4"/>
          <w:sz w:val="27"/>
          <w:szCs w:val="27"/>
          <w:lang w:eastAsia="ru-RU"/>
        </w:rPr>
        <w:t> ) и </w:t>
      </w:r>
      <w:hyperlink r:id="rId12" w:history="1">
        <w:r w:rsidRPr="00CB56A1">
          <w:rPr>
            <w:rFonts w:ascii="Times New Roman" w:eastAsia="Times New Roman" w:hAnsi="Times New Roman" w:cs="Times New Roman"/>
            <w:color w:val="0000FF"/>
            <w:spacing w:val="4"/>
            <w:sz w:val="27"/>
            <w:szCs w:val="27"/>
            <w:u w:val="single"/>
            <w:lang w:eastAsia="ru-RU"/>
          </w:rPr>
          <w:t>AMPA-</w:t>
        </w:r>
        <w:r w:rsidRPr="00CB56A1">
          <w:rPr>
            <w:rFonts w:ascii="Times New Roman" w:eastAsia="Times New Roman" w:hAnsi="Times New Roman" w:cs="Times New Roman"/>
            <w:color w:val="0000FF"/>
            <w:spacing w:val="4"/>
            <w:sz w:val="27"/>
            <w:szCs w:val="27"/>
            <w:u w:val="single"/>
            <w:lang w:eastAsia="ru-RU"/>
          </w:rPr>
          <w:lastRenderedPageBreak/>
          <w:t>рецепторы</w:t>
        </w:r>
      </w:hyperlink>
      <w:r w:rsidRPr="00CB56A1">
        <w:rPr>
          <w:rFonts w:ascii="Times New Roman" w:eastAsia="Times New Roman" w:hAnsi="Times New Roman" w:cs="Times New Roman"/>
          <w:color w:val="222222"/>
          <w:spacing w:val="4"/>
          <w:sz w:val="27"/>
          <w:szCs w:val="27"/>
          <w:lang w:eastAsia="ru-RU"/>
        </w:rPr>
        <w:t> (рецепторы α-амино-3-гидрокси-5-метил-4-изоксазолпропионовой кислоты) на дендриты и аксоны нейронов сетчатки, вызывающeе длительную активацию этих специфичных аминокислотных рецепторов [9]. Происходящее при этом избыточное поступление ионов </w:t>
      </w:r>
      <w:hyperlink r:id="rId13" w:history="1">
        <w:r w:rsidRPr="00CB56A1">
          <w:rPr>
            <w:rFonts w:ascii="Times New Roman" w:eastAsia="Times New Roman" w:hAnsi="Times New Roman" w:cs="Times New Roman"/>
            <w:color w:val="0000FF"/>
            <w:spacing w:val="4"/>
            <w:sz w:val="27"/>
            <w:szCs w:val="27"/>
            <w:u w:val="single"/>
            <w:lang w:eastAsia="ru-RU"/>
          </w:rPr>
          <w:t>кальция</w:t>
        </w:r>
      </w:hyperlink>
      <w:r w:rsidRPr="00CB56A1">
        <w:rPr>
          <w:rFonts w:ascii="Times New Roman" w:eastAsia="Times New Roman" w:hAnsi="Times New Roman" w:cs="Times New Roman"/>
          <w:color w:val="222222"/>
          <w:spacing w:val="4"/>
          <w:sz w:val="27"/>
          <w:szCs w:val="27"/>
          <w:lang w:eastAsia="ru-RU"/>
        </w:rPr>
        <w:t> в клетку активирует ферменты (</w:t>
      </w:r>
      <w:hyperlink r:id="rId14" w:history="1">
        <w:r w:rsidRPr="00CB56A1">
          <w:rPr>
            <w:rFonts w:ascii="Times New Roman" w:eastAsia="Times New Roman" w:hAnsi="Times New Roman" w:cs="Times New Roman"/>
            <w:color w:val="0000FF"/>
            <w:spacing w:val="4"/>
            <w:sz w:val="27"/>
            <w:szCs w:val="27"/>
            <w:u w:val="single"/>
            <w:lang w:eastAsia="ru-RU"/>
          </w:rPr>
          <w:t>фосфолипаз</w:t>
        </w:r>
      </w:hyperlink>
      <w:r w:rsidRPr="00CB56A1">
        <w:rPr>
          <w:rFonts w:ascii="Times New Roman" w:eastAsia="Times New Roman" w:hAnsi="Times New Roman" w:cs="Times New Roman"/>
          <w:color w:val="222222"/>
          <w:spacing w:val="4"/>
          <w:sz w:val="27"/>
          <w:szCs w:val="27"/>
          <w:lang w:eastAsia="ru-RU"/>
        </w:rPr>
        <w:t>ы, </w:t>
      </w:r>
      <w:hyperlink r:id="rId15" w:history="1">
        <w:r w:rsidRPr="00CB56A1">
          <w:rPr>
            <w:rFonts w:ascii="Times New Roman" w:eastAsia="Times New Roman" w:hAnsi="Times New Roman" w:cs="Times New Roman"/>
            <w:color w:val="0000FF"/>
            <w:spacing w:val="4"/>
            <w:sz w:val="27"/>
            <w:szCs w:val="27"/>
            <w:u w:val="single"/>
            <w:lang w:eastAsia="ru-RU"/>
          </w:rPr>
          <w:t>эндонуклеаз</w:t>
        </w:r>
      </w:hyperlink>
      <w:r w:rsidRPr="00CB56A1">
        <w:rPr>
          <w:rFonts w:ascii="Times New Roman" w:eastAsia="Times New Roman" w:hAnsi="Times New Roman" w:cs="Times New Roman"/>
          <w:color w:val="222222"/>
          <w:spacing w:val="4"/>
          <w:sz w:val="27"/>
          <w:szCs w:val="27"/>
          <w:lang w:eastAsia="ru-RU"/>
        </w:rPr>
        <w:t>ы, </w:t>
      </w:r>
      <w:hyperlink r:id="rId16" w:history="1">
        <w:r w:rsidRPr="00CB56A1">
          <w:rPr>
            <w:rFonts w:ascii="Times New Roman" w:eastAsia="Times New Roman" w:hAnsi="Times New Roman" w:cs="Times New Roman"/>
            <w:color w:val="0000FF"/>
            <w:spacing w:val="4"/>
            <w:sz w:val="27"/>
            <w:szCs w:val="27"/>
            <w:u w:val="single"/>
            <w:lang w:eastAsia="ru-RU"/>
          </w:rPr>
          <w:t>протеаз</w:t>
        </w:r>
      </w:hyperlink>
      <w:r w:rsidRPr="00CB56A1">
        <w:rPr>
          <w:rFonts w:ascii="Times New Roman" w:eastAsia="Times New Roman" w:hAnsi="Times New Roman" w:cs="Times New Roman"/>
          <w:color w:val="222222"/>
          <w:spacing w:val="4"/>
          <w:sz w:val="27"/>
          <w:szCs w:val="27"/>
          <w:lang w:eastAsia="ru-RU"/>
        </w:rPr>
        <w:t>ы), которые разрушают основные клеточные структуры; таким образом запускается </w:t>
      </w:r>
      <w:hyperlink r:id="rId17" w:history="1">
        <w:r w:rsidRPr="00CB56A1">
          <w:rPr>
            <w:rFonts w:ascii="Times New Roman" w:eastAsia="Times New Roman" w:hAnsi="Times New Roman" w:cs="Times New Roman"/>
            <w:color w:val="0000FF"/>
            <w:spacing w:val="4"/>
            <w:sz w:val="27"/>
            <w:szCs w:val="27"/>
            <w:u w:val="single"/>
            <w:lang w:eastAsia="ru-RU"/>
          </w:rPr>
          <w:t>апоптоз</w:t>
        </w:r>
      </w:hyperlink>
      <w:r w:rsidRPr="00CB56A1">
        <w:rPr>
          <w:rFonts w:ascii="Times New Roman" w:eastAsia="Times New Roman" w:hAnsi="Times New Roman" w:cs="Times New Roman"/>
          <w:color w:val="222222"/>
          <w:spacing w:val="4"/>
          <w:sz w:val="27"/>
          <w:szCs w:val="27"/>
          <w:lang w:eastAsia="ru-RU"/>
        </w:rPr>
        <w:t> клетки. В качестве эксайтотоксинов могут выступать </w:t>
      </w:r>
      <w:hyperlink r:id="rId18" w:history="1">
        <w:r w:rsidRPr="00CB56A1">
          <w:rPr>
            <w:rFonts w:ascii="Times New Roman" w:eastAsia="Times New Roman" w:hAnsi="Times New Roman" w:cs="Times New Roman"/>
            <w:color w:val="0000FF"/>
            <w:spacing w:val="4"/>
            <w:sz w:val="27"/>
            <w:szCs w:val="27"/>
            <w:u w:val="single"/>
            <w:lang w:eastAsia="ru-RU"/>
          </w:rPr>
          <w:t>L-глутамат</w:t>
        </w:r>
      </w:hyperlink>
      <w:r w:rsidRPr="00CB56A1">
        <w:rPr>
          <w:rFonts w:ascii="Times New Roman" w:eastAsia="Times New Roman" w:hAnsi="Times New Roman" w:cs="Times New Roman"/>
          <w:color w:val="222222"/>
          <w:spacing w:val="4"/>
          <w:sz w:val="27"/>
          <w:szCs w:val="27"/>
          <w:lang w:eastAsia="ru-RU"/>
        </w:rPr>
        <w:t> и </w:t>
      </w:r>
      <w:hyperlink r:id="rId19" w:history="1">
        <w:r w:rsidRPr="00CB56A1">
          <w:rPr>
            <w:rFonts w:ascii="Times New Roman" w:eastAsia="Times New Roman" w:hAnsi="Times New Roman" w:cs="Times New Roman"/>
            <w:color w:val="0000FF"/>
            <w:spacing w:val="4"/>
            <w:sz w:val="27"/>
            <w:szCs w:val="27"/>
            <w:u w:val="single"/>
            <w:lang w:eastAsia="ru-RU"/>
          </w:rPr>
          <w:t>глутаматомиметики</w:t>
        </w:r>
      </w:hyperlink>
      <w:r w:rsidRPr="00CB56A1">
        <w:rPr>
          <w:rFonts w:ascii="Times New Roman" w:eastAsia="Times New Roman" w:hAnsi="Times New Roman" w:cs="Times New Roman"/>
          <w:color w:val="222222"/>
          <w:spacing w:val="4"/>
          <w:sz w:val="27"/>
          <w:szCs w:val="27"/>
          <w:lang w:eastAsia="ru-RU"/>
        </w:rPr>
        <w:t>. В процессе апоптоза эксайтотоксины выходят из поврежденных ГКС в межклеточное пространство. Они способны вызывать апоптоз соседних клеток, тем самым увеличивая зону повреждения [10-12]. Стоит отметить, что в отличие от других нейронов ЦНС, указанные специфичные аминокислотные рецепторы в ЗН локализуются преимущественно на телах ГКС. В связи с этим активация таких рецепторов относительно долго не затрагивает аксоны ганглиозных клеток, а повреждаются только их тела [13]. Данные процессы объясняют также вторичную дегенерацию аксонов ЗН при ряде нейродегенеративных заболеваний, таких как рассеянный склероз, болезнь Альцгеймера, болезнь Паркинсона и других [14].</w:t>
      </w:r>
    </w:p>
    <w:p w:rsidR="00CB56A1" w:rsidRPr="00CB56A1" w:rsidRDefault="00CB56A1" w:rsidP="00CB56A1">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B56A1">
        <w:rPr>
          <w:rFonts w:ascii="Times New Roman" w:eastAsia="Times New Roman" w:hAnsi="Times New Roman" w:cs="Times New Roman"/>
          <w:b/>
          <w:bCs/>
          <w:color w:val="222222"/>
          <w:spacing w:val="4"/>
          <w:sz w:val="27"/>
          <w:szCs w:val="27"/>
          <w:u w:val="single"/>
          <w:lang w:eastAsia="ru-RU"/>
        </w:rPr>
        <w:t>1.2.1.2 Нисходящая АЗН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Нисходящая АЗН связана с распространяющимся от центра к периферии поражением аксонов ГКС и завершающимся их гибелью [15-17]. Длительность нисходящей атрофии связана с локализацией первичного повреждения, и чем дальше оно от глазного яблока,    тем быстрее становятся видны изменения на глазном дне.</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 поражении задней части зрительного тракта истончение комплекса ГКС наблюдается уже через 6-12 недель, что выявлено в экспериментальных исследованиях на животных [13,18]. В клинической практике уменьшение толщины перипапиллярного слоя нервных волокон сетчатки (СНВС) на оптической когерентной томографии (ОКТ) наблюдается уже через 4-6 недель с момента поражения зрительного тракта и имеет секторальный характер (атрофия по типу «галстука-бабочки») на парном глазу [19]. Подобные изменения отмечены у пациентов с интраоперационными повреждениями хиазмы с обеих сторон уже через 3-5 недель [20].</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При поражении интракраниальной части ЗН у хиазмы по данным экспериментальных исследований, выраженное истончение глубоких слоев сетчатки, включая СНВС, отмечено через 4-8 недель, при поражении </w:t>
      </w:r>
      <w:r w:rsidRPr="00CB56A1">
        <w:rPr>
          <w:rFonts w:ascii="Times New Roman" w:eastAsia="Times New Roman" w:hAnsi="Times New Roman" w:cs="Times New Roman"/>
          <w:color w:val="222222"/>
          <w:spacing w:val="4"/>
          <w:sz w:val="27"/>
          <w:szCs w:val="27"/>
          <w:lang w:eastAsia="ru-RU"/>
        </w:rPr>
        <w:lastRenderedPageBreak/>
        <w:t>интраканаликулярной части ЗН побледнение ДЗН в среднем фиксируется на 7-8 неделе, а при поражении на уровне интраорбитальной части – через 5 недель [15, 21-22]. При травматической нейрооптикопатии на уровне интраорбитального сегмента ЗН установлено истончение СНВС по данным ОКТ ДЗН через 2 недели с момента травмы, наиболее быстрое прогрессирование на 2-4 неделе, а на интраканаликулярном уровне ЗН - на 3-6 неделях [23].</w:t>
      </w:r>
    </w:p>
    <w:p w:rsidR="00CB56A1" w:rsidRPr="00CB56A1" w:rsidRDefault="00CB56A1" w:rsidP="00CB56A1">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B56A1">
        <w:rPr>
          <w:rFonts w:ascii="Times New Roman" w:eastAsia="Times New Roman" w:hAnsi="Times New Roman" w:cs="Times New Roman"/>
          <w:b/>
          <w:bCs/>
          <w:color w:val="222222"/>
          <w:spacing w:val="4"/>
          <w:sz w:val="27"/>
          <w:szCs w:val="27"/>
          <w:u w:val="single"/>
          <w:lang w:eastAsia="ru-RU"/>
        </w:rPr>
        <w:t>1.2.1.3 Восходящая АЗН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 восходящей АЗН (антеградной) различной этиологии, включая глаукомную нейрооптикопатию, атрофические процессы начинаются с тел ГКС, в дальнейшем вызывая дегенерацию аксона, вплоть до его синапсов в НКТ [21, 24]. При этом повреждение (фрагментация аксонов, дезорганизация микротрубочек и фагоцитоз внутриклеточных органелл) [25] начинается в течение суток и завершается гибелью на всем протяжении за неделю. Следует отметить, что дегенерация протекает медленнее в более тонких аксонах [26].</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 посттравматической АЗН (травматическая нейрооптикопатия) наблюдается Валлерова дегенерация (дегенерация Wallerian), регулируемая за счет активации гена медленной дегенерации </w:t>
      </w:r>
      <w:r w:rsidRPr="00CB56A1">
        <w:rPr>
          <w:rFonts w:ascii="Times New Roman" w:eastAsia="Times New Roman" w:hAnsi="Times New Roman" w:cs="Times New Roman"/>
          <w:i/>
          <w:iCs/>
          <w:color w:val="333333"/>
          <w:spacing w:val="4"/>
          <w:sz w:val="27"/>
          <w:szCs w:val="27"/>
          <w:lang w:eastAsia="ru-RU"/>
        </w:rPr>
        <w:t>WldS</w:t>
      </w:r>
      <w:r w:rsidRPr="00CB56A1">
        <w:rPr>
          <w:rFonts w:ascii="Times New Roman" w:eastAsia="Times New Roman" w:hAnsi="Times New Roman" w:cs="Times New Roman"/>
          <w:color w:val="222222"/>
          <w:spacing w:val="4"/>
          <w:sz w:val="27"/>
          <w:szCs w:val="27"/>
          <w:lang w:eastAsia="ru-RU"/>
        </w:rPr>
        <w:t> («slow Wallerian degeneration»). При АЗН другой этиологии  активность </w:t>
      </w:r>
      <w:r w:rsidRPr="00CB56A1">
        <w:rPr>
          <w:rFonts w:ascii="Times New Roman" w:eastAsia="Times New Roman" w:hAnsi="Times New Roman" w:cs="Times New Roman"/>
          <w:i/>
          <w:iCs/>
          <w:color w:val="333333"/>
          <w:spacing w:val="4"/>
          <w:sz w:val="27"/>
          <w:szCs w:val="27"/>
          <w:lang w:eastAsia="ru-RU"/>
        </w:rPr>
        <w:t>WldS</w:t>
      </w:r>
      <w:r w:rsidRPr="00CB56A1">
        <w:rPr>
          <w:rFonts w:ascii="Times New Roman" w:eastAsia="Times New Roman" w:hAnsi="Times New Roman" w:cs="Times New Roman"/>
          <w:color w:val="222222"/>
          <w:spacing w:val="4"/>
          <w:sz w:val="27"/>
          <w:szCs w:val="27"/>
          <w:lang w:eastAsia="ru-RU"/>
        </w:rPr>
        <w:t> остается низкой, в аксонах ГКС наблюдается дезинтеграция цитоскелета и фрагментация через миелиновые овоидные тельца, которые впоследствии утилизируются глией и макрофагами [27].</w:t>
      </w:r>
    </w:p>
    <w:p w:rsidR="00CB56A1" w:rsidRPr="00CB56A1" w:rsidRDefault="00CB56A1" w:rsidP="00CB56A1">
      <w:pPr>
        <w:shd w:val="clear" w:color="auto" w:fill="FFFFFF"/>
        <w:spacing w:before="150" w:after="150" w:line="390" w:lineRule="atLeast"/>
        <w:ind w:left="450" w:right="450"/>
        <w:textAlignment w:val="top"/>
        <w:outlineLvl w:val="2"/>
        <w:rPr>
          <w:rFonts w:ascii="Times New Roman" w:eastAsia="Times New Roman" w:hAnsi="Times New Roman" w:cs="Times New Roman"/>
          <w:b/>
          <w:bCs/>
          <w:color w:val="222222"/>
          <w:spacing w:val="4"/>
          <w:sz w:val="27"/>
          <w:szCs w:val="27"/>
          <w:u w:val="single"/>
          <w:lang w:eastAsia="ru-RU"/>
        </w:rPr>
      </w:pPr>
      <w:r w:rsidRPr="00CB56A1">
        <w:rPr>
          <w:rFonts w:ascii="Times New Roman" w:eastAsia="Times New Roman" w:hAnsi="Times New Roman" w:cs="Times New Roman"/>
          <w:b/>
          <w:bCs/>
          <w:color w:val="222222"/>
          <w:spacing w:val="4"/>
          <w:sz w:val="27"/>
          <w:szCs w:val="27"/>
          <w:u w:val="single"/>
          <w:lang w:eastAsia="ru-RU"/>
        </w:rPr>
        <w:t>1.2.1.4 Транссинаптическая АЗН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Транссинаптическая атрофия наблюдается при целом ряде неврологических заболеваний, затрагивающих ретрогеникулярный зрительный путь, может являться как восходящей, так и нисходящей. В настоящее время механизм развития данной формы атрофии изучен недостаточно, но первые признаки нейродегенерации наблюдаются через 1 месяц и процесс полностью завершается через 420 суток [27]. Данные изменения сопровождаются истончением СНВС, а новые дефекты в поле зрения, как правило, не выявляются.</w:t>
      </w:r>
    </w:p>
    <w:p w:rsidR="00CB56A1" w:rsidRPr="00CB56A1" w:rsidRDefault="00CB56A1" w:rsidP="00CB56A1">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B56A1">
        <w:rPr>
          <w:rFonts w:ascii="Times New Roman" w:eastAsia="Times New Roman" w:hAnsi="Times New Roman" w:cs="Times New Roman"/>
          <w:b/>
          <w:bCs/>
          <w:color w:val="222222"/>
          <w:spacing w:val="4"/>
          <w:sz w:val="33"/>
          <w:szCs w:val="33"/>
          <w:lang w:eastAsia="ru-RU"/>
        </w:rPr>
        <w:t>1.2.2 Патогенез и этиология врожденных аномалий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Правильное развитие ДЗН регулируется сложным взаимодействием генов и молекулярных сигналов. Среди генов, патологическое влияние на структуру и функции которых в период онтогенеза приводит к развитию врожденных аномалий ДЗН, отмечают </w:t>
      </w:r>
      <w:r w:rsidRPr="00CB56A1">
        <w:rPr>
          <w:rFonts w:ascii="Times New Roman" w:eastAsia="Times New Roman" w:hAnsi="Times New Roman" w:cs="Times New Roman"/>
          <w:i/>
          <w:iCs/>
          <w:color w:val="333333"/>
          <w:spacing w:val="4"/>
          <w:sz w:val="27"/>
          <w:szCs w:val="27"/>
          <w:lang w:eastAsia="ru-RU"/>
        </w:rPr>
        <w:t>PAX6, PAX2, SHH, BMP4, Rx, netrin, POUF1, PROP1, SF-1, PITX2, NeuroD1, GATA-2, LHX3, TPIT, SOX3, SOX2, CDH7, HESX1</w:t>
      </w:r>
      <w:r w:rsidRPr="00CB56A1">
        <w:rPr>
          <w:rFonts w:ascii="Times New Roman" w:eastAsia="Times New Roman" w:hAnsi="Times New Roman" w:cs="Times New Roman"/>
          <w:color w:val="222222"/>
          <w:spacing w:val="4"/>
          <w:sz w:val="27"/>
          <w:szCs w:val="27"/>
          <w:lang w:eastAsia="ru-RU"/>
        </w:rPr>
        <w:t> [28-29].</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Гипоплазия ДЗН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Развивается вследствие нарушения формирования ЗН на сроке от 6 недель до 4 месяцев пренатального развития как следствие уменьшения количества аксонов в пораженном нерве при нормальном развитии поддерживающих тканей и сосудистой системы сетчатки. Чаще возникает спорадически, в случае семейных форм обычно  отмечается аутосомно-рецессивный характер наследования [29]. В основе развития аномалии могут лежать генетические, метаболические нарушения, в 70 % случаев не удается выявить каких-либо факторов риска [30]. В отношении генетических нарушений специфическая корреляция генотипа/фенотипа, объясняющая большинство случаев гиполазии ДЗН, пока не найдена.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Аплазия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Является результатом какого-либо повреждения, происходящего примерно на 3–4 месяцах пренатального развития, влияющего на нормальное развитие сетчатки и ангиогенез, вызывая дегенерацию ГКС. Различные теории, предложенные для объяснения патогенеза аплазии ЗН, включают нарушения развития мезодермальных элементов или образования фетальной щели, первичную недостаточность ганглиозных клеток и недостаточность мезодермальной индукции, хотя единой гипотезы не существует. Гистопатологические исследования обычно выявляют рудиментарную твердую оболочку, проникающую в склеру в ее нормальном положении, дисплазию сетчатки. Известны случаи мутаций в генах </w:t>
      </w:r>
      <w:r w:rsidRPr="00CB56A1">
        <w:rPr>
          <w:rFonts w:ascii="Times New Roman" w:eastAsia="Times New Roman" w:hAnsi="Times New Roman" w:cs="Times New Roman"/>
          <w:i/>
          <w:iCs/>
          <w:color w:val="333333"/>
          <w:spacing w:val="4"/>
          <w:sz w:val="27"/>
          <w:szCs w:val="27"/>
          <w:lang w:eastAsia="ru-RU"/>
        </w:rPr>
        <w:t>PAX6</w:t>
      </w:r>
      <w:r w:rsidRPr="00CB56A1">
        <w:rPr>
          <w:rFonts w:ascii="Times New Roman" w:eastAsia="Times New Roman" w:hAnsi="Times New Roman" w:cs="Times New Roman"/>
          <w:color w:val="222222"/>
          <w:spacing w:val="4"/>
          <w:sz w:val="27"/>
          <w:szCs w:val="27"/>
          <w:lang w:eastAsia="ru-RU"/>
        </w:rPr>
        <w:t> и </w:t>
      </w:r>
      <w:r w:rsidRPr="00CB56A1">
        <w:rPr>
          <w:rFonts w:ascii="Times New Roman" w:eastAsia="Times New Roman" w:hAnsi="Times New Roman" w:cs="Times New Roman"/>
          <w:i/>
          <w:iCs/>
          <w:color w:val="333333"/>
          <w:spacing w:val="4"/>
          <w:sz w:val="27"/>
          <w:szCs w:val="27"/>
          <w:lang w:eastAsia="ru-RU"/>
        </w:rPr>
        <w:t>OTX2</w:t>
      </w:r>
      <w:r w:rsidRPr="00CB56A1">
        <w:rPr>
          <w:rFonts w:ascii="Times New Roman" w:eastAsia="Times New Roman" w:hAnsi="Times New Roman" w:cs="Times New Roman"/>
          <w:color w:val="222222"/>
          <w:spacing w:val="4"/>
          <w:sz w:val="27"/>
          <w:szCs w:val="27"/>
          <w:lang w:eastAsia="ru-RU"/>
        </w:rPr>
        <w:t>, хотя точная генетическая основа неизвестна [31].</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Миелиновые волокна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На 5-м месяце внутриутробного развития миелинизация распространяется с НКТ к зрительным трактам, затем на хиазму и достигает ЗН к 8-му месяцу. Аномальные миелинизированные нервные волокна развиваются, когда миелинизация расширяется за пределы задней части решетчатой пластинки в дисковую и перипапиллярную области [32-33]. Точный патогенез этого аномального расширения миелина до сих пор не ясен.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lastRenderedPageBreak/>
        <w:t>Друзы ДЗН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Существует три теории формирования друз: первая - нарушение метаболизма аксонов с замедлением аксоплазматического тока; вторая - врожденная дисплазия ДЗН с предрасположенностью к развитию друз; третья - узкий склеральный канал, приводящий к компрессии ЗН, что вызывает гибель ГКС с экструзией и кальцификацией митохондрий. Однако, эта теория дискутабельна, поскольку результаты ОКТ не выявили уменьшение диаметра канала ЗН при друзах [34].</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Ямка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Рассматривают следующие гипотезы патогенеза: связь с частичной задержкой врастания волокон в период заполнения зрительно-нервными волокнами канала ЗН; «легкая» форма колобомы ЗН (неполное закрытие проксимального конца зародышевой щели) [35]; мутация гена </w:t>
      </w:r>
      <w:r w:rsidRPr="00CB56A1">
        <w:rPr>
          <w:rFonts w:ascii="Times New Roman" w:eastAsia="Times New Roman" w:hAnsi="Times New Roman" w:cs="Times New Roman"/>
          <w:i/>
          <w:iCs/>
          <w:color w:val="333333"/>
          <w:spacing w:val="4"/>
          <w:sz w:val="27"/>
          <w:szCs w:val="27"/>
          <w:lang w:eastAsia="ru-RU"/>
        </w:rPr>
        <w:t>PAX2</w:t>
      </w:r>
      <w:r w:rsidRPr="00CB56A1">
        <w:rPr>
          <w:rFonts w:ascii="Times New Roman" w:eastAsia="Times New Roman" w:hAnsi="Times New Roman" w:cs="Times New Roman"/>
          <w:color w:val="222222"/>
          <w:spacing w:val="4"/>
          <w:sz w:val="27"/>
          <w:szCs w:val="27"/>
          <w:lang w:eastAsia="ru-RU"/>
        </w:rPr>
        <w:t> [36-38], приводящая к нарушению в развитии примордиального эпителия ДЗН. Гистологически в области ямки ДЗН наблюдается дефект решетчатой пластинки и уменьшение толщины СНВС папилломакулярного пучка.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Колобома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Может иметь спорадический характер или наследоваться по аутосомно-доминантному типу (развитие связывают с мутациями в генах </w:t>
      </w:r>
      <w:r w:rsidRPr="00CB56A1">
        <w:rPr>
          <w:rFonts w:ascii="Times New Roman" w:eastAsia="Times New Roman" w:hAnsi="Times New Roman" w:cs="Times New Roman"/>
          <w:i/>
          <w:iCs/>
          <w:color w:val="333333"/>
          <w:spacing w:val="4"/>
          <w:sz w:val="27"/>
          <w:szCs w:val="27"/>
          <w:lang w:eastAsia="ru-RU"/>
        </w:rPr>
        <w:t>PAX2</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PAX6</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CDH7</w:t>
      </w:r>
      <w:r w:rsidRPr="00CB56A1">
        <w:rPr>
          <w:rFonts w:ascii="Times New Roman" w:eastAsia="Times New Roman" w:hAnsi="Times New Roman" w:cs="Times New Roman"/>
          <w:color w:val="222222"/>
          <w:spacing w:val="4"/>
          <w:sz w:val="27"/>
          <w:szCs w:val="27"/>
          <w:lang w:eastAsia="ru-RU"/>
        </w:rPr>
        <w:t> и др.) [39-40]. В основе развития - неполное или аномальное закрытие проксимального конца зародышевой щели, которое в норме завершается к 4-5 неделе гестации [35].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Синдром «вьюнка»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Генетические основы изучаются (описана обусловленность мутациями в генах </w:t>
      </w:r>
      <w:r w:rsidRPr="00CB56A1">
        <w:rPr>
          <w:rFonts w:ascii="Times New Roman" w:eastAsia="Times New Roman" w:hAnsi="Times New Roman" w:cs="Times New Roman"/>
          <w:i/>
          <w:iCs/>
          <w:color w:val="333333"/>
          <w:spacing w:val="4"/>
          <w:sz w:val="27"/>
          <w:szCs w:val="27"/>
          <w:lang w:eastAsia="ru-RU"/>
        </w:rPr>
        <w:t>PAX6, MMP19</w:t>
      </w:r>
      <w:r w:rsidRPr="00CB56A1">
        <w:rPr>
          <w:rFonts w:ascii="Times New Roman" w:eastAsia="Times New Roman" w:hAnsi="Times New Roman" w:cs="Times New Roman"/>
          <w:color w:val="222222"/>
          <w:spacing w:val="4"/>
          <w:sz w:val="27"/>
          <w:szCs w:val="27"/>
          <w:lang w:eastAsia="ru-RU"/>
        </w:rPr>
        <w:t>). В основе развития мезодермальные нарушения и дефекты в эмбриональном  развитии на уровне сочленения зрительного стебля с глазным пузырем [41-43].</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Синдром косого входа ДЗН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Является результатом неполного закрытия плодной щели на 6 неделе беременности с образованием типичной колобомы диска, перипапиллярной сетчатки, ретинального пигментного эпителия и хориоидеи разной степени [44-46].</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Перипапиллярная стафилома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Формируется предположительно во время 5-го месяца беременности, когда клетки задней части склеры и клетки нервного гребня не полностью </w:t>
      </w:r>
      <w:r w:rsidRPr="00CB56A1">
        <w:rPr>
          <w:rFonts w:ascii="Times New Roman" w:eastAsia="Times New Roman" w:hAnsi="Times New Roman" w:cs="Times New Roman"/>
          <w:color w:val="222222"/>
          <w:spacing w:val="4"/>
          <w:sz w:val="27"/>
          <w:szCs w:val="27"/>
          <w:lang w:eastAsia="ru-RU"/>
        </w:rPr>
        <w:lastRenderedPageBreak/>
        <w:t>дифференцированы. Считается, что нормальное внутриглазное давление может способствовать грыже ослабленной стенки склеры [43, 47].</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Мегалопапилла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Точный патогенез не известен. Исследуется взааимосвязь генов </w:t>
      </w:r>
      <w:r w:rsidRPr="00CB56A1">
        <w:rPr>
          <w:rFonts w:ascii="Times New Roman" w:eastAsia="Times New Roman" w:hAnsi="Times New Roman" w:cs="Times New Roman"/>
          <w:i/>
          <w:iCs/>
          <w:color w:val="333333"/>
          <w:spacing w:val="4"/>
          <w:sz w:val="27"/>
          <w:szCs w:val="27"/>
          <w:lang w:eastAsia="ru-RU"/>
        </w:rPr>
        <w:t>TGFBR3</w:t>
      </w:r>
      <w:r w:rsidRPr="00CB56A1">
        <w:rPr>
          <w:rFonts w:ascii="Times New Roman" w:eastAsia="Times New Roman" w:hAnsi="Times New Roman" w:cs="Times New Roman"/>
          <w:color w:val="222222"/>
          <w:spacing w:val="4"/>
          <w:sz w:val="27"/>
          <w:szCs w:val="27"/>
          <w:lang w:eastAsia="ru-RU"/>
        </w:rPr>
        <w:t> на хромосоме 1p22, </w:t>
      </w:r>
      <w:r w:rsidRPr="00CB56A1">
        <w:rPr>
          <w:rFonts w:ascii="Times New Roman" w:eastAsia="Times New Roman" w:hAnsi="Times New Roman" w:cs="Times New Roman"/>
          <w:i/>
          <w:iCs/>
          <w:color w:val="333333"/>
          <w:spacing w:val="4"/>
          <w:sz w:val="27"/>
          <w:szCs w:val="27"/>
          <w:lang w:eastAsia="ru-RU"/>
        </w:rPr>
        <w:t>ATOH7</w:t>
      </w:r>
      <w:r w:rsidRPr="00CB56A1">
        <w:rPr>
          <w:rFonts w:ascii="Times New Roman" w:eastAsia="Times New Roman" w:hAnsi="Times New Roman" w:cs="Times New Roman"/>
          <w:color w:val="222222"/>
          <w:spacing w:val="4"/>
          <w:sz w:val="27"/>
          <w:szCs w:val="27"/>
          <w:lang w:eastAsia="ru-RU"/>
        </w:rPr>
        <w:t> на хромосоме 10q21.3-22.1 и </w:t>
      </w:r>
      <w:r w:rsidRPr="00CB56A1">
        <w:rPr>
          <w:rFonts w:ascii="Times New Roman" w:eastAsia="Times New Roman" w:hAnsi="Times New Roman" w:cs="Times New Roman"/>
          <w:i/>
          <w:iCs/>
          <w:color w:val="333333"/>
          <w:spacing w:val="4"/>
          <w:sz w:val="27"/>
          <w:szCs w:val="27"/>
          <w:lang w:eastAsia="ru-RU"/>
        </w:rPr>
        <w:t>SALL1</w:t>
      </w:r>
      <w:r w:rsidRPr="00CB56A1">
        <w:rPr>
          <w:rFonts w:ascii="Times New Roman" w:eastAsia="Times New Roman" w:hAnsi="Times New Roman" w:cs="Times New Roman"/>
          <w:color w:val="222222"/>
          <w:spacing w:val="4"/>
          <w:sz w:val="27"/>
          <w:szCs w:val="27"/>
          <w:lang w:eastAsia="ru-RU"/>
        </w:rPr>
        <w:t> на хромосоме 16q125 с развитием данной аномалии [48].  </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1.3 Эпидемиология заболевания или состояния (группы заболеваний или состояний)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Распространенность АЗН варьирует в широких пределах и является одной из пяти основных причин слепоты в Израиле, Японии, Шотландии, Заире и других странах согласно опубликованным данным [49-53]. В Омане АЗН является причиной  5 % случаев слепоты [54], в Египте среди городского населения 4,1 %, сельского населения 1,2 % [55]. В США распространенность нарушений зрения и слепоты, связанных с АЗН, составила 0,04 % и 0,12 % соответственно, при этом АЗН чаще встречается у афроамериканцев (0,3 %), чем у белых (0,05 %) [56]. Гендерных и возрастных различий не наблюдается.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 Российской Федерации по данным федеральной статистики на конец 2023 года было зарегистрировано 50852 пациента с диагнозом «атрофия зрительного нерва» [57-58]. В РФ 2021 году заболевание занимало третье ранговое место в структуре первичной инвалидности по зрению взрослого населения [59].</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Врожденные аномалии ДЗН относятся к редким заболеваниями, однако занимают важное место в структуре причин значимых нарушений зрительных функций и инвалидности по зрению в детском и трудоспособном возрасте.</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Гипоплазия ДЗН является наиболее часто встречающимся пороком развития ДЗН, третьей по распространенности причиной нарушения зрения, на долю которой приходится около 15–25 % случаев серьезной потери зрения у детей младше 3 лет [60]. Заболеваемость составляет 1 на 2287 живорожденных и 2,4 на 100 000 пациентов младше 19 лет [61], в Англии 10,9 на 100 000 [62] и 17,3 на 100 000 в Швеции [63].</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Миелинизация волокон ЗН</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в перипапиллярной сетчатке возникает с частотой от 0,3 % до 1 % [64].</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Частота встречаемости друз</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ДЗН составляет у детей – 0,4 %, у взрослых – 0,5-2,4 % [65], зависимость от пола отсутствует, чаще у европеоидов; &gt; 70 % случаев двусторонние, но ассимметричные [66]. Предполагается аутосомно-доминантное наследование с неполной пенетрантностью [67].</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Низкая частота выявляемости друз у детей может быть обьяснена более глубокой локализацией и трудностью их диагностики.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Распространенность ямки ДЗН  составляет около 0,1 % населения (1 на 10000 населения) [68-69], мужчины и женщины страдают в равной степени; в 30-75 % случаев осложняются макулопатией [70].</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Частота встречаемости колобомы ДЗН 3,7:100000 – 8,9:100000 населения (отсутствует взаимосвязь с полом) [71].</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Распространенность синдрома «вьюнка» составляет 2,6 на 100 000 [72], оба пола страдают в равной степени, у чернокожих людей встречается реже. В основном одностороннее заболевание [73], двустороннее поражение наблюдается примерно в 16 % случаев [74].</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Синдром косого входа ДЗН встречается у 1-2 % населения с равной частотой у мужчин и женщин [47].</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Эпидемиологические данные о мегалопапилла и перипапиллярной стафиломе отсутствуют в связи с крайне низкой частотой встречаемости.</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H47 Другие болезни зрительного [2-го] нерва и зрительных путей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Н47.1 Отек диска зрительного нерва неуточненный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H47.2 Атрофия зрительного нерва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H47.3 Другие болезни диска зрительного нерва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H48 Поражения зрительного [2-го] нерва и зрительных путей при болезнях, классифицированных в других рубриках</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H48.1* Атрофия зрительного нерва при болезнях, классифицированных в других рубриках</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Q14 Врожденные аномалии [пороки развития] заднего сегмента глаза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Q 14.2 Врожденная аномалия диска зрительного нерва</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 зависимости от этиологии различают приобретённую и наследственную (врождённую) атрофии 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Патогенетически выделяют восходящую и нисходящую атрофии.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 зависимости от морфологических изменений в ткани диска дифференцируют первичную и вторичную атрофии 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Глаукомную атрофию ЗН (глаукомную оптическую нейропатию) принято выделять отдельно.</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 зависимости от степени повреждения нервных волокон различают частичную и полную атрофии 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Приобретённая атрофия ЗН</w:t>
      </w:r>
      <w:r w:rsidRPr="00CB56A1">
        <w:rPr>
          <w:rFonts w:ascii="Times New Roman" w:eastAsia="Times New Roman" w:hAnsi="Times New Roman" w:cs="Times New Roman"/>
          <w:color w:val="222222"/>
          <w:spacing w:val="4"/>
          <w:sz w:val="27"/>
          <w:szCs w:val="27"/>
          <w:lang w:eastAsia="ru-RU"/>
        </w:rPr>
        <w:t> развивается в исходе сосудистых, воспалительных, токсических и иных повреждений зрительного нерва вследствие следующих причин.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Инфекционное воспаление: бактериальные инфекции (туберкулёз, сифилис, иксодовый клещевой боррелиоз), вирусные инфекции </w:t>
      </w:r>
      <w:r w:rsidRPr="00CB56A1">
        <w:rPr>
          <w:rFonts w:ascii="Times New Roman" w:eastAsia="Times New Roman" w:hAnsi="Times New Roman" w:cs="Times New Roman"/>
          <w:i/>
          <w:iCs/>
          <w:color w:val="333333"/>
          <w:spacing w:val="4"/>
          <w:sz w:val="27"/>
          <w:szCs w:val="27"/>
          <w:lang w:eastAsia="ru-RU"/>
        </w:rPr>
        <w:t>(Herpes zoster,</w:t>
      </w:r>
      <w:r w:rsidRPr="00CB56A1">
        <w:rPr>
          <w:rFonts w:ascii="Times New Roman" w:eastAsia="Times New Roman" w:hAnsi="Times New Roman" w:cs="Times New Roman"/>
          <w:color w:val="222222"/>
          <w:spacing w:val="4"/>
          <w:sz w:val="27"/>
          <w:szCs w:val="27"/>
          <w:lang w:eastAsia="ru-RU"/>
        </w:rPr>
        <w:t> вирусы коревой краснухи; вирусы, вызывающие острые респираторные инфекции, болезнь «кошачьих царапин»), паразитарные инфекции (токсоплазмоз, токсокароз).</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 Демиелинизирующие заболевания (рассеянный склероз).</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Аутоиммунные заболевания (антифосфолипидный синдром, болезнь Фогта-Коянаги-Харада, системная красная волчанка, болезнь Бехчета, гранулематоз с полиангиитом, гигантоклеточный артериит, артериит Такаясу).</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Заболевания крови (геморрагическая или пернициозная анемия, лейкоз).</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Компрессионное воздействие (новообразования орбиты, псевдотумор, эндокринная офтальмопатия, интракраниальные объёмные процессы, гидроцефалия).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Травмы (черепно-мозговые и лицевого скелета).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Сосудистые нарушения (артериосклеротическая ишемическая нейрооптикопатия, окклюзия ЦАС, глазной ишемический синдром).</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Токсические воздействия (злоупотребление алкоголем, табаком, отравление свинцом, мышьяком, талием, метиловым спиртом, солями хинина (хинина гидрохлорид, хинина дигидрохлорид, хинина сульфат), лекарственными препаратами: этамбутол**, хлорамфеникол**, гентамицин**, изониазид**,</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винкристин**, пеницилламин**, фторурацил** и др.).</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Алиментарный дефицит (недостаточность витаминов группы В).</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Офтальмогипертензия (глаукома), длительная гипотензия глазного яблока (постоперационная, воспалительные и дегенеративные заболевания цилиарного тела, проникающие ранения глазного яблока).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Наследственная атрофия ЗН </w:t>
      </w:r>
      <w:r w:rsidRPr="00CB56A1">
        <w:rPr>
          <w:rFonts w:ascii="Times New Roman" w:eastAsia="Times New Roman" w:hAnsi="Times New Roman" w:cs="Times New Roman"/>
          <w:color w:val="222222"/>
          <w:spacing w:val="4"/>
          <w:sz w:val="27"/>
          <w:szCs w:val="27"/>
          <w:lang w:eastAsia="ru-RU"/>
        </w:rPr>
        <w:t>имеет три формы: аутосомно-доминантную, аутосомно-рецессивную и митохондриальную.</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Аутосомно-доминантная атрофия протекает в тяжёлой и лёгкой формах, возможно сочетание с врождённой глухотой.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Аутосомно-рецессивная атрофия включает синдромы Бера, Бурневилля, Вольфрама, Вента, Йенсена, Кенни-Коффи, Розенберга-Чаториана.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Митохондриальная форма атрофии ЗН - атрофия Лебера - обусловлена мутациями мДНК.</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Атрофия ЗН возникает при наследственных заболеваниях сетчатки и зрительного нерва (тапеторетинальная абиотрофия, друзы ДЗН).</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Выделяют атрофию ЗН при синдромных заболеваниях: оптико-пирамидный синдром, оптико-ретиноневритический синдром, синдром Годтфредсена, адренолейкодистрофия.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Классификация врожденных аномалий ДЗН отсутствует, выделяют отдельные клинические формы, наиболее часто встречающиеся из которых: гипоплазия и аплазия ДЗН, миелиновые нервные волокна, друзы ДЗН, ямка ДЗН, колобома ДЗН, синдром «вьюнка», синдром косого входа ДЗН, мегалопапилла, перипапиллярная стафилома.</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АЗН является исходом его предшествующего повреждения (клиническая картина при этом вариабельна) и проявляется снижением зрения вплоть до слепоты. В зависимости от формы и этиологии, клинические проявления могут различаться.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Начальные проявления характеризуются нарушением контрастной чувствительности или цветовосприятия при сохраненной остроте зрения. Более тяжелое поражение может приводить к инвалидности по зрению и слепоте. Поражение части волокон ЗН может проявляться снижением зрительных функций только в соответствующем секторе поля зрения. Иные жалобы, скорее всего, будут связаны с процессом - первопричиной атрофии или сопутствующими заболеваниями.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Первичная (простая) АЗН</w:t>
      </w:r>
      <w:r w:rsidRPr="00CB56A1">
        <w:rPr>
          <w:rFonts w:ascii="Times New Roman" w:eastAsia="Times New Roman" w:hAnsi="Times New Roman" w:cs="Times New Roman"/>
          <w:color w:val="222222"/>
          <w:spacing w:val="4"/>
          <w:sz w:val="27"/>
          <w:szCs w:val="27"/>
          <w:lang w:eastAsia="ru-RU"/>
        </w:rPr>
        <w:t> развивается из-за прямого поражения волокон ЗН без предшествующего воспаления, нарушения кровоснабжения или застойного ДЗН. Сопровождается</w:t>
      </w:r>
      <w:r w:rsidRPr="00CB56A1">
        <w:rPr>
          <w:rFonts w:ascii="Times New Roman" w:eastAsia="Times New Roman" w:hAnsi="Times New Roman" w:cs="Times New Roman"/>
          <w:b/>
          <w:bCs/>
          <w:color w:val="222222"/>
          <w:spacing w:val="4"/>
          <w:sz w:val="27"/>
          <w:szCs w:val="27"/>
          <w:lang w:eastAsia="ru-RU"/>
        </w:rPr>
        <w:t> </w:t>
      </w:r>
      <w:r w:rsidRPr="00CB56A1">
        <w:rPr>
          <w:rFonts w:ascii="Times New Roman" w:eastAsia="Times New Roman" w:hAnsi="Times New Roman" w:cs="Times New Roman"/>
          <w:color w:val="222222"/>
          <w:spacing w:val="4"/>
          <w:sz w:val="27"/>
          <w:szCs w:val="27"/>
          <w:lang w:eastAsia="ru-RU"/>
        </w:rPr>
        <w:t xml:space="preserve">постепенным снижением остроты зрения на одном или обоих глазах (в тяжелых случаях – вплоть до полной слепоты), сужением полей зрения (как концентрическим, так и секторальным выпадением; в редких случаях возможны центральные скотомы), снижением светочувствительности и нарушением цветовосприятия. Офтальмоскопически выявляется побледнение ДЗН за счет уменьшения числа мелких сосудов на поверхности </w:t>
      </w:r>
      <w:r w:rsidRPr="00CB56A1">
        <w:rPr>
          <w:rFonts w:ascii="Times New Roman" w:eastAsia="Times New Roman" w:hAnsi="Times New Roman" w:cs="Times New Roman"/>
          <w:color w:val="222222"/>
          <w:spacing w:val="4"/>
          <w:sz w:val="27"/>
          <w:szCs w:val="27"/>
          <w:lang w:eastAsia="ru-RU"/>
        </w:rPr>
        <w:lastRenderedPageBreak/>
        <w:t>нейроретинального пояска (симптом Кестенбаума), расширение и изменение формы экскавации, при ОКТ истончение слоя нервных волокон сетчатки перипапиллярно.</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Вторичная атрофия ЗН</w:t>
      </w:r>
      <w:r w:rsidRPr="00CB56A1">
        <w:rPr>
          <w:rFonts w:ascii="Times New Roman" w:eastAsia="Times New Roman" w:hAnsi="Times New Roman" w:cs="Times New Roman"/>
          <w:color w:val="222222"/>
          <w:spacing w:val="4"/>
          <w:sz w:val="27"/>
          <w:szCs w:val="27"/>
          <w:lang w:eastAsia="ru-RU"/>
        </w:rPr>
        <w:t> развивается после воспалительных процессов (чаще всего вследствие перенесенного НЗН), вследствие ишемии ЗН при сосудистых нарушениях, либо на фоне застойного ДЗН, вызванного повышением внутричерепного давления. Зрение при этом снижается быстро, возможно острое начало. Поля зрения могут изменяться диффузно или локально, включая наличие кольцевых скотом (при ишемическом поражении чаще встречается секторное или дугообразное выпадение полей зрения). Офтальмоскопически вначале проявляются признаки основного заболевания, но по мере прогрессирования атрофии ДЗН становится бледным и суживаются артерии.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Токсическая атрофия ЗН </w:t>
      </w:r>
      <w:r w:rsidRPr="00CB56A1">
        <w:rPr>
          <w:rFonts w:ascii="Times New Roman" w:eastAsia="Times New Roman" w:hAnsi="Times New Roman" w:cs="Times New Roman"/>
          <w:color w:val="222222"/>
          <w:spacing w:val="4"/>
          <w:sz w:val="27"/>
          <w:szCs w:val="27"/>
          <w:lang w:eastAsia="ru-RU"/>
        </w:rPr>
        <w:t>- отдельный вариант вторичной атрофии, развивающейся вследствие воздействия экзогенных токсинов на ЗН. Характерно внезапное или постепенное снижение зрения, чаще всего двустороннее (вплоть до полной слепоты), можно выявить центральные или парацентральные скотомы. При офтальмоскопии наблюдается бледность ДЗН.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Глаукомная атрофия зрительного нерва характеризуется</w:t>
      </w:r>
      <w:r w:rsidRPr="00CB56A1">
        <w:rPr>
          <w:rFonts w:ascii="Times New Roman" w:eastAsia="Times New Roman" w:hAnsi="Times New Roman" w:cs="Times New Roman"/>
          <w:color w:val="222222"/>
          <w:spacing w:val="4"/>
          <w:sz w:val="27"/>
          <w:szCs w:val="27"/>
          <w:lang w:eastAsia="ru-RU"/>
        </w:rPr>
        <w:t> постепенной потерей поля зрения с последующим снижением остроты зрения (вплоть до слепоты) на фоне типичных глаукомных изменений ДЗН и СНВС. Основным признаком АЗН является побледнение ДЗН. Края его при этом становятся более четкими вследствие истончения или полной атрофии СНВС в этой зоне. Мелких сосудов на поверхности бледного ДЗН обычно не наблюдается.</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 </w:t>
      </w:r>
      <w:r w:rsidRPr="00CB56A1">
        <w:rPr>
          <w:rFonts w:ascii="Times New Roman" w:eastAsia="Times New Roman" w:hAnsi="Times New Roman" w:cs="Times New Roman"/>
          <w:b/>
          <w:bCs/>
          <w:color w:val="222222"/>
          <w:spacing w:val="4"/>
          <w:sz w:val="27"/>
          <w:szCs w:val="27"/>
          <w:lang w:eastAsia="ru-RU"/>
        </w:rPr>
        <w:t>гипоплазии ДЗН</w:t>
      </w:r>
      <w:r w:rsidRPr="00CB56A1">
        <w:rPr>
          <w:rFonts w:ascii="Times New Roman" w:eastAsia="Times New Roman" w:hAnsi="Times New Roman" w:cs="Times New Roman"/>
          <w:color w:val="222222"/>
          <w:spacing w:val="4"/>
          <w:sz w:val="27"/>
          <w:szCs w:val="27"/>
          <w:lang w:eastAsia="ru-RU"/>
        </w:rPr>
        <w:t xml:space="preserve"> отмечается уменьшение размера ДЗН, который может казаться серым или бледным из-за уменьшения количества аксонов ЗН с нормальной глиальной тканью. ДЗН окружен желтоватым перипапиллярным кольцом склеры и наружным концентрическим кольцом гипер- или гипопигментации («двойное кольцо»). Внешнее кольцо расположено по нормальной границе между склерой и решетчатой пластинкой. Внутреннее кольцо представляет собой аномальное «наползание» сетчатки и пигментного эпителия по внешним отделам решетчатой пластинки. Крупные вены и/или артерии сетчатки обычно имеют извилистый ход, хотя встречается и прямолинейный ход сосудов. Для гипоплазии ЗН характерно увеличение отношения расстояния ДЗН-макула к диаметру диска больше 3 (у 95 % здорового населения это соотношение составляет не более 2,94). Острота зрения колеблется от 1,0 до полного отсутствия светоощущения, определяется </w:t>
      </w:r>
      <w:r w:rsidRPr="00CB56A1">
        <w:rPr>
          <w:rFonts w:ascii="Times New Roman" w:eastAsia="Times New Roman" w:hAnsi="Times New Roman" w:cs="Times New Roman"/>
          <w:color w:val="222222"/>
          <w:spacing w:val="4"/>
          <w:sz w:val="27"/>
          <w:szCs w:val="27"/>
          <w:lang w:eastAsia="ru-RU"/>
        </w:rPr>
        <w:lastRenderedPageBreak/>
        <w:t>в основном целостностью папилломакулярного пучка и не коррелирует с размером ДЗН. Она остается стабильной или может немного улучшиться по мере постнатального развития зрительных путей. Могут отмечаться локальные дефекты поля зрения и/или периферическое сужение [75].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Односторонняя </w:t>
      </w:r>
      <w:r w:rsidRPr="00CB56A1">
        <w:rPr>
          <w:rFonts w:ascii="Times New Roman" w:eastAsia="Times New Roman" w:hAnsi="Times New Roman" w:cs="Times New Roman"/>
          <w:b/>
          <w:bCs/>
          <w:color w:val="222222"/>
          <w:spacing w:val="4"/>
          <w:sz w:val="27"/>
          <w:szCs w:val="27"/>
          <w:lang w:eastAsia="ru-RU"/>
        </w:rPr>
        <w:t>аплазия ДЗН</w:t>
      </w:r>
      <w:r w:rsidRPr="00CB56A1">
        <w:rPr>
          <w:rFonts w:ascii="Times New Roman" w:eastAsia="Times New Roman" w:hAnsi="Times New Roman" w:cs="Times New Roman"/>
          <w:color w:val="222222"/>
          <w:spacing w:val="4"/>
          <w:sz w:val="27"/>
          <w:szCs w:val="27"/>
          <w:lang w:eastAsia="ru-RU"/>
        </w:rPr>
        <w:t> обычно связана с нормальным строением головного мозга, тогда как двусторонняя аплазия - с врожденным гипопитуитаризмом и эктопией задней доли гипофиза, менингоэнцефалоцеле и септооптической дисплазией. Аплазия ДЗН может сопровождаться эзотропией, энофтальмом, трабекулодисгенезом, частичной аниридией, катарактой, микрокорнеа и увеоретинальной колобомой. Прогноз неблагоприятный, и наблюдение направлено на выявление любых сопутствующих системных аномалий [76].</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Друзы ДЗН (гиалиновые тельца)</w:t>
      </w:r>
      <w:r w:rsidRPr="00CB56A1">
        <w:rPr>
          <w:rFonts w:ascii="Times New Roman" w:eastAsia="Times New Roman" w:hAnsi="Times New Roman" w:cs="Times New Roman"/>
          <w:color w:val="222222"/>
          <w:spacing w:val="4"/>
          <w:sz w:val="27"/>
          <w:szCs w:val="27"/>
          <w:lang w:eastAsia="ru-RU"/>
        </w:rPr>
        <w:t> образованы гиалиноподобными кальцифицированными отложениями в толще ДЗН,  локализуются впереди решетчатой пластины  внутриклеточно или внеклеточно. На остроту зрения обычно друзы ДЗН не влияют. ДЗН кажется приподнятым, могут присутствовать поверхностные или глубокие кровоизлияния. Друзы, как правило, располагаются с носовой стороны и при поверхностном расположении выглядят бугристыми. Глубокие друзы трудно различить при осмотре с помощью щелевой лампы, но иногда их можно увидеть рядом с сосудами или краем диска при косом освещении [77].</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Миелиновые нервные волокна </w:t>
      </w:r>
      <w:r w:rsidRPr="00CB56A1">
        <w:rPr>
          <w:rFonts w:ascii="Times New Roman" w:eastAsia="Times New Roman" w:hAnsi="Times New Roman" w:cs="Times New Roman"/>
          <w:color w:val="222222"/>
          <w:spacing w:val="4"/>
          <w:sz w:val="27"/>
          <w:szCs w:val="27"/>
          <w:lang w:eastAsia="ru-RU"/>
        </w:rPr>
        <w:t>имеют беловатый, перистый вид. Миелинизация может прогрессировать после рождения, но не распространяется на макулу. Острота зрения обычно нормальная. Если миелинизация выражена сильнее, могут развиться амблиопия, косоглазие, нистагм, увеличение слепого пятна и относительные скотомы. Близорукость встречается примерно в половине всех случаев [64].</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Ямка ДЗН</w:t>
      </w:r>
      <w:r w:rsidRPr="00CB56A1">
        <w:rPr>
          <w:rFonts w:ascii="Times New Roman" w:eastAsia="Times New Roman" w:hAnsi="Times New Roman" w:cs="Times New Roman"/>
          <w:color w:val="222222"/>
          <w:spacing w:val="4"/>
          <w:sz w:val="27"/>
          <w:szCs w:val="27"/>
          <w:lang w:eastAsia="ru-RU"/>
        </w:rPr>
        <w:t> клинически представляет собой овальную выемку ДЗН серо-белой окраски размером от 0,1 до 0,8 радиуса ДЗН, чаще всего расположенную в височном или нижне-височном сегменте диска; ДЗН нередко увеличен в диаметре. В 85 % случаев патология носит односторонний характер. «Неосложненная» ямка ДЗН обычно протекает бессимптомно [69].</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Колобома ДЗН</w:t>
      </w:r>
      <w:r w:rsidRPr="00CB56A1">
        <w:rPr>
          <w:rFonts w:ascii="Times New Roman" w:eastAsia="Times New Roman" w:hAnsi="Times New Roman" w:cs="Times New Roman"/>
          <w:color w:val="222222"/>
          <w:spacing w:val="4"/>
          <w:sz w:val="27"/>
          <w:szCs w:val="27"/>
          <w:lang w:eastAsia="ru-RU"/>
        </w:rPr>
        <w:t xml:space="preserve"> офтальмоскопически выглядит как четко очерченная белая выемка (экскавация), расположенная внутри увеличенного ДЗН. В отличие от синдрома «вьюнка», нет центрального глиального пучка, нет аномальной сосудистой сети сетчатки, имеются только минимальные перипапиллярные пигментные изменения. Вовлечение в колобому прилежащей сетчатки и </w:t>
      </w:r>
      <w:r w:rsidRPr="00CB56A1">
        <w:rPr>
          <w:rFonts w:ascii="Times New Roman" w:eastAsia="Times New Roman" w:hAnsi="Times New Roman" w:cs="Times New Roman"/>
          <w:color w:val="222222"/>
          <w:spacing w:val="4"/>
          <w:sz w:val="27"/>
          <w:szCs w:val="27"/>
          <w:lang w:eastAsia="ru-RU"/>
        </w:rPr>
        <w:lastRenderedPageBreak/>
        <w:t>хориоидеи может сочетаться с микрофтальмом, колобомой радужки и цилиарного тела. Ретинохориоидальная колобома может "сливаться" с колобомой зрительного нерва  или иметь участок здоровой ткани между ними («bridge» colobomas). Может быть как односторонней, так и двусторонней с одинаковой частотой. Острота зрения снижена, степень снижения широко варьирует [78].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Синдром «вьюнка</w:t>
      </w:r>
      <w:r w:rsidRPr="00CB56A1">
        <w:rPr>
          <w:rFonts w:ascii="Times New Roman" w:eastAsia="Times New Roman" w:hAnsi="Times New Roman" w:cs="Times New Roman"/>
          <w:i/>
          <w:iCs/>
          <w:color w:val="333333"/>
          <w:spacing w:val="4"/>
          <w:sz w:val="27"/>
          <w:szCs w:val="27"/>
          <w:lang w:eastAsia="ru-RU"/>
        </w:rPr>
        <w:t>»</w:t>
      </w:r>
      <w:r w:rsidRPr="00CB56A1">
        <w:rPr>
          <w:rFonts w:ascii="Times New Roman" w:eastAsia="Times New Roman" w:hAnsi="Times New Roman" w:cs="Times New Roman"/>
          <w:color w:val="222222"/>
          <w:spacing w:val="4"/>
          <w:sz w:val="27"/>
          <w:szCs w:val="27"/>
          <w:lang w:eastAsia="ru-RU"/>
        </w:rPr>
        <w:t> обычно является односторонней аномалией (билатеральное поражение описано в 16 % случаев). Представляет собой врожденное образование в форме воронки в задней части глазного дна, в которую вовлечен ДЗН. Может сочетаться с базальным энцефалоцеле и с аномалиями средней части лица (гипертелоризм, «заячья губа», «волчья пасть»). ДЗН заметно увеличен в размере, оранжевого или розового цвета. Вокруг углубления приподнятая кольцевидная зона гиперпигментации. Белый пучок глиальной ткани покрывает углубленную центральную часть поражения. Многочисленные кровеносные сосуды отходят от периферии диска. Они имеют аномально прямой ход по перипапиллярной части сетчатки и тенденцию разветвляться под острыми углами. Часто трудно отличить артериолы от венул. Макула может быть включена в углубление (воронку). Острота зрения колеблется от 0,1 и до счета пальцев у лица [79].</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Синдром косого входа ДЗН </w:t>
      </w:r>
      <w:r w:rsidRPr="00CB56A1">
        <w:rPr>
          <w:rFonts w:ascii="Times New Roman" w:eastAsia="Times New Roman" w:hAnsi="Times New Roman" w:cs="Times New Roman"/>
          <w:color w:val="222222"/>
          <w:spacing w:val="4"/>
          <w:sz w:val="27"/>
          <w:szCs w:val="27"/>
          <w:lang w:eastAsia="ru-RU"/>
        </w:rPr>
        <w:t>чаще является двусторонней патологией,</w:t>
      </w:r>
      <w:r w:rsidRPr="00CB56A1">
        <w:rPr>
          <w:rFonts w:ascii="Times New Roman" w:eastAsia="Times New Roman" w:hAnsi="Times New Roman" w:cs="Times New Roman"/>
          <w:b/>
          <w:bCs/>
          <w:color w:val="222222"/>
          <w:spacing w:val="4"/>
          <w:sz w:val="27"/>
          <w:szCs w:val="27"/>
          <w:lang w:eastAsia="ru-RU"/>
        </w:rPr>
        <w:t> </w:t>
      </w:r>
      <w:r w:rsidRPr="00CB56A1">
        <w:rPr>
          <w:rFonts w:ascii="Times New Roman" w:eastAsia="Times New Roman" w:hAnsi="Times New Roman" w:cs="Times New Roman"/>
          <w:color w:val="222222"/>
          <w:spacing w:val="4"/>
          <w:sz w:val="27"/>
          <w:szCs w:val="27"/>
          <w:lang w:eastAsia="ru-RU"/>
        </w:rPr>
        <w:t>характеризуется довольно разнообразной офтальмоскопической картиной, которая определяется степенью поражения диска и перипапиллярной сетчатки. Чаще верхневисочная часть диска проминирует, а нижненосовая часть смещена назад, в результате чего ДЗН имеет овальную форму, его длинная ось ориентирована косо; эти изменения сопровождаются situs inversus сосудов сетчатки, врожденным нижне-носовым конусом, истончением ретинального пигментного эпителия и хориоидеи нижне-носового квадранта [80]. Аномалия сопровождается миопическим астигматизмом. Максимальная корригированная острота зрения, как правило, высокая.</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При мегалопапилла </w:t>
      </w:r>
      <w:r w:rsidRPr="00CB56A1">
        <w:rPr>
          <w:rFonts w:ascii="Times New Roman" w:eastAsia="Times New Roman" w:hAnsi="Times New Roman" w:cs="Times New Roman"/>
          <w:color w:val="222222"/>
          <w:spacing w:val="4"/>
          <w:sz w:val="27"/>
          <w:szCs w:val="27"/>
          <w:lang w:eastAsia="ru-RU"/>
        </w:rPr>
        <w:t>ДЗН увеличен в размере, но имеет нормальный внешний вид с точки зрения цвета, четкости края диска и конфигурации кровеносных сосудов Острота зрения, как правило высокая [81].</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Перипапиллярная стафилома</w:t>
      </w:r>
      <w:r w:rsidRPr="00CB56A1">
        <w:rPr>
          <w:rFonts w:ascii="Times New Roman" w:eastAsia="Times New Roman" w:hAnsi="Times New Roman" w:cs="Times New Roman"/>
          <w:color w:val="222222"/>
          <w:spacing w:val="4"/>
          <w:sz w:val="27"/>
          <w:szCs w:val="27"/>
          <w:lang w:eastAsia="ru-RU"/>
        </w:rPr>
        <w:t xml:space="preserve"> при офтальмоскопии имеет вид глубокой чашеобразной выемки с относительно нормальным, правильно сформированным ДЗН (может отмечаться некоторая деколорация височной половины). ДЗН расположен в нижней части стафиломы. В отличие от </w:t>
      </w:r>
      <w:r w:rsidRPr="00CB56A1">
        <w:rPr>
          <w:rFonts w:ascii="Times New Roman" w:eastAsia="Times New Roman" w:hAnsi="Times New Roman" w:cs="Times New Roman"/>
          <w:color w:val="222222"/>
          <w:spacing w:val="4"/>
          <w:sz w:val="27"/>
          <w:szCs w:val="27"/>
          <w:lang w:eastAsia="ru-RU"/>
        </w:rPr>
        <w:lastRenderedPageBreak/>
        <w:t>синдрома «вьюнка», центральная глиальная ткань и аномальная сосудистая сеть сетчатки отсутствует. В стенках стафиломы определяются ретинальный пигмент и хориоидальные атрофические изменения. Могут отмечаться сократительные движения стенок стафиломы. Перипапиллярная стафилома обычно не связана с другими врожденными аномалиями. Острота зрения обычно резко снижена, что связано с цекоцентральной скотомой [82].</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Диагностика АЗН  и аномалий развития ДЗН  должна быть направлена на выявление патологических изменений ЗН и сетчатки, а также диагностику основных системных факторов риска возникновения и прогрессирования этой патологии.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Таблица 1. Основные диагностические критерии установления АЗН</w:t>
      </w:r>
    </w:p>
    <w:tbl>
      <w:tblPr>
        <w:tblW w:w="14165" w:type="dxa"/>
        <w:tblCellMar>
          <w:left w:w="0" w:type="dxa"/>
          <w:right w:w="0" w:type="dxa"/>
        </w:tblCellMar>
        <w:tblLook w:val="04A0" w:firstRow="1" w:lastRow="0" w:firstColumn="1" w:lastColumn="0" w:noHBand="0" w:noVBand="1"/>
      </w:tblPr>
      <w:tblGrid>
        <w:gridCol w:w="3734"/>
        <w:gridCol w:w="10431"/>
      </w:tblGrid>
      <w:tr w:rsidR="00CB56A1" w:rsidRPr="00CB56A1" w:rsidTr="00CB56A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Вариант  диагностики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Критерии установления заболевания</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Анамнез и жалобы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АЗН возникает независимо от возраста и пола</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 анамнезе:</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объёмные процессы головного мозга</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внутричерепная гипертензия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демиелинизирующие поражения ЦНС</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атеросклероз</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острые и хронические нарушения мозгового кровообращения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поражения магистральных сосудов головы и шеи</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системные заболевания (в том числе васкулиты)</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сердечно-сосудистые заболевания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аутоиммунные заболевания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интоксикации (в том числе алкогольные)</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перенесенные НЗН или ишемическая нейрооптикопатия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окклюзии сосудов сетчатки</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прием лекарственных препаратов, обладающих нейротоксическим  действием</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травмы головы и шеи</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менингит или менингоэнцефалит</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lastRenderedPageBreak/>
              <w:t>• воспалительные и объемные процессы придаточных пазух носа</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профузные кровотечения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i/>
                <w:iCs/>
                <w:color w:val="333333"/>
                <w:sz w:val="27"/>
                <w:szCs w:val="27"/>
                <w:lang w:eastAsia="ru-RU"/>
              </w:rPr>
              <w:t>• </w:t>
            </w:r>
            <w:r w:rsidRPr="00CB56A1">
              <w:rPr>
                <w:rFonts w:ascii="Verdana" w:eastAsia="Times New Roman" w:hAnsi="Verdana" w:cs="Times New Roman"/>
                <w:sz w:val="27"/>
                <w:szCs w:val="27"/>
                <w:lang w:eastAsia="ru-RU"/>
              </w:rPr>
              <w:t> врожденные аномалии</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отягощенный семейный анамнез в случае наследственных форм</w:t>
            </w:r>
            <w:r w:rsidRPr="00CB56A1">
              <w:rPr>
                <w:rFonts w:ascii="Verdana" w:eastAsia="Times New Roman" w:hAnsi="Verdana" w:cs="Times New Roman"/>
                <w:i/>
                <w:iCs/>
                <w:color w:val="333333"/>
                <w:sz w:val="27"/>
                <w:szCs w:val="27"/>
                <w:lang w:eastAsia="ru-RU"/>
              </w:rPr>
              <w:t> </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b/>
                <w:bCs/>
                <w:sz w:val="27"/>
                <w:szCs w:val="27"/>
                <w:lang w:eastAsia="ru-RU"/>
              </w:rPr>
              <w:t>Жалобы:</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снижение остроты зрения (различной степени выраженности) или слепота</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изменение полей зрения (скотомы, концентрическое сужение, выпадение участков поля зрения)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нарушение цветовосприятия</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нарушение темновой адаптации</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lastRenderedPageBreak/>
              <w:t>Критерии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b/>
                <w:bCs/>
                <w:sz w:val="27"/>
                <w:szCs w:val="27"/>
                <w:lang w:eastAsia="ru-RU"/>
              </w:rPr>
              <w:t>Общие:</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Возраст начала заболевания - любой</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Симптомы, связанные с заболеваниями или поражением различных органов и систем (см. этиологию)</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Врожденные аномалии:</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Косоглазие</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Нистагм</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Отсутствие фиксации взора</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b/>
                <w:bCs/>
                <w:sz w:val="27"/>
                <w:szCs w:val="27"/>
                <w:lang w:eastAsia="ru-RU"/>
              </w:rPr>
              <w:t>Офтальмологические:</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Побледнение ДЗН разной интенсивности и локализации (секторальное, распространенное, тотальное), границы ДЗН четкие</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При полной АЗН - отсутствие прямой реакции зрачка на свет при сохранении содружественной (афферентный зрачковый дефект)</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Уменьшение количества мелких кровеносных сосудов на поверхности ДЗН (симптом Кестельбаума), сужение перипапиллярных кровеносных сосудов</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Врожденные аномалии:</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Офтальмологические критерии зависят от формы аномалии, любое отклонение от нормальных возрастных морфометрических параметров ДЗН</w:t>
            </w:r>
          </w:p>
        </w:tc>
      </w:tr>
    </w:tbl>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2.1 Жалобы и анамнез</w:t>
      </w:r>
    </w:p>
    <w:p w:rsidR="00CB56A1" w:rsidRPr="00CB56A1" w:rsidRDefault="00CB56A1" w:rsidP="00CB56A1">
      <w:pPr>
        <w:numPr>
          <w:ilvl w:val="0"/>
          <w:numId w:val="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сбор жалоб у всех пациентов с АЗН, аномалиями ДЗН или подозрением на их наличие для выявления функциональных зрительных расстройств и симптомов, которые могут повлиять на выбор тактики ведения расстройств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Рекомендуется</w:t>
      </w:r>
      <w:r w:rsidRPr="00CB56A1">
        <w:rPr>
          <w:rFonts w:ascii="Times New Roman" w:eastAsia="Times New Roman" w:hAnsi="Times New Roman" w:cs="Times New Roman"/>
          <w:color w:val="222222"/>
          <w:spacing w:val="4"/>
          <w:sz w:val="27"/>
          <w:szCs w:val="27"/>
          <w:lang w:eastAsia="ru-RU"/>
        </w:rPr>
        <w:t> сбор анамнеза у всех пациентов с АЗН, аномалиями ДЗН или подозрением на их наличие с целью получения данных о заболеваниях: демилиенизирующих, аутоиммунных, инфекционных, системных васкулитах, токсических поражениях, предшествующих вакцинациях, воспалительных процессах полости рта, придаточных пазух носа, глаза и орбиты, травмах, сердечно-сосудистых заболеваниях, интракраниальной и орбитальной патологии (аутосомно-доминантная атрофия, аутосомно-рецессивная атрофия (синдромы Бера, Бурневилля, Вольфрама, Вента, Йенсена, Кенни-Коффи, Розенберга-Чатториана), митохондриальня форма (атрофии Лебера), наследственных заболеваниях, особенностях течения беременности, семейных случаях врожденной аномалии развития ДЗН или других структур органа зрения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2.2 Физикальное обследование</w:t>
      </w:r>
    </w:p>
    <w:p w:rsidR="00CB56A1" w:rsidRPr="00CB56A1" w:rsidRDefault="00CB56A1" w:rsidP="00CB56A1">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Физикальное обследование пациентам с АЗН или подозрением на его наличие с целью диагностики и лечения </w:t>
      </w:r>
      <w:r w:rsidRPr="00CB56A1">
        <w:rPr>
          <w:rFonts w:ascii="Times New Roman" w:eastAsia="Times New Roman" w:hAnsi="Times New Roman" w:cs="Times New Roman"/>
          <w:b/>
          <w:bCs/>
          <w:color w:val="222222"/>
          <w:spacing w:val="4"/>
          <w:sz w:val="27"/>
          <w:szCs w:val="27"/>
          <w:lang w:eastAsia="ru-RU"/>
        </w:rPr>
        <w:t>не рекомендуется</w:t>
      </w:r>
      <w:r w:rsidRPr="00CB56A1">
        <w:rPr>
          <w:rFonts w:ascii="Times New Roman" w:eastAsia="Times New Roman" w:hAnsi="Times New Roman" w:cs="Times New Roman"/>
          <w:color w:val="222222"/>
          <w:spacing w:val="4"/>
          <w:sz w:val="27"/>
          <w:szCs w:val="27"/>
          <w:lang w:eastAsia="ru-RU"/>
        </w:rPr>
        <w:t>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физикальное обследование</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 выполняется врачами соответствующих профилей (врачом-неврологом, врачом-нейрохирургом, врачом-ревматологом, врачом-оториноларингологом, врачом-фтизиатром, врачом-терапевтом, врачом-педиатром, врачом-инфекционистом или врачом общей практики (семейным врачом))</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в рамках ведения заболевания, являющегося фактором риска развития АЗН. Выбор профиля специалиста проводится в зависимости от особенностей течения АЗН, планируемого лечения и наличия у пациента  сопутствующего системного заболевания и/или факторов риска системных осложнений.</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CB56A1" w:rsidRPr="00CB56A1" w:rsidRDefault="00CB56A1" w:rsidP="00CB56A1">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b/>
          <w:bCs/>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общий</w:t>
      </w:r>
      <w:r w:rsidRPr="00CB56A1">
        <w:rPr>
          <w:rFonts w:ascii="Times New Roman" w:eastAsia="Times New Roman" w:hAnsi="Times New Roman" w:cs="Times New Roman"/>
          <w:b/>
          <w:bCs/>
          <w:color w:val="222222"/>
          <w:spacing w:val="4"/>
          <w:sz w:val="27"/>
          <w:szCs w:val="27"/>
          <w:lang w:eastAsia="ru-RU"/>
        </w:rPr>
        <w:t> </w:t>
      </w:r>
      <w:r w:rsidRPr="00CB56A1">
        <w:rPr>
          <w:rFonts w:ascii="Times New Roman" w:eastAsia="Times New Roman" w:hAnsi="Times New Roman" w:cs="Times New Roman"/>
          <w:color w:val="222222"/>
          <w:spacing w:val="4"/>
          <w:sz w:val="27"/>
          <w:szCs w:val="27"/>
          <w:lang w:eastAsia="ru-RU"/>
        </w:rPr>
        <w:t xml:space="preserve">(клинический) анализ крови развернутый, анализ крови биохимический общетерапевтический, исследование уровня глюкозы в крови, анализ крови по оценке нарушений липидного обмена биохимический, коагулограмма (ориентировочное исследование системы гемостаза), исследование уровня С-реактивного белка в сыворотке крови, </w:t>
      </w:r>
      <w:r w:rsidRPr="00CB56A1">
        <w:rPr>
          <w:rFonts w:ascii="Times New Roman" w:eastAsia="Times New Roman" w:hAnsi="Times New Roman" w:cs="Times New Roman"/>
          <w:color w:val="222222"/>
          <w:spacing w:val="4"/>
          <w:sz w:val="27"/>
          <w:szCs w:val="27"/>
          <w:lang w:eastAsia="ru-RU"/>
        </w:rPr>
        <w:lastRenderedPageBreak/>
        <w:t>определение содержания ревматоидного фактора в крови. Определение антител к бледной трепонеме (</w:t>
      </w:r>
      <w:r w:rsidRPr="00CB56A1">
        <w:rPr>
          <w:rFonts w:ascii="Times New Roman" w:eastAsia="Times New Roman" w:hAnsi="Times New Roman" w:cs="Times New Roman"/>
          <w:i/>
          <w:iCs/>
          <w:color w:val="333333"/>
          <w:spacing w:val="4"/>
          <w:sz w:val="27"/>
          <w:szCs w:val="27"/>
          <w:lang w:eastAsia="ru-RU"/>
        </w:rPr>
        <w:t>Treponema pallidum</w:t>
      </w:r>
      <w:r w:rsidRPr="00CB56A1">
        <w:rPr>
          <w:rFonts w:ascii="Times New Roman" w:eastAsia="Times New Roman" w:hAnsi="Times New Roman" w:cs="Times New Roman"/>
          <w:color w:val="222222"/>
          <w:spacing w:val="4"/>
          <w:sz w:val="27"/>
          <w:szCs w:val="27"/>
          <w:lang w:eastAsia="ru-RU"/>
        </w:rPr>
        <w:t>) в крови, определение антител классов M, G (IgM, IgG) к вирусу иммунодефицита человека ВИЧ-1 (</w:t>
      </w:r>
      <w:r w:rsidRPr="00CB56A1">
        <w:rPr>
          <w:rFonts w:ascii="Times New Roman" w:eastAsia="Times New Roman" w:hAnsi="Times New Roman" w:cs="Times New Roman"/>
          <w:i/>
          <w:iCs/>
          <w:color w:val="333333"/>
          <w:spacing w:val="4"/>
          <w:sz w:val="27"/>
          <w:szCs w:val="27"/>
          <w:lang w:eastAsia="ru-RU"/>
        </w:rPr>
        <w:t>Human immunodeficiency virus HIV 1</w:t>
      </w:r>
      <w:r w:rsidRPr="00CB56A1">
        <w:rPr>
          <w:rFonts w:ascii="Times New Roman" w:eastAsia="Times New Roman" w:hAnsi="Times New Roman" w:cs="Times New Roman"/>
          <w:color w:val="222222"/>
          <w:spacing w:val="4"/>
          <w:sz w:val="27"/>
          <w:szCs w:val="27"/>
          <w:lang w:eastAsia="ru-RU"/>
        </w:rPr>
        <w:t>) в крови, определение антител классов M, G (IgM, IgG) к вирусу иммунодефицита человека ВИЧ-2 (</w:t>
      </w:r>
      <w:r w:rsidRPr="00CB56A1">
        <w:rPr>
          <w:rFonts w:ascii="Times New Roman" w:eastAsia="Times New Roman" w:hAnsi="Times New Roman" w:cs="Times New Roman"/>
          <w:i/>
          <w:iCs/>
          <w:color w:val="333333"/>
          <w:spacing w:val="4"/>
          <w:sz w:val="27"/>
          <w:szCs w:val="27"/>
          <w:lang w:eastAsia="ru-RU"/>
        </w:rPr>
        <w:t>Human immunodeficiency virus HIV 2</w:t>
      </w:r>
      <w:r w:rsidRPr="00CB56A1">
        <w:rPr>
          <w:rFonts w:ascii="Times New Roman" w:eastAsia="Times New Roman" w:hAnsi="Times New Roman" w:cs="Times New Roman"/>
          <w:color w:val="222222"/>
          <w:spacing w:val="4"/>
          <w:sz w:val="27"/>
          <w:szCs w:val="27"/>
          <w:lang w:eastAsia="ru-RU"/>
        </w:rPr>
        <w:t>) в крови. Определение антител класса G (IgG) к вирусу простого герпеса 2 типа (</w:t>
      </w:r>
      <w:r w:rsidRPr="00CB56A1">
        <w:rPr>
          <w:rFonts w:ascii="Times New Roman" w:eastAsia="Times New Roman" w:hAnsi="Times New Roman" w:cs="Times New Roman"/>
          <w:i/>
          <w:iCs/>
          <w:color w:val="333333"/>
          <w:spacing w:val="4"/>
          <w:sz w:val="27"/>
          <w:szCs w:val="27"/>
          <w:lang w:eastAsia="ru-RU"/>
        </w:rPr>
        <w:t>Herpes simplex virus 2</w:t>
      </w:r>
      <w:r w:rsidRPr="00CB56A1">
        <w:rPr>
          <w:rFonts w:ascii="Times New Roman" w:eastAsia="Times New Roman" w:hAnsi="Times New Roman" w:cs="Times New Roman"/>
          <w:color w:val="222222"/>
          <w:spacing w:val="4"/>
          <w:sz w:val="27"/>
          <w:szCs w:val="27"/>
          <w:lang w:eastAsia="ru-RU"/>
        </w:rPr>
        <w:t>) в крови. Определение антител класса G (IgG) к вирусу простого герпеса 2 типа (</w:t>
      </w:r>
      <w:r w:rsidRPr="00CB56A1">
        <w:rPr>
          <w:rFonts w:ascii="Times New Roman" w:eastAsia="Times New Roman" w:hAnsi="Times New Roman" w:cs="Times New Roman"/>
          <w:i/>
          <w:iCs/>
          <w:color w:val="333333"/>
          <w:spacing w:val="4"/>
          <w:sz w:val="27"/>
          <w:szCs w:val="27"/>
          <w:lang w:eastAsia="ru-RU"/>
        </w:rPr>
        <w:t>Herpes simplex virus 2</w:t>
      </w:r>
      <w:r w:rsidRPr="00CB56A1">
        <w:rPr>
          <w:rFonts w:ascii="Times New Roman" w:eastAsia="Times New Roman" w:hAnsi="Times New Roman" w:cs="Times New Roman"/>
          <w:color w:val="222222"/>
          <w:spacing w:val="4"/>
          <w:sz w:val="27"/>
          <w:szCs w:val="27"/>
          <w:lang w:eastAsia="ru-RU"/>
        </w:rPr>
        <w:t>) в крови. Определение антител класса G (IgG) к цитомегаловирусу (</w:t>
      </w:r>
      <w:r w:rsidRPr="00CB56A1">
        <w:rPr>
          <w:rFonts w:ascii="Times New Roman" w:eastAsia="Times New Roman" w:hAnsi="Times New Roman" w:cs="Times New Roman"/>
          <w:i/>
          <w:iCs/>
          <w:color w:val="333333"/>
          <w:spacing w:val="4"/>
          <w:sz w:val="27"/>
          <w:szCs w:val="27"/>
          <w:lang w:eastAsia="ru-RU"/>
        </w:rPr>
        <w:t>Cytomegalovirus</w:t>
      </w:r>
      <w:r w:rsidRPr="00CB56A1">
        <w:rPr>
          <w:rFonts w:ascii="Times New Roman" w:eastAsia="Times New Roman" w:hAnsi="Times New Roman" w:cs="Times New Roman"/>
          <w:color w:val="222222"/>
          <w:spacing w:val="4"/>
          <w:sz w:val="27"/>
          <w:szCs w:val="27"/>
          <w:lang w:eastAsia="ru-RU"/>
        </w:rPr>
        <w:t>) в крови. Определение антител классов M, G (IgM, IgG) к вирусу Эпштейна-Барра (</w:t>
      </w:r>
      <w:r w:rsidRPr="00CB56A1">
        <w:rPr>
          <w:rFonts w:ascii="Times New Roman" w:eastAsia="Times New Roman" w:hAnsi="Times New Roman" w:cs="Times New Roman"/>
          <w:i/>
          <w:iCs/>
          <w:color w:val="333333"/>
          <w:spacing w:val="4"/>
          <w:sz w:val="27"/>
          <w:szCs w:val="27"/>
          <w:lang w:eastAsia="ru-RU"/>
        </w:rPr>
        <w:t>Epstein - Barr virus</w:t>
      </w:r>
      <w:r w:rsidRPr="00CB56A1">
        <w:rPr>
          <w:rFonts w:ascii="Times New Roman" w:eastAsia="Times New Roman" w:hAnsi="Times New Roman" w:cs="Times New Roman"/>
          <w:color w:val="222222"/>
          <w:spacing w:val="4"/>
          <w:sz w:val="27"/>
          <w:szCs w:val="27"/>
          <w:lang w:eastAsia="ru-RU"/>
        </w:rPr>
        <w:t>) в крови. Определение антител класса G (IgG) к токсоплазме (</w:t>
      </w:r>
      <w:r w:rsidRPr="00CB56A1">
        <w:rPr>
          <w:rFonts w:ascii="Times New Roman" w:eastAsia="Times New Roman" w:hAnsi="Times New Roman" w:cs="Times New Roman"/>
          <w:i/>
          <w:iCs/>
          <w:color w:val="333333"/>
          <w:spacing w:val="4"/>
          <w:sz w:val="27"/>
          <w:szCs w:val="27"/>
          <w:lang w:eastAsia="ru-RU"/>
        </w:rPr>
        <w:t>Toxoplasma gondii</w:t>
      </w:r>
      <w:r w:rsidRPr="00CB56A1">
        <w:rPr>
          <w:rFonts w:ascii="Times New Roman" w:eastAsia="Times New Roman" w:hAnsi="Times New Roman" w:cs="Times New Roman"/>
          <w:color w:val="222222"/>
          <w:spacing w:val="4"/>
          <w:sz w:val="27"/>
          <w:szCs w:val="27"/>
          <w:lang w:eastAsia="ru-RU"/>
        </w:rPr>
        <w:t>) в крови. Определение антител к токсокаре собак (</w:t>
      </w:r>
      <w:r w:rsidRPr="00CB56A1">
        <w:rPr>
          <w:rFonts w:ascii="Times New Roman" w:eastAsia="Times New Roman" w:hAnsi="Times New Roman" w:cs="Times New Roman"/>
          <w:i/>
          <w:iCs/>
          <w:color w:val="333333"/>
          <w:spacing w:val="4"/>
          <w:sz w:val="27"/>
          <w:szCs w:val="27"/>
          <w:lang w:eastAsia="ru-RU"/>
        </w:rPr>
        <w:t>Toxocara canis</w:t>
      </w:r>
      <w:r w:rsidRPr="00CB56A1">
        <w:rPr>
          <w:rFonts w:ascii="Times New Roman" w:eastAsia="Times New Roman" w:hAnsi="Times New Roman" w:cs="Times New Roman"/>
          <w:color w:val="222222"/>
          <w:spacing w:val="4"/>
          <w:sz w:val="27"/>
          <w:szCs w:val="27"/>
          <w:lang w:eastAsia="ru-RU"/>
        </w:rPr>
        <w:t>) в крови. Определение антител класса A (IgA) к хламидии трахоматис (</w:t>
      </w:r>
      <w:r w:rsidRPr="00CB56A1">
        <w:rPr>
          <w:rFonts w:ascii="Times New Roman" w:eastAsia="Times New Roman" w:hAnsi="Times New Roman" w:cs="Times New Roman"/>
          <w:i/>
          <w:iCs/>
          <w:color w:val="333333"/>
          <w:spacing w:val="4"/>
          <w:sz w:val="27"/>
          <w:szCs w:val="27"/>
          <w:lang w:eastAsia="ru-RU"/>
        </w:rPr>
        <w:t>Chlamydia trachomatis</w:t>
      </w:r>
      <w:r w:rsidRPr="00CB56A1">
        <w:rPr>
          <w:rFonts w:ascii="Times New Roman" w:eastAsia="Times New Roman" w:hAnsi="Times New Roman" w:cs="Times New Roman"/>
          <w:color w:val="222222"/>
          <w:spacing w:val="4"/>
          <w:sz w:val="27"/>
          <w:szCs w:val="27"/>
          <w:lang w:eastAsia="ru-RU"/>
        </w:rPr>
        <w:t>) в крови. Определение антител класса G (IgG) к хламидии трахоматис (</w:t>
      </w:r>
      <w:r w:rsidRPr="00CB56A1">
        <w:rPr>
          <w:rFonts w:ascii="Times New Roman" w:eastAsia="Times New Roman" w:hAnsi="Times New Roman" w:cs="Times New Roman"/>
          <w:i/>
          <w:iCs/>
          <w:color w:val="333333"/>
          <w:spacing w:val="4"/>
          <w:sz w:val="27"/>
          <w:szCs w:val="27"/>
          <w:lang w:eastAsia="ru-RU"/>
        </w:rPr>
        <w:t>Chlamydia trachomatis</w:t>
      </w:r>
      <w:r w:rsidRPr="00CB56A1">
        <w:rPr>
          <w:rFonts w:ascii="Times New Roman" w:eastAsia="Times New Roman" w:hAnsi="Times New Roman" w:cs="Times New Roman"/>
          <w:color w:val="222222"/>
          <w:spacing w:val="4"/>
          <w:sz w:val="27"/>
          <w:szCs w:val="27"/>
          <w:lang w:eastAsia="ru-RU"/>
        </w:rPr>
        <w:t>) в крови. Определение ДНК микобактерии туберкулеза (</w:t>
      </w:r>
      <w:r w:rsidRPr="00CB56A1">
        <w:rPr>
          <w:rFonts w:ascii="Times New Roman" w:eastAsia="Times New Roman" w:hAnsi="Times New Roman" w:cs="Times New Roman"/>
          <w:i/>
          <w:iCs/>
          <w:color w:val="333333"/>
          <w:spacing w:val="4"/>
          <w:sz w:val="27"/>
          <w:szCs w:val="27"/>
          <w:lang w:eastAsia="ru-RU"/>
        </w:rPr>
        <w:t>Mycobacterium tuberculosis complex</w:t>
      </w:r>
      <w:r w:rsidRPr="00CB56A1">
        <w:rPr>
          <w:rFonts w:ascii="Times New Roman" w:eastAsia="Times New Roman" w:hAnsi="Times New Roman" w:cs="Times New Roman"/>
          <w:color w:val="222222"/>
          <w:spacing w:val="4"/>
          <w:sz w:val="27"/>
          <w:szCs w:val="27"/>
          <w:lang w:eastAsia="ru-RU"/>
        </w:rPr>
        <w:t>) (по показаниям, для исключения воспалительного процесса) всем пациентам с АЗН или подозрением на ее наличие</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с целью диагностики и лечения основных системных факторов риска возникновения и прогрессирования</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заболевания, при отрицательной динамике состояния ЗН, а также риска осложнений лечения при планировании или изменении тактики ведения пациента [58, 83-105].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выбор лабораторного исследования определяется в зависимости  от наличия у пациента сопутствующего заболевания, при подозрении на него.</w:t>
      </w:r>
    </w:p>
    <w:p w:rsidR="00CB56A1" w:rsidRPr="00CB56A1" w:rsidRDefault="00CB56A1" w:rsidP="00CB56A1">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исследование уровня интерферона-гамма на антигены </w:t>
      </w:r>
      <w:r w:rsidRPr="00CB56A1">
        <w:rPr>
          <w:rFonts w:ascii="Times New Roman" w:eastAsia="Times New Roman" w:hAnsi="Times New Roman" w:cs="Times New Roman"/>
          <w:i/>
          <w:iCs/>
          <w:color w:val="333333"/>
          <w:spacing w:val="4"/>
          <w:sz w:val="27"/>
          <w:szCs w:val="27"/>
          <w:lang w:eastAsia="ru-RU"/>
        </w:rPr>
        <w:t>Mycobacterium tuberculosis complex</w:t>
      </w:r>
      <w:r w:rsidRPr="00CB56A1">
        <w:rPr>
          <w:rFonts w:ascii="Times New Roman" w:eastAsia="Times New Roman" w:hAnsi="Times New Roman" w:cs="Times New Roman"/>
          <w:color w:val="222222"/>
          <w:spacing w:val="4"/>
          <w:sz w:val="27"/>
          <w:szCs w:val="27"/>
          <w:lang w:eastAsia="ru-RU"/>
        </w:rPr>
        <w:t> в крови всем пациентам  при подозрении на туберкулезную этиологию [58, 93, 101, 105].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прием (осмотр, консультация) врача-невролога всем пациентам с АЗН или подозрением на ее наличие с целью диагностики и лечения основных факторов риска возникновения и прогрессирования заболевания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B56A1" w:rsidRPr="00CB56A1" w:rsidRDefault="00CB56A1" w:rsidP="00CB56A1">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прием (осмотр, консультация) врача-нейрохирурга первичный всем пациентам с АЗН или подозрением на ее наличие при выявлении признаков внутричерепной гипертензии и/или объемного образования головного мозга [58]</w:t>
      </w:r>
    </w:p>
    <w:p w:rsidR="00CB56A1" w:rsidRPr="00CB56A1" w:rsidRDefault="00CB56A1" w:rsidP="00CB56A1">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прием (осмотр, консультация) сердечно-сосудистого хирурга первичный пациентам с АЗН при наличии гемодинамически значимого стенозирующего процесса в бассейне внутренней сонной артерии с целью диагностики и лечения основных факторов риска возникновения и прогрессирования заболевания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прием (осмотр, консультация) врача-ревматолога первичный всем пациентам с подозрением на аутоиммунный характер заболевания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при отсутствии врача-ревматолога возможен прием (осмотр, консультация) врача-терапевта или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прием (осмотр, консультация) врача общей практики (семейного врача) первичный.</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прием (осмотр, консультация) врача-офтальмолога всем пациентам с АЗН или подозрением на его наличие при диагностике заболевания, динамическом наблюдении и контроле за лечением с целью определения тяжести зрительных расстройств и выработки оптимальной тактики ведения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CB56A1" w:rsidRPr="00CB56A1" w:rsidRDefault="00CB56A1" w:rsidP="00CB56A1">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визометрия (при необходимости определение ретинальной остроты зрения) всем пациентам с АЗН или подозрением на ее наличие при диагностике заболевания, динамическом наблюдении и контроле за лечением с целью определения тяжести зрительных расстройств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B56A1" w:rsidRPr="00CB56A1" w:rsidRDefault="00CB56A1" w:rsidP="00CB56A1">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визуальное исследование глаз (определяют отсутствие или наличие экзофтальма, характер и направления движения глазных яблок, реакцию зрачков на свет, роговичный рефлекс) всем пациентам с АЗН, аномалиями ДЗН или подозрением на их наличие при диагностике заболевания, динамическом наблюдении и контроле за лечением с целью определения тяжести зрительных расстройств [58, 106].</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определение характера зрения, гетерофории (при необходимости измерение угла косоглазия, исследование диплопии и конвергенции) пациентам с АЗН и аномалиями ДЗН при подозрении на нарушение координации глазного мышечного аппарата при диагностике заболевания, динамическом наблюдении и контроле за лечением с целью определения тяжести зрительных расстройств [58, 106].</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исследование цветоощущения  пациентам с АЗН, аномалиями ДЗН или подозрением на их наличие при диагностике заболевания, динамическом наблюдении и контроле за лечением с целью определения тяжести зрительных расстройств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рефрактометрия или определение рефракции с помощью набора пробных линз всем пациентам с АЗН  или подозрением на ее наличие при диагностике заболевания, динамическом наблюдении и контроле за лечением с целью определения максимально корригированной остроты зрения для точной оценки тяжести зрительных расстройств [58]. </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периметрия (в том числе компьютерная периметрия) всем пациентам с АЗН, аномалиями ДЗН или подозрением на их наличие при диагностике заболевания, динамическом наблюдении и контроле за лечением с целью выявления нарушений полей зрения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Рекомендуется</w:t>
      </w:r>
      <w:r w:rsidRPr="00CB56A1">
        <w:rPr>
          <w:rFonts w:ascii="Times New Roman" w:eastAsia="Times New Roman" w:hAnsi="Times New Roman" w:cs="Times New Roman"/>
          <w:color w:val="222222"/>
          <w:spacing w:val="4"/>
          <w:sz w:val="27"/>
          <w:szCs w:val="27"/>
          <w:lang w:eastAsia="ru-RU"/>
        </w:rPr>
        <w:t> офтальмотонометрия (в том числе, под местной анестезией с использованием раствора местного анестетика) всем пациентам с АЗН, аномалиями ДЗН или подозрением на их наличие при диагностике заболевания, динамическом наблюдении и контроле за лечением с целью выявления нарушений офтальмотонуса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биомикроскопия глаза (включая пупилометрию и оценку зрачковых реакций) всем пациентам с АЗН, аномалиями ДЗН или подозрением на их наличие при диагностике заболевания, динамическом наблюдении и контроле за лечением с целью оценки состояния сред и структур глаза [58, 106].</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биомикроскопия глазного дна или офтальмоскопия в условиях медикаментозного мидриаза (с использованием антихолинергических средств и симпатомиметиков, кроме противоглаукомных препаратов, включая фиксированные комбинации) всем пациентам с АЗН, аномалиями ДЗН или подозрением на их наличие при диагностике заболевания, динамическом наблюдении и контроле за лечением с целью выявления изменений на глазном дне, оценки их тяжести, мониторинга и выбора оптимальной тактики ведения [58, 106].</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биомикроскопия глазного дна с асферическими линзами при помощи щелевой лампы (или офтальмоскопия) является основным методом диагностики изменений глазного дна в рамках офтальмологического приема при любом виде (первичная медико-санитарная помощь, специализированная помощь) и условии (стационарная, амбулаторная) оказания медицинской помощи. Важно помнить, что до фармакологического расширения зрачка нужно оценить глубину передней камеры, состояние радужки и реакцию зрачка.</w:t>
      </w:r>
    </w:p>
    <w:p w:rsidR="00CB56A1" w:rsidRPr="00CB56A1" w:rsidRDefault="00CB56A1" w:rsidP="00CB56A1">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xml:space="preserve"> ультразвуковое исследование (УЗИ) глазного яблока с помощью сканера ультразвукового диагностического (при наличии технической возможности) всем пациентам с АЗН, аномалиями ДЗН или подозрении на их наличие с целью определения патологических  изменений оболочек глаза, области ДЗН и ретробульбарного отдела зрительного нерва, </w:t>
      </w:r>
      <w:r w:rsidRPr="00CB56A1">
        <w:rPr>
          <w:rFonts w:ascii="Times New Roman" w:eastAsia="Times New Roman" w:hAnsi="Times New Roman" w:cs="Times New Roman"/>
          <w:color w:val="222222"/>
          <w:spacing w:val="4"/>
          <w:sz w:val="27"/>
          <w:szCs w:val="27"/>
          <w:lang w:eastAsia="ru-RU"/>
        </w:rPr>
        <w:lastRenderedPageBreak/>
        <w:t>качественного и количественного анализа эхографических признаков для диагностики заболевания и контроля эффективности проводимого лечения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 </w:t>
      </w:r>
      <w:r w:rsidRPr="00CB56A1">
        <w:rPr>
          <w:rFonts w:ascii="Times New Roman" w:eastAsia="Times New Roman" w:hAnsi="Times New Roman" w:cs="Times New Roman"/>
          <w:i/>
          <w:iCs/>
          <w:color w:val="333333"/>
          <w:spacing w:val="4"/>
          <w:sz w:val="27"/>
          <w:szCs w:val="27"/>
          <w:lang w:eastAsia="ru-RU"/>
        </w:rPr>
        <w:t>необходимость и частота УЗИ определяется врачом-офтальмологом в зависимости от особенностей течения заболевания. Следует проводить включая эхографическую оценку анатомо-структурных характеристик зрительного нерва с измерением показателей его толщины с оболочками и без оболочек, определение состояния экстраокулярных мышц и ретробульбарной клетчатки.</w:t>
      </w:r>
    </w:p>
    <w:p w:rsidR="00CB56A1" w:rsidRPr="00CB56A1" w:rsidRDefault="00CB56A1" w:rsidP="00CB56A1">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ультразвуковое сканирование глазницы с помощью сканера ультразвукового диагностического (при наличии технической возможности) всем пациентам с АЗН, аномалиями ДЗН или подозрении на их наличие с целью качественного и количественного анализа эхографических признаков орбитальных структур и ретробульбарного отдела ЗН с измерением толщины зрительного нерва в орбите для  диагностики заболевания и контроля эффективности проводимого лечения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оптическое исследование сетчатки с помощью компьютерного анализатора (при наличии технических возможностей) (оптическое исследование сетчатки или головки зрительного нерва и слоя нервных волокон с помощью компьютерного анализатора), в том числе в режиме ангиографии (ОКТ-А) в условиях медикаментозного мидриаза (с использованием антихолинергических средств и симпатомиметиков (исключая противоглаукомные препараты), включая фиксированные комбинации) всем пациентам с АЗН, аномалиями ДЗН или с подозрением на их наличие при диагностике заболевания, динамическом наблюдении и контроле за лечением пациентам со сниженным зрением, которое нельзя объяснить прозрачностью оптических сред и офтальмоскопической картиной [58, 107-110].</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 </w:t>
      </w:r>
      <w:r w:rsidRPr="00CB56A1">
        <w:rPr>
          <w:rFonts w:ascii="Times New Roman" w:eastAsia="Times New Roman" w:hAnsi="Times New Roman" w:cs="Times New Roman"/>
          <w:i/>
          <w:iCs/>
          <w:color w:val="333333"/>
          <w:spacing w:val="4"/>
          <w:sz w:val="27"/>
          <w:szCs w:val="27"/>
          <w:lang w:eastAsia="ru-RU"/>
        </w:rPr>
        <w:t xml:space="preserve">необходимость и частота ОКТ и ОКТ-А определяется врачом-офтальмологом в зависимости от особенностей течения </w:t>
      </w:r>
      <w:r w:rsidRPr="00CB56A1">
        <w:rPr>
          <w:rFonts w:ascii="Times New Roman" w:eastAsia="Times New Roman" w:hAnsi="Times New Roman" w:cs="Times New Roman"/>
          <w:i/>
          <w:iCs/>
          <w:color w:val="333333"/>
          <w:spacing w:val="4"/>
          <w:sz w:val="27"/>
          <w:szCs w:val="27"/>
          <w:lang w:eastAsia="ru-RU"/>
        </w:rPr>
        <w:lastRenderedPageBreak/>
        <w:t>заболевания, а также при динамическом наблюдении. ОКТ проводится для определения толщины сетчатки и оценки слоя ганглиозных клеток сетчатки, ОКТ-А применяется для оценки макулярной и перипапиллярной гемоперфузии. Оптическое исследование сетчатки с помощью компьютерного анализатора необходимо выполнять в условиях фармакологического мидриаза, поскольку это значительно повышает качество исследования.</w:t>
      </w:r>
    </w:p>
    <w:p w:rsidR="00CB56A1" w:rsidRPr="00CB56A1" w:rsidRDefault="00CB56A1" w:rsidP="00CB56A1">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оптическое исследование головки зрительного нерва и слоя нервных волокон с помощью компьютерного анализатора (при наличии технических возможностей), в том числе в режиме ангиографии в условиях медикаментозного мидриаза (с использованием антихолинергических средств и симпатомиметиков, кроме противоглаукомных препаратов, включая фиксированные комбинации) всем пациентам с АЗН, аномалиями ДЗН или с подозрением на их наличие при диагностике заболевания, динамическом наблюдении и контроле за лечением пациентам со сниженным зрением, которое нельзя объяснить прозрачностью оптических сред и офтальмоскопической картиной [108].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 </w:t>
      </w:r>
      <w:r w:rsidRPr="00CB56A1">
        <w:rPr>
          <w:rFonts w:ascii="Times New Roman" w:eastAsia="Times New Roman" w:hAnsi="Times New Roman" w:cs="Times New Roman"/>
          <w:i/>
          <w:iCs/>
          <w:color w:val="333333"/>
          <w:spacing w:val="4"/>
          <w:sz w:val="27"/>
          <w:szCs w:val="27"/>
          <w:lang w:eastAsia="ru-RU"/>
        </w:rPr>
        <w:t>необходимость и частота ОКТ и ОКТ-А определяется врачом-офтальмологом в зависимости от особенностей течения заболевания, а также при динамическом наблюдении. ОКТ проводится для оценки ДЗН и слоя нервных волокон, ОКТ-А применяется для оценки перипапиллярной гемоперфузии. Оптическое исследование области ДЗН и слоя нервных волокон с помощью компьютерного анализатора в режиме ангиографии необходимо выполнять в условиях фармакологического мидриаза, поскольку это значительно повышает качество исследования.</w:t>
      </w:r>
    </w:p>
    <w:p w:rsidR="00CB56A1" w:rsidRPr="00CB56A1" w:rsidRDefault="00CB56A1" w:rsidP="00CB56A1">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электрофизиологическое исследование (при наличии технической возможности) пациентам с АЗН и аномалиями ДЗН с целью оценки функции зрительного нерва и проводящих путей при диагностике заболевания, динамическом наблюдении и контроле за лечением с целью скрининга, мониторинга и оценки эффективности лечения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 </w:t>
      </w:r>
      <w:r w:rsidRPr="00CB56A1">
        <w:rPr>
          <w:rFonts w:ascii="Times New Roman" w:eastAsia="Times New Roman" w:hAnsi="Times New Roman" w:cs="Times New Roman"/>
          <w:i/>
          <w:iCs/>
          <w:color w:val="333333"/>
          <w:spacing w:val="4"/>
          <w:sz w:val="27"/>
          <w:szCs w:val="27"/>
          <w:lang w:eastAsia="ru-RU"/>
        </w:rPr>
        <w:t>решение о назначении иных дополнительных методов исследования принимает врач по результатам базового обследования.</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 xml:space="preserve">Регистрация зрительных вызванных потенциалов коры головного мозга (ЗВП) на паттерн стимуляцию - при несоответствии </w:t>
      </w:r>
      <w:r w:rsidRPr="00CB56A1">
        <w:rPr>
          <w:rFonts w:ascii="Times New Roman" w:eastAsia="Times New Roman" w:hAnsi="Times New Roman" w:cs="Times New Roman"/>
          <w:i/>
          <w:iCs/>
          <w:color w:val="333333"/>
          <w:spacing w:val="4"/>
          <w:sz w:val="27"/>
          <w:szCs w:val="27"/>
          <w:lang w:eastAsia="ru-RU"/>
        </w:rPr>
        <w:lastRenderedPageBreak/>
        <w:t>остроты зрения и состояния глазного дна (сетчатки, зрительного нерва), при патологии зрительных путей и зрительных областей коры мозга</w:t>
      </w:r>
      <w:r w:rsidRPr="00CB56A1">
        <w:rPr>
          <w:rFonts w:ascii="Times New Roman" w:eastAsia="Times New Roman" w:hAnsi="Times New Roman" w:cs="Times New Roman"/>
          <w:color w:val="222222"/>
          <w:spacing w:val="4"/>
          <w:sz w:val="27"/>
          <w:szCs w:val="27"/>
          <w:lang w:eastAsia="ru-RU"/>
        </w:rPr>
        <w:t>.</w:t>
      </w:r>
    </w:p>
    <w:p w:rsidR="00CB56A1" w:rsidRPr="00CB56A1" w:rsidRDefault="00CB56A1" w:rsidP="00CB56A1">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флюоресцентная ангиография глаза (ФАГ) (при наличии технических  возможностей) в условиях медикаментозного мидриаза (с использованием антихолинергических средств и симпатомиметиков, кроме противоглаукомных препаратов, включая фиксированные комбинации) при диагностике заболевания, динамическом наблюдении и контроле за лечением пациентам с АЗН в диагностически сложных случаях, с целью дифференциальной диагностики АЗН, неврита, отека ЗН и ишемической нейрооптикопатии с дальнейшим определением тактики лечения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необходимость и частота ФАГ определяется врачом-офтальмологом в зависимости от особенностей течения заболевания.</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2.5 Иные диагностические исследования</w:t>
      </w:r>
    </w:p>
    <w:p w:rsidR="00CB56A1" w:rsidRPr="00CB56A1" w:rsidRDefault="00CB56A1" w:rsidP="00CB56A1">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ультразвуковая допплерография сосудов орбиты и глазного яблока с оценкой кровотока в режимах цветового допплеровского картирования и импульсной допплерографии (при наличии технических возможностей) для определения основных показателей гемодинамики в орбитальных артериях: глазной артерии, центральной артерии сетчатки и задних коротких цилиарных артериях всем пациентам с АЗН или подозрением на ее наличие для диагностики, динамического наблюдения и контроля эффективности проводимого лечения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 </w:t>
      </w:r>
      <w:r w:rsidRPr="00CB56A1">
        <w:rPr>
          <w:rFonts w:ascii="Times New Roman" w:eastAsia="Times New Roman" w:hAnsi="Times New Roman" w:cs="Times New Roman"/>
          <w:i/>
          <w:iCs/>
          <w:color w:val="333333"/>
          <w:spacing w:val="4"/>
          <w:sz w:val="27"/>
          <w:szCs w:val="27"/>
          <w:lang w:eastAsia="ru-RU"/>
        </w:rPr>
        <w:t>УЗИ с оценкой кровотока в ретробульбарных сосудах</w:t>
      </w:r>
      <w:r w:rsidRPr="00CB56A1">
        <w:rPr>
          <w:rFonts w:ascii="Times New Roman" w:eastAsia="Times New Roman" w:hAnsi="Times New Roman" w:cs="Times New Roman"/>
          <w:b/>
          <w:bCs/>
          <w:i/>
          <w:iCs/>
          <w:color w:val="333333"/>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выполняет врач ультразвуковой диагностики.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Необходимость и частоту исследования, а также анализ и интерпретацию результатов проводит врач-офтальмолог. Оценка состояния кровотока в ретробульбарных сосудах осуществляется для определения дефицита кровоснабжения интраокулярного и интраорбитального отделов ЗН и дифференциальной диагностики с заболеваниями, сопровождающимися поражением зрительного нерва с признаками нарушения кровообращения ЗН.</w:t>
      </w:r>
    </w:p>
    <w:p w:rsidR="00CB56A1" w:rsidRPr="00CB56A1" w:rsidRDefault="00CB56A1" w:rsidP="00CB56A1">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всем пациентам</w:t>
      </w:r>
      <w:r w:rsidRPr="00CB56A1">
        <w:rPr>
          <w:rFonts w:ascii="Times New Roman" w:eastAsia="Times New Roman" w:hAnsi="Times New Roman" w:cs="Times New Roman"/>
          <w:b/>
          <w:bCs/>
          <w:color w:val="222222"/>
          <w:spacing w:val="4"/>
          <w:sz w:val="27"/>
          <w:szCs w:val="27"/>
          <w:lang w:eastAsia="ru-RU"/>
        </w:rPr>
        <w:t> </w:t>
      </w:r>
      <w:r w:rsidRPr="00CB56A1">
        <w:rPr>
          <w:rFonts w:ascii="Times New Roman" w:eastAsia="Times New Roman" w:hAnsi="Times New Roman" w:cs="Times New Roman"/>
          <w:color w:val="222222"/>
          <w:spacing w:val="4"/>
          <w:sz w:val="27"/>
          <w:szCs w:val="27"/>
          <w:lang w:eastAsia="ru-RU"/>
        </w:rPr>
        <w:t xml:space="preserve">магнитно-резонансная томография (МРТ) головного мозга с контрастированием (или компьютерная томография (КТ) головного мозга с внутривенным контрастированием при невозможности </w:t>
      </w:r>
      <w:r w:rsidRPr="00CB56A1">
        <w:rPr>
          <w:rFonts w:ascii="Times New Roman" w:eastAsia="Times New Roman" w:hAnsi="Times New Roman" w:cs="Times New Roman"/>
          <w:color w:val="222222"/>
          <w:spacing w:val="4"/>
          <w:sz w:val="27"/>
          <w:szCs w:val="27"/>
          <w:lang w:eastAsia="ru-RU"/>
        </w:rPr>
        <w:lastRenderedPageBreak/>
        <w:t>выполнения МРТ) всем пациентам с АЗН и при подозрении на наличие выявления признаков поражения головного мозга и  орбиты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CB56A1">
        <w:rPr>
          <w:rFonts w:ascii="Times New Roman" w:eastAsia="Times New Roman" w:hAnsi="Times New Roman" w:cs="Times New Roman"/>
          <w:color w:val="222222"/>
          <w:spacing w:val="4"/>
          <w:sz w:val="27"/>
          <w:szCs w:val="27"/>
          <w:lang w:eastAsia="ru-RU"/>
        </w:rPr>
        <w:t> </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необходимость проведения КТ и МРТ, а также необходимость применения контрастного средства определяется специалистами (врачом-неврологом, врачом-нейрохирургом) в зависимости от сопутствующих заболеваний. Использование МРТ с контрастным средством позволяет выявить признаки демиелинизирующих заболеваний. Чувствительность определения очаговых изменений зрительного нерва на МРТ составляет до 93 %</w:t>
      </w:r>
      <w:r w:rsidRPr="00CB56A1">
        <w:rPr>
          <w:rFonts w:ascii="Times New Roman" w:eastAsia="Times New Roman" w:hAnsi="Times New Roman" w:cs="Times New Roman"/>
          <w:color w:val="222222"/>
          <w:spacing w:val="4"/>
          <w:sz w:val="27"/>
          <w:szCs w:val="27"/>
          <w:lang w:eastAsia="ru-RU"/>
        </w:rPr>
        <w:t>.</w:t>
      </w:r>
    </w:p>
    <w:p w:rsidR="00CB56A1" w:rsidRPr="00CB56A1" w:rsidRDefault="00CB56A1" w:rsidP="00CB56A1">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всем пациентам </w:t>
      </w:r>
      <w:r w:rsidRPr="00CB56A1">
        <w:rPr>
          <w:rFonts w:ascii="Times New Roman" w:eastAsia="Times New Roman" w:hAnsi="Times New Roman" w:cs="Times New Roman"/>
          <w:b/>
          <w:bCs/>
          <w:color w:val="222222"/>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МРТ глазницы с контрастированием (или КТ глазницы с внутривенным болюсным контрастированием при невозможности выполнения МРТ) глазниц или головного мозга с внутривенным введением контрастного средства всем пациентам с АЗН при подозрении на поражение орбиты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CB56A1">
        <w:rPr>
          <w:rFonts w:ascii="Times New Roman" w:eastAsia="Times New Roman" w:hAnsi="Times New Roman" w:cs="Times New Roman"/>
          <w:color w:val="222222"/>
          <w:spacing w:val="4"/>
          <w:sz w:val="27"/>
          <w:szCs w:val="27"/>
          <w:lang w:eastAsia="ru-RU"/>
        </w:rPr>
        <w:t> </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необходимость проведения КТ и МРТ, а также необходимость применения контрастного средства определяется специалистами (врачом-неврологом, врачом-нейрохирургом) в зависимости от сопутствующих заболеваний.</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Атрофия зрительного нерва характеризуется необратимой утратой нервных волокон, поэтому не существует эффективного метода лечения [58, 110].</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Клиническое ведение пациента определяется по возможности лечением исходной нейрооптикопатии и осуществляется совместно с соответствующим специалистом (нейрохирургическое лечение при компрессионной </w:t>
      </w:r>
      <w:r w:rsidRPr="00CB56A1">
        <w:rPr>
          <w:rFonts w:ascii="Times New Roman" w:eastAsia="Times New Roman" w:hAnsi="Times New Roman" w:cs="Times New Roman"/>
          <w:color w:val="222222"/>
          <w:spacing w:val="4"/>
          <w:sz w:val="27"/>
          <w:szCs w:val="27"/>
          <w:lang w:eastAsia="ru-RU"/>
        </w:rPr>
        <w:lastRenderedPageBreak/>
        <w:t>нейрооптикопатии, «митохондриальная стимуляция» и генная терапия при наследственных нейрооптикопатиях, терапия в остром периоде оптиконеврита) [111].</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Подходы к поддерживающей терапии при атрофии зрительного нерва условно подразделяются на нейропротекцию, нейростимуляцию, а также нейрорегенерацию. Нейропротекция направлена на увеличение устойчивости нейронов зрительного нерва к патологическим воздействиям, а нейростимуляции – на улучшение проводимости в аксонах ГКС. Нейрорегенерация, концепция стимуляции развития новых нейронов, замещающих погибшие, на сегодняшний день остается на уровне доклинических испытаний.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Пути воздействия на зрительный нерв могут быть подразделены на использование медикаментозной терапии, хирургических вмешательств, а также методик физиотерапии.</w:t>
      </w:r>
    </w:p>
    <w:p w:rsidR="00CB56A1" w:rsidRPr="00CB56A1" w:rsidRDefault="00CB56A1" w:rsidP="00CB56A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B56A1">
        <w:rPr>
          <w:rFonts w:ascii="Times New Roman" w:eastAsia="Times New Roman" w:hAnsi="Times New Roman" w:cs="Times New Roman"/>
          <w:b/>
          <w:bCs/>
          <w:color w:val="000000"/>
          <w:spacing w:val="4"/>
          <w:kern w:val="36"/>
          <w:sz w:val="48"/>
          <w:szCs w:val="48"/>
          <w:lang w:eastAsia="ru-RU"/>
        </w:rPr>
        <w:t>3.1 Медикаментозная терапия при атрофии зрительного нерва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Поддерживающая терапия при атрофии зрительного нерва исходно направлена на улучшение  кровоснабжения и трофики сохранных аксонов ГКС и назначается в соответствии с основным заболеванием [58].</w:t>
      </w:r>
    </w:p>
    <w:p w:rsidR="00CB56A1" w:rsidRPr="00CB56A1" w:rsidRDefault="00CB56A1" w:rsidP="00CB56A1">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назначение ноотропных препаратов (по N06BX – психостимуляторы и ноотропы другие) пациентам с АЗН сосудистого, поствоспалительного, глаукомного генеза, без тревожных расстройств, психических заболеваний и судорожной активности с целью улучшения или сохранения зрительных функций и стабилизации атрофического процесса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 5)</w:t>
      </w:r>
    </w:p>
    <w:p w:rsidR="00CB56A1" w:rsidRPr="00CB56A1" w:rsidRDefault="00CB56A1" w:rsidP="00CB56A1">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назначение метионил-глутамил-гистидил-фенилаланил-пролил-глицил-пролина** с  18 лет в дозе 600-900 мкг/сут. в виде 0.1 % раствора по 2–3 капли в каждый носовой ход 2–3 раза в день в течение 7-10 суток с возможностью продления приема в срок до 14. Кроме того, препарат может вводиться путем эндоназального электрофореза. Препарат вводится с анода. Сила тока 1 мА, продолжительность воздействия 8-12-15 минут. Суточная доза 400-600 мкг. Курс лечения 7-10 дней [112-114].</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Комментарии:</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препарат является синтетическим аналогом фрагмента АКТГ, лишенного гормональной активности, относится к классу регуляторных пептидов. Фармакологический эффект связан с устранением дисбаланса цитокинов вследствие достоверного уменьшения уровня индукторов воспаления и повышения содержания противовоспалительных и нейротрофических факторов, что приводит к угнетению локальной воспалительной реакции и улучшению трофического обеспечения ЗН [112-114].</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i/>
          <w:iCs/>
          <w:color w:val="333333"/>
          <w:spacing w:val="4"/>
          <w:sz w:val="27"/>
          <w:szCs w:val="27"/>
          <w:lang w:eastAsia="ru-RU"/>
        </w:rPr>
        <w:t>С позиций доказательной медицины, назначение нейропротективных препаратов не является абсолютно обоснованным, поэтому в настоящее время не существует «золотого стандарта» метаболической терапии при АЗН. В литературе также описаны единичные исследования об эффективности нейропептидных препаратов, (по N06BX - психостимуляторы и ноотропы другие) положительный эффект которых обусловлен активизацией метаболических процессов в нервной ткани путем ускорения утилизации глюкозы клетками и повышения их устойчивости к гипоксии [115].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i/>
          <w:iCs/>
          <w:color w:val="333333"/>
          <w:spacing w:val="4"/>
          <w:sz w:val="27"/>
          <w:szCs w:val="27"/>
          <w:lang w:eastAsia="ru-RU"/>
        </w:rPr>
        <w:t>Перспективным направлением в лечении АЗН на сегодняшний день представляется терапия стволовыми клетками, поскольку показана возможность стимуляции аксональной регенерации ганглионаров при интравитреальном введении стволовых клеток у животных [112]. В настоящее время проводится несколько исследований, оценивающих терапию стволовыми клетками у пациентов с АЗН разной этиологии: ишемической, воспалительной, демиелинизирующей, глаукомной и других [116-119].</w:t>
      </w:r>
    </w:p>
    <w:p w:rsidR="00CB56A1" w:rsidRPr="00CB56A1" w:rsidRDefault="00CB56A1" w:rsidP="00CB56A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B56A1">
        <w:rPr>
          <w:rFonts w:ascii="Times New Roman" w:eastAsia="Times New Roman" w:hAnsi="Times New Roman" w:cs="Times New Roman"/>
          <w:b/>
          <w:bCs/>
          <w:color w:val="000000"/>
          <w:spacing w:val="4"/>
          <w:kern w:val="36"/>
          <w:sz w:val="48"/>
          <w:szCs w:val="48"/>
          <w:lang w:eastAsia="ru-RU"/>
        </w:rPr>
        <w:t>3.2 Обезболивание</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Методы обезболивания не применяются, так как АЗН не сопровождается болевым синдромом.</w:t>
      </w:r>
    </w:p>
    <w:p w:rsidR="00CB56A1" w:rsidRPr="00CB56A1" w:rsidRDefault="00CB56A1" w:rsidP="00CB56A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B56A1">
        <w:rPr>
          <w:rFonts w:ascii="Times New Roman" w:eastAsia="Times New Roman" w:hAnsi="Times New Roman" w:cs="Times New Roman"/>
          <w:b/>
          <w:bCs/>
          <w:color w:val="000000"/>
          <w:spacing w:val="4"/>
          <w:kern w:val="36"/>
          <w:sz w:val="48"/>
          <w:szCs w:val="48"/>
          <w:lang w:eastAsia="ru-RU"/>
        </w:rPr>
        <w:t>3.3 Хирургическое лечение атрофии зрительного нерва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В настоящее время не имеется доказанных эффективных хирургических методов лечения АЗН. Несмотря на имеющиеся в литературе данные по эффективности  реваскуляризационных вмешательств при АЗН, вопрос об их проведении является спорным. Реваскуляризация хориоидеи и зрительного нерва представляет собой вмешательство, направленное на имплантацию в супрахориоидальное пространство различных материалов: пучков волокон </w:t>
      </w:r>
      <w:r w:rsidRPr="00CB56A1">
        <w:rPr>
          <w:rFonts w:ascii="Times New Roman" w:eastAsia="Times New Roman" w:hAnsi="Times New Roman" w:cs="Times New Roman"/>
          <w:color w:val="222222"/>
          <w:spacing w:val="4"/>
          <w:sz w:val="27"/>
          <w:szCs w:val="27"/>
          <w:lang w:eastAsia="ru-RU"/>
        </w:rPr>
        <w:lastRenderedPageBreak/>
        <w:t>косой или прямой мышц глаза, теноновой оболочки, конъюнктивы, полоски эписклеры с концевыми ветвями передних цилиарных артерий, аллотрансплантатов для улучшения гемодинамики периферического отдела зрительного нерва [120-121]. Возможно проведение реваскуляризационных вмешательств у пациентов с двухсторонней атрофией зрительного нерва при исходно низких зрительных функциях (острота зрения менее 0.1) и неэффективности консервативной терапии с целью улучшения зрительных функций и стабилизации атрофического процесса [122].</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Методы лечения и профилактики врожденной аномалии ДЗН отсутствуют. Лечение проводится в случае развития осложнений, к основным из них относится серозная отслойка сетчатки и формирование хориоидальной неоваскулярной мембраны: при локальной отслойке проводится отграничительная лазеркоагуляция сетчатки, при распространенной, субтотальной, тотальной отслойке - микроинвазивная витрэктомия с эндотампонадой витреальной полости в различных модификациях, при формировании хориоидальной неоваскулярной мембраны – интравитреальное введение антиангиогенных препаратов.</w:t>
      </w:r>
    </w:p>
    <w:p w:rsidR="00CB56A1" w:rsidRPr="00CB56A1" w:rsidRDefault="00CB56A1" w:rsidP="00CB56A1">
      <w:pPr>
        <w:shd w:val="clear" w:color="auto" w:fill="FFFFFF"/>
        <w:spacing w:after="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B56A1">
        <w:rPr>
          <w:rFonts w:ascii="Times New Roman" w:eastAsia="Times New Roman" w:hAnsi="Times New Roman" w:cs="Times New Roman"/>
          <w:b/>
          <w:bCs/>
          <w:color w:val="000000"/>
          <w:spacing w:val="4"/>
          <w:kern w:val="36"/>
          <w:sz w:val="48"/>
          <w:szCs w:val="48"/>
          <w:lang w:eastAsia="ru-RU"/>
        </w:rPr>
        <w:t>3.4 Физиотерапия при атрофии зрительного нерва</w:t>
      </w:r>
    </w:p>
    <w:p w:rsidR="00CB56A1" w:rsidRPr="00CB56A1" w:rsidRDefault="00CB56A1" w:rsidP="00CB56A1">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 </w:t>
      </w:r>
      <w:r w:rsidRPr="00CB56A1">
        <w:rPr>
          <w:rFonts w:ascii="Times New Roman" w:eastAsia="Times New Roman" w:hAnsi="Times New Roman" w:cs="Times New Roman"/>
          <w:color w:val="222222"/>
          <w:spacing w:val="4"/>
          <w:sz w:val="27"/>
          <w:szCs w:val="27"/>
          <w:lang w:eastAsia="ru-RU"/>
        </w:rPr>
        <w:t>Магнитотерапия зрительного нерва пациентам с АЗН при отсутствии противопоказаний к физиотерапевтическому лечению с целью улучшения зрительных функций и стабилизации атрофического процесса. Эффективность ограничена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Электростимуляция зрительного нерва пациентам с АЗН при отсутствии противопоказаний к физиотерапевтическому лечению, с целью улучшения зрительных функций и стабилизации атрофического процесса. Эффективность ограничена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Лазерстимуляция зрительного нерва пациентам с АЗН при отсутствии противопоказаний к физиотерапевтическому лечению с целью улучшения зрительных функций и стабилизации атрофического процесса. Эффективность ограничена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B56A1" w:rsidRPr="00CB56A1" w:rsidRDefault="00CB56A1" w:rsidP="00CB56A1">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Иглорефлексотерапия зрительного нерва пациентам с АЗН при отсутствии противопоказаний к физиотерапевтическому лечению с целью улучшения зрительных функций и стабилизации атрофического процесса. Эффективность ограничена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B56A1">
        <w:rPr>
          <w:rFonts w:ascii="Times New Roman" w:eastAsia="Times New Roman" w:hAnsi="Times New Roman" w:cs="Times New Roman"/>
          <w:b/>
          <w:bCs/>
          <w:color w:val="000000"/>
          <w:spacing w:val="4"/>
          <w:kern w:val="36"/>
          <w:sz w:val="48"/>
          <w:szCs w:val="48"/>
          <w:lang w:eastAsia="ru-RU"/>
        </w:rPr>
        <w:t>3.5 Диетотерапия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Специальной диеты при атрофии ЗН не существует.  </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Медицинская реабилитация осуществляется в плановой форме в рамках первичной медико-санитарной помощи и специализированной, в том числе высокотехнологичной, медицинской помощи.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Медицинская реабилитация осуществляется в следующих условиях:</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амбулаторно (в условиях, не предусматривающих круглосуточного медицинского наблюдения и лечения).</w:t>
      </w:r>
    </w:p>
    <w:p w:rsidR="00CB56A1" w:rsidRPr="00CB56A1" w:rsidRDefault="00CB56A1" w:rsidP="00CB56A1">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проведение медицинской реабилитации пациентов с АЗН с целью предотвращения инвалидизации, что может быть достигнуто ранней диагностикой этиологических причин заболевания  и назначением лечения с его своевременной коррекцией в случае необходимости при регулярном диспансерном наблюдении врача-офтальмолога [123].</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Комментарий: </w:t>
      </w:r>
      <w:r w:rsidRPr="00CB56A1">
        <w:rPr>
          <w:rFonts w:ascii="Times New Roman" w:eastAsia="Times New Roman" w:hAnsi="Times New Roman" w:cs="Times New Roman"/>
          <w:i/>
          <w:iCs/>
          <w:color w:val="333333"/>
          <w:spacing w:val="4"/>
          <w:sz w:val="27"/>
          <w:szCs w:val="27"/>
          <w:lang w:eastAsia="ru-RU"/>
        </w:rPr>
        <w:t>периодичность осмотров врачом-офтальмологом и объем исследований определяется индивидуально.</w:t>
      </w:r>
      <w:r w:rsidRPr="00CB56A1">
        <w:rPr>
          <w:rFonts w:ascii="Times New Roman" w:eastAsia="Times New Roman" w:hAnsi="Times New Roman" w:cs="Times New Roman"/>
          <w:color w:val="222222"/>
          <w:spacing w:val="4"/>
          <w:sz w:val="27"/>
          <w:szCs w:val="27"/>
          <w:lang w:eastAsia="ru-RU"/>
        </w:rPr>
        <w:t> </w:t>
      </w:r>
      <w:r w:rsidRPr="00CB56A1">
        <w:rPr>
          <w:rFonts w:ascii="Times New Roman" w:eastAsia="Times New Roman" w:hAnsi="Times New Roman" w:cs="Times New Roman"/>
          <w:i/>
          <w:iCs/>
          <w:color w:val="333333"/>
          <w:spacing w:val="4"/>
          <w:sz w:val="27"/>
          <w:szCs w:val="27"/>
          <w:lang w:eastAsia="ru-RU"/>
        </w:rPr>
        <w:t>Реабилитация улучшает качество жизни, связанное со зрением, у пациентов с АЗН. Мультидисциплинарный подход, наблюдение пациентов врачами смежных специальностей (врача–невролога, врача-ревматолога, врача-инфекциониста и т .д</w:t>
      </w:r>
      <w:r w:rsidRPr="00CB56A1">
        <w:rPr>
          <w:rFonts w:ascii="Times New Roman" w:eastAsia="Times New Roman" w:hAnsi="Times New Roman" w:cs="Times New Roman"/>
          <w:color w:val="222222"/>
          <w:spacing w:val="4"/>
          <w:sz w:val="27"/>
          <w:szCs w:val="27"/>
          <w:lang w:eastAsia="ru-RU"/>
        </w:rPr>
        <w:t>)</w:t>
      </w:r>
      <w:r w:rsidRPr="00CB56A1">
        <w:rPr>
          <w:rFonts w:ascii="Times New Roman" w:eastAsia="Times New Roman" w:hAnsi="Times New Roman" w:cs="Times New Roman"/>
          <w:i/>
          <w:iCs/>
          <w:color w:val="333333"/>
          <w:spacing w:val="4"/>
          <w:sz w:val="27"/>
          <w:szCs w:val="27"/>
          <w:lang w:eastAsia="ru-RU"/>
        </w:rPr>
        <w:t> повышает эффективность лечения и реабилитации у пациентов с НЗН. </w:t>
      </w:r>
    </w:p>
    <w:p w:rsidR="00CB56A1" w:rsidRPr="00CB56A1" w:rsidRDefault="00CB56A1" w:rsidP="00CB56A1">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проведение санаторно-курортного лечения с использованием природных лечебных факторов пациентам с перенесенным АЗН в стадии ремиссии с целью восстановления  клеточного метаболизма, улучшения гемодинамики, а также повышения уровня трофического обеспечения тканей зрительного нерва и профилактики рецидивов [123, 124].</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Комментарий: </w:t>
      </w:r>
      <w:r w:rsidRPr="00CB56A1">
        <w:rPr>
          <w:rFonts w:ascii="Times New Roman" w:eastAsia="Times New Roman" w:hAnsi="Times New Roman" w:cs="Times New Roman"/>
          <w:i/>
          <w:iCs/>
          <w:color w:val="333333"/>
          <w:spacing w:val="4"/>
          <w:sz w:val="27"/>
          <w:szCs w:val="27"/>
          <w:lang w:eastAsia="ru-RU"/>
        </w:rPr>
        <w:t>санаторно-курортное лечение проводится в стадии ремиссии заболевания не ранее, чем через 3 месяца после выздоровления.</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CB56A1" w:rsidRPr="00CB56A1" w:rsidRDefault="00CB56A1" w:rsidP="00CB56A1">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Рекомендуется</w:t>
      </w:r>
      <w:r w:rsidRPr="00CB56A1">
        <w:rPr>
          <w:rFonts w:ascii="Times New Roman" w:eastAsia="Times New Roman" w:hAnsi="Times New Roman" w:cs="Times New Roman"/>
          <w:color w:val="222222"/>
          <w:spacing w:val="4"/>
          <w:sz w:val="27"/>
          <w:szCs w:val="27"/>
          <w:lang w:eastAsia="ru-RU"/>
        </w:rPr>
        <w:t> диспансерный прием всем пациентам с АЗН в рамках первичной специализированной медико-санитарной помощи [58].</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Комментарии:</w:t>
      </w:r>
      <w:r w:rsidRPr="00CB56A1">
        <w:rPr>
          <w:rFonts w:ascii="Times New Roman" w:eastAsia="Times New Roman" w:hAnsi="Times New Roman" w:cs="Times New Roman"/>
          <w:i/>
          <w:iCs/>
          <w:color w:val="333333"/>
          <w:spacing w:val="4"/>
          <w:sz w:val="27"/>
          <w:szCs w:val="27"/>
          <w:lang w:eastAsia="ru-RU"/>
        </w:rPr>
        <w:t xml:space="preserve"> организация осмотров пациентов с АЗН рассматривается экспертами - членами рабочей группы как единственно эффективная мера оказания квалифицированной помощи пациентам с целью оценки динамики, уточнения этиологии АЗН, потребности в терапии, реабилитации, проведения профилактики развития заболевания парного глаза. Плановый диспансерный осмотр пациентов с АЗН  проводится 1 раз в 6 месяцев в течение 2 лет от установки диагноза. Объем дополнительных исследований, необходимость в консультации профильных специалистов (врач-невролог, </w:t>
      </w:r>
      <w:r w:rsidRPr="00CB56A1">
        <w:rPr>
          <w:rFonts w:ascii="Times New Roman" w:eastAsia="Times New Roman" w:hAnsi="Times New Roman" w:cs="Times New Roman"/>
          <w:i/>
          <w:iCs/>
          <w:color w:val="333333"/>
          <w:spacing w:val="4"/>
          <w:sz w:val="27"/>
          <w:szCs w:val="27"/>
          <w:lang w:eastAsia="ru-RU"/>
        </w:rPr>
        <w:lastRenderedPageBreak/>
        <w:t>врач-ревматолог, врач-инфекционист) определяет врач-офтальмолог с учетом этиологии заболевания.</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Первичная специализированная медико-санитарная помощь оказывается врачом-офтальмологом в поликлиническом отделении медицинской организации.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Проведение лечения АЗН проводится врачом-офтальмологом в амбулаторных условиях, или в условиях дневного стационара, </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Показание к выписке пациента из медицинской организации:</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1) завершение лечения или одного из этапов оказания специализированной медицинской помощи в условиях круглосуточного или дневного стационара при условии отсутствия осложнений лечения;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2) отказ пациента или его законного представителя от специализированной медицинской помощи в условиях круглосуточного или дневного стационара;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3) необходимость перевода пациента в другую медицинскую организацию или в другое отделение данной медицинской организации (для смены профиля оказываемой медицинской помощи).</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742"/>
        <w:gridCol w:w="10888"/>
        <w:gridCol w:w="2535"/>
      </w:tblGrid>
      <w:tr w:rsidR="00CB56A1" w:rsidRPr="00CB56A1" w:rsidTr="00CB56A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Оценка выполнения</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 сбор жалоб и анамнеза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Выполнена визометрия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Выполнена периметрия (при возможности выполнения, исходя из состояния пациента и достаточных зрительных функциях)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Выполнена офтальмотонометрия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Выполнена биомикроскопия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Выполнена биомикроскопия глазного дна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Выполнено  или рекомендовано оптическое исследование сетчатки с помощью компьютерного анализатора и/или оптическое исследование головки зрительного нерва и слоя нервных волокон с помощью компьютерного анализатора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8.</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Выполнено или рекомендовано  ультразвуковое исследование (УЗИ) глазного яблока и ультразвуковое сканирование глазницы  при подозрении на наличие признаков поражения интраокулярного и/или интраорбитального отдела зрительного нерва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9.</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Выполнена или рекомендована магнитно-резонансная томография (МРТ) головного мозга с контрастированием (или компьютерная томография (КТ) головного мозга с внутривенным контрастированием при подозрении на наличие признаков поражения головного мозга и  орбиты</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 </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10.</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 прием (осмотр, консультация) врача-невролога первичный пациентам с АЗН или подозрением на ее наличие с целью диагностики и лечения основных факторов риска возникновения и прогрессирования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11.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 прием (осмотр, консультация) врача-ревматолога первичный пациентам с АЗН с подозрением на аутоиммунный характер заболевания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12.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Выполнен прием (осмотр, консультация) врача-нейрохирурга первичный пациентам с АЗН при наличии признаков внутричерепной гипертензии и/или объемного образования головного мозга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Да/Нет</w:t>
            </w:r>
          </w:p>
        </w:tc>
      </w:tr>
    </w:tbl>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Список литературы</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Sadun A.A., Borchert M., DeVita E. [et al]. Assessment of visual impairment in patients with Alzheimer's disease / Am J Ophthalmol. – 1986. - 104(2). - P. 113-120. - doi: 10.1016/0002-9394(87)90001-8.</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Stefani F.H., Hasenfratz G.. Optic Nerve. In: Macroscopic Ocular Pathology. -Springer. - Berlin, Heidelberg, 1987. – 177 p. </w:t>
      </w:r>
      <w:hyperlink r:id="rId20" w:history="1">
        <w:r w:rsidRPr="00CB56A1">
          <w:rPr>
            <w:rFonts w:ascii="Times New Roman" w:eastAsia="Times New Roman" w:hAnsi="Times New Roman" w:cs="Times New Roman"/>
            <w:color w:val="0000FF"/>
            <w:spacing w:val="4"/>
            <w:sz w:val="27"/>
            <w:szCs w:val="27"/>
            <w:u w:val="single"/>
            <w:lang w:eastAsia="ru-RU"/>
          </w:rPr>
          <w:t>https://doi.org/10.1007/978-3-642-71796-3_9</w:t>
        </w:r>
      </w:hyperlink>
      <w:r w:rsidRPr="00CB56A1">
        <w:rPr>
          <w:rFonts w:ascii="Times New Roman" w:eastAsia="Times New Roman" w:hAnsi="Times New Roman" w:cs="Times New Roman"/>
          <w:color w:val="222222"/>
          <w:spacing w:val="4"/>
          <w:sz w:val="27"/>
          <w:szCs w:val="27"/>
          <w:lang w:eastAsia="ru-RU"/>
        </w:rPr>
        <w:t>.</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Yanoff M., Sassan J. Ch.. Optic Nerve in: Ocular Pathology, 9th ed. - Elseiver. -  2002. –  P. - doi.org/10.1016/B978-0-323-54755-0.00013-9.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Lee A.G., Chau F.Y., Golnik K.C. [et al]. The diagnostic yield of the evaluation for isolated unexplained optic atrophy / Ophthalmology. – 2005. - 112(5). - P. 757-759 - doi: 10.1016/j.ophtha.2004.12.009.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De Vos K.J., Grierson A.J., Ackerley S. [et al]. Role of axonal transport in neurodegenerative diseases / Annu Rev Neurosci. – 2008. - 31. – P. 151-73. - doi: 10.1146/annurev.neuro.31.061307.090711.</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Navarro X. Chapter 27: Neural plasticity after nerve injury and regeneration / Int Rev Neurobiol. – 2009. – 87. – P. 483-505. doi: 10.1016/S0074-7742(09)87027-X.</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Coleman M. Axon degeneration mechanisms: commonality amid diversity / Nat Rev Neurosci. – 2005. - 6(11). – P. 889-98. - doi: 10.1038/nrn1788. PMID: 16224497.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Stys PK. General mechanisms of axonal damage and its prevention / J Neurol Sci. – 2005. - 233(1-2). – P. 3-13. - doi: 10.1016/j.jns.2005.03.031.</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Knöferle J., Koch J.C., Ostendorf T. [et al]. Mechanisms of acute axonal degeneration in the optic nerve in vivo / Proc Natl Acad Sci. – 2010. – P. 107(13). – P. 6064-9. - doi: 10.1073/pnas.0909794107.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Sharif M., Whitehouse A., Sharman P. [et al]. Increased apoptosis in human osteoarthritic cartilage corresponds to reduced cell density and expression of caspase-3 / Arthritis Rheum. – 2004. - 50(2). – P. 507-15. - doi: 10.1002/art.20020.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Kang E.Y., Liu P.K., Wen Y.T. [et al]. Role of Oxidative Stress in Ocular Diseases Associated with Retinal Ganglion Cells Degeneration / Antioxidants (Basel) – 2021. - 10(12). – P. 1948. - doi: 10.3390/antiox10121948.</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Vigneswara V., Berry M., Logan A. [et al]. Protection Of Axotomised Retinal Ganglion Cells From Apoptosis By Pharmacological Inhibition Of Caspase-2 / </w:t>
      </w:r>
      <w:r w:rsidRPr="00CB56A1">
        <w:rPr>
          <w:rFonts w:ascii="Times New Roman" w:eastAsia="Times New Roman" w:hAnsi="Times New Roman" w:cs="Times New Roman"/>
          <w:color w:val="222222"/>
          <w:spacing w:val="4"/>
          <w:sz w:val="27"/>
          <w:szCs w:val="27"/>
          <w:lang w:eastAsia="ru-RU"/>
        </w:rPr>
        <w:lastRenderedPageBreak/>
        <w:t>Invest. Ophthalmol. Vis. Sci. – 2012. - 53(14). – e53473. - doi: 10.1371/journal.pone.0053473.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Saggu S.K., Chotaliya H.P., Blumbergs P.C. [et al]. Wallerian-like axonal degeneration in the optic nerve after excitotoxic retinal insult: an ultrastructural study / BMC Neurosci. – 2010. - 11: P. 97. - doi: 10.1186/1471-2202-11-97.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Zhang J. Diamond J.S. Distinct perisynaptic and synaptic localization of NMDA and AMPA receptors on ganglion cells in rat retina / J Comp Neurol. – 2006. - 498(6). – P. 810-820. - doi: 10.1002/cne.21089.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Quigley H.A., Anderson D.R. The histologic basis of optic disk pallor in experimental optic atrophy / Am J Ophthalmol. – 1977. - 83(5). P. 709-717. - doi: 10.1016/0002-9394(77)90138-6.</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Drance S.M., King D. The neuroretinal rim in descending optic atrophy / Graefe's Arch Clin Exp Ophthalmol. – 1992. -  230. – P. 154–157. -  </w:t>
      </w:r>
      <w:hyperlink r:id="rId21" w:history="1">
        <w:r w:rsidRPr="00CB56A1">
          <w:rPr>
            <w:rFonts w:ascii="Times New Roman" w:eastAsia="Times New Roman" w:hAnsi="Times New Roman" w:cs="Times New Roman"/>
            <w:color w:val="0000FF"/>
            <w:spacing w:val="4"/>
            <w:sz w:val="27"/>
            <w:szCs w:val="27"/>
            <w:u w:val="single"/>
            <w:lang w:eastAsia="ru-RU"/>
          </w:rPr>
          <w:t>https://doi.org/10.1007/BF00164654</w:t>
        </w:r>
      </w:hyperlink>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Lee A.G., Chau F.Y., Golnik K.C. [et al]. The diagnostic yield of the evaluation for isolated unexplained optic atrophy / Ophthalmology. – 2005. - 112(5). – P. 757-759. - doi: 10.1016/j.ophtha.2004.12.009.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Edmond J.C. Walsh and Hoyt's – Clinical Neuro-Ophthalmology: The Essentials, 2nd Edition. Wolters Kluwer/Lippincott Williams &amp; Wilkins, Philadelphia, Pennsylvania (2007) / American Journal of ophthalmol. – 2009. – 147(4). – 757.e1. – doi: 10.1016/j.ajo.2009.02.021.</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Rodriguez A.R., Reddy K. Pearls &amp; Oy-sters: optic tract syndrome / Neurology. -2010. - 75(21). - e86-7. - doi: 10.1212/WNL.0b013e3181feb454.</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Danesh-Meyer H.V., Yoon J.J., Lawlor M. [et al]. Visual loss and recovery in chiasmal compression / Prog Retin Eye Res. – 2019. – 73. - 100765. - doi: 10.1016/j.preteyeres.2019.06.001.</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Anderson D.R. Ascending and descending optic atrophy produced experimentally in squirrel monkeys / Am J Ophthalmol. – 1973. - 76(5). – P. 693-711. - doi: 10.1016/0002-9394(73)90565-5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Lundstrom M., Frisen L. Evolution of descending optic atrophy / Acta Ophthalmologica. - 1975. – 53(5). - P. 738-746. - doi: 10.1111/j.1755-3768.1975.tb01189.x.</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Sung J.Y., Lee H.M., Lee S.B. [et al]. Progression of optic atrophy in traumatic optic neuropathy: retrograde neuronal degeneration in humans / Neurol Sci. – 2022. - 43(2). -P. 1351-1358. - doi: 10.1007/s10072-021-05448-z.</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Radius R.L., Anderson D.R. Retinal ganglion cell degeneration in experimental optic atrophy / Am J Ophthalmol. – 1978. - 86(5). – P. 673-9. - doi: 10.1016/0002-9394(78)90189-7.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Coleman M.P., Freeman M.R. Wallerian degeneration, wld(s), and nmnat / Annu Rev Neurosci. – 2010. – 33. – P. 245-67. - doi: 10.1146/annurev-neuro-060909-153248.</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Safran A.B. The Essentials: Walsh and Hoyt's / Clinical Neuro-Ophthalmology. – 2009. – 22(2). – P. 133-134. - doi: 10.1076/noph.22.2.133.3730.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Vargas M.E., Barres B.A.. Why is Wallerian degeneration in the CNS so slow? / Annu Rev Neurosci. – 2007. – 30. – P. 153-79. - doi: 10.1146/annurev.neuro.30.051606.094354.</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Sinn R., Wittbrodt J.. An eye on eye development. / Mech. Dev. – 2013. – 130(6-8). – P. 347-58. - doi: 10.1016/j.mod.2013.05.001.</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Savleen Kaur S., Sparshi Jain S, Sodhi H.B.S. [et al]. Optic nerve hypoplasia / Oman J. Ophthalmol. – 2013. – 6(2). - P. 77–82. - doi: 10.4103/0974-620X.116622.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Mark B., Garcia-Filion P. The syndrome of optic nerve hypoplasia / Curr Neurol Neurosci Rep. – 2008. – 8. – P. 395–403. - doi: 10.1007/s11910-008-0061-7.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Kumar V., Tewari R., Kumari D. Optic nerve aplasia / Indian J Ophthalmol. – 2018. - 66(1). P. 125-126. - doi: 10.4103/ijo.IJO_614_17.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Martín-Begué N., Saint-Gerons M. Congenital optic nerve anomalies / Arch Soc Esp Oftalmol. – 2016. -91(12). P. 577-588. - doi: 10.1016/j.oftal.2016.05.010.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Tarabishy A.B., Alexandrou T.J., Traboulsi E.I.. Syndrome of myelinated retinal nerve fibers, myopia, and amblyopia: A review / Surv Ophthalmol. – 2007. – 52. - P. 588–96. - doi: 10.1016/j.survophthal.2007.08.016.</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Chang M.Y., Pineles S.L. Optic disk drusen in children / Surv Ophthalmol. – 2016. - 61(6). – P. 745-758. - doi: 10.1016/j.survophthal.2016.03.007.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Apple D.J., Rabb M.F., Walsh F.B. Congenital anomalies of the optic disc / Surv. Ophthalmol. – 1982. – 27. – P. 3–41. - doi: 10.1016/0039-6257(82)90111-4.</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Jonas J.B., Freisler K.A. Bilateral congenital optic nerve head pits in monozygotic siblings. Am J Ophthalmol. 1997; 124(6):844-6. doi: 10.1016/s0002-9394(14)71706-4.</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Stefko S.T., Campochiaro P., Wang P., et al. Dominant inheritance of optic pits. Am J Ophthalmol. 1997; 124(1):112-3. doi: 10.1016/s0002-9394(14)71656-3.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Brown G.C., Augsburger J.J.  Congenital pits of the optic nerve head and retinochoroidal colobomas. Can J Ophthalmol. 1980;15(3):144-6.</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Sanyanusin P., McNoe L.A., Sullivan  M. [et al]. Mutation of PAX2 in two siblings with renal-coloboma syndrome / Hum. Mol. Genet. – 1995. – 4. – P. 2183–2184.</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Savell J., Cook J. Optic nerve colobomas of autosomaldominant heredity / Arch. Ophthalmol. – 1976. - 94. P. 395–400. - doi: 10.1001/archopht.1976.03910030183002.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Manschot W.A. Morning glory syndrome: a histopathological study / Br. J. Ophthalmol. – 1990. - 74(1) – P. 56–58. - doi: 10.1136/bjo.74.1.56.</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Dempster A.G., Lee W.R., Forrester J.V. [et al]. The ‘morning glory syndrome’ – a mesodermal defect? / Ophthalmologica. – 1983. - 187(4). – P. 222–230. - doi: 10.1159/000309330.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Pollock S. The morning glory disc anomaly: contractile movement, classification, and embryogenesis / Documenta Ophthalmol. – 1987. - 65(4). – P. 439–460. - doi: 10.1007/BF00143047.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Lewis R.A., Cohen M.H., Wise G.N. Cavernous haemangioma of the retina and optic disc. A report of three cases and a review of the literature / Br. J. Ophthalmol. – 1975. - 59(8). – P. 422–434. - doi: 10.1136/bjo.59.8.422.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Roach E.S. Diagnosis and management of neurocutaneous syndromes / Semin. Neurol. – 1988. - 8(1). – P. 83–96. - doi: 10.1055/s-2008-1041360.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Goodman M., Lamm S.H., Engel A. [et al]. Cortical tuber count: a biomarker indicating neurologic severity of tuberous sclerosis complex / J. Child. Neurol. – 1997. - 12(2). - P. 85–90. - doi: 10.1177/088307389701200203.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Brown G., Tasman W. Congenital anomalies of the optic disc / New York: Grune &amp; Stratton. – 1983. – P. 178–183.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Ramdas W.D., van Koolwijk L.M., Ikram M.K [et al]. A genome-wide association study of optic disc parameters / PLoS Genet. – 2010. – 6. - e1000978. - doi: 10.1371/journal.pgen.1000978.</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Farber M.D. National Registry for the Blind in Israel: estimation of prevalence and incidence rates and causes of blindness / Ophthalmic Epidemiol. – 2003. - 10(4). – P. 267-77. - doi: 10.1076/opep.10.4.267.15910.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Bamashmus M.A., Matlhaga B., Dutton G.N. Causes of blindness and visual impairment in the West of Scotland / Eye (Lond). – 2004. - 18(3). P. 257-61. - doi: 10.1038/sj.eye.6700606.</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Iwase A., Araie M., Tomidokoro A. Yamamoto T. [et al]. Prevalence and causes of low vision and blindness in a Japanese adult population: the Tajimi Study / Ophthalmology. – 2006. - 113(8). P. 1354-62. - doi: 10.1016/j.ophtha.2006.04.022.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Kayembe L. Common causes of blindness in Zaïre / Br J Ophthalmol. – 1985. -69(5). – P. 389-91. - doi: 10.1136/bjo.69.5.389.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Mbekeani J.N., Fattah M.A., Poulsen D.M. [et al]. Etiology of optic atrophy: a prospective observational study from Saudi Arabia / Ann Saudi Med. – 2017. - 37(3). – P. 232-239. - doi: 10.5144/0256-4947.2017.232.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Khandekar R, Mohammed AJ, Negrel AD, Riyami AA. The prevalence and causes of blindness in the Sultanate of Oman: the Oman Eye Study (OES). Br J Ophthalmol. 2002 Sep;86(9):957-62.]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Said M.E., Goldstein H., Korra A. [et al]. Prevalence and causes of blindness in urban and rural areas of Egypt / Public Health Rep (1896). – 1970. - 85(7). – P. 587-99.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Muñoz B., West S.K., Rubin G.S. Causes of blindness and visual impairment in a population of older Americans: The Salisbury Eye Evaluation Study / Archives of ophthalmology. - 2000. - 118(6). – P. 819-25. doi:10.1001/archopht.118.6.819.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Форма. ФСН №.12 «Сведения о числе заболеваний, зарегистрированных у пациентов, проживающих в районе обслуживания медицинской организации» за 2023 г.</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Офтальмология: национальное руководство / ред. С.Э. Аветисов, Е.А. Егоров, Л.К. Мошетова [и др.] – 3-е изд – М.: ГЭОТАР-Медиа, 2024. – 952 с.</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Нероев В.В. Инвалидность по зрению в Российской Федерации. Доклад на XV Российском общенациональном офтальмологическом форуме. - Москва, 2022. Интернет-ресурс: http://avo-portal.ru/images/sobitia/dokladi/Doklad_ROOF_2022_Invalidnost_Korotkaya_ versiya.pdf</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Hatton D., Schwietz E., Boyer B. [et al]. Babies Count: the national registry for children with visual impairments, birth to 3 years / J AAPOS. – 2007. - 11. – P. 351–355. - doi: 10.1016/j.jaapos.2007.01.107.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Mohney B.G., Young R.C., Diehl N. Incidence and Associated Endocrine and Neurologic Abnormalities of Optic Nerve Hypoplasia. / JAMA Ophthalmology. -  2013. -131. P. 898-902. - doi: 10.1001/jamaophthalmol.2013.65.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Patel L., McNally R., Harrison E. [et al]. Geographical distribution of optic nerve hypoplasia and septo-optic dysplasia in Northwest England / J Pediatr. – 2006. – 148. – P. 85–88. - doi: 10.1016/j.jpeds.2005.07.031.</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Teär Fahnehjelm K., Dahl S., Martin L. [et al]. Optic nerve hypoplasia in children and adolescents; prevalence, ocular characteristics and behavioural problems / Acta Ophthalmologica. – 2014. – 92. – P. 563-570. - doi: 10.1111/aos.12270.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Straatsma B.R., Heckenlively J.R., Foos R.Y. [et al]. Myelinated retinal nerve fibers associated with ipsilateral myopia, amblyopia, and strabismus / Am. J. </w:t>
      </w:r>
      <w:r w:rsidRPr="00CB56A1">
        <w:rPr>
          <w:rFonts w:ascii="Times New Roman" w:eastAsia="Times New Roman" w:hAnsi="Times New Roman" w:cs="Times New Roman"/>
          <w:color w:val="222222"/>
          <w:spacing w:val="4"/>
          <w:sz w:val="27"/>
          <w:szCs w:val="27"/>
          <w:lang w:eastAsia="ru-RU"/>
        </w:rPr>
        <w:lastRenderedPageBreak/>
        <w:t>Ophthalmol. – 1979. - 88(3 Pt 1). – P. 506–510. - doi: 10.1016/0002-9394(79)90655-x.</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Birnbaum F.A., Johnson G.M., Johnson L.N. [et al].  Increased prevalence of optic disc drusen after papilloedema from idiopathic intracranial hypertension: on the possible formation of optic disc drusen / Neuroophthalmology. – 2016. – 40. – P. 171–180. - doi: 10.1080/01658107.2016.1198917.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Golnik K. Congenital anomalies and acquired abnormalities of the optic nerve / Curr Opin Ophthalmol. - 1998. – 9(6). – P. 18-26. - doi: 10.1097/00055735-199812000-00004.</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Antcliff R.J., Spalton D.J. Are optic disc drusen inherited? / Ophthalmology. - 1999. - 106(7). – P. 1278–81. - doi: 10.1016/S0161-6420(99)00708-3.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Wang Y., Xu L., Jonas J.B. Prevalence of congenital optic disc pits in adult Chinese: The Beijing Eye Study / Eur J Ophthalmol. – 2006. – 16(6). – P. 863-4. - doi: 10.1177/112067210601600613.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Georgalas I., Ladas I., Georgopoulos G. [et al].  Optic disc pit: a review / Graefe’s Arch. Clin. Exp. Ophthalmol. – 2011. - 249(8). – P. 1113–22. - doi:10.1007/s00417-011-1698-5.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Oli A., Balakrishnan D. Treatment outcomes of optic disc pit maculopathy over two decades / Ther Adv Ophthalmol. – 2021. – 13. - 25158414211027715. - doi:10.1177/25158414211027715.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Nakamura K.M., Diehl N.N., Mohney B.G. Incidence ocular findings, and systemic associations of ocular coloboma: a population-based study / Arch Ophthalmol. – 2011. – 129. – P. 69–74. - doi: 10.1001/archophthalmol.2010.320.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Ceynowa D.J., Wickström R., Olsson M. [et al]. Morning glory disc anomaly in childhood - a population-based study / Acta Ophthalmol. – 2015. - 93(7). – P. 626-34. - doi: 10.1111/aos.12778.</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Altun A., Altun G., Kurna S.A. [et al].  Unilateral morning glory optic disc anomaly in a case with Down syndrome / BMC Ophthalmol. – 2014. – 14. – P. 48. - doi: 10.1186/1471-2415-14-48.</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Cennamo G., de Crecchio G., Iaccarino G. Evaluation of morning glory syndrome with spectral optical coherence tomography and echography / Ophthalmology. – 2010. - 117(6). – P. 1269-7. - doi: 10.1016/j.ophtha.2009.10.045.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Kaur S., Jain S., Sodhi H.B.S. [et al]. Optic nerve hypoplasia / Oman J. Ophthalmol. – 2013. - 6(2). – P. 77–82. - doi: 10.4103/0974-620X.116622.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Kumar V., Tewari R., Kumari D. Optic nerve aplasia / Indian J Ophthalmol. – 2018. - 66(1). P. 125-126. - doi: 10.4103/ijo.IJO_614_17.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Chang M.Y., Pineles S.L. Optic disk drusen in children / Surv Ophthalmol. – 2016. - 61(6). - P. 745-758. - doi: 10.1016/j.survophthal.2016.03.007.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Cennamo G., Rinaldi M., Concilio M. [et al]. Congenital Optic Disc Anomalies: Insights from Multimodal Imaging / J Clin Med. – 2024. - 13(5). – P. 1509. - doi: 10.3390/jcm13051509.</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Goli K.B, Magdum R., Gandhi S. [et al]. Morning Glory Anomaly With Serous Macular Detachment / Cureus. – 2024. - 16(4). - e57817. - doi: 10.7759/cureus.57817.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Sowka J., Aoun P. Tilted disc syndrome / Optom. Vis. Sci. – 1999. - 76(9). – P. 618–623. - doi: 10.1097/00006324-199909000-00018.</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Franceschetti R.H., Bock R.H. Megalopapilla;a new congenital anomaly / Am J Ophthalmol. – 1950. – 33. – P. 227–35. - doi: 10.1016/0002-9394(50)90841-5.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Gottlieb J.L., Prieto D.M., Vander J.F. [et al]. Peripapillary staphyloma / Am J Ophthalmol. – 1997. – 124. – P. 249–251. - doi: 10.1016/s0002-9394(14)70796-2.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Choi JH, Yang HK, Lee JE. Incidental branch retinal artery occlusion on optical coherence tomography angiography presenting as segmental optic atrophy in a child: a case report. BMC Ophthalmol. 2017 Dec 19;17(1):256. doi: 10.1186/s12886-017-0653-6. PMID: 29258533; PMCID: PMC5738177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Chen, Ying-Hua MD; Wang, An-Guor MD; Lin, Yen-Ching MD; Yen, May-Yung MD. Optic Neuritis as the First Manifestation of Rheumatoid Arthritis. Journal of Neuro-Ophthalmology 28(3):p 237-238, September 2008. | DOI: 10.1097/WNO.0b013e318183ca13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Асташева И.Б., Гусева М.Р., Кан И.Г., Ежова Н.Ю., Кузнецова Ю.Д., Тумасян Е.А. Ранняя диагностика некоторых врожденных нейроинфекций при офтальмологическом осмотре у детей первых месяцев жизни. Журнал неврологии и психиатрии им. С.С. Корсакова. 2020;120(3):7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Salomè S, Ciampa N, Giordano M, Raimondi R, Capone E, Grieco C, Coppola C, Capasso L, Raimondi F (2023) Ophthalmological impairment in patients with congenital cytomegalovirus infection.Front. Pediatr. 11:1251893;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Поваляева Д.А., Егоров В.В., Смолякова Г.П., Данилова Л.П., Еманова Л.П. Результаты этиологического мониторинга больных с оптическим невритом в Дальневосточном федеральном округе. Современные технологии в офтальмологии. 2016;3(11):86-89. [Povalyaeva DA, Egorov VV, Smolyakova GP, Danilova LP, Emanova LP. Results of etiological monitoring of patients with optic neuritis in the Far Eastern Federal District. Sovremennye tekhnologii v oftal’mologii. 2016;3(11):86-89. (In Russ.)].</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Чернакова Г.М., Аржиматова Г.Ш., Клещева Е.А., Семенова Т.Б. Офтальмогерпес: этиология, клиническая картина и перспективы терапии (литературный обзор). Terra Medica. 2015;1(79):61-65. [Chernakova GM, Arzhimatova GSh, Kleshcheva EA, Semenova TB. Ophthalmoherpes: etiology, clinical picture and treatment prospects (literature review). Terra Medica. 2015;1(79):61-65. (In Russ.)].</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Поваляева Д.А., Егоров В.В., Смолякова Г.П., Данилова Л.П., Еманова Л.П., Жайворонок Н.С. Герпес-вирусная инфекция как этиологический фактор острого идиопатического оптического неврита. </w:t>
      </w:r>
      <w:r w:rsidRPr="00CB56A1">
        <w:rPr>
          <w:rFonts w:ascii="Times New Roman" w:eastAsia="Times New Roman" w:hAnsi="Times New Roman" w:cs="Times New Roman"/>
          <w:i/>
          <w:iCs/>
          <w:color w:val="333333"/>
          <w:spacing w:val="4"/>
          <w:sz w:val="27"/>
          <w:szCs w:val="27"/>
          <w:lang w:eastAsia="ru-RU"/>
        </w:rPr>
        <w:t>Вестник офтальмологии. </w:t>
      </w:r>
      <w:r w:rsidRPr="00CB56A1">
        <w:rPr>
          <w:rFonts w:ascii="Times New Roman" w:eastAsia="Times New Roman" w:hAnsi="Times New Roman" w:cs="Times New Roman"/>
          <w:color w:val="222222"/>
          <w:spacing w:val="4"/>
          <w:sz w:val="27"/>
          <w:szCs w:val="27"/>
          <w:lang w:eastAsia="ru-RU"/>
        </w:rPr>
        <w:t>2019;135(2):4 Herpesviral infection as an etiological factor of acute idiopathic optic neuritis. Russian Annals of Ophthalmology. 2019;135(2):4 </w:t>
      </w:r>
      <w:hyperlink r:id="rId22" w:history="1">
        <w:r w:rsidRPr="00CB56A1">
          <w:rPr>
            <w:rFonts w:ascii="Times New Roman" w:eastAsia="Times New Roman" w:hAnsi="Times New Roman" w:cs="Times New Roman"/>
            <w:color w:val="0000FF"/>
            <w:spacing w:val="4"/>
            <w:sz w:val="27"/>
            <w:szCs w:val="27"/>
            <w:u w:val="single"/>
            <w:lang w:eastAsia="ru-RU"/>
          </w:rPr>
          <w:t>https://doi.org/10.17116/oftalma20191350214</w:t>
        </w:r>
      </w:hyperlink>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Русских О.Е., Николенко Н.Ю. Туберкулез глаз: клиника, диагностика, лечение (обзор литературы). The EYE ГЛАЗ. 2021;23(2):41-45. </w:t>
      </w:r>
      <w:hyperlink r:id="rId23" w:history="1">
        <w:r w:rsidRPr="00CB56A1">
          <w:rPr>
            <w:rFonts w:ascii="Times New Roman" w:eastAsia="Times New Roman" w:hAnsi="Times New Roman" w:cs="Times New Roman"/>
            <w:color w:val="0000FF"/>
            <w:spacing w:val="4"/>
            <w:sz w:val="27"/>
            <w:szCs w:val="27"/>
            <w:u w:val="single"/>
            <w:lang w:eastAsia="ru-RU"/>
          </w:rPr>
          <w:t>https://doi.org/10.33791/2222-4408-2021-2-41-45</w:t>
        </w:r>
      </w:hyperlink>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Пузырева Л.В., Сафанова А.Д., Лебедев О.И. и др. Туберкулез глаз. Вестник офтальмологии. 2016;132(3):103-107.  https://doi.org/10.17116/oftalma20161323103-107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Bennett JL. Optic Neuritis. Continuum (Minneap Minn). 2019 Oct;25(5):1236-1264. doi:10.1212/CON.0000000000000768.</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Клинические рекомендации «Туберкулез у взрослых». — М.: Минздрав РФ, 2025. — 250 с. — (Рубрикатор клинических рекомендаций).</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Шнякин П. Г. , Ботов А. В. , Исаева Н. В. , Хоржевский В. А.</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Церебральный токсоплазмоз: учебное пособие / Шнякин П. Г. и др.   — Красноярск : Версо, 2024.    — 228 с.</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Димов И., Зайцева А.В., Андреева С.А., Мелиева Ф.Ю., Мурзина Г.Н., Леонтьев С.В., Степанова Е.А. &amp; Мелиева З.Ю. (2024). Токсоплазмоз у людей – глазная форма. Международный научно-исследовательский журнал, 7(145). https://doi.org/10.60797/IRJ.2024.145.78</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Клинические рекомендации «Врожденная цитомегаловирусная инфекция» Минздрав РФ 2023</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(Рубрикатор клинических рекомендаций).</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Клинические рекомендации «Цитомегаловирусная инфекция ЦМВИ у взрослых»,</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Минздрав РФ </w:t>
      </w:r>
      <w:r w:rsidRPr="00CB56A1">
        <w:rPr>
          <w:rFonts w:ascii="Times New Roman" w:eastAsia="Times New Roman" w:hAnsi="Times New Roman" w:cs="Times New Roman"/>
          <w:i/>
          <w:iCs/>
          <w:color w:val="333333"/>
          <w:spacing w:val="4"/>
          <w:sz w:val="27"/>
          <w:szCs w:val="27"/>
          <w:lang w:eastAsia="ru-RU"/>
        </w:rPr>
        <w:t>2025, </w:t>
      </w:r>
      <w:r w:rsidRPr="00CB56A1">
        <w:rPr>
          <w:rFonts w:ascii="Times New Roman" w:eastAsia="Times New Roman" w:hAnsi="Times New Roman" w:cs="Times New Roman"/>
          <w:color w:val="222222"/>
          <w:spacing w:val="4"/>
          <w:sz w:val="27"/>
          <w:szCs w:val="27"/>
          <w:lang w:eastAsia="ru-RU"/>
        </w:rPr>
        <w:t>(Рубрикатор клинических рекомендаций).</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Митаев И.А., Маккаева С.М., Шилова М.А., Пузин М.Н. Особенности поражения зрительного нерва пациентов с церебральным атеросклерозом. // Клиническая неврология. - 2019. - № 1. - С. 26-30.</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Клинические рекомендации «Нарушения липидного обмена»,</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Минздрав РФ 2023</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(Рубрикатор клинических рекомендаций).</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Морозов В.И., Яковлев А.А. Заболевания зрительного пути. Клиника. Диагностика. Лечение. М.: Бином.- 2010.- 680 с.</w:t>
      </w:r>
      <w:r w:rsidRPr="00CB56A1">
        <w:rPr>
          <w:rFonts w:ascii="Times New Roman" w:eastAsia="Times New Roman" w:hAnsi="Times New Roman" w:cs="Times New Roman"/>
          <w:i/>
          <w:iCs/>
          <w:color w:val="333333"/>
          <w:spacing w:val="4"/>
          <w:sz w:val="27"/>
          <w:szCs w:val="27"/>
          <w:lang w:eastAsia="ru-RU"/>
        </w:rPr>
        <w:t> </w:t>
      </w:r>
      <w:r w:rsidRPr="00CB56A1">
        <w:rPr>
          <w:rFonts w:ascii="Times New Roman" w:eastAsia="Times New Roman" w:hAnsi="Times New Roman" w:cs="Times New Roman"/>
          <w:color w:val="222222"/>
          <w:spacing w:val="4"/>
          <w:sz w:val="27"/>
          <w:szCs w:val="27"/>
          <w:lang w:eastAsia="ru-RU"/>
        </w:rPr>
        <w:t>ISBN 978-5-9518-0404-4</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Руководство по клинической офтальмологии / Под редакцией А.Ф. Бровкиной и Ю.С. Астахова.- М.- МИА.- 2024.- 984 с.</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Kim, Ji Hong MD; Kang, Min Ho MD; Seong, Mincheol MD; Cho, Heeyoon MD; Shin, Yong Un MD*. Anomalous coagulation factors in non-arteritic anterior ischemic optic neuropathy with central retinal vein occlusion: A case report. Medicine 97(15):p e0437, April 2018. | DOI: 10.1097/MD.0000000000010437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Choi KD, Choi JH, Choi SY, Jung JH. Toxocara optic neuropathy: clinical features and ocular findings. Int J Ophthalmol. 2018 Mar 18;11(3):520-523. doi: 10.18240/ijo.2018.03.26. PMID: 29600190; PMCID: PMC5861246.</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Gupta A, Tripathy K. Ocular Toxocariasis. [Updated 2023 Aug 25]. In: StatPearls [Internet]. Treasure Island (FL): StatPearls Publishing; 2025 Jan-. Available from: </w:t>
      </w:r>
      <w:hyperlink r:id="rId24" w:history="1">
        <w:r w:rsidRPr="00CB56A1">
          <w:rPr>
            <w:rFonts w:ascii="Times New Roman" w:eastAsia="Times New Roman" w:hAnsi="Times New Roman" w:cs="Times New Roman"/>
            <w:color w:val="0000FF"/>
            <w:spacing w:val="4"/>
            <w:sz w:val="27"/>
            <w:szCs w:val="27"/>
            <w:u w:val="single"/>
            <w:lang w:eastAsia="ru-RU"/>
          </w:rPr>
          <w:t>https://www.ncbi.nlm.nih.gov/sites/books/NBK576384/</w:t>
        </w:r>
      </w:hyperlink>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Kahloun R, Abroug N, Ksiaa I, Mahmoud A, Zeghidi H, Zaouali S, Khairallah M. Infectious optic neuropathies: a clinical update. Eye Brain. 2015 Sep 28;7:59-81. doi: 10.2147/EB.S69173. PMID: 28539795; PMCID: PMC5398737.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Никифоров А.С., Гусева Н.С. Нейроофтальмология: руководство.- М.- ГЭОТАР-Медиа, 2008.- 624 с.</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Шеремет Н.Л. Диагностика оптических нейропатий различного генеза: диссертация доктора медицинских наук: 14.01.07 / Шеремет Н.Л. [Научно-исследовательский институт глазных болезней РАМН - ГУ].- Москва, 2015.- 297 с.</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Оптическая когерентная томография в нейроофтальмологии / под ред. Н.М. Елисеевой и Н.К. Серовой.- М.: Перо, 2022. – 116 с.;</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Skriapa-Manta A, Venkataraman AP, Olsson M, Nilsson M, Teär Fahnehjelm K. Characteristic deviations of the optic disc and macula in optic nerve hypoplasia based on OCT. Acta Ophthalmol. 2024 Dec;102(8):922-930. doi: 10.1111/aos.16722</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Kang MC, Park KA, Oh SY. Optical coherence tomography and optical coherence tomography angiography findings in optic nerve hypoplasia and their relationships with visual acuity. Sci Rep. 2024 Mar 26;14(1):7130. doi: 10.1038/s41598-024-57118-7.</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Li H.-J., Sun Z.-L., Yang X.-T. [et al]. Exploring Optic Nerve Axon Regeneration / Current neuropharmacology. – 2017. -15(6). – P. 861-873. - doi:10.2174/1570159X14666161227150250.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Страхов В.В., Попова А.А., Федоров В.Н. Результаты исследования нейропротекторной эффективности препарата «Семакс» // Офтальмол. ведомости. - 2014. – 4(7). -  C. 43-51.</w:t>
      </w:r>
    </w:p>
    <w:p w:rsidR="00CB56A1" w:rsidRPr="00CB56A1" w:rsidRDefault="00CB56A1" w:rsidP="00CB56A1">
      <w:pPr>
        <w:numPr>
          <w:ilvl w:val="0"/>
          <w:numId w:val="39"/>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Жуйкова С.Е. Физиологические и клинические эффекты синтетического аналога АКТГ</w:t>
      </w:r>
      <w:r w:rsidRPr="00CB56A1">
        <w:rPr>
          <w:rFonts w:ascii="Times New Roman" w:eastAsia="Times New Roman" w:hAnsi="Times New Roman" w:cs="Times New Roman"/>
          <w:color w:val="222222"/>
          <w:spacing w:val="4"/>
          <w:sz w:val="20"/>
          <w:szCs w:val="20"/>
          <w:vertAlign w:val="subscript"/>
          <w:lang w:eastAsia="ru-RU"/>
        </w:rPr>
        <w:t>4–10</w:t>
      </w:r>
      <w:r w:rsidRPr="00CB56A1">
        <w:rPr>
          <w:rFonts w:ascii="Times New Roman" w:eastAsia="Times New Roman" w:hAnsi="Times New Roman" w:cs="Times New Roman"/>
          <w:color w:val="222222"/>
          <w:spacing w:val="4"/>
          <w:sz w:val="27"/>
          <w:szCs w:val="27"/>
          <w:lang w:eastAsia="ru-RU"/>
        </w:rPr>
        <w:t> семакса и его механизмы действия. Интегративная физиология, т. 3, No 2, с.204–220.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Дракон А.К., Косова Д.В., Шелудченко В.М., Корчажкина Н.Б. Современные способы терапии различных форм атрофии зрительного нерва // Вестник офтальмологии. – 2021. - 137(5</w:t>
      </w:r>
      <w:r w:rsidRPr="00CB56A1">
        <w:rPr>
          <w:rFonts w:ascii="Times New Roman" w:eastAsia="Times New Roman" w:hAnsi="Times New Roman" w:cs="Times New Roman"/>
          <w:color w:val="222222"/>
          <w:spacing w:val="4"/>
          <w:sz w:val="27"/>
          <w:szCs w:val="27"/>
          <w:lang w:eastAsia="ru-RU"/>
        </w:rPr>
        <w:noBreakHyphen/>
        <w:t>2). - C. 340</w:t>
      </w:r>
      <w:r w:rsidRPr="00CB56A1">
        <w:rPr>
          <w:rFonts w:ascii="Times New Roman" w:eastAsia="Times New Roman" w:hAnsi="Times New Roman" w:cs="Times New Roman"/>
          <w:color w:val="222222"/>
          <w:spacing w:val="4"/>
          <w:sz w:val="27"/>
          <w:szCs w:val="27"/>
          <w:lang w:eastAsia="ru-RU"/>
        </w:rPr>
        <w:noBreakHyphen/>
        <w:t>345.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Канюков В.Н., Ким С.М., Мещерякова Г.Ф. Лечение частичной атрофии зрительного нерва с использованием пептидных препаратов // Вестник ОГУ. - 2010. – 12. – C. 88-90.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Weiss J.N., Levy S., Malkin A. Stem Cell Ophthalmology Treatment Study (SCOTS) for retinal and optic nerve diseases: a preliminary report / Neural regeneration research.  – 2015. – 10(6). – P. 982-8. - doi:10.4103/1673-5374.158365.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Weiss J.N., Levy S., Benes S.C. Stem Cell Ophthalmology Treatment Study (SCOTS) for retinal and optic nerve diseases: a case report of improvement in relapsing auto-immune optic neuropathy / Neural regeneration research. – 2015. -  10(9). – P. 1507-15. - doi:10.4103/1673-5374.165525.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Weiss J.N., Levy S., Benes S.C. Stem Cell Ophthalmology Treatment Study (SCOTS): bone marrow-derived stem cells in the treatment of Leber's hereditary optic neuropathy / Neural regeneration research. – 2016. – 11(10). – P. 1685-1694. - doi:10.4103/1673-5374.193251.</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Weiss J.N., Levy S., Benes S.C. Stem Cell Ophthalmology Treatment Study: bone marrow derived stem cells in the treatment of non-arteritic ischemic optic neuropathy (NAION) / Stem cell investigation. – 2017. - 23.4.94. - doi:10.21037/sci.2017.11.05.</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Закирова Г.З., Миннегалиева А.З. Хирургическое лечение атрофии зрительного нерва у детей: методики, эффективность // ТМЖ. - 2021. - 3(85). – C. 67 –70.</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Джалиашвили О.А., Бойков Г.С. Опыт применения реваскуляризации хориоидеи в комплексном лечении открытоугольной далеко зашедшей глаукомы // Глаукома. – 1988. - C. 78–83.</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Водовозов А.М., Кондаурова Л.С. Операция реваскуляризации хориоидеи с мобилизацией двух русел кровоснабжения глаза // Офтальмохирургия. – 1993. – 3. - C. 50–6.</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Туманова А.Л. Санаторно-курортная профилактика и реабилитация заболеваний глаз // Международный журнал прикладных и фундаментальных исследований. 2016. № 9-1. С. 88-96.</w:t>
      </w:r>
    </w:p>
    <w:p w:rsidR="00CB56A1" w:rsidRPr="00CB56A1" w:rsidRDefault="00CB56A1" w:rsidP="00CB56A1">
      <w:pPr>
        <w:numPr>
          <w:ilvl w:val="0"/>
          <w:numId w:val="39"/>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Егорова Т.С. Значение индивидуальной программы реабилитации (абилитации) для детей - инвалидов по зрению. Российский офтальмологический журнал. 2018;11(1):67-73.</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Фурсова Анжелла Жановна,</w:t>
      </w:r>
      <w:r w:rsidRPr="00CB56A1">
        <w:rPr>
          <w:rFonts w:ascii="Times New Roman" w:eastAsia="Times New Roman" w:hAnsi="Times New Roman" w:cs="Times New Roman"/>
          <w:color w:val="222222"/>
          <w:spacing w:val="4"/>
          <w:sz w:val="27"/>
          <w:szCs w:val="27"/>
          <w:lang w:eastAsia="ru-RU"/>
        </w:rPr>
        <w:t> руководитель группы, д.м.н., профессор, заслуженный врач РФ, заведующая кафедрой офтальмологии ФБГОУ ВО «Новосибирский государственный медицинский университет», заведующая офтальмологическим отделением ГБУЗ НСО «Государственная Новосибирская областная клиническая больница»,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Шадричев Ф.Е.,</w:t>
      </w:r>
      <w:r w:rsidRPr="00CB56A1">
        <w:rPr>
          <w:rFonts w:ascii="Times New Roman" w:eastAsia="Times New Roman" w:hAnsi="Times New Roman" w:cs="Times New Roman"/>
          <w:color w:val="222222"/>
          <w:spacing w:val="4"/>
          <w:sz w:val="27"/>
          <w:szCs w:val="27"/>
          <w:lang w:eastAsia="ru-RU"/>
        </w:rPr>
        <w:t> к.м.н., заведующий офтальмологическим отделением Санкт-Петербургского территориального диабетологического центра СПбГБУЗ «ГКДЦ № 1», ассистент кафедры офтальмологии с клиникой имени профессора Ю.С. Астахова ФБГОУ ВО «Первый Санкт-Петербургский государственный медицинский университет им. акад. И.П. Павлова»,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Нечипоренко П.А.,</w:t>
      </w:r>
      <w:r w:rsidRPr="00CB56A1">
        <w:rPr>
          <w:rFonts w:ascii="Times New Roman" w:eastAsia="Times New Roman" w:hAnsi="Times New Roman" w:cs="Times New Roman"/>
          <w:color w:val="222222"/>
          <w:spacing w:val="4"/>
          <w:sz w:val="27"/>
          <w:szCs w:val="27"/>
          <w:lang w:eastAsia="ru-RU"/>
        </w:rPr>
        <w:t> к.м.н., доцент кафедры офтальмологии с клиникой имени профессора Ю.С. Астахова ФБГОУ ВО «Первый Санкт-Петербургский государственный медицинский университет им. акад. И.П. Павлова»,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Григорьева Н.Н.,</w:t>
      </w:r>
      <w:r w:rsidRPr="00CB56A1">
        <w:rPr>
          <w:rFonts w:ascii="Times New Roman" w:eastAsia="Times New Roman" w:hAnsi="Times New Roman" w:cs="Times New Roman"/>
          <w:color w:val="222222"/>
          <w:spacing w:val="4"/>
          <w:sz w:val="27"/>
          <w:szCs w:val="27"/>
          <w:lang w:eastAsia="ru-RU"/>
        </w:rPr>
        <w:t> к.м.н., ассистент кафедры оториноларингологии и офтальмологии медицинского факультета ФБГОУ ВО «Санкт-Петербургский государственный университет» Министерства здравоохранения Российской Федерации,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Киселева Татьяна Николаевна, </w:t>
      </w:r>
      <w:r w:rsidRPr="00CB56A1">
        <w:rPr>
          <w:rFonts w:ascii="Times New Roman" w:eastAsia="Times New Roman" w:hAnsi="Times New Roman" w:cs="Times New Roman"/>
          <w:color w:val="222222"/>
          <w:spacing w:val="4"/>
          <w:sz w:val="27"/>
          <w:szCs w:val="27"/>
          <w:lang w:eastAsia="ru-RU"/>
        </w:rPr>
        <w:t>д.м.н., профессор, главный научный сотрудник отдела ультразвуковых исследований, профессор кафедры непрерывного медицинского образования ФГБУ «НМИЦ ГБ им. Гельмгольца» Минздрава России;</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Бобыкин Евгений Валерьевич, </w:t>
      </w:r>
      <w:r w:rsidRPr="00CB56A1">
        <w:rPr>
          <w:rFonts w:ascii="Times New Roman" w:eastAsia="Times New Roman" w:hAnsi="Times New Roman" w:cs="Times New Roman"/>
          <w:color w:val="222222"/>
          <w:spacing w:val="4"/>
          <w:sz w:val="27"/>
          <w:szCs w:val="27"/>
          <w:lang w:eastAsia="ru-RU"/>
        </w:rPr>
        <w:t>д.м.н., доцент кафедры офтальмологии ФБГОУ ВО «Уральский государственный университет» Министерства здравоохранения Российской Федерации,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Тульцева Светлана Николаевна,</w:t>
      </w:r>
      <w:r w:rsidRPr="00CB56A1">
        <w:rPr>
          <w:rFonts w:ascii="Times New Roman" w:eastAsia="Times New Roman" w:hAnsi="Times New Roman" w:cs="Times New Roman"/>
          <w:color w:val="222222"/>
          <w:spacing w:val="4"/>
          <w:sz w:val="27"/>
          <w:szCs w:val="27"/>
          <w:lang w:eastAsia="ru-RU"/>
        </w:rPr>
        <w:t> д.м.н., профессор кафедры офтальмологии с клиникой имени профессора Ю.С. Астахова ФБГОУ ВО «Первый Санкт-Петербургский государственный медицинский университет им. акад. И.П. Павлова»,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Лисочкина Алла Борисовна, </w:t>
      </w:r>
      <w:r w:rsidRPr="00CB56A1">
        <w:rPr>
          <w:rFonts w:ascii="Times New Roman" w:eastAsia="Times New Roman" w:hAnsi="Times New Roman" w:cs="Times New Roman"/>
          <w:color w:val="222222"/>
          <w:spacing w:val="4"/>
          <w:sz w:val="27"/>
          <w:szCs w:val="27"/>
          <w:lang w:eastAsia="ru-RU"/>
        </w:rPr>
        <w:t>к.м.н., доцент кафедры офтальмологии с клиникой имени профессора Ю.С. Астахова ФБГОУ ВО «Первый Санкт-Петербургский государственный медицинский университет им. акад. И.П. Павлова»,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Бельская Галина Николаевна, </w:t>
      </w:r>
      <w:r w:rsidRPr="00CB56A1">
        <w:rPr>
          <w:rFonts w:ascii="Times New Roman" w:eastAsia="Times New Roman" w:hAnsi="Times New Roman" w:cs="Times New Roman"/>
          <w:color w:val="222222"/>
          <w:spacing w:val="4"/>
          <w:sz w:val="27"/>
          <w:szCs w:val="27"/>
          <w:lang w:eastAsia="ru-RU"/>
        </w:rPr>
        <w:t>д.м.н., профессор, заведующая многопрофильным клинико-диагностическим центром ФБГНУ «Научный центр неврологии», заслуженный врач РФ, член ООО "Всероссийское общество неврологов»;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Симонова Симона Валентиновна, </w:t>
      </w:r>
      <w:r w:rsidRPr="00CB56A1">
        <w:rPr>
          <w:rFonts w:ascii="Times New Roman" w:eastAsia="Times New Roman" w:hAnsi="Times New Roman" w:cs="Times New Roman"/>
          <w:color w:val="222222"/>
          <w:spacing w:val="4"/>
          <w:sz w:val="27"/>
          <w:szCs w:val="27"/>
          <w:lang w:eastAsia="ru-RU"/>
        </w:rPr>
        <w:t>ассистент кафедры офтальмологии ФГБОУ ДПО РМАНПО Минздрава России, врач-офтальмолог ГБУЗ «ГКБ № 15 им. О.М. Филатова ДЗМ»;</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Антонов Владимир Александрович,</w:t>
      </w:r>
      <w:r w:rsidRPr="00CB56A1">
        <w:rPr>
          <w:rFonts w:ascii="Times New Roman" w:eastAsia="Times New Roman" w:hAnsi="Times New Roman" w:cs="Times New Roman"/>
          <w:color w:val="222222"/>
          <w:spacing w:val="4"/>
          <w:sz w:val="27"/>
          <w:szCs w:val="27"/>
          <w:lang w:eastAsia="ru-RU"/>
        </w:rPr>
        <w:t> к.м.н., врач-офтальмолог офтальмологического отделения кафедры офтальмологии с клиникой имени профессора Ю.С. Астахова ФБГОУ ВО «Первый Санкт-Петербургский государственный медицинский университет им. акад. И.П. Павлова»,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Тургель Вадим Алексеевич,</w:t>
      </w:r>
      <w:r w:rsidRPr="00CB56A1">
        <w:rPr>
          <w:rFonts w:ascii="Times New Roman" w:eastAsia="Times New Roman" w:hAnsi="Times New Roman" w:cs="Times New Roman"/>
          <w:color w:val="222222"/>
          <w:spacing w:val="4"/>
          <w:sz w:val="27"/>
          <w:szCs w:val="27"/>
          <w:lang w:eastAsia="ru-RU"/>
        </w:rPr>
        <w:t> врач-офтальмолог СПБГБОУ Диагностический центр № 7», член ООО «Ассоциация врачей-офтальмологов».</w:t>
      </w:r>
    </w:p>
    <w:p w:rsidR="00CB56A1" w:rsidRPr="00CB56A1" w:rsidRDefault="00CB56A1" w:rsidP="00CB56A1">
      <w:pPr>
        <w:numPr>
          <w:ilvl w:val="0"/>
          <w:numId w:val="40"/>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Осипова Наталья Анатольевна, </w:t>
      </w:r>
      <w:r w:rsidRPr="00CB56A1">
        <w:rPr>
          <w:rFonts w:ascii="Times New Roman" w:eastAsia="Times New Roman" w:hAnsi="Times New Roman" w:cs="Times New Roman"/>
          <w:color w:val="222222"/>
          <w:spacing w:val="4"/>
          <w:sz w:val="27"/>
          <w:szCs w:val="27"/>
          <w:lang w:eastAsia="ru-RU"/>
        </w:rPr>
        <w:t> к.м.н., старший научный сотрудник отдела патологии глаз у детей ФГБУ «НМИЦ ГБ им. Гельмгольца» Минздрава РФ.</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Конфликт интересов отсутствует.</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Целевая аудитория данных клинических рекомендаций:</w:t>
      </w:r>
    </w:p>
    <w:p w:rsidR="00CB56A1" w:rsidRPr="00CB56A1" w:rsidRDefault="00CB56A1" w:rsidP="00CB56A1">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Врачи-офтальмологи;</w:t>
      </w:r>
    </w:p>
    <w:p w:rsidR="00CB56A1" w:rsidRPr="00CB56A1" w:rsidRDefault="00CB56A1" w:rsidP="00CB56A1">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Врач-неврологи;</w:t>
      </w:r>
    </w:p>
    <w:p w:rsidR="00CB56A1" w:rsidRPr="00CB56A1" w:rsidRDefault="00CB56A1" w:rsidP="00CB56A1">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Врачи общей практики (семейные врачи);</w:t>
      </w:r>
    </w:p>
    <w:p w:rsidR="00CB56A1" w:rsidRPr="00CB56A1" w:rsidRDefault="00CB56A1" w:rsidP="00CB56A1">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lastRenderedPageBreak/>
        <w:t>Врачи-педиатры;</w:t>
      </w:r>
    </w:p>
    <w:p w:rsidR="00CB56A1" w:rsidRPr="00CB56A1" w:rsidRDefault="00CB56A1" w:rsidP="00CB56A1">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Врачи-ревматологи;</w:t>
      </w:r>
    </w:p>
    <w:p w:rsidR="00CB56A1" w:rsidRPr="00CB56A1" w:rsidRDefault="00CB56A1" w:rsidP="00CB56A1">
      <w:pPr>
        <w:numPr>
          <w:ilvl w:val="0"/>
          <w:numId w:val="41"/>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Врачи-нейрохирурги.</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Методы, использованные для сбора/селекции доказательств</w:t>
      </w:r>
      <w:r w:rsidRPr="00CB56A1">
        <w:rPr>
          <w:rFonts w:ascii="Times New Roman" w:eastAsia="Times New Roman" w:hAnsi="Times New Roman" w:cs="Times New Roman"/>
          <w:color w:val="222222"/>
          <w:spacing w:val="4"/>
          <w:sz w:val="27"/>
          <w:szCs w:val="27"/>
          <w:lang w:eastAsia="ru-RU"/>
        </w:rPr>
        <w:t>: поиск в электронных базах данных; анализ современных научных разработок по проблеме ВМД в России и за рубежом, обобщение практического опыта российских и зарубежных специалистов. Описание методов, использованных для сбора/селекции доказательств: доказательной базой для рекомендаций являются публикации, вошедшие в Кохрайновскую библиотеку, базы данных EMBASE и MEDLINE, а также монографии и статьи в ведущих специализированных рецензируемых отечественных медицинских журналах по данной тематике. Методы, использованные для оценки качества и силы доказательств: консенсус экспертов, оценка значимости в соответствии с рейтинговой схемой. </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Таблица 1.</w:t>
      </w:r>
      <w:r w:rsidRPr="00CB56A1">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B56A1" w:rsidRPr="00CB56A1" w:rsidTr="00CB56A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Расшифровка</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Несравнительные исследования, описание клинического случая</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Таблица 2.</w:t>
      </w:r>
      <w:r w:rsidRPr="00CB56A1">
        <w:rPr>
          <w:rFonts w:ascii="Times New Roman" w:eastAsia="Times New Roman" w:hAnsi="Times New Roman" w:cs="Times New Roman"/>
          <w:i/>
          <w:iCs/>
          <w:color w:val="333333"/>
          <w:spacing w:val="4"/>
          <w:sz w:val="27"/>
          <w:szCs w:val="27"/>
          <w:lang w:eastAsia="ru-RU"/>
        </w:rPr>
        <w:t xml:space="preserve"> Шкала оценки уровней достоверности доказательств (УДД) для методов профилактики, лечения, медицинской реабилитации, в том числе </w:t>
      </w:r>
      <w:r w:rsidRPr="00CB56A1">
        <w:rPr>
          <w:rFonts w:ascii="Times New Roman" w:eastAsia="Times New Roman" w:hAnsi="Times New Roman" w:cs="Times New Roman"/>
          <w:i/>
          <w:iCs/>
          <w:color w:val="333333"/>
          <w:spacing w:val="4"/>
          <w:sz w:val="27"/>
          <w:szCs w:val="27"/>
          <w:lang w:eastAsia="ru-RU"/>
        </w:rPr>
        <w:lastRenderedPageBreak/>
        <w:t>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B56A1" w:rsidRPr="00CB56A1" w:rsidTr="00CB56A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Расшифровка</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Систематический обзор рандомизированных клинических исследований с применением метаанализа</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Отдельные рандомизированные клинические исследований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Таблица 3.</w:t>
      </w:r>
      <w:r w:rsidRPr="00CB56A1">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CB56A1" w:rsidRPr="00CB56A1" w:rsidTr="00CB56A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Расшифровка</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Механизм обновления клинических рекомендаций предусматривает их систематическую актуализацию – не реже чем один раз в три года, а также при </w:t>
      </w:r>
      <w:r w:rsidRPr="00CB56A1">
        <w:rPr>
          <w:rFonts w:ascii="Times New Roman" w:eastAsia="Times New Roman" w:hAnsi="Times New Roman" w:cs="Times New Roman"/>
          <w:color w:val="222222"/>
          <w:spacing w:val="4"/>
          <w:sz w:val="27"/>
          <w:szCs w:val="27"/>
          <w:lang w:eastAsia="ru-RU"/>
        </w:rPr>
        <w:lastRenderedPageBreak/>
        <w:t>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 1 раза в 6 месяцев.</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B56A1" w:rsidRPr="00CB56A1" w:rsidRDefault="00CB56A1" w:rsidP="00CB56A1">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Международная </w:t>
      </w:r>
      <w:hyperlink r:id="rId25" w:anchor="l0" w:history="1">
        <w:r w:rsidRPr="00CB56A1">
          <w:rPr>
            <w:rFonts w:ascii="Times New Roman" w:eastAsia="Times New Roman" w:hAnsi="Times New Roman" w:cs="Times New Roman"/>
            <w:color w:val="0000FF"/>
            <w:spacing w:val="4"/>
            <w:sz w:val="27"/>
            <w:szCs w:val="27"/>
            <w:u w:val="single"/>
            <w:lang w:eastAsia="ru-RU"/>
          </w:rPr>
          <w:t>классификация</w:t>
        </w:r>
      </w:hyperlink>
      <w:r w:rsidRPr="00CB56A1">
        <w:rPr>
          <w:rFonts w:ascii="Times New Roman" w:eastAsia="Times New Roman" w:hAnsi="Times New Roman" w:cs="Times New Roman"/>
          <w:color w:val="222222"/>
          <w:spacing w:val="4"/>
          <w:sz w:val="27"/>
          <w:szCs w:val="27"/>
          <w:lang w:eastAsia="ru-RU"/>
        </w:rPr>
        <w:t> болезней, травм и состояний, влияющих на здоровье, 10-го пересмотра (МКБ-10). Всемирная организация здравоохранения.</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Федеральный закон от 21.11.2011 г. № 323-ФЗ (ред. от 08.08.2024 г., с изм. от 26.09.2024 г.) "Об основах охраны здоровья граждан в Российской Федерации" (с изм. и доп., вступ. в силу с 01.09.2024 г.).</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Приказ Минздрава России от 12.11.2012 г. № 902н (ред. от 01.02.2022 г.) "Об утверждении Порядка оказания медицинской помощи взрослому населению при заболеваниях глаза, его придаточного аппарата и орбиты".</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Приказ Минздрава России от 13.10.2017 г. № 804н (ред. от 24.09.2020 г., с изм. От 26.10.2022 г.)  "Об утверждении номенклатуры медицинских услуг".</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Распоряжение Правительства РФ от 12 октября 2019 г. № 2406-р (ред. от 16.04.2024 г.)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 xml:space="preserve">Постановление Главного государственного санитарного врача РФ от 24.12.2020 г. № 44 (ред. от 14.04.2022 г.) "Об утверждении санитарных </w:t>
      </w:r>
      <w:r w:rsidRPr="00CB56A1">
        <w:rPr>
          <w:rFonts w:ascii="Times New Roman" w:eastAsia="Times New Roman" w:hAnsi="Times New Roman" w:cs="Times New Roman"/>
          <w:color w:val="222222"/>
          <w:spacing w:val="4"/>
          <w:sz w:val="27"/>
          <w:szCs w:val="27"/>
          <w:lang w:eastAsia="ru-RU"/>
        </w:rPr>
        <w:lastRenderedPageBreak/>
        <w:t>правил СП 2.1.3678-20 "Санитарно-эпидемиологические требования к эксплуатации помещений, зданий, сооружений, оборудования и транспорта, а также условиям деятельности хозяйствующих субъектов, осуществляющих продажу товаров, выполнение работ или оказание услуг".</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Клинические рекомендации «Рассеянный склероз» (ID:739).</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Приказ Минздрава России от 02.05.2023 г. № 205н (ред. от 04.12.2023 г.) "Об утверждении Номенклатуры должностей медицинских работников и фармацевтических работников".</w:t>
      </w:r>
    </w:p>
    <w:p w:rsidR="00CB56A1" w:rsidRPr="00CB56A1" w:rsidRDefault="00CB56A1" w:rsidP="00CB56A1">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Приказ Минтруда России № 259н, Минздрава России № 238н от 16.05.2024 г. "Об утверждении перечня медицинских обследований, необходимых для получения клинико-функциональных данных в зависимости от заболевания в целях проведения медико-социальной экспертизы".</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Актуальные инструкции к лекарственным препаратам, упоминаемым в данных клинических рекомендациях, можно найти на сайте http://grls.rosminzdrav.ru</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i/>
          <w:iCs/>
          <w:color w:val="333333"/>
          <w:spacing w:val="4"/>
          <w:sz w:val="27"/>
          <w:szCs w:val="27"/>
          <w:lang w:eastAsia="ru-RU"/>
        </w:rPr>
        <w:t>Таблица 1</w:t>
      </w:r>
      <w:r w:rsidRPr="00CB56A1">
        <w:rPr>
          <w:rFonts w:ascii="Times New Roman" w:eastAsia="Times New Roman" w:hAnsi="Times New Roman" w:cs="Times New Roman"/>
          <w:i/>
          <w:iCs/>
          <w:color w:val="333333"/>
          <w:spacing w:val="4"/>
          <w:sz w:val="27"/>
          <w:szCs w:val="27"/>
          <w:lang w:eastAsia="ru-RU"/>
        </w:rPr>
        <w:t>. Доза, путь введения и режимы применения лекарственных препаратов.</w:t>
      </w:r>
    </w:p>
    <w:tbl>
      <w:tblPr>
        <w:tblW w:w="14165" w:type="dxa"/>
        <w:tblCellMar>
          <w:left w:w="0" w:type="dxa"/>
          <w:right w:w="0" w:type="dxa"/>
        </w:tblCellMar>
        <w:tblLook w:val="04A0" w:firstRow="1" w:lastRow="0" w:firstColumn="1" w:lastColumn="0" w:noHBand="0" w:noVBand="1"/>
      </w:tblPr>
      <w:tblGrid>
        <w:gridCol w:w="3495"/>
        <w:gridCol w:w="2045"/>
        <w:gridCol w:w="3065"/>
        <w:gridCol w:w="5560"/>
      </w:tblGrid>
      <w:tr w:rsidR="00CB56A1" w:rsidRPr="00CB56A1" w:rsidTr="00CB56A1">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Препарат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Доза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Путь введения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B56A1" w:rsidRPr="00CB56A1" w:rsidRDefault="00CB56A1" w:rsidP="00CB56A1">
            <w:pPr>
              <w:spacing w:after="0" w:line="240" w:lineRule="atLeast"/>
              <w:jc w:val="both"/>
              <w:rPr>
                <w:rFonts w:ascii="Verdana" w:eastAsia="Times New Roman" w:hAnsi="Verdana" w:cs="Times New Roman"/>
                <w:b/>
                <w:bCs/>
                <w:sz w:val="27"/>
                <w:szCs w:val="27"/>
                <w:lang w:eastAsia="ru-RU"/>
              </w:rPr>
            </w:pPr>
            <w:r w:rsidRPr="00CB56A1">
              <w:rPr>
                <w:rFonts w:ascii="Verdana" w:eastAsia="Times New Roman" w:hAnsi="Verdana" w:cs="Times New Roman"/>
                <w:b/>
                <w:bCs/>
                <w:sz w:val="27"/>
                <w:szCs w:val="27"/>
                <w:lang w:eastAsia="ru-RU"/>
              </w:rPr>
              <w:t>Режим</w:t>
            </w:r>
          </w:p>
        </w:tc>
      </w:tr>
      <w:tr w:rsidR="00CB56A1" w:rsidRPr="00CB56A1" w:rsidTr="00CB56A1">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метионил-глутамил-гистидил-фенилаланил-пролил-глицил-пролин**. Препарат применяется у лиц с 18 лет.</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600-900 мкг/сут. в виде 0.1 % раствора.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Интраназально или путем эндоназального электрофореза.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B56A1" w:rsidRPr="00CB56A1" w:rsidRDefault="00CB56A1" w:rsidP="00CB56A1">
            <w:pPr>
              <w:spacing w:after="0" w:line="240" w:lineRule="atLeast"/>
              <w:jc w:val="both"/>
              <w:rPr>
                <w:rFonts w:ascii="Verdana" w:eastAsia="Times New Roman" w:hAnsi="Verdana" w:cs="Times New Roman"/>
                <w:sz w:val="27"/>
                <w:szCs w:val="27"/>
                <w:lang w:eastAsia="ru-RU"/>
              </w:rPr>
            </w:pPr>
            <w:r w:rsidRPr="00CB56A1">
              <w:rPr>
                <w:rFonts w:ascii="Verdana" w:eastAsia="Times New Roman" w:hAnsi="Verdana" w:cs="Times New Roman"/>
                <w:sz w:val="27"/>
                <w:szCs w:val="27"/>
                <w:lang w:eastAsia="ru-RU"/>
              </w:rPr>
              <w:t>Препарат закапывается по 2-3 капли в каждый носовой ход 2-3 раза в день. Суточная доза 600-900 мкг. Курс лечения 7-10 дней. Кроме того, препарат может вводиться путем эндоназального электрофореза. Препарат вводится с анода. Сила тока 1 мА, продолжительность воздействия 8-12-15 минут. Суточная доза 400-600 мкг. Курс лечения 7-10 дней.</w:t>
            </w:r>
          </w:p>
        </w:tc>
      </w:tr>
    </w:tbl>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t>Приложение Б. Алгоритмы действий врача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lastRenderedPageBreak/>
        <w:t>Приложение В. Информация для пациента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Информация о внешнем мире поступает в глаз на сетчатку, где расположено множество фоторецепторов, нервных клеток и нервных волокон, которые формируют зрительный нерв. От каждого глаза по зрительному нерву и зрительному тракту идут нервные сигналы в головной мозг, где происходит обработка и интерпретация зрительной информации. В мозге под гипоталамусом волокна зрительных нервов частично перекрещиваются, в результате чего правая сторона мозга получает информацию от левого поля зрения обоих глаз, а левая сторона мозга получает информацию от правого поля зрения обоих глаз. После перекреста нервные волокна называются зрительным трактом. По ним информация передается в подкорковые центры, а далее в корковые. Повреждение глаза или зрительного пути на любом из участков приводит к различным нарушениям зрительных функций в зависимости от локализации и степени поражения.</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Атрофия зрительного нерва (АЗН) – это опасное и тяжелое офтальмологическое нарушение.</w:t>
      </w:r>
      <w:r w:rsidRPr="00CB56A1">
        <w:rPr>
          <w:rFonts w:ascii="Times New Roman" w:eastAsia="Times New Roman" w:hAnsi="Times New Roman" w:cs="Times New Roman"/>
          <w:color w:val="222222"/>
          <w:spacing w:val="4"/>
          <w:sz w:val="27"/>
          <w:szCs w:val="27"/>
          <w:lang w:eastAsia="ru-RU"/>
        </w:rPr>
        <w:t> Для него характерно частичное или полное разрушение нервных волокон, которые передают зрительные импульсы от сетчатки глаза к зрительным центрам головного мозга. К клиническим проявлениям заболевания относят снижение зрения или его полную утрату, изменения в полях зрения, нарушения восприятия цветов, сумеречного зрения.</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АЗН диагностируется достаточно редко, однако ей необходимо уделять особое внимание, так как заболевание может стать причиной необратимого снижения зрения, вплоть слепоты. При этом восстановление зрительной функции в дальнейшем невозможно.</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 основным причинам развития АЗН относят:</w:t>
      </w:r>
    </w:p>
    <w:p w:rsidR="00CB56A1" w:rsidRPr="00CB56A1" w:rsidRDefault="00CB56A1" w:rsidP="00CB56A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заболевания глаза</w:t>
      </w:r>
      <w:r w:rsidRPr="00CB56A1">
        <w:rPr>
          <w:rFonts w:ascii="Times New Roman" w:eastAsia="Times New Roman" w:hAnsi="Times New Roman" w:cs="Times New Roman"/>
          <w:color w:val="222222"/>
          <w:spacing w:val="4"/>
          <w:sz w:val="27"/>
          <w:szCs w:val="27"/>
          <w:lang w:eastAsia="ru-RU"/>
        </w:rPr>
        <w:t> - на фоне глаукомы (постоянного или периодического повышения внутриглазного давления), дегенеративных заболеваний, патологических изменений сосудов сетчатки, близорукости, воспалительных поражений, новообразований и др.,</w:t>
      </w:r>
    </w:p>
    <w:p w:rsidR="00CB56A1" w:rsidRPr="00CB56A1" w:rsidRDefault="00CB56A1" w:rsidP="00CB56A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механические повреждения </w:t>
      </w:r>
      <w:r w:rsidRPr="00CB56A1">
        <w:rPr>
          <w:rFonts w:ascii="Times New Roman" w:eastAsia="Times New Roman" w:hAnsi="Times New Roman" w:cs="Times New Roman"/>
          <w:color w:val="222222"/>
          <w:spacing w:val="4"/>
          <w:sz w:val="27"/>
          <w:szCs w:val="27"/>
          <w:lang w:eastAsia="ru-RU"/>
        </w:rPr>
        <w:t>- травмы головы, которые сопровождаются нарушением целостности зрительного нерва,</w:t>
      </w:r>
    </w:p>
    <w:p w:rsidR="00CB56A1" w:rsidRPr="00CB56A1" w:rsidRDefault="00CB56A1" w:rsidP="00CB56A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поражения центральной нервной системы – </w:t>
      </w:r>
      <w:r w:rsidRPr="00CB56A1">
        <w:rPr>
          <w:rFonts w:ascii="Times New Roman" w:eastAsia="Times New Roman" w:hAnsi="Times New Roman" w:cs="Times New Roman"/>
          <w:color w:val="222222"/>
          <w:spacing w:val="4"/>
          <w:sz w:val="27"/>
          <w:szCs w:val="27"/>
          <w:lang w:eastAsia="ru-RU"/>
        </w:rPr>
        <w:t>следствие наличия опухолей гипофиза, абсцессов, энцефалита,</w:t>
      </w:r>
    </w:p>
    <w:p w:rsidR="00CB56A1" w:rsidRPr="00CB56A1" w:rsidRDefault="00CB56A1" w:rsidP="00CB56A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lastRenderedPageBreak/>
        <w:t>интоксикации организма - </w:t>
      </w:r>
      <w:r w:rsidRPr="00CB56A1">
        <w:rPr>
          <w:rFonts w:ascii="Times New Roman" w:eastAsia="Times New Roman" w:hAnsi="Times New Roman" w:cs="Times New Roman"/>
          <w:color w:val="222222"/>
          <w:spacing w:val="4"/>
          <w:sz w:val="27"/>
          <w:szCs w:val="27"/>
          <w:lang w:eastAsia="ru-RU"/>
        </w:rPr>
        <w:t>следствие отравления никотином, воздействия веществ, например, свинца, метанола (древесного спирта или метилового спирта), этиленгликоля (антифриза) или некоторых лекарственных препаратов,</w:t>
      </w:r>
    </w:p>
    <w:p w:rsidR="00CB56A1" w:rsidRPr="00CB56A1" w:rsidRDefault="00CB56A1" w:rsidP="00CB56A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общие патологические процессы, протекающие в организме - </w:t>
      </w:r>
      <w:r w:rsidRPr="00CB56A1">
        <w:rPr>
          <w:rFonts w:ascii="Times New Roman" w:eastAsia="Times New Roman" w:hAnsi="Times New Roman" w:cs="Times New Roman"/>
          <w:color w:val="222222"/>
          <w:spacing w:val="4"/>
          <w:sz w:val="27"/>
          <w:szCs w:val="27"/>
          <w:lang w:eastAsia="ru-RU"/>
        </w:rPr>
        <w:t>на фоне гипертонии, дефицита некоторых витаминов и минералов, атеросклероза, сахарного диабета, крупных кровотечений и др.,</w:t>
      </w:r>
    </w:p>
    <w:p w:rsidR="00CB56A1" w:rsidRPr="00CB56A1" w:rsidRDefault="00CB56A1" w:rsidP="00CB56A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инфекции - </w:t>
      </w:r>
      <w:r w:rsidRPr="00CB56A1">
        <w:rPr>
          <w:rFonts w:ascii="Times New Roman" w:eastAsia="Times New Roman" w:hAnsi="Times New Roman" w:cs="Times New Roman"/>
          <w:color w:val="222222"/>
          <w:spacing w:val="4"/>
          <w:sz w:val="27"/>
          <w:szCs w:val="27"/>
          <w:lang w:eastAsia="ru-RU"/>
        </w:rPr>
        <w:t>следствие токсоплазмоза, туберкулеза, вирусных поражений,</w:t>
      </w:r>
    </w:p>
    <w:p w:rsidR="00CB56A1" w:rsidRPr="00CB56A1" w:rsidRDefault="00CB56A1" w:rsidP="00CB56A1">
      <w:pPr>
        <w:numPr>
          <w:ilvl w:val="0"/>
          <w:numId w:val="4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аутоиммунные заболевания - </w:t>
      </w:r>
      <w:r w:rsidRPr="00CB56A1">
        <w:rPr>
          <w:rFonts w:ascii="Times New Roman" w:eastAsia="Times New Roman" w:hAnsi="Times New Roman" w:cs="Times New Roman"/>
          <w:color w:val="222222"/>
          <w:spacing w:val="4"/>
          <w:sz w:val="27"/>
          <w:szCs w:val="27"/>
          <w:lang w:eastAsia="ru-RU"/>
        </w:rPr>
        <w:t>красная волчанка, гранулематоз с полиангиитом и иные нарушения.</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В зависимости от локализации выделяют одно- и двухстороннюю АЗН.</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По охвату тканей атрофия может быть:</w:t>
      </w:r>
    </w:p>
    <w:p w:rsidR="00CB56A1" w:rsidRPr="00CB56A1" w:rsidRDefault="00CB56A1" w:rsidP="00CB56A1">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Восходящей.</w:t>
      </w:r>
      <w:r w:rsidRPr="00CB56A1">
        <w:rPr>
          <w:rFonts w:ascii="Times New Roman" w:eastAsia="Times New Roman" w:hAnsi="Times New Roman" w:cs="Times New Roman"/>
          <w:color w:val="222222"/>
          <w:spacing w:val="4"/>
          <w:sz w:val="27"/>
          <w:szCs w:val="27"/>
          <w:lang w:eastAsia="ru-RU"/>
        </w:rPr>
        <w:t> Причиной являются процессы на глазном дне (сетчатке).</w:t>
      </w:r>
    </w:p>
    <w:p w:rsidR="00CB56A1" w:rsidRPr="00CB56A1" w:rsidRDefault="00CB56A1" w:rsidP="00CB56A1">
      <w:pPr>
        <w:numPr>
          <w:ilvl w:val="0"/>
          <w:numId w:val="4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Нисходящей.</w:t>
      </w:r>
      <w:r w:rsidRPr="00CB56A1">
        <w:rPr>
          <w:rFonts w:ascii="Times New Roman" w:eastAsia="Times New Roman" w:hAnsi="Times New Roman" w:cs="Times New Roman"/>
          <w:color w:val="222222"/>
          <w:spacing w:val="4"/>
          <w:sz w:val="27"/>
          <w:szCs w:val="27"/>
          <w:lang w:eastAsia="ru-RU"/>
        </w:rPr>
        <w:t> Возникает при поражении периферических отделов зрительных путей (нервов).</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В зависимости от степени прогрессирования выделяют стационарную форму атрофии, для которой характерно медленное развитие, и прогрессирующую – с быстрым развитием.</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Обследование пациента при подозрении на АЗН начинается с опроса и осмотра. Врач определяет жалобы пациента, уточняет, какие лекарственные препараты им принимаются, какой образ жизни ведется, не было ли травм органов зрения и др.</w:t>
      </w:r>
    </w:p>
    <w:p w:rsidR="00CB56A1" w:rsidRPr="00CB56A1" w:rsidRDefault="00CB56A1" w:rsidP="00CB56A1">
      <w:pPr>
        <w:numPr>
          <w:ilvl w:val="0"/>
          <w:numId w:val="45"/>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Дополнительно врач-офтальмолог может направить пациента на прием к врачу-неврологу и другим специалистам узких профилей. Это необходимо, так как нередко АЗН возникает на фоне общих заболеваний организма.</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Специалисты узких профилей, в свою очередь, могут расширить диагностику такими современными методами, как рентгенография A06.03.005 - рентгенография всего черепа, в одной или более проекциях), КТ или МРТ (компьютерной или магнитно-резонансной томографией) головного мозга.</w:t>
      </w:r>
    </w:p>
    <w:p w:rsidR="00CB56A1" w:rsidRPr="00CB56A1" w:rsidRDefault="00CB56A1" w:rsidP="00CB56A1">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b/>
          <w:bCs/>
          <w:color w:val="222222"/>
          <w:spacing w:val="4"/>
          <w:sz w:val="27"/>
          <w:szCs w:val="27"/>
          <w:lang w:eastAsia="ru-RU"/>
        </w:rPr>
        <w:t>К сожалению, в настоящий момент АЗН относится к неизлечимым поражениям. </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Любое лечение проводится комплексно и в индивидуальном порядке.</w:t>
      </w:r>
    </w:p>
    <w:p w:rsidR="00CB56A1" w:rsidRPr="00CB56A1" w:rsidRDefault="00CB56A1" w:rsidP="00CB56A1">
      <w:pPr>
        <w:spacing w:line="240" w:lineRule="auto"/>
        <w:outlineLvl w:val="0"/>
        <w:rPr>
          <w:rFonts w:ascii="Inter" w:eastAsia="Times New Roman" w:hAnsi="Inter" w:cs="Times New Roman"/>
          <w:b/>
          <w:bCs/>
          <w:color w:val="000000"/>
          <w:spacing w:val="4"/>
          <w:kern w:val="36"/>
          <w:sz w:val="48"/>
          <w:szCs w:val="48"/>
          <w:lang w:eastAsia="ru-RU"/>
        </w:rPr>
      </w:pPr>
      <w:r w:rsidRPr="00CB56A1">
        <w:rPr>
          <w:rFonts w:ascii="Inter" w:eastAsia="Times New Roman" w:hAnsi="Inter" w:cs="Times New Roman"/>
          <w:b/>
          <w:bCs/>
          <w:color w:val="000000"/>
          <w:spacing w:val="4"/>
          <w:kern w:val="36"/>
          <w:sz w:val="48"/>
          <w:szCs w:val="48"/>
          <w:lang w:eastAsia="ru-RU"/>
        </w:rPr>
        <w:lastRenderedPageBreak/>
        <w:t>Приложение Г1-ГN. Шкалы оценки, вопросники и другие оценочные инструменты состояния пациента, приведенные в клинических рекомендациях</w:t>
      </w:r>
    </w:p>
    <w:p w:rsidR="00CB56A1" w:rsidRPr="00CB56A1" w:rsidRDefault="00CB56A1" w:rsidP="00CB56A1">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B56A1">
        <w:rPr>
          <w:rFonts w:ascii="Times New Roman" w:eastAsia="Times New Roman" w:hAnsi="Times New Roman" w:cs="Times New Roman"/>
          <w:color w:val="222222"/>
          <w:spacing w:val="4"/>
          <w:sz w:val="27"/>
          <w:szCs w:val="27"/>
          <w:lang w:eastAsia="ru-RU"/>
        </w:rPr>
        <w:t>Не применяются.</w:t>
      </w:r>
    </w:p>
    <w:p w:rsidR="00374419" w:rsidRDefault="00374419">
      <w:bookmarkStart w:id="0" w:name="_GoBack"/>
      <w:bookmarkEnd w:id="0"/>
    </w:p>
    <w:sectPr w:rsidR="0037441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31D39"/>
    <w:multiLevelType w:val="multilevel"/>
    <w:tmpl w:val="867A6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46715"/>
    <w:multiLevelType w:val="multilevel"/>
    <w:tmpl w:val="CFCE8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231051"/>
    <w:multiLevelType w:val="multilevel"/>
    <w:tmpl w:val="5AFC0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57501"/>
    <w:multiLevelType w:val="multilevel"/>
    <w:tmpl w:val="16503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19268C"/>
    <w:multiLevelType w:val="multilevel"/>
    <w:tmpl w:val="1A8E2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273894"/>
    <w:multiLevelType w:val="multilevel"/>
    <w:tmpl w:val="88360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C575DA"/>
    <w:multiLevelType w:val="multilevel"/>
    <w:tmpl w:val="21DC4B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F47E6B"/>
    <w:multiLevelType w:val="multilevel"/>
    <w:tmpl w:val="2E48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965656"/>
    <w:multiLevelType w:val="multilevel"/>
    <w:tmpl w:val="F116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B73C8A"/>
    <w:multiLevelType w:val="multilevel"/>
    <w:tmpl w:val="99D4E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7595DB3"/>
    <w:multiLevelType w:val="multilevel"/>
    <w:tmpl w:val="A88A65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8645DB2"/>
    <w:multiLevelType w:val="multilevel"/>
    <w:tmpl w:val="90DCE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C74B04"/>
    <w:multiLevelType w:val="multilevel"/>
    <w:tmpl w:val="44D885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41063"/>
    <w:multiLevelType w:val="multilevel"/>
    <w:tmpl w:val="CAEA2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09C2811"/>
    <w:multiLevelType w:val="multilevel"/>
    <w:tmpl w:val="9FD4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F33604"/>
    <w:multiLevelType w:val="multilevel"/>
    <w:tmpl w:val="F7CC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210F4"/>
    <w:multiLevelType w:val="multilevel"/>
    <w:tmpl w:val="1ADCE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03459D"/>
    <w:multiLevelType w:val="multilevel"/>
    <w:tmpl w:val="9F5AD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8B14024"/>
    <w:multiLevelType w:val="multilevel"/>
    <w:tmpl w:val="ACCA3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3634D1"/>
    <w:multiLevelType w:val="multilevel"/>
    <w:tmpl w:val="CACEE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FFF0CBD"/>
    <w:multiLevelType w:val="multilevel"/>
    <w:tmpl w:val="9E106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226F65"/>
    <w:multiLevelType w:val="multilevel"/>
    <w:tmpl w:val="A240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4502846"/>
    <w:multiLevelType w:val="multilevel"/>
    <w:tmpl w:val="591C1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6A6D8C"/>
    <w:multiLevelType w:val="multilevel"/>
    <w:tmpl w:val="A41AF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A92A2C"/>
    <w:multiLevelType w:val="multilevel"/>
    <w:tmpl w:val="176CD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5E0F94"/>
    <w:multiLevelType w:val="multilevel"/>
    <w:tmpl w:val="A734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AE5BC7"/>
    <w:multiLevelType w:val="multilevel"/>
    <w:tmpl w:val="61B6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537C35"/>
    <w:multiLevelType w:val="multilevel"/>
    <w:tmpl w:val="9A007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32920E3"/>
    <w:multiLevelType w:val="multilevel"/>
    <w:tmpl w:val="A0F20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BA58FE"/>
    <w:multiLevelType w:val="multilevel"/>
    <w:tmpl w:val="C1E03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A47C34"/>
    <w:multiLevelType w:val="multilevel"/>
    <w:tmpl w:val="5E5C4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3579E"/>
    <w:multiLevelType w:val="multilevel"/>
    <w:tmpl w:val="433E0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D15A43"/>
    <w:multiLevelType w:val="multilevel"/>
    <w:tmpl w:val="1EC0F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D11B54"/>
    <w:multiLevelType w:val="multilevel"/>
    <w:tmpl w:val="29680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3F060B"/>
    <w:multiLevelType w:val="multilevel"/>
    <w:tmpl w:val="EA9C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5B1B02"/>
    <w:multiLevelType w:val="multilevel"/>
    <w:tmpl w:val="8F320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4053D4"/>
    <w:multiLevelType w:val="multilevel"/>
    <w:tmpl w:val="7DF0E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E35522"/>
    <w:multiLevelType w:val="multilevel"/>
    <w:tmpl w:val="8E668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4312DA"/>
    <w:multiLevelType w:val="multilevel"/>
    <w:tmpl w:val="CB46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3CF0DEC"/>
    <w:multiLevelType w:val="multilevel"/>
    <w:tmpl w:val="B852A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65566E7"/>
    <w:multiLevelType w:val="multilevel"/>
    <w:tmpl w:val="E2DCC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2F7C9B"/>
    <w:multiLevelType w:val="multilevel"/>
    <w:tmpl w:val="21924B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4603EF"/>
    <w:multiLevelType w:val="multilevel"/>
    <w:tmpl w:val="3BE88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DB30D16"/>
    <w:multiLevelType w:val="multilevel"/>
    <w:tmpl w:val="6AEEC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EE7730"/>
    <w:multiLevelType w:val="multilevel"/>
    <w:tmpl w:val="68260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8"/>
  </w:num>
  <w:num w:numId="2">
    <w:abstractNumId w:val="27"/>
  </w:num>
  <w:num w:numId="3">
    <w:abstractNumId w:val="36"/>
  </w:num>
  <w:num w:numId="4">
    <w:abstractNumId w:val="26"/>
  </w:num>
  <w:num w:numId="5">
    <w:abstractNumId w:val="18"/>
  </w:num>
  <w:num w:numId="6">
    <w:abstractNumId w:val="24"/>
  </w:num>
  <w:num w:numId="7">
    <w:abstractNumId w:val="21"/>
  </w:num>
  <w:num w:numId="8">
    <w:abstractNumId w:val="44"/>
  </w:num>
  <w:num w:numId="9">
    <w:abstractNumId w:val="22"/>
  </w:num>
  <w:num w:numId="10">
    <w:abstractNumId w:val="11"/>
  </w:num>
  <w:num w:numId="11">
    <w:abstractNumId w:val="4"/>
  </w:num>
  <w:num w:numId="12">
    <w:abstractNumId w:val="30"/>
  </w:num>
  <w:num w:numId="13">
    <w:abstractNumId w:val="14"/>
  </w:num>
  <w:num w:numId="14">
    <w:abstractNumId w:val="33"/>
  </w:num>
  <w:num w:numId="15">
    <w:abstractNumId w:val="43"/>
  </w:num>
  <w:num w:numId="16">
    <w:abstractNumId w:val="2"/>
  </w:num>
  <w:num w:numId="17">
    <w:abstractNumId w:val="5"/>
  </w:num>
  <w:num w:numId="18">
    <w:abstractNumId w:val="42"/>
  </w:num>
  <w:num w:numId="19">
    <w:abstractNumId w:val="19"/>
  </w:num>
  <w:num w:numId="20">
    <w:abstractNumId w:val="3"/>
  </w:num>
  <w:num w:numId="21">
    <w:abstractNumId w:val="23"/>
  </w:num>
  <w:num w:numId="22">
    <w:abstractNumId w:val="34"/>
  </w:num>
  <w:num w:numId="23">
    <w:abstractNumId w:val="7"/>
  </w:num>
  <w:num w:numId="24">
    <w:abstractNumId w:val="32"/>
  </w:num>
  <w:num w:numId="25">
    <w:abstractNumId w:val="1"/>
  </w:num>
  <w:num w:numId="26">
    <w:abstractNumId w:val="37"/>
  </w:num>
  <w:num w:numId="27">
    <w:abstractNumId w:val="8"/>
  </w:num>
  <w:num w:numId="28">
    <w:abstractNumId w:val="39"/>
  </w:num>
  <w:num w:numId="29">
    <w:abstractNumId w:val="16"/>
  </w:num>
  <w:num w:numId="30">
    <w:abstractNumId w:val="20"/>
  </w:num>
  <w:num w:numId="31">
    <w:abstractNumId w:val="13"/>
  </w:num>
  <w:num w:numId="32">
    <w:abstractNumId w:val="0"/>
  </w:num>
  <w:num w:numId="33">
    <w:abstractNumId w:val="40"/>
  </w:num>
  <w:num w:numId="34">
    <w:abstractNumId w:val="35"/>
  </w:num>
  <w:num w:numId="35">
    <w:abstractNumId w:val="15"/>
  </w:num>
  <w:num w:numId="36">
    <w:abstractNumId w:val="29"/>
  </w:num>
  <w:num w:numId="37">
    <w:abstractNumId w:val="17"/>
  </w:num>
  <w:num w:numId="38">
    <w:abstractNumId w:val="9"/>
  </w:num>
  <w:num w:numId="39">
    <w:abstractNumId w:val="41"/>
  </w:num>
  <w:num w:numId="40">
    <w:abstractNumId w:val="10"/>
  </w:num>
  <w:num w:numId="41">
    <w:abstractNumId w:val="12"/>
  </w:num>
  <w:num w:numId="42">
    <w:abstractNumId w:val="6"/>
  </w:num>
  <w:num w:numId="43">
    <w:abstractNumId w:val="31"/>
  </w:num>
  <w:num w:numId="44">
    <w:abstractNumId w:val="28"/>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3E3"/>
    <w:rsid w:val="00374419"/>
    <w:rsid w:val="004453E3"/>
    <w:rsid w:val="00CB56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4B45AE-0D32-48DE-80DF-0F633E3CC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B56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B56A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B56A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56A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B56A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B56A1"/>
    <w:rPr>
      <w:rFonts w:ascii="Times New Roman" w:eastAsia="Times New Roman" w:hAnsi="Times New Roman" w:cs="Times New Roman"/>
      <w:b/>
      <w:bCs/>
      <w:sz w:val="27"/>
      <w:szCs w:val="27"/>
      <w:lang w:eastAsia="ru-RU"/>
    </w:rPr>
  </w:style>
  <w:style w:type="paragraph" w:customStyle="1" w:styleId="msonormal0">
    <w:name w:val="msonormal"/>
    <w:basedOn w:val="a"/>
    <w:rsid w:val="00CB5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CB56A1"/>
  </w:style>
  <w:style w:type="character" w:customStyle="1" w:styleId="titlename">
    <w:name w:val="title_name"/>
    <w:basedOn w:val="a0"/>
    <w:rsid w:val="00CB56A1"/>
  </w:style>
  <w:style w:type="character" w:customStyle="1" w:styleId="titlecontent">
    <w:name w:val="title_content"/>
    <w:basedOn w:val="a0"/>
    <w:rsid w:val="00CB56A1"/>
  </w:style>
  <w:style w:type="character" w:customStyle="1" w:styleId="titlenamecolumn">
    <w:name w:val="title_name_column"/>
    <w:basedOn w:val="a0"/>
    <w:rsid w:val="00CB56A1"/>
  </w:style>
  <w:style w:type="character" w:customStyle="1" w:styleId="titlename1">
    <w:name w:val="title_name1"/>
    <w:basedOn w:val="a0"/>
    <w:rsid w:val="00CB56A1"/>
  </w:style>
  <w:style w:type="character" w:customStyle="1" w:styleId="titlecontent1">
    <w:name w:val="title_content1"/>
    <w:basedOn w:val="a0"/>
    <w:rsid w:val="00CB56A1"/>
  </w:style>
  <w:style w:type="character" w:customStyle="1" w:styleId="titlecontent2">
    <w:name w:val="title_content2"/>
    <w:basedOn w:val="a0"/>
    <w:rsid w:val="00CB56A1"/>
  </w:style>
  <w:style w:type="paragraph" w:styleId="a3">
    <w:name w:val="Normal (Web)"/>
    <w:basedOn w:val="a"/>
    <w:uiPriority w:val="99"/>
    <w:semiHidden/>
    <w:unhideWhenUsed/>
    <w:rsid w:val="00CB56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CB56A1"/>
    <w:rPr>
      <w:color w:val="0000FF"/>
      <w:u w:val="single"/>
    </w:rPr>
  </w:style>
  <w:style w:type="character" w:styleId="a5">
    <w:name w:val="FollowedHyperlink"/>
    <w:basedOn w:val="a0"/>
    <w:uiPriority w:val="99"/>
    <w:semiHidden/>
    <w:unhideWhenUsed/>
    <w:rsid w:val="00CB56A1"/>
    <w:rPr>
      <w:color w:val="800080"/>
      <w:u w:val="single"/>
    </w:rPr>
  </w:style>
  <w:style w:type="character" w:styleId="a6">
    <w:name w:val="Strong"/>
    <w:basedOn w:val="a0"/>
    <w:uiPriority w:val="22"/>
    <w:qFormat/>
    <w:rsid w:val="00CB56A1"/>
    <w:rPr>
      <w:b/>
      <w:bCs/>
    </w:rPr>
  </w:style>
  <w:style w:type="character" w:styleId="a7">
    <w:name w:val="Emphasis"/>
    <w:basedOn w:val="a0"/>
    <w:uiPriority w:val="20"/>
    <w:qFormat/>
    <w:rsid w:val="00CB56A1"/>
    <w:rPr>
      <w:i/>
      <w:iCs/>
    </w:rPr>
  </w:style>
  <w:style w:type="paragraph" w:customStyle="1" w:styleId="marginl">
    <w:name w:val="marginl"/>
    <w:basedOn w:val="a"/>
    <w:rsid w:val="00CB56A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6612479">
      <w:bodyDiv w:val="1"/>
      <w:marLeft w:val="0"/>
      <w:marRight w:val="0"/>
      <w:marTop w:val="0"/>
      <w:marBottom w:val="0"/>
      <w:divBdr>
        <w:top w:val="none" w:sz="0" w:space="0" w:color="auto"/>
        <w:left w:val="none" w:sz="0" w:space="0" w:color="auto"/>
        <w:bottom w:val="none" w:sz="0" w:space="0" w:color="auto"/>
        <w:right w:val="none" w:sz="0" w:space="0" w:color="auto"/>
      </w:divBdr>
      <w:divsChild>
        <w:div w:id="123234388">
          <w:marLeft w:val="0"/>
          <w:marRight w:val="0"/>
          <w:marTop w:val="0"/>
          <w:marBottom w:val="0"/>
          <w:divBdr>
            <w:top w:val="none" w:sz="0" w:space="0" w:color="auto"/>
            <w:left w:val="none" w:sz="0" w:space="0" w:color="auto"/>
            <w:bottom w:val="none" w:sz="0" w:space="0" w:color="auto"/>
            <w:right w:val="none" w:sz="0" w:space="0" w:color="auto"/>
          </w:divBdr>
          <w:divsChild>
            <w:div w:id="866523518">
              <w:marLeft w:val="0"/>
              <w:marRight w:val="0"/>
              <w:marTop w:val="0"/>
              <w:marBottom w:val="0"/>
              <w:divBdr>
                <w:top w:val="none" w:sz="0" w:space="0" w:color="auto"/>
                <w:left w:val="none" w:sz="0" w:space="0" w:color="auto"/>
                <w:bottom w:val="none" w:sz="0" w:space="0" w:color="auto"/>
                <w:right w:val="none" w:sz="0" w:space="0" w:color="auto"/>
              </w:divBdr>
            </w:div>
            <w:div w:id="68582905">
              <w:marLeft w:val="0"/>
              <w:marRight w:val="0"/>
              <w:marTop w:val="0"/>
              <w:marBottom w:val="0"/>
              <w:divBdr>
                <w:top w:val="none" w:sz="0" w:space="0" w:color="auto"/>
                <w:left w:val="none" w:sz="0" w:space="0" w:color="auto"/>
                <w:bottom w:val="none" w:sz="0" w:space="0" w:color="auto"/>
                <w:right w:val="none" w:sz="0" w:space="0" w:color="auto"/>
              </w:divBdr>
            </w:div>
            <w:div w:id="1142114887">
              <w:marLeft w:val="0"/>
              <w:marRight w:val="0"/>
              <w:marTop w:val="0"/>
              <w:marBottom w:val="0"/>
              <w:divBdr>
                <w:top w:val="none" w:sz="0" w:space="0" w:color="auto"/>
                <w:left w:val="none" w:sz="0" w:space="0" w:color="auto"/>
                <w:bottom w:val="none" w:sz="0" w:space="0" w:color="auto"/>
                <w:right w:val="none" w:sz="0" w:space="0" w:color="auto"/>
              </w:divBdr>
              <w:divsChild>
                <w:div w:id="521939431">
                  <w:marLeft w:val="0"/>
                  <w:marRight w:val="0"/>
                  <w:marTop w:val="0"/>
                  <w:marBottom w:val="0"/>
                  <w:divBdr>
                    <w:top w:val="none" w:sz="0" w:space="0" w:color="auto"/>
                    <w:left w:val="none" w:sz="0" w:space="0" w:color="auto"/>
                    <w:bottom w:val="none" w:sz="0" w:space="0" w:color="auto"/>
                    <w:right w:val="none" w:sz="0" w:space="0" w:color="auto"/>
                  </w:divBdr>
                  <w:divsChild>
                    <w:div w:id="1895190044">
                      <w:marLeft w:val="0"/>
                      <w:marRight w:val="0"/>
                      <w:marTop w:val="0"/>
                      <w:marBottom w:val="1500"/>
                      <w:divBdr>
                        <w:top w:val="none" w:sz="0" w:space="0" w:color="auto"/>
                        <w:left w:val="none" w:sz="0" w:space="0" w:color="auto"/>
                        <w:bottom w:val="none" w:sz="0" w:space="0" w:color="auto"/>
                        <w:right w:val="none" w:sz="0" w:space="0" w:color="auto"/>
                      </w:divBdr>
                    </w:div>
                  </w:divsChild>
                </w:div>
                <w:div w:id="594020971">
                  <w:marLeft w:val="0"/>
                  <w:marRight w:val="0"/>
                  <w:marTop w:val="0"/>
                  <w:marBottom w:val="0"/>
                  <w:divBdr>
                    <w:top w:val="none" w:sz="0" w:space="0" w:color="auto"/>
                    <w:left w:val="none" w:sz="0" w:space="0" w:color="auto"/>
                    <w:bottom w:val="none" w:sz="0" w:space="0" w:color="auto"/>
                    <w:right w:val="none" w:sz="0" w:space="0" w:color="auto"/>
                  </w:divBdr>
                  <w:divsChild>
                    <w:div w:id="1065376115">
                      <w:marLeft w:val="0"/>
                      <w:marRight w:val="0"/>
                      <w:marTop w:val="0"/>
                      <w:marBottom w:val="0"/>
                      <w:divBdr>
                        <w:top w:val="none" w:sz="0" w:space="0" w:color="auto"/>
                        <w:left w:val="none" w:sz="0" w:space="0" w:color="auto"/>
                        <w:bottom w:val="none" w:sz="0" w:space="0" w:color="auto"/>
                        <w:right w:val="none" w:sz="0" w:space="0" w:color="auto"/>
                      </w:divBdr>
                      <w:divsChild>
                        <w:div w:id="13634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91904">
                  <w:marLeft w:val="0"/>
                  <w:marRight w:val="0"/>
                  <w:marTop w:val="0"/>
                  <w:marBottom w:val="0"/>
                  <w:divBdr>
                    <w:top w:val="none" w:sz="0" w:space="0" w:color="auto"/>
                    <w:left w:val="none" w:sz="0" w:space="0" w:color="auto"/>
                    <w:bottom w:val="none" w:sz="0" w:space="0" w:color="auto"/>
                    <w:right w:val="none" w:sz="0" w:space="0" w:color="auto"/>
                  </w:divBdr>
                  <w:divsChild>
                    <w:div w:id="1613702835">
                      <w:marLeft w:val="0"/>
                      <w:marRight w:val="0"/>
                      <w:marTop w:val="0"/>
                      <w:marBottom w:val="0"/>
                      <w:divBdr>
                        <w:top w:val="none" w:sz="0" w:space="0" w:color="auto"/>
                        <w:left w:val="none" w:sz="0" w:space="0" w:color="auto"/>
                        <w:bottom w:val="none" w:sz="0" w:space="0" w:color="auto"/>
                        <w:right w:val="none" w:sz="0" w:space="0" w:color="auto"/>
                      </w:divBdr>
                      <w:divsChild>
                        <w:div w:id="804813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1053">
                  <w:marLeft w:val="0"/>
                  <w:marRight w:val="0"/>
                  <w:marTop w:val="0"/>
                  <w:marBottom w:val="0"/>
                  <w:divBdr>
                    <w:top w:val="none" w:sz="0" w:space="0" w:color="auto"/>
                    <w:left w:val="none" w:sz="0" w:space="0" w:color="auto"/>
                    <w:bottom w:val="none" w:sz="0" w:space="0" w:color="auto"/>
                    <w:right w:val="none" w:sz="0" w:space="0" w:color="auto"/>
                  </w:divBdr>
                  <w:divsChild>
                    <w:div w:id="692144981">
                      <w:marLeft w:val="0"/>
                      <w:marRight w:val="0"/>
                      <w:marTop w:val="0"/>
                      <w:marBottom w:val="0"/>
                      <w:divBdr>
                        <w:top w:val="none" w:sz="0" w:space="0" w:color="auto"/>
                        <w:left w:val="none" w:sz="0" w:space="0" w:color="auto"/>
                        <w:bottom w:val="none" w:sz="0" w:space="0" w:color="auto"/>
                        <w:right w:val="none" w:sz="0" w:space="0" w:color="auto"/>
                      </w:divBdr>
                      <w:divsChild>
                        <w:div w:id="70787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769804">
                  <w:marLeft w:val="0"/>
                  <w:marRight w:val="0"/>
                  <w:marTop w:val="0"/>
                  <w:marBottom w:val="0"/>
                  <w:divBdr>
                    <w:top w:val="none" w:sz="0" w:space="0" w:color="auto"/>
                    <w:left w:val="none" w:sz="0" w:space="0" w:color="auto"/>
                    <w:bottom w:val="none" w:sz="0" w:space="0" w:color="auto"/>
                    <w:right w:val="none" w:sz="0" w:space="0" w:color="auto"/>
                  </w:divBdr>
                  <w:divsChild>
                    <w:div w:id="1435052514">
                      <w:marLeft w:val="0"/>
                      <w:marRight w:val="0"/>
                      <w:marTop w:val="0"/>
                      <w:marBottom w:val="0"/>
                      <w:divBdr>
                        <w:top w:val="none" w:sz="0" w:space="0" w:color="auto"/>
                        <w:left w:val="none" w:sz="0" w:space="0" w:color="auto"/>
                        <w:bottom w:val="none" w:sz="0" w:space="0" w:color="auto"/>
                        <w:right w:val="none" w:sz="0" w:space="0" w:color="auto"/>
                      </w:divBdr>
                      <w:divsChild>
                        <w:div w:id="19245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81451">
                  <w:marLeft w:val="0"/>
                  <w:marRight w:val="0"/>
                  <w:marTop w:val="0"/>
                  <w:marBottom w:val="0"/>
                  <w:divBdr>
                    <w:top w:val="none" w:sz="0" w:space="0" w:color="auto"/>
                    <w:left w:val="none" w:sz="0" w:space="0" w:color="auto"/>
                    <w:bottom w:val="none" w:sz="0" w:space="0" w:color="auto"/>
                    <w:right w:val="none" w:sz="0" w:space="0" w:color="auto"/>
                  </w:divBdr>
                  <w:divsChild>
                    <w:div w:id="210264024">
                      <w:marLeft w:val="0"/>
                      <w:marRight w:val="0"/>
                      <w:marTop w:val="0"/>
                      <w:marBottom w:val="0"/>
                      <w:divBdr>
                        <w:top w:val="none" w:sz="0" w:space="0" w:color="auto"/>
                        <w:left w:val="none" w:sz="0" w:space="0" w:color="auto"/>
                        <w:bottom w:val="none" w:sz="0" w:space="0" w:color="auto"/>
                        <w:right w:val="none" w:sz="0" w:space="0" w:color="auto"/>
                      </w:divBdr>
                      <w:divsChild>
                        <w:div w:id="9617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737">
                  <w:marLeft w:val="0"/>
                  <w:marRight w:val="0"/>
                  <w:marTop w:val="450"/>
                  <w:marBottom w:val="0"/>
                  <w:divBdr>
                    <w:top w:val="none" w:sz="0" w:space="0" w:color="auto"/>
                    <w:left w:val="none" w:sz="0" w:space="0" w:color="auto"/>
                    <w:bottom w:val="none" w:sz="0" w:space="0" w:color="auto"/>
                    <w:right w:val="none" w:sz="0" w:space="0" w:color="auto"/>
                  </w:divBdr>
                  <w:divsChild>
                    <w:div w:id="283197071">
                      <w:marLeft w:val="0"/>
                      <w:marRight w:val="0"/>
                      <w:marTop w:val="0"/>
                      <w:marBottom w:val="0"/>
                      <w:divBdr>
                        <w:top w:val="none" w:sz="0" w:space="0" w:color="auto"/>
                        <w:left w:val="none" w:sz="0" w:space="0" w:color="auto"/>
                        <w:bottom w:val="none" w:sz="0" w:space="0" w:color="auto"/>
                        <w:right w:val="none" w:sz="0" w:space="0" w:color="auto"/>
                      </w:divBdr>
                    </w:div>
                  </w:divsChild>
                </w:div>
                <w:div w:id="1956670330">
                  <w:marLeft w:val="0"/>
                  <w:marRight w:val="0"/>
                  <w:marTop w:val="450"/>
                  <w:marBottom w:val="0"/>
                  <w:divBdr>
                    <w:top w:val="none" w:sz="0" w:space="0" w:color="auto"/>
                    <w:left w:val="none" w:sz="0" w:space="0" w:color="auto"/>
                    <w:bottom w:val="none" w:sz="0" w:space="0" w:color="auto"/>
                    <w:right w:val="none" w:sz="0" w:space="0" w:color="auto"/>
                  </w:divBdr>
                  <w:divsChild>
                    <w:div w:id="1909923064">
                      <w:marLeft w:val="0"/>
                      <w:marRight w:val="0"/>
                      <w:marTop w:val="0"/>
                      <w:marBottom w:val="3750"/>
                      <w:divBdr>
                        <w:top w:val="none" w:sz="0" w:space="0" w:color="auto"/>
                        <w:left w:val="none" w:sz="0" w:space="0" w:color="auto"/>
                        <w:bottom w:val="none" w:sz="0" w:space="0" w:color="auto"/>
                        <w:right w:val="none" w:sz="0" w:space="0" w:color="auto"/>
                      </w:divBdr>
                    </w:div>
                    <w:div w:id="1611164382">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831986727">
              <w:marLeft w:val="0"/>
              <w:marRight w:val="0"/>
              <w:marTop w:val="0"/>
              <w:marBottom w:val="0"/>
              <w:divBdr>
                <w:top w:val="none" w:sz="0" w:space="0" w:color="auto"/>
                <w:left w:val="none" w:sz="0" w:space="0" w:color="auto"/>
                <w:bottom w:val="none" w:sz="0" w:space="0" w:color="auto"/>
                <w:right w:val="none" w:sz="0" w:space="0" w:color="auto"/>
              </w:divBdr>
              <w:divsChild>
                <w:div w:id="573442308">
                  <w:marLeft w:val="0"/>
                  <w:marRight w:val="0"/>
                  <w:marTop w:val="900"/>
                  <w:marBottom w:val="600"/>
                  <w:divBdr>
                    <w:top w:val="none" w:sz="0" w:space="0" w:color="auto"/>
                    <w:left w:val="none" w:sz="0" w:space="0" w:color="auto"/>
                    <w:bottom w:val="none" w:sz="0" w:space="0" w:color="auto"/>
                    <w:right w:val="none" w:sz="0" w:space="0" w:color="auto"/>
                  </w:divBdr>
                </w:div>
                <w:div w:id="669068012">
                  <w:marLeft w:val="0"/>
                  <w:marRight w:val="0"/>
                  <w:marTop w:val="0"/>
                  <w:marBottom w:val="0"/>
                  <w:divBdr>
                    <w:top w:val="none" w:sz="0" w:space="0" w:color="auto"/>
                    <w:left w:val="none" w:sz="0" w:space="0" w:color="auto"/>
                    <w:bottom w:val="none" w:sz="0" w:space="0" w:color="auto"/>
                    <w:right w:val="none" w:sz="0" w:space="0" w:color="auto"/>
                  </w:divBdr>
                  <w:divsChild>
                    <w:div w:id="192356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368011">
              <w:marLeft w:val="0"/>
              <w:marRight w:val="0"/>
              <w:marTop w:val="0"/>
              <w:marBottom w:val="0"/>
              <w:divBdr>
                <w:top w:val="none" w:sz="0" w:space="0" w:color="auto"/>
                <w:left w:val="none" w:sz="0" w:space="0" w:color="auto"/>
                <w:bottom w:val="none" w:sz="0" w:space="0" w:color="auto"/>
                <w:right w:val="none" w:sz="0" w:space="0" w:color="auto"/>
              </w:divBdr>
              <w:divsChild>
                <w:div w:id="195510996">
                  <w:marLeft w:val="0"/>
                  <w:marRight w:val="0"/>
                  <w:marTop w:val="900"/>
                  <w:marBottom w:val="600"/>
                  <w:divBdr>
                    <w:top w:val="none" w:sz="0" w:space="0" w:color="auto"/>
                    <w:left w:val="none" w:sz="0" w:space="0" w:color="auto"/>
                    <w:bottom w:val="none" w:sz="0" w:space="0" w:color="auto"/>
                    <w:right w:val="none" w:sz="0" w:space="0" w:color="auto"/>
                  </w:divBdr>
                </w:div>
                <w:div w:id="1638993989">
                  <w:marLeft w:val="0"/>
                  <w:marRight w:val="0"/>
                  <w:marTop w:val="0"/>
                  <w:marBottom w:val="0"/>
                  <w:divBdr>
                    <w:top w:val="none" w:sz="0" w:space="0" w:color="auto"/>
                    <w:left w:val="none" w:sz="0" w:space="0" w:color="auto"/>
                    <w:bottom w:val="none" w:sz="0" w:space="0" w:color="auto"/>
                    <w:right w:val="none" w:sz="0" w:space="0" w:color="auto"/>
                  </w:divBdr>
                  <w:divsChild>
                    <w:div w:id="156814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356473">
              <w:marLeft w:val="0"/>
              <w:marRight w:val="0"/>
              <w:marTop w:val="0"/>
              <w:marBottom w:val="0"/>
              <w:divBdr>
                <w:top w:val="none" w:sz="0" w:space="0" w:color="auto"/>
                <w:left w:val="none" w:sz="0" w:space="0" w:color="auto"/>
                <w:bottom w:val="none" w:sz="0" w:space="0" w:color="auto"/>
                <w:right w:val="none" w:sz="0" w:space="0" w:color="auto"/>
              </w:divBdr>
              <w:divsChild>
                <w:div w:id="89012416">
                  <w:marLeft w:val="0"/>
                  <w:marRight w:val="0"/>
                  <w:marTop w:val="900"/>
                  <w:marBottom w:val="600"/>
                  <w:divBdr>
                    <w:top w:val="none" w:sz="0" w:space="0" w:color="auto"/>
                    <w:left w:val="none" w:sz="0" w:space="0" w:color="auto"/>
                    <w:bottom w:val="none" w:sz="0" w:space="0" w:color="auto"/>
                    <w:right w:val="none" w:sz="0" w:space="0" w:color="auto"/>
                  </w:divBdr>
                </w:div>
              </w:divsChild>
            </w:div>
            <w:div w:id="993334003">
              <w:marLeft w:val="0"/>
              <w:marRight w:val="0"/>
              <w:marTop w:val="0"/>
              <w:marBottom w:val="0"/>
              <w:divBdr>
                <w:top w:val="none" w:sz="0" w:space="0" w:color="auto"/>
                <w:left w:val="none" w:sz="0" w:space="0" w:color="auto"/>
                <w:bottom w:val="none" w:sz="0" w:space="0" w:color="auto"/>
                <w:right w:val="none" w:sz="0" w:space="0" w:color="auto"/>
              </w:divBdr>
              <w:divsChild>
                <w:div w:id="1468470233">
                  <w:marLeft w:val="0"/>
                  <w:marRight w:val="0"/>
                  <w:marTop w:val="900"/>
                  <w:marBottom w:val="600"/>
                  <w:divBdr>
                    <w:top w:val="none" w:sz="0" w:space="0" w:color="auto"/>
                    <w:left w:val="none" w:sz="0" w:space="0" w:color="auto"/>
                    <w:bottom w:val="none" w:sz="0" w:space="0" w:color="auto"/>
                    <w:right w:val="none" w:sz="0" w:space="0" w:color="auto"/>
                  </w:divBdr>
                </w:div>
                <w:div w:id="783307213">
                  <w:marLeft w:val="0"/>
                  <w:marRight w:val="0"/>
                  <w:marTop w:val="0"/>
                  <w:marBottom w:val="0"/>
                  <w:divBdr>
                    <w:top w:val="none" w:sz="0" w:space="0" w:color="auto"/>
                    <w:left w:val="none" w:sz="0" w:space="0" w:color="auto"/>
                    <w:bottom w:val="none" w:sz="0" w:space="0" w:color="auto"/>
                    <w:right w:val="none" w:sz="0" w:space="0" w:color="auto"/>
                  </w:divBdr>
                  <w:divsChild>
                    <w:div w:id="401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80734">
              <w:marLeft w:val="0"/>
              <w:marRight w:val="0"/>
              <w:marTop w:val="0"/>
              <w:marBottom w:val="0"/>
              <w:divBdr>
                <w:top w:val="none" w:sz="0" w:space="0" w:color="auto"/>
                <w:left w:val="none" w:sz="0" w:space="0" w:color="auto"/>
                <w:bottom w:val="none" w:sz="0" w:space="0" w:color="auto"/>
                <w:right w:val="none" w:sz="0" w:space="0" w:color="auto"/>
              </w:divBdr>
              <w:divsChild>
                <w:div w:id="179123045">
                  <w:marLeft w:val="0"/>
                  <w:marRight w:val="0"/>
                  <w:marTop w:val="900"/>
                  <w:marBottom w:val="600"/>
                  <w:divBdr>
                    <w:top w:val="none" w:sz="0" w:space="0" w:color="auto"/>
                    <w:left w:val="none" w:sz="0" w:space="0" w:color="auto"/>
                    <w:bottom w:val="none" w:sz="0" w:space="0" w:color="auto"/>
                    <w:right w:val="none" w:sz="0" w:space="0" w:color="auto"/>
                  </w:divBdr>
                </w:div>
                <w:div w:id="1440493000">
                  <w:marLeft w:val="0"/>
                  <w:marRight w:val="0"/>
                  <w:marTop w:val="0"/>
                  <w:marBottom w:val="0"/>
                  <w:divBdr>
                    <w:top w:val="none" w:sz="0" w:space="0" w:color="auto"/>
                    <w:left w:val="none" w:sz="0" w:space="0" w:color="auto"/>
                    <w:bottom w:val="none" w:sz="0" w:space="0" w:color="auto"/>
                    <w:right w:val="none" w:sz="0" w:space="0" w:color="auto"/>
                  </w:divBdr>
                  <w:divsChild>
                    <w:div w:id="105423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28770">
              <w:marLeft w:val="0"/>
              <w:marRight w:val="0"/>
              <w:marTop w:val="0"/>
              <w:marBottom w:val="0"/>
              <w:divBdr>
                <w:top w:val="none" w:sz="0" w:space="0" w:color="auto"/>
                <w:left w:val="none" w:sz="0" w:space="0" w:color="auto"/>
                <w:bottom w:val="none" w:sz="0" w:space="0" w:color="auto"/>
                <w:right w:val="none" w:sz="0" w:space="0" w:color="auto"/>
              </w:divBdr>
              <w:divsChild>
                <w:div w:id="795374245">
                  <w:marLeft w:val="0"/>
                  <w:marRight w:val="0"/>
                  <w:marTop w:val="900"/>
                  <w:marBottom w:val="600"/>
                  <w:divBdr>
                    <w:top w:val="none" w:sz="0" w:space="0" w:color="auto"/>
                    <w:left w:val="none" w:sz="0" w:space="0" w:color="auto"/>
                    <w:bottom w:val="none" w:sz="0" w:space="0" w:color="auto"/>
                    <w:right w:val="none" w:sz="0" w:space="0" w:color="auto"/>
                  </w:divBdr>
                </w:div>
                <w:div w:id="1381780117">
                  <w:marLeft w:val="0"/>
                  <w:marRight w:val="0"/>
                  <w:marTop w:val="0"/>
                  <w:marBottom w:val="0"/>
                  <w:divBdr>
                    <w:top w:val="none" w:sz="0" w:space="0" w:color="auto"/>
                    <w:left w:val="none" w:sz="0" w:space="0" w:color="auto"/>
                    <w:bottom w:val="none" w:sz="0" w:space="0" w:color="auto"/>
                    <w:right w:val="none" w:sz="0" w:space="0" w:color="auto"/>
                  </w:divBdr>
                  <w:divsChild>
                    <w:div w:id="121859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22339">
              <w:marLeft w:val="0"/>
              <w:marRight w:val="0"/>
              <w:marTop w:val="0"/>
              <w:marBottom w:val="0"/>
              <w:divBdr>
                <w:top w:val="none" w:sz="0" w:space="0" w:color="auto"/>
                <w:left w:val="none" w:sz="0" w:space="0" w:color="auto"/>
                <w:bottom w:val="none" w:sz="0" w:space="0" w:color="auto"/>
                <w:right w:val="none" w:sz="0" w:space="0" w:color="auto"/>
              </w:divBdr>
              <w:divsChild>
                <w:div w:id="998458391">
                  <w:marLeft w:val="0"/>
                  <w:marRight w:val="0"/>
                  <w:marTop w:val="900"/>
                  <w:marBottom w:val="600"/>
                  <w:divBdr>
                    <w:top w:val="none" w:sz="0" w:space="0" w:color="auto"/>
                    <w:left w:val="none" w:sz="0" w:space="0" w:color="auto"/>
                    <w:bottom w:val="none" w:sz="0" w:space="0" w:color="auto"/>
                    <w:right w:val="none" w:sz="0" w:space="0" w:color="auto"/>
                  </w:divBdr>
                </w:div>
                <w:div w:id="116877599">
                  <w:marLeft w:val="0"/>
                  <w:marRight w:val="0"/>
                  <w:marTop w:val="0"/>
                  <w:marBottom w:val="0"/>
                  <w:divBdr>
                    <w:top w:val="none" w:sz="0" w:space="0" w:color="auto"/>
                    <w:left w:val="none" w:sz="0" w:space="0" w:color="auto"/>
                    <w:bottom w:val="none" w:sz="0" w:space="0" w:color="auto"/>
                    <w:right w:val="none" w:sz="0" w:space="0" w:color="auto"/>
                  </w:divBdr>
                  <w:divsChild>
                    <w:div w:id="107335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059198">
              <w:marLeft w:val="0"/>
              <w:marRight w:val="0"/>
              <w:marTop w:val="0"/>
              <w:marBottom w:val="0"/>
              <w:divBdr>
                <w:top w:val="none" w:sz="0" w:space="0" w:color="auto"/>
                <w:left w:val="none" w:sz="0" w:space="0" w:color="auto"/>
                <w:bottom w:val="none" w:sz="0" w:space="0" w:color="auto"/>
                <w:right w:val="none" w:sz="0" w:space="0" w:color="auto"/>
              </w:divBdr>
              <w:divsChild>
                <w:div w:id="465466896">
                  <w:marLeft w:val="0"/>
                  <w:marRight w:val="0"/>
                  <w:marTop w:val="900"/>
                  <w:marBottom w:val="600"/>
                  <w:divBdr>
                    <w:top w:val="none" w:sz="0" w:space="0" w:color="auto"/>
                    <w:left w:val="none" w:sz="0" w:space="0" w:color="auto"/>
                    <w:bottom w:val="none" w:sz="0" w:space="0" w:color="auto"/>
                    <w:right w:val="none" w:sz="0" w:space="0" w:color="auto"/>
                  </w:divBdr>
                </w:div>
                <w:div w:id="725223472">
                  <w:marLeft w:val="0"/>
                  <w:marRight w:val="0"/>
                  <w:marTop w:val="0"/>
                  <w:marBottom w:val="0"/>
                  <w:divBdr>
                    <w:top w:val="none" w:sz="0" w:space="0" w:color="auto"/>
                    <w:left w:val="none" w:sz="0" w:space="0" w:color="auto"/>
                    <w:bottom w:val="none" w:sz="0" w:space="0" w:color="auto"/>
                    <w:right w:val="none" w:sz="0" w:space="0" w:color="auto"/>
                  </w:divBdr>
                  <w:divsChild>
                    <w:div w:id="201707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18526">
              <w:marLeft w:val="0"/>
              <w:marRight w:val="0"/>
              <w:marTop w:val="0"/>
              <w:marBottom w:val="0"/>
              <w:divBdr>
                <w:top w:val="none" w:sz="0" w:space="0" w:color="auto"/>
                <w:left w:val="none" w:sz="0" w:space="0" w:color="auto"/>
                <w:bottom w:val="none" w:sz="0" w:space="0" w:color="auto"/>
                <w:right w:val="none" w:sz="0" w:space="0" w:color="auto"/>
              </w:divBdr>
              <w:divsChild>
                <w:div w:id="1549603522">
                  <w:marLeft w:val="0"/>
                  <w:marRight w:val="0"/>
                  <w:marTop w:val="900"/>
                  <w:marBottom w:val="600"/>
                  <w:divBdr>
                    <w:top w:val="none" w:sz="0" w:space="0" w:color="auto"/>
                    <w:left w:val="none" w:sz="0" w:space="0" w:color="auto"/>
                    <w:bottom w:val="none" w:sz="0" w:space="0" w:color="auto"/>
                    <w:right w:val="none" w:sz="0" w:space="0" w:color="auto"/>
                  </w:divBdr>
                </w:div>
                <w:div w:id="845553808">
                  <w:marLeft w:val="0"/>
                  <w:marRight w:val="0"/>
                  <w:marTop w:val="0"/>
                  <w:marBottom w:val="0"/>
                  <w:divBdr>
                    <w:top w:val="none" w:sz="0" w:space="0" w:color="auto"/>
                    <w:left w:val="none" w:sz="0" w:space="0" w:color="auto"/>
                    <w:bottom w:val="none" w:sz="0" w:space="0" w:color="auto"/>
                    <w:right w:val="none" w:sz="0" w:space="0" w:color="auto"/>
                  </w:divBdr>
                  <w:divsChild>
                    <w:div w:id="47272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514717">
              <w:marLeft w:val="0"/>
              <w:marRight w:val="0"/>
              <w:marTop w:val="0"/>
              <w:marBottom w:val="0"/>
              <w:divBdr>
                <w:top w:val="none" w:sz="0" w:space="0" w:color="auto"/>
                <w:left w:val="none" w:sz="0" w:space="0" w:color="auto"/>
                <w:bottom w:val="none" w:sz="0" w:space="0" w:color="auto"/>
                <w:right w:val="none" w:sz="0" w:space="0" w:color="auto"/>
              </w:divBdr>
              <w:divsChild>
                <w:div w:id="721714035">
                  <w:marLeft w:val="0"/>
                  <w:marRight w:val="0"/>
                  <w:marTop w:val="900"/>
                  <w:marBottom w:val="600"/>
                  <w:divBdr>
                    <w:top w:val="none" w:sz="0" w:space="0" w:color="auto"/>
                    <w:left w:val="none" w:sz="0" w:space="0" w:color="auto"/>
                    <w:bottom w:val="none" w:sz="0" w:space="0" w:color="auto"/>
                    <w:right w:val="none" w:sz="0" w:space="0" w:color="auto"/>
                  </w:divBdr>
                </w:div>
                <w:div w:id="1596792531">
                  <w:marLeft w:val="0"/>
                  <w:marRight w:val="0"/>
                  <w:marTop w:val="0"/>
                  <w:marBottom w:val="0"/>
                  <w:divBdr>
                    <w:top w:val="none" w:sz="0" w:space="0" w:color="auto"/>
                    <w:left w:val="none" w:sz="0" w:space="0" w:color="auto"/>
                    <w:bottom w:val="none" w:sz="0" w:space="0" w:color="auto"/>
                    <w:right w:val="none" w:sz="0" w:space="0" w:color="auto"/>
                  </w:divBdr>
                  <w:divsChild>
                    <w:div w:id="190942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2092">
              <w:marLeft w:val="0"/>
              <w:marRight w:val="0"/>
              <w:marTop w:val="0"/>
              <w:marBottom w:val="0"/>
              <w:divBdr>
                <w:top w:val="none" w:sz="0" w:space="0" w:color="auto"/>
                <w:left w:val="none" w:sz="0" w:space="0" w:color="auto"/>
                <w:bottom w:val="none" w:sz="0" w:space="0" w:color="auto"/>
                <w:right w:val="none" w:sz="0" w:space="0" w:color="auto"/>
              </w:divBdr>
              <w:divsChild>
                <w:div w:id="1592663171">
                  <w:marLeft w:val="0"/>
                  <w:marRight w:val="0"/>
                  <w:marTop w:val="900"/>
                  <w:marBottom w:val="600"/>
                  <w:divBdr>
                    <w:top w:val="none" w:sz="0" w:space="0" w:color="auto"/>
                    <w:left w:val="none" w:sz="0" w:space="0" w:color="auto"/>
                    <w:bottom w:val="none" w:sz="0" w:space="0" w:color="auto"/>
                    <w:right w:val="none" w:sz="0" w:space="0" w:color="auto"/>
                  </w:divBdr>
                </w:div>
                <w:div w:id="1455558583">
                  <w:marLeft w:val="0"/>
                  <w:marRight w:val="0"/>
                  <w:marTop w:val="0"/>
                  <w:marBottom w:val="0"/>
                  <w:divBdr>
                    <w:top w:val="none" w:sz="0" w:space="0" w:color="auto"/>
                    <w:left w:val="none" w:sz="0" w:space="0" w:color="auto"/>
                    <w:bottom w:val="none" w:sz="0" w:space="0" w:color="auto"/>
                    <w:right w:val="none" w:sz="0" w:space="0" w:color="auto"/>
                  </w:divBdr>
                  <w:divsChild>
                    <w:div w:id="199098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681953">
              <w:marLeft w:val="0"/>
              <w:marRight w:val="0"/>
              <w:marTop w:val="0"/>
              <w:marBottom w:val="0"/>
              <w:divBdr>
                <w:top w:val="none" w:sz="0" w:space="0" w:color="auto"/>
                <w:left w:val="none" w:sz="0" w:space="0" w:color="auto"/>
                <w:bottom w:val="none" w:sz="0" w:space="0" w:color="auto"/>
                <w:right w:val="none" w:sz="0" w:space="0" w:color="auto"/>
              </w:divBdr>
              <w:divsChild>
                <w:div w:id="364449701">
                  <w:marLeft w:val="0"/>
                  <w:marRight w:val="0"/>
                  <w:marTop w:val="900"/>
                  <w:marBottom w:val="600"/>
                  <w:divBdr>
                    <w:top w:val="none" w:sz="0" w:space="0" w:color="auto"/>
                    <w:left w:val="none" w:sz="0" w:space="0" w:color="auto"/>
                    <w:bottom w:val="none" w:sz="0" w:space="0" w:color="auto"/>
                    <w:right w:val="none" w:sz="0" w:space="0" w:color="auto"/>
                  </w:divBdr>
                </w:div>
                <w:div w:id="1648895228">
                  <w:marLeft w:val="0"/>
                  <w:marRight w:val="0"/>
                  <w:marTop w:val="0"/>
                  <w:marBottom w:val="0"/>
                  <w:divBdr>
                    <w:top w:val="none" w:sz="0" w:space="0" w:color="auto"/>
                    <w:left w:val="none" w:sz="0" w:space="0" w:color="auto"/>
                    <w:bottom w:val="none" w:sz="0" w:space="0" w:color="auto"/>
                    <w:right w:val="none" w:sz="0" w:space="0" w:color="auto"/>
                  </w:divBdr>
                  <w:divsChild>
                    <w:div w:id="192036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244434">
              <w:marLeft w:val="0"/>
              <w:marRight w:val="0"/>
              <w:marTop w:val="0"/>
              <w:marBottom w:val="0"/>
              <w:divBdr>
                <w:top w:val="none" w:sz="0" w:space="0" w:color="auto"/>
                <w:left w:val="none" w:sz="0" w:space="0" w:color="auto"/>
                <w:bottom w:val="none" w:sz="0" w:space="0" w:color="auto"/>
                <w:right w:val="none" w:sz="0" w:space="0" w:color="auto"/>
              </w:divBdr>
              <w:divsChild>
                <w:div w:id="1993755364">
                  <w:marLeft w:val="0"/>
                  <w:marRight w:val="0"/>
                  <w:marTop w:val="900"/>
                  <w:marBottom w:val="600"/>
                  <w:divBdr>
                    <w:top w:val="none" w:sz="0" w:space="0" w:color="auto"/>
                    <w:left w:val="none" w:sz="0" w:space="0" w:color="auto"/>
                    <w:bottom w:val="none" w:sz="0" w:space="0" w:color="auto"/>
                    <w:right w:val="none" w:sz="0" w:space="0" w:color="auto"/>
                  </w:divBdr>
                </w:div>
                <w:div w:id="1610236905">
                  <w:marLeft w:val="0"/>
                  <w:marRight w:val="0"/>
                  <w:marTop w:val="0"/>
                  <w:marBottom w:val="0"/>
                  <w:divBdr>
                    <w:top w:val="none" w:sz="0" w:space="0" w:color="auto"/>
                    <w:left w:val="none" w:sz="0" w:space="0" w:color="auto"/>
                    <w:bottom w:val="none" w:sz="0" w:space="0" w:color="auto"/>
                    <w:right w:val="none" w:sz="0" w:space="0" w:color="auto"/>
                  </w:divBdr>
                  <w:divsChild>
                    <w:div w:id="186766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530503">
              <w:marLeft w:val="0"/>
              <w:marRight w:val="0"/>
              <w:marTop w:val="0"/>
              <w:marBottom w:val="0"/>
              <w:divBdr>
                <w:top w:val="none" w:sz="0" w:space="0" w:color="auto"/>
                <w:left w:val="none" w:sz="0" w:space="0" w:color="auto"/>
                <w:bottom w:val="none" w:sz="0" w:space="0" w:color="auto"/>
                <w:right w:val="none" w:sz="0" w:space="0" w:color="auto"/>
              </w:divBdr>
              <w:divsChild>
                <w:div w:id="1991472749">
                  <w:marLeft w:val="0"/>
                  <w:marRight w:val="0"/>
                  <w:marTop w:val="900"/>
                  <w:marBottom w:val="600"/>
                  <w:divBdr>
                    <w:top w:val="none" w:sz="0" w:space="0" w:color="auto"/>
                    <w:left w:val="none" w:sz="0" w:space="0" w:color="auto"/>
                    <w:bottom w:val="none" w:sz="0" w:space="0" w:color="auto"/>
                    <w:right w:val="none" w:sz="0" w:space="0" w:color="auto"/>
                  </w:divBdr>
                </w:div>
                <w:div w:id="1499420245">
                  <w:marLeft w:val="0"/>
                  <w:marRight w:val="0"/>
                  <w:marTop w:val="0"/>
                  <w:marBottom w:val="0"/>
                  <w:divBdr>
                    <w:top w:val="none" w:sz="0" w:space="0" w:color="auto"/>
                    <w:left w:val="none" w:sz="0" w:space="0" w:color="auto"/>
                    <w:bottom w:val="none" w:sz="0" w:space="0" w:color="auto"/>
                    <w:right w:val="none" w:sz="0" w:space="0" w:color="auto"/>
                  </w:divBdr>
                  <w:divsChild>
                    <w:div w:id="100763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458719">
              <w:marLeft w:val="0"/>
              <w:marRight w:val="0"/>
              <w:marTop w:val="0"/>
              <w:marBottom w:val="0"/>
              <w:divBdr>
                <w:top w:val="none" w:sz="0" w:space="0" w:color="auto"/>
                <w:left w:val="none" w:sz="0" w:space="0" w:color="auto"/>
                <w:bottom w:val="none" w:sz="0" w:space="0" w:color="auto"/>
                <w:right w:val="none" w:sz="0" w:space="0" w:color="auto"/>
              </w:divBdr>
              <w:divsChild>
                <w:div w:id="764375075">
                  <w:marLeft w:val="0"/>
                  <w:marRight w:val="0"/>
                  <w:marTop w:val="900"/>
                  <w:marBottom w:val="600"/>
                  <w:divBdr>
                    <w:top w:val="none" w:sz="0" w:space="0" w:color="auto"/>
                    <w:left w:val="none" w:sz="0" w:space="0" w:color="auto"/>
                    <w:bottom w:val="none" w:sz="0" w:space="0" w:color="auto"/>
                    <w:right w:val="none" w:sz="0" w:space="0" w:color="auto"/>
                  </w:divBdr>
                </w:div>
                <w:div w:id="2013678995">
                  <w:marLeft w:val="0"/>
                  <w:marRight w:val="0"/>
                  <w:marTop w:val="0"/>
                  <w:marBottom w:val="0"/>
                  <w:divBdr>
                    <w:top w:val="none" w:sz="0" w:space="0" w:color="auto"/>
                    <w:left w:val="none" w:sz="0" w:space="0" w:color="auto"/>
                    <w:bottom w:val="none" w:sz="0" w:space="0" w:color="auto"/>
                    <w:right w:val="none" w:sz="0" w:space="0" w:color="auto"/>
                  </w:divBdr>
                  <w:divsChild>
                    <w:div w:id="144769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604814">
              <w:marLeft w:val="0"/>
              <w:marRight w:val="0"/>
              <w:marTop w:val="0"/>
              <w:marBottom w:val="0"/>
              <w:divBdr>
                <w:top w:val="none" w:sz="0" w:space="0" w:color="auto"/>
                <w:left w:val="none" w:sz="0" w:space="0" w:color="auto"/>
                <w:bottom w:val="none" w:sz="0" w:space="0" w:color="auto"/>
                <w:right w:val="none" w:sz="0" w:space="0" w:color="auto"/>
              </w:divBdr>
              <w:divsChild>
                <w:div w:id="477260011">
                  <w:marLeft w:val="0"/>
                  <w:marRight w:val="0"/>
                  <w:marTop w:val="900"/>
                  <w:marBottom w:val="600"/>
                  <w:divBdr>
                    <w:top w:val="none" w:sz="0" w:space="0" w:color="auto"/>
                    <w:left w:val="none" w:sz="0" w:space="0" w:color="auto"/>
                    <w:bottom w:val="none" w:sz="0" w:space="0" w:color="auto"/>
                    <w:right w:val="none" w:sz="0" w:space="0" w:color="auto"/>
                  </w:divBdr>
                </w:div>
                <w:div w:id="173108149">
                  <w:marLeft w:val="0"/>
                  <w:marRight w:val="0"/>
                  <w:marTop w:val="0"/>
                  <w:marBottom w:val="0"/>
                  <w:divBdr>
                    <w:top w:val="none" w:sz="0" w:space="0" w:color="auto"/>
                    <w:left w:val="none" w:sz="0" w:space="0" w:color="auto"/>
                    <w:bottom w:val="none" w:sz="0" w:space="0" w:color="auto"/>
                    <w:right w:val="none" w:sz="0" w:space="0" w:color="auto"/>
                  </w:divBdr>
                  <w:divsChild>
                    <w:div w:id="86461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87179">
              <w:marLeft w:val="0"/>
              <w:marRight w:val="0"/>
              <w:marTop w:val="0"/>
              <w:marBottom w:val="0"/>
              <w:divBdr>
                <w:top w:val="none" w:sz="0" w:space="0" w:color="auto"/>
                <w:left w:val="none" w:sz="0" w:space="0" w:color="auto"/>
                <w:bottom w:val="none" w:sz="0" w:space="0" w:color="auto"/>
                <w:right w:val="none" w:sz="0" w:space="0" w:color="auto"/>
              </w:divBdr>
              <w:divsChild>
                <w:div w:id="1032389551">
                  <w:marLeft w:val="0"/>
                  <w:marRight w:val="0"/>
                  <w:marTop w:val="900"/>
                  <w:marBottom w:val="600"/>
                  <w:divBdr>
                    <w:top w:val="none" w:sz="0" w:space="0" w:color="auto"/>
                    <w:left w:val="none" w:sz="0" w:space="0" w:color="auto"/>
                    <w:bottom w:val="none" w:sz="0" w:space="0" w:color="auto"/>
                    <w:right w:val="none" w:sz="0" w:space="0" w:color="auto"/>
                  </w:divBdr>
                </w:div>
                <w:div w:id="237982921">
                  <w:marLeft w:val="0"/>
                  <w:marRight w:val="0"/>
                  <w:marTop w:val="0"/>
                  <w:marBottom w:val="0"/>
                  <w:divBdr>
                    <w:top w:val="none" w:sz="0" w:space="0" w:color="auto"/>
                    <w:left w:val="none" w:sz="0" w:space="0" w:color="auto"/>
                    <w:bottom w:val="none" w:sz="0" w:space="0" w:color="auto"/>
                    <w:right w:val="none" w:sz="0" w:space="0" w:color="auto"/>
                  </w:divBdr>
                  <w:divsChild>
                    <w:div w:id="936448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986100">
              <w:marLeft w:val="0"/>
              <w:marRight w:val="0"/>
              <w:marTop w:val="0"/>
              <w:marBottom w:val="0"/>
              <w:divBdr>
                <w:top w:val="none" w:sz="0" w:space="0" w:color="auto"/>
                <w:left w:val="none" w:sz="0" w:space="0" w:color="auto"/>
                <w:bottom w:val="none" w:sz="0" w:space="0" w:color="auto"/>
                <w:right w:val="none" w:sz="0" w:space="0" w:color="auto"/>
              </w:divBdr>
              <w:divsChild>
                <w:div w:id="524366989">
                  <w:marLeft w:val="0"/>
                  <w:marRight w:val="0"/>
                  <w:marTop w:val="900"/>
                  <w:marBottom w:val="600"/>
                  <w:divBdr>
                    <w:top w:val="none" w:sz="0" w:space="0" w:color="auto"/>
                    <w:left w:val="none" w:sz="0" w:space="0" w:color="auto"/>
                    <w:bottom w:val="none" w:sz="0" w:space="0" w:color="auto"/>
                    <w:right w:val="none" w:sz="0" w:space="0" w:color="auto"/>
                  </w:divBdr>
                </w:div>
                <w:div w:id="1838108330">
                  <w:marLeft w:val="0"/>
                  <w:marRight w:val="0"/>
                  <w:marTop w:val="0"/>
                  <w:marBottom w:val="0"/>
                  <w:divBdr>
                    <w:top w:val="none" w:sz="0" w:space="0" w:color="auto"/>
                    <w:left w:val="none" w:sz="0" w:space="0" w:color="auto"/>
                    <w:bottom w:val="none" w:sz="0" w:space="0" w:color="auto"/>
                    <w:right w:val="none" w:sz="0" w:space="0" w:color="auto"/>
                  </w:divBdr>
                  <w:divsChild>
                    <w:div w:id="6055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1921">
              <w:marLeft w:val="0"/>
              <w:marRight w:val="0"/>
              <w:marTop w:val="0"/>
              <w:marBottom w:val="0"/>
              <w:divBdr>
                <w:top w:val="none" w:sz="0" w:space="0" w:color="auto"/>
                <w:left w:val="none" w:sz="0" w:space="0" w:color="auto"/>
                <w:bottom w:val="none" w:sz="0" w:space="0" w:color="auto"/>
                <w:right w:val="none" w:sz="0" w:space="0" w:color="auto"/>
              </w:divBdr>
              <w:divsChild>
                <w:div w:id="1191607929">
                  <w:marLeft w:val="0"/>
                  <w:marRight w:val="0"/>
                  <w:marTop w:val="900"/>
                  <w:marBottom w:val="600"/>
                  <w:divBdr>
                    <w:top w:val="none" w:sz="0" w:space="0" w:color="auto"/>
                    <w:left w:val="none" w:sz="0" w:space="0" w:color="auto"/>
                    <w:bottom w:val="none" w:sz="0" w:space="0" w:color="auto"/>
                    <w:right w:val="none" w:sz="0" w:space="0" w:color="auto"/>
                  </w:divBdr>
                </w:div>
                <w:div w:id="1741321944">
                  <w:marLeft w:val="0"/>
                  <w:marRight w:val="0"/>
                  <w:marTop w:val="0"/>
                  <w:marBottom w:val="0"/>
                  <w:divBdr>
                    <w:top w:val="none" w:sz="0" w:space="0" w:color="auto"/>
                    <w:left w:val="none" w:sz="0" w:space="0" w:color="auto"/>
                    <w:bottom w:val="none" w:sz="0" w:space="0" w:color="auto"/>
                    <w:right w:val="none" w:sz="0" w:space="0" w:color="auto"/>
                  </w:divBdr>
                  <w:divsChild>
                    <w:div w:id="66605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619210">
              <w:marLeft w:val="0"/>
              <w:marRight w:val="0"/>
              <w:marTop w:val="0"/>
              <w:marBottom w:val="0"/>
              <w:divBdr>
                <w:top w:val="none" w:sz="0" w:space="0" w:color="auto"/>
                <w:left w:val="none" w:sz="0" w:space="0" w:color="auto"/>
                <w:bottom w:val="none" w:sz="0" w:space="0" w:color="auto"/>
                <w:right w:val="none" w:sz="0" w:space="0" w:color="auto"/>
              </w:divBdr>
              <w:divsChild>
                <w:div w:id="346903969">
                  <w:marLeft w:val="0"/>
                  <w:marRight w:val="0"/>
                  <w:marTop w:val="900"/>
                  <w:marBottom w:val="600"/>
                  <w:divBdr>
                    <w:top w:val="none" w:sz="0" w:space="0" w:color="auto"/>
                    <w:left w:val="none" w:sz="0" w:space="0" w:color="auto"/>
                    <w:bottom w:val="none" w:sz="0" w:space="0" w:color="auto"/>
                    <w:right w:val="none" w:sz="0" w:space="0" w:color="auto"/>
                  </w:divBdr>
                </w:div>
                <w:div w:id="1385829713">
                  <w:marLeft w:val="0"/>
                  <w:marRight w:val="0"/>
                  <w:marTop w:val="0"/>
                  <w:marBottom w:val="0"/>
                  <w:divBdr>
                    <w:top w:val="none" w:sz="0" w:space="0" w:color="auto"/>
                    <w:left w:val="none" w:sz="0" w:space="0" w:color="auto"/>
                    <w:bottom w:val="none" w:sz="0" w:space="0" w:color="auto"/>
                    <w:right w:val="none" w:sz="0" w:space="0" w:color="auto"/>
                  </w:divBdr>
                  <w:divsChild>
                    <w:div w:id="837690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967753">
              <w:marLeft w:val="0"/>
              <w:marRight w:val="0"/>
              <w:marTop w:val="0"/>
              <w:marBottom w:val="0"/>
              <w:divBdr>
                <w:top w:val="none" w:sz="0" w:space="0" w:color="auto"/>
                <w:left w:val="none" w:sz="0" w:space="0" w:color="auto"/>
                <w:bottom w:val="none" w:sz="0" w:space="0" w:color="auto"/>
                <w:right w:val="none" w:sz="0" w:space="0" w:color="auto"/>
              </w:divBdr>
              <w:divsChild>
                <w:div w:id="933635086">
                  <w:marLeft w:val="0"/>
                  <w:marRight w:val="0"/>
                  <w:marTop w:val="900"/>
                  <w:marBottom w:val="600"/>
                  <w:divBdr>
                    <w:top w:val="none" w:sz="0" w:space="0" w:color="auto"/>
                    <w:left w:val="none" w:sz="0" w:space="0" w:color="auto"/>
                    <w:bottom w:val="none" w:sz="0" w:space="0" w:color="auto"/>
                    <w:right w:val="none" w:sz="0" w:space="0" w:color="auto"/>
                  </w:divBdr>
                </w:div>
                <w:div w:id="758909498">
                  <w:marLeft w:val="0"/>
                  <w:marRight w:val="0"/>
                  <w:marTop w:val="0"/>
                  <w:marBottom w:val="0"/>
                  <w:divBdr>
                    <w:top w:val="none" w:sz="0" w:space="0" w:color="auto"/>
                    <w:left w:val="none" w:sz="0" w:space="0" w:color="auto"/>
                    <w:bottom w:val="none" w:sz="0" w:space="0" w:color="auto"/>
                    <w:right w:val="none" w:sz="0" w:space="0" w:color="auto"/>
                  </w:divBdr>
                  <w:divsChild>
                    <w:div w:id="1414624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351892">
              <w:marLeft w:val="0"/>
              <w:marRight w:val="0"/>
              <w:marTop w:val="0"/>
              <w:marBottom w:val="0"/>
              <w:divBdr>
                <w:top w:val="none" w:sz="0" w:space="0" w:color="auto"/>
                <w:left w:val="none" w:sz="0" w:space="0" w:color="auto"/>
                <w:bottom w:val="none" w:sz="0" w:space="0" w:color="auto"/>
                <w:right w:val="none" w:sz="0" w:space="0" w:color="auto"/>
              </w:divBdr>
              <w:divsChild>
                <w:div w:id="723063449">
                  <w:marLeft w:val="0"/>
                  <w:marRight w:val="0"/>
                  <w:marTop w:val="900"/>
                  <w:marBottom w:val="600"/>
                  <w:divBdr>
                    <w:top w:val="none" w:sz="0" w:space="0" w:color="auto"/>
                    <w:left w:val="none" w:sz="0" w:space="0" w:color="auto"/>
                    <w:bottom w:val="none" w:sz="0" w:space="0" w:color="auto"/>
                    <w:right w:val="none" w:sz="0" w:space="0" w:color="auto"/>
                  </w:divBdr>
                </w:div>
                <w:div w:id="788085430">
                  <w:marLeft w:val="0"/>
                  <w:marRight w:val="0"/>
                  <w:marTop w:val="0"/>
                  <w:marBottom w:val="0"/>
                  <w:divBdr>
                    <w:top w:val="none" w:sz="0" w:space="0" w:color="auto"/>
                    <w:left w:val="none" w:sz="0" w:space="0" w:color="auto"/>
                    <w:bottom w:val="none" w:sz="0" w:space="0" w:color="auto"/>
                    <w:right w:val="none" w:sz="0" w:space="0" w:color="auto"/>
                  </w:divBdr>
                  <w:divsChild>
                    <w:div w:id="78119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6445">
              <w:marLeft w:val="0"/>
              <w:marRight w:val="0"/>
              <w:marTop w:val="0"/>
              <w:marBottom w:val="0"/>
              <w:divBdr>
                <w:top w:val="none" w:sz="0" w:space="0" w:color="auto"/>
                <w:left w:val="none" w:sz="0" w:space="0" w:color="auto"/>
                <w:bottom w:val="none" w:sz="0" w:space="0" w:color="auto"/>
                <w:right w:val="none" w:sz="0" w:space="0" w:color="auto"/>
              </w:divBdr>
              <w:divsChild>
                <w:div w:id="637494343">
                  <w:marLeft w:val="0"/>
                  <w:marRight w:val="0"/>
                  <w:marTop w:val="900"/>
                  <w:marBottom w:val="600"/>
                  <w:divBdr>
                    <w:top w:val="none" w:sz="0" w:space="0" w:color="auto"/>
                    <w:left w:val="none" w:sz="0" w:space="0" w:color="auto"/>
                    <w:bottom w:val="none" w:sz="0" w:space="0" w:color="auto"/>
                    <w:right w:val="none" w:sz="0" w:space="0" w:color="auto"/>
                  </w:divBdr>
                </w:div>
                <w:div w:id="170805517">
                  <w:marLeft w:val="0"/>
                  <w:marRight w:val="0"/>
                  <w:marTop w:val="0"/>
                  <w:marBottom w:val="0"/>
                  <w:divBdr>
                    <w:top w:val="none" w:sz="0" w:space="0" w:color="auto"/>
                    <w:left w:val="none" w:sz="0" w:space="0" w:color="auto"/>
                    <w:bottom w:val="none" w:sz="0" w:space="0" w:color="auto"/>
                    <w:right w:val="none" w:sz="0" w:space="0" w:color="auto"/>
                  </w:divBdr>
                  <w:divsChild>
                    <w:div w:id="7389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276950">
              <w:marLeft w:val="0"/>
              <w:marRight w:val="0"/>
              <w:marTop w:val="0"/>
              <w:marBottom w:val="0"/>
              <w:divBdr>
                <w:top w:val="none" w:sz="0" w:space="0" w:color="auto"/>
                <w:left w:val="none" w:sz="0" w:space="0" w:color="auto"/>
                <w:bottom w:val="none" w:sz="0" w:space="0" w:color="auto"/>
                <w:right w:val="none" w:sz="0" w:space="0" w:color="auto"/>
              </w:divBdr>
              <w:divsChild>
                <w:div w:id="196241162">
                  <w:marLeft w:val="0"/>
                  <w:marRight w:val="0"/>
                  <w:marTop w:val="900"/>
                  <w:marBottom w:val="600"/>
                  <w:divBdr>
                    <w:top w:val="none" w:sz="0" w:space="0" w:color="auto"/>
                    <w:left w:val="none" w:sz="0" w:space="0" w:color="auto"/>
                    <w:bottom w:val="none" w:sz="0" w:space="0" w:color="auto"/>
                    <w:right w:val="none" w:sz="0" w:space="0" w:color="auto"/>
                  </w:divBdr>
                </w:div>
                <w:div w:id="1853953902">
                  <w:marLeft w:val="0"/>
                  <w:marRight w:val="0"/>
                  <w:marTop w:val="0"/>
                  <w:marBottom w:val="0"/>
                  <w:divBdr>
                    <w:top w:val="none" w:sz="0" w:space="0" w:color="auto"/>
                    <w:left w:val="none" w:sz="0" w:space="0" w:color="auto"/>
                    <w:bottom w:val="none" w:sz="0" w:space="0" w:color="auto"/>
                    <w:right w:val="none" w:sz="0" w:space="0" w:color="auto"/>
                  </w:divBdr>
                  <w:divsChild>
                    <w:div w:id="2076125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51169">
              <w:marLeft w:val="0"/>
              <w:marRight w:val="0"/>
              <w:marTop w:val="0"/>
              <w:marBottom w:val="0"/>
              <w:divBdr>
                <w:top w:val="none" w:sz="0" w:space="0" w:color="auto"/>
                <w:left w:val="none" w:sz="0" w:space="0" w:color="auto"/>
                <w:bottom w:val="none" w:sz="0" w:space="0" w:color="auto"/>
                <w:right w:val="none" w:sz="0" w:space="0" w:color="auto"/>
              </w:divBdr>
              <w:divsChild>
                <w:div w:id="1002587515">
                  <w:marLeft w:val="0"/>
                  <w:marRight w:val="0"/>
                  <w:marTop w:val="900"/>
                  <w:marBottom w:val="600"/>
                  <w:divBdr>
                    <w:top w:val="none" w:sz="0" w:space="0" w:color="auto"/>
                    <w:left w:val="none" w:sz="0" w:space="0" w:color="auto"/>
                    <w:bottom w:val="none" w:sz="0" w:space="0" w:color="auto"/>
                    <w:right w:val="none" w:sz="0" w:space="0" w:color="auto"/>
                  </w:divBdr>
                </w:div>
                <w:div w:id="2135824686">
                  <w:marLeft w:val="0"/>
                  <w:marRight w:val="0"/>
                  <w:marTop w:val="0"/>
                  <w:marBottom w:val="0"/>
                  <w:divBdr>
                    <w:top w:val="none" w:sz="0" w:space="0" w:color="auto"/>
                    <w:left w:val="none" w:sz="0" w:space="0" w:color="auto"/>
                    <w:bottom w:val="none" w:sz="0" w:space="0" w:color="auto"/>
                    <w:right w:val="none" w:sz="0" w:space="0" w:color="auto"/>
                  </w:divBdr>
                  <w:divsChild>
                    <w:div w:id="120849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2624015">
              <w:marLeft w:val="0"/>
              <w:marRight w:val="0"/>
              <w:marTop w:val="0"/>
              <w:marBottom w:val="0"/>
              <w:divBdr>
                <w:top w:val="none" w:sz="0" w:space="0" w:color="auto"/>
                <w:left w:val="none" w:sz="0" w:space="0" w:color="auto"/>
                <w:bottom w:val="none" w:sz="0" w:space="0" w:color="auto"/>
                <w:right w:val="none" w:sz="0" w:space="0" w:color="auto"/>
              </w:divBdr>
              <w:divsChild>
                <w:div w:id="259022137">
                  <w:marLeft w:val="0"/>
                  <w:marRight w:val="0"/>
                  <w:marTop w:val="900"/>
                  <w:marBottom w:val="600"/>
                  <w:divBdr>
                    <w:top w:val="none" w:sz="0" w:space="0" w:color="auto"/>
                    <w:left w:val="none" w:sz="0" w:space="0" w:color="auto"/>
                    <w:bottom w:val="none" w:sz="0" w:space="0" w:color="auto"/>
                    <w:right w:val="none" w:sz="0" w:space="0" w:color="auto"/>
                  </w:divBdr>
                </w:div>
                <w:div w:id="343017545">
                  <w:marLeft w:val="0"/>
                  <w:marRight w:val="0"/>
                  <w:marTop w:val="0"/>
                  <w:marBottom w:val="0"/>
                  <w:divBdr>
                    <w:top w:val="none" w:sz="0" w:space="0" w:color="auto"/>
                    <w:left w:val="none" w:sz="0" w:space="0" w:color="auto"/>
                    <w:bottom w:val="none" w:sz="0" w:space="0" w:color="auto"/>
                    <w:right w:val="none" w:sz="0" w:space="0" w:color="auto"/>
                  </w:divBdr>
                  <w:divsChild>
                    <w:div w:id="195363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612147">
              <w:marLeft w:val="0"/>
              <w:marRight w:val="0"/>
              <w:marTop w:val="0"/>
              <w:marBottom w:val="0"/>
              <w:divBdr>
                <w:top w:val="none" w:sz="0" w:space="0" w:color="auto"/>
                <w:left w:val="none" w:sz="0" w:space="0" w:color="auto"/>
                <w:bottom w:val="none" w:sz="0" w:space="0" w:color="auto"/>
                <w:right w:val="none" w:sz="0" w:space="0" w:color="auto"/>
              </w:divBdr>
              <w:divsChild>
                <w:div w:id="375277465">
                  <w:marLeft w:val="0"/>
                  <w:marRight w:val="0"/>
                  <w:marTop w:val="900"/>
                  <w:marBottom w:val="600"/>
                  <w:divBdr>
                    <w:top w:val="none" w:sz="0" w:space="0" w:color="auto"/>
                    <w:left w:val="none" w:sz="0" w:space="0" w:color="auto"/>
                    <w:bottom w:val="none" w:sz="0" w:space="0" w:color="auto"/>
                    <w:right w:val="none" w:sz="0" w:space="0" w:color="auto"/>
                  </w:divBdr>
                </w:div>
                <w:div w:id="473449012">
                  <w:marLeft w:val="0"/>
                  <w:marRight w:val="0"/>
                  <w:marTop w:val="0"/>
                  <w:marBottom w:val="0"/>
                  <w:divBdr>
                    <w:top w:val="none" w:sz="0" w:space="0" w:color="auto"/>
                    <w:left w:val="none" w:sz="0" w:space="0" w:color="auto"/>
                    <w:bottom w:val="none" w:sz="0" w:space="0" w:color="auto"/>
                    <w:right w:val="none" w:sz="0" w:space="0" w:color="auto"/>
                  </w:divBdr>
                  <w:divsChild>
                    <w:div w:id="19225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993554">
              <w:marLeft w:val="0"/>
              <w:marRight w:val="0"/>
              <w:marTop w:val="0"/>
              <w:marBottom w:val="0"/>
              <w:divBdr>
                <w:top w:val="none" w:sz="0" w:space="0" w:color="auto"/>
                <w:left w:val="none" w:sz="0" w:space="0" w:color="auto"/>
                <w:bottom w:val="none" w:sz="0" w:space="0" w:color="auto"/>
                <w:right w:val="none" w:sz="0" w:space="0" w:color="auto"/>
              </w:divBdr>
              <w:divsChild>
                <w:div w:id="1662196316">
                  <w:marLeft w:val="0"/>
                  <w:marRight w:val="0"/>
                  <w:marTop w:val="900"/>
                  <w:marBottom w:val="600"/>
                  <w:divBdr>
                    <w:top w:val="none" w:sz="0" w:space="0" w:color="auto"/>
                    <w:left w:val="none" w:sz="0" w:space="0" w:color="auto"/>
                    <w:bottom w:val="none" w:sz="0" w:space="0" w:color="auto"/>
                    <w:right w:val="none" w:sz="0" w:space="0" w:color="auto"/>
                  </w:divBdr>
                </w:div>
                <w:div w:id="2011329512">
                  <w:marLeft w:val="0"/>
                  <w:marRight w:val="0"/>
                  <w:marTop w:val="0"/>
                  <w:marBottom w:val="0"/>
                  <w:divBdr>
                    <w:top w:val="none" w:sz="0" w:space="0" w:color="auto"/>
                    <w:left w:val="none" w:sz="0" w:space="0" w:color="auto"/>
                    <w:bottom w:val="none" w:sz="0" w:space="0" w:color="auto"/>
                    <w:right w:val="none" w:sz="0" w:space="0" w:color="auto"/>
                  </w:divBdr>
                  <w:divsChild>
                    <w:div w:id="1248731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0%D0%BD%D0%B3%D0%BB%D0%B8%D0%B9%D1%81%D0%BA%D0%B8%D0%B9_%D1%8F%D0%B7%D1%8B%D0%BA" TargetMode="External"/><Relationship Id="rId13" Type="http://schemas.openxmlformats.org/officeDocument/2006/relationships/hyperlink" Target="https://ru.wikipedia.org/wiki/%D0%9A%D0%B0%D0%BB%D1%8C%D1%86%D0%B8%D0%B9" TargetMode="External"/><Relationship Id="rId18" Type="http://schemas.openxmlformats.org/officeDocument/2006/relationships/hyperlink" Target="https://ru.wikipedia.org/wiki/%D0%93%D0%BB%D1%83%D1%82%D0%B0%D0%BC%D0%B8%D0%BD%D0%BE%D0%B2%D0%B0%D1%8F_%D0%BA%D0%B8%D1%81%D0%BB%D0%BE%D1%82%D0%B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doi.org/10.1007/BF00164654" TargetMode="External"/><Relationship Id="rId7" Type="http://schemas.openxmlformats.org/officeDocument/2006/relationships/hyperlink" Target="https://ru.wikipedia.org/wiki/%D0%93%D0%BB%D1%83%D1%82%D0%B0%D0%BC%D0%B8%D0%BD%D0%BE%D0%B2%D0%B0%D1%8F_%D0%BA%D0%B8%D1%81%D0%BB%D0%BE%D1%82%D0%B0" TargetMode="External"/><Relationship Id="rId12" Type="http://schemas.openxmlformats.org/officeDocument/2006/relationships/hyperlink" Target="https://ru.wikipedia.org/wiki/AMPA-%D1%80%D0%B5%D1%86%D0%B5%D0%BF%D1%82%D0%BE%D1%80" TargetMode="External"/><Relationship Id="rId17" Type="http://schemas.openxmlformats.org/officeDocument/2006/relationships/hyperlink" Target="https://ru.wikipedia.org/wiki/%D0%90%D0%BF%D0%BE%D0%BF%D1%82%D0%BE%D0%B7" TargetMode="External"/><Relationship Id="rId25" Type="http://schemas.openxmlformats.org/officeDocument/2006/relationships/hyperlink" Target="https://normativ.kontur.ru/document?moduleId=1&amp;amp;amp;documentId=71591" TargetMode="External"/><Relationship Id="rId2" Type="http://schemas.openxmlformats.org/officeDocument/2006/relationships/styles" Target="styles.xml"/><Relationship Id="rId16" Type="http://schemas.openxmlformats.org/officeDocument/2006/relationships/hyperlink" Target="https://ru.wikipedia.org/wiki/%D0%9F%D1%80%D0%BE%D1%82%D0%B5%D0%B0%D0%B7%D0%B0" TargetMode="External"/><Relationship Id="rId20" Type="http://schemas.openxmlformats.org/officeDocument/2006/relationships/hyperlink" Target="https://doi.org/10.1007/978-3-642-71796-3_9" TargetMode="External"/><Relationship Id="rId1" Type="http://schemas.openxmlformats.org/officeDocument/2006/relationships/numbering" Target="numbering.xml"/><Relationship Id="rId6" Type="http://schemas.openxmlformats.org/officeDocument/2006/relationships/hyperlink" Target="https://ru.wikipedia.org/wiki/%D0%9B%D0%B8%D0%B3%D0%B0%D0%BD%D0%B4-%D0%B7%D0%B0%D0%B2%D0%B8%D1%81%D0%B8%D0%BC%D1%8B%D0%B5_%D0%B8%D0%BE%D0%BD%D0%BD%D1%8B%D0%B5_%D0%BA%D0%B0%D0%BD%D0%B0%D0%BB%D1%8B" TargetMode="External"/><Relationship Id="rId11" Type="http://schemas.openxmlformats.org/officeDocument/2006/relationships/hyperlink" Target="https://ru.wikipedia.org/w/index.php?title=N-%D0%BC%D0%B5%D1%82%D0%B8%D0%BB-D-%D0%B0%D1%81%D0%BF%D0%B0%D1%80%D1%82%D0%B0%D1%82&amp;amp;amp;amp;action=edit&amp;amp;amp;amp;redlink=1" TargetMode="External"/><Relationship Id="rId24" Type="http://schemas.openxmlformats.org/officeDocument/2006/relationships/hyperlink" Target="https://www.ncbi.nlm.nih.gov/sites/books/NBK576384/" TargetMode="External"/><Relationship Id="rId5" Type="http://schemas.openxmlformats.org/officeDocument/2006/relationships/hyperlink" Target="https://ru.wikipedia.org/wiki/NMDA-%D1%80%D0%B5%D1%86%D0%B5%D0%BF%D1%82%D0%BE%D1%80" TargetMode="External"/><Relationship Id="rId15" Type="http://schemas.openxmlformats.org/officeDocument/2006/relationships/hyperlink" Target="https://ru.wikipedia.org/wiki/%D0%AD%D0%BD%D0%B4%D0%BE%D0%BD%D1%83%D0%BA%D0%BB%D0%B5%D0%B0%D0%B7%D0%B0" TargetMode="External"/><Relationship Id="rId23" Type="http://schemas.openxmlformats.org/officeDocument/2006/relationships/hyperlink" Target="https://doi.org/10.33791/2222-4408-2021-2-41-45" TargetMode="External"/><Relationship Id="rId10" Type="http://schemas.openxmlformats.org/officeDocument/2006/relationships/hyperlink" Target="https://ru.wikipedia.org/wiki/NMDA-%D1%80%D0%B5%D1%86%D0%B5%D0%BF%D1%82%D0%BE%D1%80" TargetMode="External"/><Relationship Id="rId19" Type="http://schemas.openxmlformats.org/officeDocument/2006/relationships/hyperlink" Target="https://ru.wikipedia.org/w/index.php?title=%D0%93%D0%BB%D1%83%D1%82%D0%B0%D0%BC%D0%B0%D1%82%D0%BE%D0%BC%D0%B8%D0%BC%D0%B5%D1%82%D0%B8%D0%BA&amp;amp;amp;amp;action=edit&amp;amp;amp;amp;redlink=1" TargetMode="External"/><Relationship Id="rId4" Type="http://schemas.openxmlformats.org/officeDocument/2006/relationships/webSettings" Target="webSettings.xml"/><Relationship Id="rId9" Type="http://schemas.openxmlformats.org/officeDocument/2006/relationships/hyperlink" Target="https://ru.wikipedia.org/wiki/%D0%A2%D0%BE%D0%BA%D1%81%D0%B8%D1%87%D0%BD%D0%BE%D1%81%D1%82%D1%8C" TargetMode="External"/><Relationship Id="rId14" Type="http://schemas.openxmlformats.org/officeDocument/2006/relationships/hyperlink" Target="https://ru.wikipedia.org/wiki/%D0%A4%D0%BE%D1%81%D1%84%D0%BE%D0%BB%D0%B8%D0%BF%D0%B0%D0%B7%D0%B0" TargetMode="External"/><Relationship Id="rId22" Type="http://schemas.openxmlformats.org/officeDocument/2006/relationships/hyperlink" Target="https://doi.org/10.17116/oftalma20191350214"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57</Pages>
  <Words>16024</Words>
  <Characters>91341</Characters>
  <Application>Microsoft Office Word</Application>
  <DocSecurity>0</DocSecurity>
  <Lines>761</Lines>
  <Paragraphs>214</Paragraphs>
  <ScaleCrop>false</ScaleCrop>
  <Company/>
  <LinksUpToDate>false</LinksUpToDate>
  <CharactersWithSpaces>107151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2026-05-08T11:26:00Z</dcterms:created>
  <dcterms:modified xsi:type="dcterms:W3CDTF">2026-05-08T11:26:00Z</dcterms:modified>
</cp:coreProperties>
</file>