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831" w:rsidRPr="00146831" w:rsidRDefault="00146831" w:rsidP="00146831">
      <w:pPr>
        <w:shd w:val="clear" w:color="auto" w:fill="FFFFFF"/>
        <w:spacing w:after="0" w:line="240" w:lineRule="auto"/>
        <w:jc w:val="center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  <w:br/>
      </w:r>
      <w:r w:rsidRPr="00146831">
        <w:rPr>
          <w:rFonts w:ascii="Inter" w:eastAsia="Times New Roman" w:hAnsi="Inter" w:cs="Times New Roman"/>
          <w:noProof/>
          <w:color w:val="000000"/>
          <w:spacing w:val="4"/>
          <w:sz w:val="21"/>
          <w:szCs w:val="21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cr.minzdrav.gov.ru/assets/Logo-DcSD_Nhn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223537" id="Прямоугольник 1" o:spid="_x0000_s1026" alt="https://cr.minzdrav.gov.ru/assets/Logo-DcSD_Nhn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ExofewCAwAABA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</w:p>
    <w:p w:rsidR="00146831" w:rsidRPr="00146831" w:rsidRDefault="00146831" w:rsidP="00146831">
      <w:pPr>
        <w:shd w:val="clear" w:color="auto" w:fill="FFFFFF"/>
        <w:spacing w:after="0" w:line="240" w:lineRule="auto"/>
        <w:jc w:val="center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575756"/>
          <w:spacing w:val="4"/>
          <w:sz w:val="27"/>
          <w:szCs w:val="27"/>
          <w:lang w:eastAsia="ru-RU"/>
        </w:rPr>
        <w:t>Министерство</w:t>
      </w:r>
      <w:r w:rsidRPr="00146831">
        <w:rPr>
          <w:rFonts w:ascii="Inter" w:eastAsia="Times New Roman" w:hAnsi="Inter" w:cs="Times New Roman"/>
          <w:b/>
          <w:bCs/>
          <w:color w:val="575756"/>
          <w:spacing w:val="4"/>
          <w:sz w:val="27"/>
          <w:szCs w:val="27"/>
          <w:lang w:eastAsia="ru-RU"/>
        </w:rPr>
        <w:br/>
        <w:t>Здравоохранения</w:t>
      </w:r>
      <w:r w:rsidRPr="00146831">
        <w:rPr>
          <w:rFonts w:ascii="Inter" w:eastAsia="Times New Roman" w:hAnsi="Inter" w:cs="Times New Roman"/>
          <w:b/>
          <w:bCs/>
          <w:color w:val="575756"/>
          <w:spacing w:val="4"/>
          <w:sz w:val="27"/>
          <w:szCs w:val="27"/>
          <w:lang w:eastAsia="ru-RU"/>
        </w:rPr>
        <w:br/>
        <w:t>Российской Федерации</w:t>
      </w:r>
    </w:p>
    <w:p w:rsidR="00146831" w:rsidRPr="00146831" w:rsidRDefault="00146831" w:rsidP="00146831">
      <w:pPr>
        <w:shd w:val="clear" w:color="auto" w:fill="FFFFFF"/>
        <w:spacing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 xml:space="preserve">Клинические </w:t>
      </w:r>
      <w:proofErr w:type="spellStart"/>
      <w:r w:rsidRPr="00146831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>рекомендации</w:t>
      </w:r>
      <w:r w:rsidRPr="00146831">
        <w:rPr>
          <w:rFonts w:ascii="Inter" w:eastAsia="Times New Roman" w:hAnsi="Inter" w:cs="Times New Roman"/>
          <w:b/>
          <w:bCs/>
          <w:color w:val="008000"/>
          <w:spacing w:val="4"/>
          <w:sz w:val="42"/>
          <w:szCs w:val="42"/>
          <w:lang w:eastAsia="ru-RU"/>
        </w:rPr>
        <w:t>Хирургические</w:t>
      </w:r>
      <w:proofErr w:type="spellEnd"/>
      <w:r w:rsidRPr="00146831">
        <w:rPr>
          <w:rFonts w:ascii="Inter" w:eastAsia="Times New Roman" w:hAnsi="Inter" w:cs="Times New Roman"/>
          <w:b/>
          <w:bCs/>
          <w:color w:val="008000"/>
          <w:spacing w:val="4"/>
          <w:sz w:val="42"/>
          <w:szCs w:val="42"/>
          <w:lang w:eastAsia="ru-RU"/>
        </w:rPr>
        <w:t xml:space="preserve"> инфекции кожи и подкожной клетчатки у детей</w:t>
      </w:r>
    </w:p>
    <w:p w:rsidR="00146831" w:rsidRPr="00146831" w:rsidRDefault="00146831" w:rsidP="00146831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 xml:space="preserve">Кодирование по Международной статистической классификации болезней и проблем, связанных со </w:t>
      </w:r>
      <w:proofErr w:type="gramStart"/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здоровьем: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L</w:t>
      </w:r>
      <w:proofErr w:type="gramEnd"/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03.0, L03.1, L03.3, L03.8, L04.1, L04.2, L04.3, L04.8, L08.8, L98.6, T79.3</w:t>
      </w:r>
    </w:p>
    <w:p w:rsidR="00146831" w:rsidRPr="00146831" w:rsidRDefault="00146831" w:rsidP="00146831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Год утверждения (частота пересмотра):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2026</w:t>
      </w:r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Пересмотр не позднее: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2028</w:t>
      </w:r>
    </w:p>
    <w:p w:rsidR="00146831" w:rsidRPr="00146831" w:rsidRDefault="00146831" w:rsidP="00146831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ID: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1035_1</w:t>
      </w:r>
    </w:p>
    <w:p w:rsidR="00146831" w:rsidRPr="00146831" w:rsidRDefault="00146831" w:rsidP="00146831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 xml:space="preserve">Возрастная </w:t>
      </w:r>
      <w:proofErr w:type="spellStart"/>
      <w:proofErr w:type="gramStart"/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категория: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Дети</w:t>
      </w:r>
      <w:proofErr w:type="spellEnd"/>
      <w:proofErr w:type="gramEnd"/>
    </w:p>
    <w:p w:rsidR="00146831" w:rsidRPr="00146831" w:rsidRDefault="00146831" w:rsidP="00146831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9E9E9E"/>
          <w:spacing w:val="4"/>
          <w:sz w:val="27"/>
          <w:szCs w:val="27"/>
          <w:lang w:eastAsia="ru-RU"/>
        </w:rPr>
        <w:t>Специальность:</w:t>
      </w:r>
    </w:p>
    <w:p w:rsidR="00146831" w:rsidRPr="00146831" w:rsidRDefault="00146831" w:rsidP="00146831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 xml:space="preserve">Разработчик клинической </w:t>
      </w:r>
      <w:proofErr w:type="spellStart"/>
      <w:r w:rsidRPr="00146831">
        <w:rPr>
          <w:rFonts w:ascii="Inter" w:eastAsia="Times New Roman" w:hAnsi="Inter" w:cs="Times New Roman"/>
          <w:color w:val="808080"/>
          <w:spacing w:val="4"/>
          <w:sz w:val="27"/>
          <w:szCs w:val="27"/>
          <w:lang w:eastAsia="ru-RU"/>
        </w:rPr>
        <w:t>рекомендации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>Общероссийская</w:t>
      </w:r>
      <w:proofErr w:type="spellEnd"/>
      <w:r w:rsidRPr="00146831">
        <w:rPr>
          <w:rFonts w:ascii="Inter" w:eastAsia="Times New Roman" w:hAnsi="Inter" w:cs="Times New Roman"/>
          <w:b/>
          <w:bCs/>
          <w:color w:val="000000"/>
          <w:spacing w:val="4"/>
          <w:sz w:val="27"/>
          <w:szCs w:val="27"/>
          <w:lang w:eastAsia="ru-RU"/>
        </w:rPr>
        <w:t xml:space="preserve"> общественная организация "Российская ассоциация детских хирургов"</w:t>
      </w:r>
    </w:p>
    <w:p w:rsidR="00146831" w:rsidRPr="00146831" w:rsidRDefault="00146831" w:rsidP="00146831">
      <w:pPr>
        <w:shd w:val="clear" w:color="auto" w:fill="FFFFFF"/>
        <w:spacing w:line="240" w:lineRule="auto"/>
        <w:rPr>
          <w:rFonts w:ascii="Inter" w:eastAsia="Times New Roman" w:hAnsi="Inter" w:cs="Times New Roman"/>
          <w:color w:val="000000"/>
          <w:spacing w:val="4"/>
          <w:sz w:val="21"/>
          <w:szCs w:val="21"/>
          <w:lang w:eastAsia="ru-RU"/>
        </w:rPr>
      </w:pPr>
      <w:r w:rsidRPr="00146831">
        <w:rPr>
          <w:rFonts w:ascii="Inter" w:eastAsia="Times New Roman" w:hAnsi="Inter" w:cs="Times New Roman"/>
          <w:color w:val="000000"/>
          <w:spacing w:val="4"/>
          <w:sz w:val="27"/>
          <w:szCs w:val="27"/>
          <w:lang w:eastAsia="ru-RU"/>
        </w:rPr>
        <w:t>Одобрено Научно-практическим Советом Минздрава России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Оглавление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Список сокращений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Термины и определения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 Краткая информация по заболеванию или состоянию (группы заболеваний или состояний)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1.1 Определение заболевания или состояния (группы заболеваний или состояний)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1.2 Этиология и патогенез заболевания или состояния (группы заболеваний или состояний)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1.3 Эпидемиология заболевания или состояния (группы заболеваний или состояний)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1.4 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1.5 Классификация заболевания или состояния (группы заболеваний или состояний)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1.6 Клиническая картина заболевания или состояния (группы заболеваний или состояний)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 Диагностика заболевания или состояния (группы заболеваний или состояний) медицинские показания и противопоказания к применению методов диагностики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2.1 Жалобы и анамнез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 xml:space="preserve">2.2 </w:t>
      </w:r>
      <w:proofErr w:type="spellStart"/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Физикальное</w:t>
      </w:r>
      <w:proofErr w:type="spellEnd"/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 xml:space="preserve"> обследование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2.3 Лабораторные диагностические исследования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lastRenderedPageBreak/>
        <w:t>2.4 Инструментальные диагностические исследования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2.5 Иные диагностические исследования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4. Медицинская реабилитация и санаторно-курортное лечение, медицинские показания и противопоказания к применению методов медицинской реабилитации, в том числе основанных на использовании природных лечебных факторов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5. Профилактика и диспансерное наблюдение, медицинские показания и противопоказания к применению методов профилактики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6. Организация оказания медицинской помощи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7. Дополнительная информация (в том числе факторы, влияющие на исход заболевания или состояния)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Критерии оценки качества медицинской помощи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Список литературы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А1. Состав рабочей группы по разработке и пересмотру клинических рекомендаций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А2. Методология разработки клинических рекомендаций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лекарственного препарата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Б. Алгоритмы действий врача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В. Информация для пациента</w:t>
      </w:r>
    </w:p>
    <w:p w:rsidR="00146831" w:rsidRPr="00146831" w:rsidRDefault="00146831" w:rsidP="00146831">
      <w:pPr>
        <w:numPr>
          <w:ilvl w:val="0"/>
          <w:numId w:val="1"/>
        </w:numPr>
        <w:shd w:val="clear" w:color="auto" w:fill="FFFFFF"/>
        <w:spacing w:after="0" w:line="330" w:lineRule="atLeast"/>
        <w:ind w:left="0"/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</w:pPr>
      <w:r w:rsidRPr="00146831">
        <w:rPr>
          <w:rFonts w:ascii="Inter" w:eastAsia="Times New Roman" w:hAnsi="Inter" w:cs="Times New Roman"/>
          <w:color w:val="2979FF"/>
          <w:spacing w:val="4"/>
          <w:sz w:val="27"/>
          <w:szCs w:val="27"/>
          <w:lang w:eastAsia="ru-RU"/>
        </w:rPr>
        <w:t>Приложение Г1-ГN. Шкалы оценки, вопросники и другие оценочные инструменты состояния пациента, приведенные в клинических рекомендациях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Список сокращений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АТ – антибактериальная терапия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ЖКТ –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желудочно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–кишечный тракт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ДН – дыхательная недостаточность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КСГ –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клинико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softHyphen/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–статистическая группа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КТ – компьютерная томография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МРТ – магнитно-резонансная томография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НПВП – нестероидные противовоспалительные и противоревматические препараты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ОН – органная недостаточность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ОРИТ – отделение реанимации и интенсивной терапии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СОЭ – скорость оседания эритроцитов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СРБ – С–реактивный белок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ССВО – синдром системного воспалительного ответа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УЗИ – ультразвуковое исследование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ХИ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–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хирургические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инфекции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SOFA – Sequential Organ Failure Assessment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>SIRS – Systemic Inflammatory Response Syndrome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val="en-US"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Термины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val="en-US" w:eastAsia="ru-RU"/>
        </w:rPr>
        <w:t xml:space="preserve"> 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и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val="en-US" w:eastAsia="ru-RU"/>
        </w:rPr>
        <w:t xml:space="preserve"> 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определения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Кожный панариций – острое воспаление пальца, при котором очаг располагается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внутрикожно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между сосочковым слоем кожи и эпидермисом.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Лимфаденит – воспаление лимфатического узла.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Панариций – острое гнойное воспаление тканей пальцев верхней и нижней конечностей.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Паронихия – воспаление валика, окружающего основание ногтя.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Околоногтевой панариций – воспалительный процесс, при котором очаг располагается в валиках у боковых краев ногтевой пластины.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Подкожный панариций – диффузное гнойное воспаление подкожной клетчатки пальцев.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Подногтевой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панариций – воспалительный процесс, при котором очаг располагается под ногтевой пластиной.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Раневая инфекция – инфекционный процесс, развивающийся в ране.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Сепсис – патологический процесс, в основе которого лежит реакция организма в виде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генерализованного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(системного) воспаления на инфекцию различной природы, приводящая к остро возникающей органной дисфункции.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Синдром системного воспалительного ответа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systemic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inflammatory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response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syndrome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– SIRS) – системный ответ организма на локальное повреждение тканей.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Флегмона (целлюлит) – острое диффузное гнойное воспаление клетчаточных пространств.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Хирургические инфекции – инфекционные процессы, в лечении и профилактике которых необходимы или могут оказаться необходимыми те или иные хирургические пособия, а также инфекционные процессы, осложняющие хирургические заболевания, хирургические вмешательства и травмы.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 Краткая информация по заболеванию или состоянию (группы заболеваний или состояний)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1.1 Определение заболевания или состояния (группы заболеваний или состояний)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Хирургическая инфекция кожи и подкожной клетчатки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– группа острых инфекций кожи, ее придатков и подкожной клетчатки, для лечения которых могут потребоваться те или иные хирургические вмешательства, а также инфекционные осложнения уже проведенных хирургических вмешательств или травм. Хирургические инфекции кожи и подкожной клетчатки составляют 80 % – 85 % всех случаев хирургической инфекции [2, 3, 7].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1.2 Этиология и патогенез заболевания или состояния (группы заболеваний или состояний)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Хирургические инфекции мягких тканей вызываются преимущественно собственной микрофлорой пациента; в 70 – 80 % случаев это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S.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aureus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Значительно реже возбудителями инфекций кожи и подкожной клетчатки могут быт 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St</w:t>
      </w:r>
      <w:proofErr w:type="spellEnd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.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pyogenes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другие грамположительные и грамотрицательные бактерии, а также их ассоциации [2, 3].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Стафилококк (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Staphilicoccus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 – наиболее часто встречаемый возбудитель хирургических инфекций. Выделяют три вида стафилококков: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S.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aureus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S.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epidermidis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и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S.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Saprophyticus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Особую проблему представляют собой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метициллин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-резистентные штаммы золотистого стафилококка (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MRSA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), причем все чаще подобные штаммы выделяют у пациентов, до этого не находящихся в лечебном учреждении и не получавших антибактериальную терапию. Стафилококки, как и другие грамположительные бактерии, выделяют экзотоксины и ряд ферментов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стафилогемолизин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плазмокоагулазу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гиалуронидазу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), которые вызывают разрушение эритроцитов, лейкоцитов, коагулируют и разрушают белки, способствуют распространению микроорганизмов в тканях. Для стафилококков свойственна устойчивость к физическим и химическим воздействиям, очень быстро формируется резистентность к антибактериальным препаратам. Большинство штаммов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S.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aureus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способны продуцировать несколько классов бета-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лактамаз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что и определяет их устойчивость к бета-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лактамным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антибиотикам (бета-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лактамные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антибактериальные препараты, пенициллины и другие бета-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лактамные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антибактериальные препараты [2, 3].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Наличие потенциальных возбудителей в большинстве случаев не является достаточным фактором для развития хирургической инфекции; помимо наличия возбудителя необходимы предрасполагающие факторы. Изучены многие состояния, предрасполагающие к развитию хирургических инфекций.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В первую очередь – это очаги хронической инфекции, </w:t>
      </w:r>
      <w:proofErr w:type="gram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например</w:t>
      </w:r>
      <w:proofErr w:type="gram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хронические инфекции кожи и ее придатков, полости рта и дыхательной системы, органов мочеполовой системы. Длительное существование таких очагов формирует ряд патологических иммунных реакций, часто называемых сенсибилизацией организма. </w:t>
      </w:r>
      <w:proofErr w:type="gram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Кроме того</w:t>
      </w:r>
      <w:proofErr w:type="gram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хронические инфекции часто лечатся антимикробными препаратами (антибактериальные препараты системного действия), что приводит к формированию устойчивости к ним, и сильно затрудняет подбор адекватной терапии при развитии острой хирургической инфекции.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Первичные и вторичные иммунодефициты часто приводят к развитию инфекций, в том числе и хирургических. Эндокринные заболевания, в первую очередь сахарный диабет, могут осложняться инфекциями. К сожалению, в настоящее время отмечается рост заболеваемости сахарным диабетом у детей. Причем все больше регистрируется количество новых случаев не только типичного для детского возраста сахарного диабета I типа, но и сахарного диабета II типа, который раньше считался более типичным заболеванием для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взрослых.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Гликирование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белков при сахарном диабете приводит к ряду изменений в различных органах и тканях организма, в том числе иммунокомпетентных клетках. Это приводит к формированию вторичного иммунодефицита, нарушению трофики тканей и как следствие высокой предрасположенности к развитию инфекций, в том числе хирургических [2, 3, 10].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Травмы часто осложняются развитием хирургических инфекций. Это может быть связано как с повреждением кожи и слизистых оболочек, которые выполняют роль входных ворот, так и тяжелыми системными нарушениями, в первую очередь гемодинамическими.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Тем не менее, у подавляющего числа пациентов с хирургическими инфекциями идентифицировать предрасполагающие факторы не удается.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Описаны два основные пути инфицирования: экзогенный и эндогенный. Хотя, часто оба этих механизма в разной степени могут привести к развитию инфекционного процесса у одного и того же пациента. Экзогенное инфицирование связано с повреждением кожи или слизистых оболочек, а также глубжележащих тканей. Чаще инфекции развиваются при случайных повреждениях, особенно при обширных и размозженных ранах, их загрязнении. Сопутствующее кровопотеря приводит к гемодинамическим нарушениям, что также способствует развитию инфекционного процесса. Инфекции могут осложнять оперативные вмешательства и различные инвазивные процедуры, часто приводя к развитию инфекции, вызванной внутрибольничной флорой, устойчивой ко многим антимикробным препаратам. 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При эндогенном инфицировании микроорганизмы попадают в стерильные среды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макроорганизма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из очагов хронической инфекции или естественных резервуаров потенциальных возбудителей в организме, в первую очередь желудочно-кишечного тракта. Такой механизм носит название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транслокация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т. е. перемещение микроорганизмов, и чаще всего реализуется у пациентов с тяжелыми гемодинамическими нарушениями. Развивается ишемия слизистой оболочки ЖКТ, снижается ее барьерная функция и микроорганизмы проникают в глубжележащие слои и сосудистое русло. 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Развитие хирургической инфекции складывается из взаимосвязанных и последовательно развивающихся фаз.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При альтерации тканей различными повреждающими агентами и внедрившимися микроорганизмами включается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медиаторная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(биохимическая) фаза, связанная с выбросом медиаторов воспаления и действием гистамина, серотонина, простагландинов, системы комплемента и др. Развивается гиперемия.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Затем наступает экссудативная фаза, отмеченная выходом жидкой части, белков плазмы крови в межклеточные пространства, что связано с повреждением эндотелия кровеносных сосудов, увеличением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порозности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капилляров и снижению их способности удерживать воду и крупные молекулы в просвете сосудов. Это приводит к отеку, повышению внутритканевого давления, ишемии тканей и дальнейшему их повреждению.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За этой фазой следует инфильтративная, характеризующаяся инфильтрацией тканей лимфоцитами, макрофагами и другими клетками. Инфильтрация тканей приводят к еще большему повышению внутритканевого давления, обуславливая нарушения жизнедеятельности тканей и устойчивости их к агрессивному действию микроорганизмов. Вскоре развивается иммунологическая фаза с проявлениями клеточного и гуморального иммунного ответа.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Если воспалительный процесс не останавливается на этих стадиях, развиваются некротические изменения в тканях, обусловленные как прямым патогенным действием микроорганизмов, так и ответными реакциями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макроорганизма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Это приводит к образованию гноя, и в зависимости от анатомических и физиологических особенностей поврежденной области, формируется абсцесс или флегмона (целлюлит). В случае раннего образования тромбов, некротические процессы преобладают в воспалительном процессе, и формирование гноя как такого может не произойти.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благоприятном течении или адекватном лечении наступает фаза репарации. 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При несостоятельности локальных механизмов защиты развивается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генерализованное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(системное) воспаление, которое в конечном итоге может привести к сепсису.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Сепсис – патологический процесс, в основе которого лежит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генерализованное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(системное) воспаление (ССВР, SIRS) в ответ на инфекцию различной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природы (бактериальную, вирусную, грибковую или паразитарную), приводящее к остро возникающей органной дисфункции. Принципиальным отличием сепсиса от локальной неосложнённой инфекции является развитие острой органной дисфункции вследствие нарушения регуляции ответа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макроорганизма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О развитии системной органной дисфункции судят по шкале SOFA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Sepsis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sequential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)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Organ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Failure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Assessment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), при определении 2 и более баллов. Данная шкала позволяет определять в количественном выражении тяжесть системных нарушений и имеет на сегодня наиболее полноценное клиническое подтверждение. Нулевое значение по шкале SOFA указывает на отсутствие органной дисфункции.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1.3 Эпидемиология заболевания или состояния (группы заболеваний или состояний)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Хирургические инфекции мягких тканей составляют значительную часть пациентов хирургического профиля, составляя 80 % – 85 % всех случаев хирургической инфекции. Количество случаев хирургических инфекций кожи и подкожной клетчатки возрастает в летний период и снижается в холодное время года.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1.4 Особенности кодирования заболевания или состояния (группы заболеваний или состояний) по Международной статистической классификации болезней и проблем, связанных со здоровьем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Инфекции кожи и подкожной клетчатки (L00-L08):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Флегмона (L03):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L03.0 – Флегмона пальцев кисти и стопы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L03.1 – Флегмона других отделов конечностей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L03.3 – Флегмона туловища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L03.8 – Флегмона других локализаций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Острый лимфаденит (L04):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L04.1 – Острый лимфаденит туловища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L04.2 – Острый лимфаденит верхней конечности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L04.3 – Острый лимфаденит нижней конечности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L04.8 – Острый лимфаденит других локализаций 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L08.8 – Другие уточненные местные инфекции кожи и подкожной клетчатки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L98.6 – Другие инфильтративные болезни кожи и подкожной клетчатки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T79.3 – Посттравматическая раневая инфекция, не классифицированная в других рубриках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1.5 Классификация заболевания или состояния (группы заболеваний или состояний)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Инфекции кожи и подкожной клетчатки классифицируют по их локализации, стадии воспалительного процесса и наличию осложнений.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Инфекции кожи и подкожной клетчатки: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инфекции кожи (фолликулит, фурункул, пиодермии, кожный панариций);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инфекции подкожной клетчатки (карбункул, абсцесс, флегмона, подкожный панариций).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Стадии воспалительного процесса: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стадия инфильтрации;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стадия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абсцедирования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Осложнения: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сепсис;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септический шок.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1.6 Клиническая картина заболевания или состояния (группы заболеваний или состояний)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Клиническая картина инфекций кожи и подкожной клетчатки достаточно характерна. В стадии инфильтрации определяется отек, гиперемия, болезненность зоны воспаления. Флюктуации и отделяемого в этой стадии нет. При формировании абсцесса к указанным симптомам присоединяется флюктуация. Системная реакция отличается вариабельностью, но как правило, отмечается лихорадка, ухудшение самочувствия, в ряде случаев развивается картина синдрома системного воспалительного ответа (SIRS), и даже признаки органной дисфункции, что указывает на развитие сепсиса (шкала SOFA).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 Диагностика заболевания или состояния (группы заболеваний или состояний) медицинские показания и противопоказания к применению методов диагностики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Диагноз хирургических инфекций кожи и подкожной клетчатки устанавливается на основании: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 клинических данных (лихорадка, отек, гиперемия, болезненность при пальпации, возможно наличие флюктуации, нарушение функции пораженного сегмента);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 лабораторных (лейкоцитоз с преобладанием нейтрофилов, повышение СОЭ, повышение уровня С-реактивного белка);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 инструментальных (характерные УЗ-признаки: отек и инфильтрация тканей; при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абсцедировании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наличие полостных образований, заполненных неоднородным жидкостным содержимым).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2.1 Жалобы и анамнез</w:t>
      </w:r>
    </w:p>
    <w:p w:rsidR="00146831" w:rsidRPr="00146831" w:rsidRDefault="00146831" w:rsidP="00146831">
      <w:pPr>
        <w:numPr>
          <w:ilvl w:val="0"/>
          <w:numId w:val="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Всем обратившимся пациентам и/или их законным представителям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сбор жалоб и анамнеза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Комментарий.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Инфекциям кожи и подкожной клетчатки часто предшествуют различные травмы, связанные с нарушением целостности кожи. Типичными жалобами являются боль, отек и гиперемия в области развития инфекции. Часто отмечаются повышение температуры тела и ухудшение самочувствия. При развитии инфекции в области конечностей, особенно в области суставов отмечают ограничение движения пораженного сегмента, вынужденное положение. У пациентов младшего возраста меняется поведение, ребенок становится вялым, снижается аппетит, нарушается сон, может возникать рвота.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Острый лимфаденит в большинстве случаев является вторичным заболеванием и часто развивается на фоне предшествующих инфекций. Пациенты или их родители отмечают появление болезненного образования в области расположения лимфатических узлов, гиперемию кожи над ним [2].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2.2 </w:t>
      </w:r>
      <w:proofErr w:type="spellStart"/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Физикальное</w:t>
      </w:r>
      <w:proofErr w:type="spellEnd"/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 обследование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Флегмона (целлюлит) проявляется выраженным диффузным отеком тканей, гиперемией, болезненность как правило сильно выражена. Флюктуация в большинстве случаев не выявляется. При формировании достаточно больших полостей, заполненных гноем, может определяться флюктуация. При развитии воспалительного процесса в области пальцев и крупных суставов конечностей отмечают ограничение подвижности и резкую боль при попытках сгибания и разгибания.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кожном панариции появляется яркой гиперемией кожи с отслойкой эпидермиса в виде пузыря в центре. Через эпидермис просвечивает экссудат, имеющий серозный, гнойный или геморрагический характер.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Поверхностная форма паронихии характеризуется формированием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субэпидермального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абсцесса, проявляется отеком, гиперемией, болезненностью; под эпидермисом может просвечивать скопление гноя. Глубокая форма паронихии характеризуется распространением гноя под основание ногтевой пластины, между ногтем и его ложем, что может приводить к отслойке ногтя на протяжении и формированию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подногтевого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панариция. При давлении на ногтевой валик отмечается резкая болезненность и появление капель гноя.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При околоногтевом панариции отмечается отек, гиперемия и резкая болезненность при надавливании в области околоногтевого валика, расположенного у боковых краев ногтевой пластины.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подкожном панариции отмечается отек, гиперемия и выраженная болезненность одной или нескольких фаланг; там же может определяться флюктуация.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Клиническая картина при лимфадените зависит от стадии воспаления. В стадии инфильтрации определяются гиперемия кожи и отек мягких тканей, лимфатические узлы резко болезненны, умеренно спаяны между собой и окружающими тканями. При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абсцедировании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развитии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аденофлегмоны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четко определяется флюктуация.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развитии инфекции в ране отмечают появление болезненности, отека, гиперемии краев раны. Раневое отделяемое становится гнойным или серозно-гнойным, может появляться характерный неприятный запах [2]. </w:t>
      </w:r>
    </w:p>
    <w:p w:rsidR="00146831" w:rsidRPr="00146831" w:rsidRDefault="00146831" w:rsidP="00146831">
      <w:pPr>
        <w:numPr>
          <w:ilvl w:val="0"/>
          <w:numId w:val="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Всем детям с хирургическими инфекциями кожи и мягких тканей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осмотр пораженного участка, как при первичном осмотре с целью установления диагноза, так и в дальнейшем ежедневно для оценки течения патологического процесса [2, 7].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4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хирургическими инфекциями кожи и мягких тканей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проведение пальпации с целью определения инфильтрации, отека, возможной флюктуации пораженного участка, как при первичном осмотре с целью установления диагноза, так и в дальнейшем ежедневно для оценки течения патологического процесса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2.3 Лабораторные диагностические исследования</w:t>
      </w:r>
    </w:p>
    <w:p w:rsidR="00146831" w:rsidRPr="00146831" w:rsidRDefault="00146831" w:rsidP="00146831">
      <w:pPr>
        <w:numPr>
          <w:ilvl w:val="0"/>
          <w:numId w:val="5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Всем пациентам с подозрением на развитие инфекции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выполнение общего (клинического) анализа крови с дифференцированным подсчетом лейкоцитов (лейкоцитарная формула) и исследованием скорости оседания эритроцитов, при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поступлении, в дальнейшем не реже 1 раза в 5 суток или перед выпиской из стационара [2, 7, 10].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6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 детей с признаками SIRS и/или органной дисфункции, вызванной инфекцией (сепсис)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дополнительное исследование уровня С-реактивного белка и исследование уровня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прокальцитонина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 крови [2, 10].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7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наличии показаний (подозрение на развитие сепсиса) по согласованию с врачом-анестезиологом-реаниматологом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выполнение других исследований: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коагулограммы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(ориентировочное исследование системы гемостаза) с определением международного нормализированного отношения,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протромбинового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времени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тромбопластинового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) в крови или в плазме, активированного частичного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тромбопластинового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времени; анализа крови биохимического общетерапевтического (исследование уровня общего белка в крови, исследование уровня общего билирубина в крови и исследование уровня билирубина связанного (конъюгированного) в крови, исследование уровня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креатинина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в крови, исследование уровня мочевины в крови, исследование уровня глюкозы в крови, исследование уровней натрия, калия, хлоридов в крови) [2, 7].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8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Микробиологические исследования раневого отделяемого и/или крови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рекомендованы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пациентам с тяжелыми формами хирургических инфекций кожи и подкожной клетчатки (развитие SIRS/сепсиса), при длительном и нетипичном течении воспалительного процесса, подозрении на присутствие резистентных штаммов бактерий (в первую очередь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MRSA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), а также при неэффективности проводимого лечения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2.4 Инструментальные диагностические исследования</w:t>
      </w:r>
    </w:p>
    <w:p w:rsidR="00146831" w:rsidRPr="00146831" w:rsidRDefault="00146831" w:rsidP="00146831">
      <w:pPr>
        <w:numPr>
          <w:ilvl w:val="0"/>
          <w:numId w:val="9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Пациентам с хирургическими инфекциями кожи и подкожной клетчатки с неясной клинической картиной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выполнять ультразвуковое исследование (УЗИ) мягких тканей с диагностической целью [2, 7].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10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поражении сегментов конечностей и особенно пальцев кисти и стопы 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выполнение рентгенографии кисти или стопы в двух проекциях с целью исключения вовлечения в процесс костных структур [2, 7].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11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недостаточной информативности вышеуказанных исследований 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проведение компьютерной томографии (КТ) верхней или нижней конечности, или магнитно-резонансной томографии (МРТ) мягких тканей; обычно такая потребность появляется при малой информативности УЗИ мягких тканей или при сложных локализациях воспалительного процесса [2, 7].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Комментарий.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Характерными признаками инфекции мягких тканей в стадии инфильтрации являются наличие инфильтрированных, отечных тканей без четких границ, усиление локального кровотока. При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абсцедировании</w:t>
      </w:r>
      <w:proofErr w:type="spellEnd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к указанной картине добавляется наличие полостных образований, заполненных жидкостным неоднородным содержимым.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2.5 Иные диагностические исследования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Иные диагностические исследования не требуются.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3. Лечение, включая медикаментозную и немедикаментозную терапии, диетотерапию, обезболивание, медицинские показания и 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противопоказания к применению методов лечения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Лечение инфекций кожи и подкожной клетчатки зависит от стадии воспаления и наличия или отсутствия осложнений.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небольших очагах, локализующихся не на голове и лице и не сопровождающихся развитием SIRS, а также у детей старше 1 года, возможно проведение лечения в амбулаторных условиях. Во всех остальных случаях пациенты с инфекцией кожи и подкожной клетчатки подлежат госпитализации.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3.1 Консервативное лечение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Антибактериальная терапия</w:t>
      </w:r>
    </w:p>
    <w:p w:rsidR="00146831" w:rsidRPr="00146831" w:rsidRDefault="00146831" w:rsidP="00146831">
      <w:pPr>
        <w:numPr>
          <w:ilvl w:val="0"/>
          <w:numId w:val="1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назначение антибактериальных препаратов системного действия [2, 3].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Комментарий.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Исключениями могут быть небольшие поверхностные абсцессы кожи без признаков SIRS [7, 9].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Выбор антибактериального препарата системного действия зависит от локализации инфекционного процесса, тяжести его течения и противопоказаний или ограничений со стороны пациента. Предпочтение следует отдавать внутривенному пути введению. При невозможности внутривенного введения допустимо использовать внутримышечное введение. У амбулаторных пациентов предпочтительно использовать пероральный прием [2, 3, 9].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1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хирургическими инфекциями кожи и подкожной клетчатки при легком и среднетяжелом течении инфекции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пенициллины, устойчивые к бета-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лактамазам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: оксациллин** внутривенно или внутримышечно детям старше 6 лет 2 – 4 г/сутки, детям в возрасте до 3 мес. – 60 – 80 мг/кг/сутки, от 3 мес. до 2 лет – 1 г/сутки, от 2 до 6 лет – 2 г/сутки, новорожденным и недоношенным детям 20 – 40 мг/кг/сутки; кратность введения 4 раза в сутки [1, 2, 5].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- цефалоспорины второго поколения: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цефуроксим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** 30–100 мг/кг/сутки, разделенная на 3 – 4 введения. Для большинства инфекций оптимальная доза составляет 60 мг/кг/сутки. Новорожденные: 30–100 мг/кг/сутки, разделенная на 2–3 введения [1, 2, 5].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14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невозможности или отсутствии необходимости парентерального введения 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пероральный прием антибактериальных препаратов системного действия: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цефуроксим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** детям 3 – 6 месяцев (4 – 6 кг) 40 – 60 мг каждые 12 часов, 6 месяцев – 2 года (6 – 12 кг) 60 – 120 мг каждые 12 часов, 2 года – 12 лет (от 12 и более 20 кг) 125 мг каждые 12 часов, старше 12 лет 250 мг каждые 12 часов [1, 2, 5].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15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случае непереносимости пенициллинов, устойчивых к бета-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лактамазам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цефалоспоринам 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назначение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линкозамидов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клиндамицин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** внутривенно путем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или внутримышечно (у детей старше 3 лет) 20 – 40 мг/кг/сутки; кратность введения 3 раза в сутки [1, 2, 5].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линкомицин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** внутривенно путем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или внутримышечно (у детей старше 1 мес.) 10 – 20 мг/кг/сутки; кратность введения 3 раза в сутки [1, 2, 5].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16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При высоком риске или подтверждении наличия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метициллин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-резистентных штаммов стафилококков, а также при наличии признаков сепсиса 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даптомицин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**: детям 12 – 17 лет 5 мг/кг 1 раз каждые 24 часа путем внутривенной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длительностью не менее 30 минут; детям 7 – 11 лет 7 мг/кг 1 раз каждые 24 часа путем внутривенной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длительностью не менее 30 минут; детям 2 – 6 лет 9 мг/кг 1 раз каждые 24 часа путем внутривенной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длительностью не менее 60 минут; детям 1 – 2 лет 10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мг/кг 1 раз каждые 24 часа путем внутривенной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длительностью не менее 60 минут [1, 2, 5];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линезолид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** внутривенно путем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детям старше 12 лет 600 мг каждые 12 часов, новорожденные и дети до 12 лет 10 мг/кг каждые 12 часов [1, 2, 5].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ванкомицин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** внутривенно путем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детям старше 12 лет 2 г в сутки, каждые 6 или 12 часов, детям в возрасте от 1 мес. до 12 лет 40 мг/кг в сутки, кратность введения каждые 6 часов, новорожденных начальная доза 15 мг/кг, затем 10 мг/кг каждые 12 часов в течение первой недели жизни [1, 2, 5].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других случаях используют режимы антибактериальной терапии, основанные на рекомендациях Стратегии контроля антибактериальной терапии (СКАТ) [5].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Оценку эффективности антибактериальной терапии проводят через 48 часов от момента начала ее применения на основе клинических и инструментально-лабораторных данных [5].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Дезинтоксикационная</w:t>
      </w:r>
      <w:proofErr w:type="spellEnd"/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 xml:space="preserve"> терапия</w:t>
      </w:r>
    </w:p>
    <w:p w:rsidR="00146831" w:rsidRPr="00146831" w:rsidRDefault="00146831" w:rsidP="00146831">
      <w:pPr>
        <w:numPr>
          <w:ilvl w:val="0"/>
          <w:numId w:val="17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Дезинтоксикационная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терапия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рекомендована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пациентам с хирургическими инфекциями кожи и подкожной клетчатки с выраженным SIRS / сепсисом, водно-электролитными нарушениями. При развитии сепсиса лечение пациента проводится в отделении реанимации и интенсивной терапии и включает в себя помимо антибактериальной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инфузионно-трансфузионную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терапию и проведение комплекса интенсивной терапии, заключающейся в коррекции органной дисфункции и/или заместительной терапии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18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Инфузионная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терапия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рекомендована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пациентам с хирургическими инфекциями кожи и подкожной клетчатки с признаками SIRS, признаками водно-электролитных нарушений. Объем рассчитывают исходя из дефицита воды, используя следующую формулу: дефицит воды (в литрах) = (гематокрит фактический – гематокрит нормальный)</w:t>
      </w:r>
      <w:proofErr w:type="gram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/(</w:t>
      </w:r>
      <w:proofErr w:type="gram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100 – гематокрит нормальный) х масса тела (кг) х k, где k = 0,33 в первый год жизни и 0,25 у детей старше года [2]. В качестве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инфузионной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среды рекомендовано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использовать изотонический раствор натрия хлорида**, натрия хлорида раствор сложный [калия хлорид + кальция хлорид + натрия </w:t>
      </w:r>
      <w:proofErr w:type="gram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хлорид]*</w:t>
      </w:r>
      <w:proofErr w:type="gram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*, калия хлорид + кальция хлорид + магния хлорид + натрия ацетат + натрия хлорид, натрия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лактата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раствор сложный [калия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хлорид+кальция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хлорид + натрия хлорид + натрия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лактат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]**; у детей до 3 лет обязательно добавляются 5 % или 10 % раствор декстрозы** из-за риска развития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кетоацидоза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Местное консервативное лечение</w:t>
      </w:r>
    </w:p>
    <w:p w:rsidR="00146831" w:rsidRPr="00146831" w:rsidRDefault="00146831" w:rsidP="00146831">
      <w:pPr>
        <w:numPr>
          <w:ilvl w:val="0"/>
          <w:numId w:val="19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инфильтративную стадию воспаления всем детям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использовать физиотерапевтические процедуры, которые назначаются врачом-физиотерапевтом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3.2 Хирургическое лечение</w:t>
      </w:r>
    </w:p>
    <w:p w:rsidR="00146831" w:rsidRPr="00146831" w:rsidRDefault="00146831" w:rsidP="00146831">
      <w:pPr>
        <w:numPr>
          <w:ilvl w:val="0"/>
          <w:numId w:val="20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В стадии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абсцедирования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пациентам с хирургическими инфекциями кожи и подкожной клетчатки рекомендовано хирургическое лечение. Основными задачами хирургического лечения являются удаление гноя 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некротизированных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тканей, а также дренирование гнойного очага. При сформированных абсцессах и технической возможности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использовать пункционные методы лечения, при которых возможно проведение адекватного дренирования при меньшей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травматичности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по сравнению с традиционными способами вскрытия и дренирования абсцессов. Кроме того, значительно снижается риск раневой инфекции в послеоперационном периоде. При диффузном гнойном воспалении подкожной клетчатки (флегмона)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широкое вскрытие флегмоны [2, 3, 7].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21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Выбор метода анестезии зависит от локализации и распространенности очага, а также от возраста ребенка. У старших детей при поверхностном расположении очага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рекомендована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его санация под местной анестезией; при очагах, расположенных в области пальцев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проведение проводниковой анестезии по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Оберсту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лидокаин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** 10 мг/мл), при других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локализациях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использовать инфильтрационную анестезию. В остальных случаях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проведение общей анестезии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2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кожном и околоногтевом панариции, паронихии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вскрытие абсцесса над участком максимальной флюктуации, удаление экссудата и наложение повязки с мазями, содержащими антисептики и дезинфицирующие средства или антибиотики для наружного применения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повидон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-йод** раствор для местного и наружного применения 10 % или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повидон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-йод мазь 10 % для наружного применения у детей старше 1 мес.,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хлорамфеникол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+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диоксометилтетрагидропиримидин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у детей старше 1 года) [2, 3, 10].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2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подкожном панариции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рекомендованы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разрезы по боковым поверхностям пораженных фаланг и устанавливают сквозной дренаж по типу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Penrose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через эти разрезы. Также накладываются повязки, содержащие антисептики и дезинфицирующие средства или антибиотики для наружного применения [2, 3, 10].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24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Флегмону (целлюлит) при отграничении процесса и формировании гнойного очага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вскрывать одним или несколькими разрезами с рассечением кожи и подкожной клетчатки. Гной 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некротизированные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ткани удаляют. Важно провести тщательную ревизию раны, чтобы не пропустить наличие карманов и затеков, которые также должны быть санированы. Рану не ушивают. После вскрытия флегмоны рану ведут под повязками с антисептиками и дезинфицирующими средствами или антибиотиками для наружного применения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25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обширных флегмонах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наложение системы для вакуумного лечения ран. При благоприятном течении накладывают ранние вторичные швы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26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Абсцедирующие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формы лимфаденитом лечат аналогично флегмонам, 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выполнение разреза над местом наибольшей флюктуации, эвакуация гноя и установка дренажа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numPr>
          <w:ilvl w:val="0"/>
          <w:numId w:val="27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Пациентам с хирургическими инфекциями кожи и подкожной клетчатки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рекомендованы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методы ультразвуковой и лазерной санации. При больших ранах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наложение систем для вакуумного лечения. Решение о закрытии раневого дефекта принимается всегда индивидуально и может быть выполнено с помощью формирования вторичных швов или применения различных пластических методик (формирование лоскутов на сосудистой ножке, свободных кожных лоскутов и т. п.) [2, 4].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Комментарий.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Лечение инфицированных ран представляет собой достаточно сложную задачу и включает в себя удаление всех </w:t>
      </w:r>
      <w:proofErr w:type="spellStart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>некротизированных</w:t>
      </w:r>
      <w:proofErr w:type="spellEnd"/>
      <w:r w:rsidRPr="00146831">
        <w:rPr>
          <w:rFonts w:ascii="Times New Roman" w:eastAsia="Times New Roman" w:hAnsi="Times New Roman" w:cs="Times New Roman"/>
          <w:i/>
          <w:iCs/>
          <w:color w:val="333333"/>
          <w:spacing w:val="4"/>
          <w:sz w:val="27"/>
          <w:szCs w:val="27"/>
          <w:lang w:eastAsia="ru-RU"/>
        </w:rPr>
        <w:t xml:space="preserve"> тканей, гноя, инородных тел (при их наличии) и обработку раневой поверхности антисептиками и дезинфицирующими средствами.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3.3 Послеоперационное лечение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послеоперационном периоде проводят антибактериальную терапию, обезболивание, местное лечение и симптоматическое лечение [2, 9, 10].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Антибактериальная терапия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проводится по принципам, изложенным выше.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Обезболивание.</w:t>
      </w:r>
    </w:p>
    <w:p w:rsidR="00146831" w:rsidRPr="00146831" w:rsidRDefault="00146831" w:rsidP="00146831">
      <w:pPr>
        <w:numPr>
          <w:ilvl w:val="0"/>
          <w:numId w:val="28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Всем детям в послеоперационном периоде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обезболивание [2, 3].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Ненаркотические анальгетики (другие анальгетики и антипиретики) и НПВП.</w:t>
      </w:r>
    </w:p>
    <w:p w:rsidR="00146831" w:rsidRPr="00146831" w:rsidRDefault="00146831" w:rsidP="00146831">
      <w:pPr>
        <w:numPr>
          <w:ilvl w:val="0"/>
          <w:numId w:val="29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послеоперационном периоде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назначение ненаркотических анальгетиков (другие анальгетики и антипиретики) и НПВП [2]: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- парацетамол** внутрь детям старше 12 лет 500 мг каждые 6 часов (в виде таблеток), от 3 мес. до 12 лет 15 мг/кг каждые 6 часов (в виде суспензии или таблеток), от 2 до 3 мес. 15 мг/кг каждые 12 часов (в виде суспензии); внутривенно у детей старше 1 мес. путем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инфузии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детям весом более 50 кг 1 г каждые 6 часов, менее 50 кг 15 мг/кг каждые 6 часов, менее 10 кг 7,5 мг/кг каждые 6 часов.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ибупрофен** внутрь детям старше 12 лет 200 мг каждые 6 часов (таблетки),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Дети в возрасте 3-6 месяцев (вес ребенка от 5 до 7,6 кг): по 2,5 мл (50 мг) до 3 раз в течение 24 часов, не более 7,5 мл (150 мг) в сутки. Дети в возрасте 6-12 месяцев (вес ребенка 7,7 – 9 кг): по 2,5 мл (50 мг) до 3-4 раз в течение 24 часов, не более 10 мл (200 мг) в сутки. Дети в возрасте 1 – 3 года (вес ребенка 10 – 16 кг): по 5,0 мл (100 мг) до 3 раз в течение 24 часов, не более 15 мл (300 мг) в сутки. Дети в возрасте 4 - 6 лет (вес ребенка 17 – 20 кг): по 7,5 мл (150 мг) до 3 раз в течение 24 часов, не более 22,5 мл (450 мг) в сутки. Дети в возрасте 7 – 9 лет (вес ребенка 21 – 30 кг): по 10 мл (200 мг) до 3 раз в течение 24 часов, не более 30 мл (600 мг) в сутки. Дети в возрасте 10 – 12 лет (вес ребенка 31 – 40 кг): по 15 мл (300 мг) до 3 раз в течение 24 часов, не более 45 мл (900 мг) в сутки. Продолжительность лечения – не более 3 дней (суспензия для приема внутрь).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Опиоиды</w:t>
      </w:r>
      <w:proofErr w:type="spellEnd"/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.</w:t>
      </w:r>
    </w:p>
    <w:p w:rsidR="00146831" w:rsidRPr="00146831" w:rsidRDefault="00146831" w:rsidP="00146831">
      <w:pPr>
        <w:numPr>
          <w:ilvl w:val="0"/>
          <w:numId w:val="30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При распространенных процессах после проведения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травматичного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хирургического вмешательства, а также при неэффективности ненаркотических анальгетиков и НПВП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назначение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опиоидов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[2]: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трамадол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** внутривенно или внутримышечно детям старше 12 лет 50 – 100 мг каждые 6 часов, детям от 1 года до 12 лет 1 – 2 мг/кг каждые 6 часов.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тримеперидин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** внутримышечно детям старше 2 лет 3 – 10 мг в зависимости от возраста.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морфин** внутримышечно 0,05 – 0,2 мг/кг каждые 6 часов.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lastRenderedPageBreak/>
        <w:t>Местное лечение в послеоперационном периоде.</w:t>
      </w:r>
    </w:p>
    <w:p w:rsidR="00146831" w:rsidRPr="00146831" w:rsidRDefault="00146831" w:rsidP="00146831">
      <w:pPr>
        <w:numPr>
          <w:ilvl w:val="0"/>
          <w:numId w:val="31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Послеоперационные раны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обрабатывать растворами антисептиков и дезинфицирующих средств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повидон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-йод** – в форме 10 % раствора у детей старше 1 мес.,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хлоргексидин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** 0,05 %; возможно использование других антисептиков и дезинфицирующих средств, разрешенных для местного применения у детей) 1 – 2 раза в сутки. Затем раны закрывают повязки мазевыми атравматическими, содержащими антисептики или антибиотики, или повязками с нанесенными на них растворами или мазями с антисептиками или антибиотиками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</w:p>
    <w:p w:rsidR="00146831" w:rsidRPr="00146831" w:rsidRDefault="00146831" w:rsidP="00146831">
      <w:pPr>
        <w:numPr>
          <w:ilvl w:val="0"/>
          <w:numId w:val="32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Трубки дренажные силиконовые одноканальные всем пациентам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удалять при прекращении отделения по ним экссудата, резиновые выпускники через 24 часа [2].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5)</w:t>
      </w:r>
    </w:p>
    <w:p w:rsidR="00146831" w:rsidRPr="00146831" w:rsidRDefault="00146831" w:rsidP="00146831">
      <w:pPr>
        <w:numPr>
          <w:ilvl w:val="0"/>
          <w:numId w:val="33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При наложении вакуумной системы всем пациентам смену ее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рекомендовано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производить каждые 2 – 3 суток [4].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С (уровень достоверности доказательств – 4)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Вопрос о вторичном закрытии раневого дефекта решается индивидуально, следует ориентироваться на отсутствие в ране фибрина, гнойного отделяемого, наличия грануляций, отрицательных результатов микробиологического исследования.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Физиотерапевтическое лечение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назначается врачом-физиотерапевтом.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Выписка из стационара производится после достижения клинического излечения.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 xml:space="preserve">4. Медицинская реабилитация и санаторно-курортное лечение, медицинские показания и противопоказания к применению методов медицинской реабилитации, в том числе </w:t>
      </w: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основанных на использовании природных лечебных факторов</w:t>
      </w:r>
    </w:p>
    <w:p w:rsidR="00146831" w:rsidRPr="00146831" w:rsidRDefault="00146831" w:rsidP="00146831">
      <w:pPr>
        <w:numPr>
          <w:ilvl w:val="0"/>
          <w:numId w:val="34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Услуги по медицинской реабилитации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рекомендованы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пациентам, перенесшим хирургические инфекции, осложнившиеся сепсисом,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полиорганной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недостаточностью, септическим шоком [2, 3].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рекомендации C (Уровень достоверности доказательств – 5)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5. Профилактика и диспансерное наблюдение, медицинские показания и противопоказания к применению методов профилактики</w:t>
      </w:r>
    </w:p>
    <w:p w:rsidR="00146831" w:rsidRPr="00146831" w:rsidRDefault="00146831" w:rsidP="00146831">
      <w:pPr>
        <w:numPr>
          <w:ilvl w:val="0"/>
          <w:numId w:val="35"/>
        </w:numPr>
        <w:shd w:val="clear" w:color="auto" w:fill="FFFFFF"/>
        <w:spacing w:after="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 качестве профилактики возникновения хирургических инфекций </w:t>
      </w: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рекомендуется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 своевременное устранение причин, которые могут привести к их возникновению [2, 5].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Уровень убедительности рекомендаций С (Уровень достоверности доказательств – 5)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6. Организация оказания медицинской помощи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Этапы оказания медицинской помощи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1. Медицинская эвакуация пациентов с хирургическими инфекциями кожи и подкожной клетчатки в медицинские организации осуществляется на основе трехуровневой системы оказания специализированной медицинской помощи в экстренной и неотложной форме, сформированной в субъекте Российской Федерации, в целях предоставления дифференцированного объема медицинского обследования и лечения в зависимости от тяжести острого панкреатита, степени риска возникновения осложнений с учетом структуры, коечной мощности, уровня оснащения и обеспеченности квалифицированными кадрами указанных медицинских организаций.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В зависимости от коечной мощности, оснащения, кадрового обеспечения медицинские организации, оказывающие специализированную, в том числе высокотехнологичную, медицинскую помощь в экстренной и неотложной форме пациентам с хирургическими инфекциями кожи и подкожной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клетчатки, разделяются на три группы по возможности оказания данной медицинской помощи в рамках трёхуровневой системы оказания специализированной медицинской помощи в экстренной и неотложной форме: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а) первый уровень – районные медицинские организации для оказания специализированной медицинской помощи в экстренной и неотложной форме;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б) второй уровень – межрайонные медицинские организации для оказания специализированной медицинской помощи в экстренной и неотложной форме;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в) третий уровень – региональные медицинские организации для оказания специализированной, в том числе высокотехнологичной, медицинской помощи в экстренной и неотложной форме.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2. Госпитализация показана всем пациентам: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которые имеют признаки синдрома системного воспалительного ответа;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которые требуют проведения интенсивной терапии;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которые требуют проведения оперативного вмешательства в условиях общей анестезии;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которые имеют хирургические инфекции мягких тканей, расположенные в области лица и волосистой части головы;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до одного года;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которым может потребоваться многоэтапное лечение;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которые имеют тяжелую сопутствующую патологию (решение принимается совместно с профильным специалистом);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если сложно или невозможно оценить состояние пациента и прогноза в отношении исхода заболевания при первичном осмотре.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3. Выписка пациентов при: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при улучшении/выздоровлении, когда дальнейшее лечение может проводиться в амбулаторных условиях;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при отсутствии признаков синдрома системной воспалительной реакции;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- при прекращении отделения экссудата из раны, отсутствии признаков продолжающейся инфекции, начале ее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эпителизации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- при отсутствии дальнейших показаний к парентеральному введению антибактериальных препаратов системного действия.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7. Дополнительная информация (в том числе факторы, влияющие на исход заболевания или состояния)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На исход заболевания или состояния могут оказывать влияние: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Поливалентная аллергия (в том числе аллергическая реакция в анамнезе на введение лошадиной сыворотки (противодифтерийной, противостолбнячной и др.);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Инфекционные и паразитарные заболевания и/или подозрение на них, пищевая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токсикоинфекция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дизентерия, вирусные гепатиты, грипп, малярия, бруцеллез, псевдотуберкулез,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иерсиниоз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др.);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Наличие в анамнезе лейкоза, онкологических заболеваний, туберкулеза или положительной реакции на ВИЧ-инфекцию, гепатит В и С);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Выраженные врожденные дефекты, подтвержденные данными анамнеза и/или объективным обследованием, ведущие к нарушению нормальной жизнедеятельности и требующие коррекции (врожденные пороки сердца, желудочно-кишечного тракта, мочеполовой системы, скелета, синдром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Марфана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синдром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Кляйнфельтера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синдром Эдвардса, синдром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Опица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синдром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Гольденхара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другие);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Системные заболевания соединительной ткани по данным анамнеза – системная склеродермия, системная красная волчанка, системные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васкулиты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, антифосфолипидный синдром, дерматомиозит,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саркоидоз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ревматизм и другие);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Сахарный диабет I и II типа;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Ожирение c индексом массы тела более 40;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Острая почечная недостаточность;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Хроническая почечная недостаточность со скоростью клубочковой фильтрации менее 30 мл/мин.;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Рассеянный склероз и другие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демиелинизирующие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заболевания;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Любые психиатрические заболевания по данным анамнеза;</w:t>
      </w:r>
    </w:p>
    <w:p w:rsidR="00146831" w:rsidRPr="00146831" w:rsidRDefault="00146831" w:rsidP="00146831">
      <w:pPr>
        <w:numPr>
          <w:ilvl w:val="0"/>
          <w:numId w:val="36"/>
        </w:numPr>
        <w:shd w:val="clear" w:color="auto" w:fill="FFFFFF"/>
        <w:spacing w:after="240" w:line="390" w:lineRule="atLeast"/>
        <w:ind w:left="315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Гематологические заболевания по данным анамнеза.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Критерии оценки качества медицинской помощи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0931"/>
        <w:gridCol w:w="2584"/>
      </w:tblGrid>
      <w:tr w:rsidR="00146831" w:rsidRPr="00146831" w:rsidTr="00146831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Критерии качества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Оценка выполнения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Проведен сбор жалоб и анамнеза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Выполнен осмотр пораженного участка при первичном осмотре с целью установления диагноза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Выполнен ежедневный осмотр пораженного участка для оценки течения патологического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Выполнен общий (клинический) анализ крови с дифференцированным подсчетом лейкоцитов (лейкоцитарная формула) и исследованием скорости оседания эритроцитов при поступлении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Выполнен общий (клинический) анализ крови с дифференцированным подсчетом лейкоцитов (лейкоцитарная формула) и исследованием скорости оседания эритроцитов не реже 1 раза в 5 суток или перед выпиской из стационара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Детям с признаками SIRS и/или органной дисфункции, вызванной инфекцией (сепсис) проведено дополнительное исследование уровня С-реактивного белка и исследование уровня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прокальцитонина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в крови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Пациентам с хирургическими инфекциями кожи и подкожной клетчатки с неясной клинической картиной выполнено ультразвуковое исследование (УЗИ) мягких тканей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При поражении сегментов конечностей и особенно пальцев кисти и стопы пациентам с хирургическими инфекциями кожи и подкожной клетчатки выполнена рентгенография кисти или стопы в двух проекциях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При малой информативности УЗИ мягких тканей или при сложных локализациях воспалительного процесса проведены компьютерная томография (КТ) верхней или нижней конечности, или магнитно-резонансная томография (МРТ) мягких тканей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Назначены антибактериальные препараты системного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В стадии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абсцедирования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проведено хирургическое лечение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Выполнено обезболивание в послеоперационном периоде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Назначены услуги по медицинской реабилитации пациентам, перенесшим хирургические инфекции, осложнившиеся сепсисом,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полиорганной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недостаточностью, септическим шоком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Да/нет</w:t>
            </w:r>
          </w:p>
        </w:tc>
      </w:tr>
    </w:tbl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Список литературы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Государственный реестр лекарственных средств. https://grls.rosminzdrav.ru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Детская хирургия: национальное руководство / под ред. А.Ю. Разумовского. - 2-е изд.,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перераб</w:t>
      </w:r>
      <w:proofErr w:type="spellEnd"/>
      <w:proofErr w:type="gram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</w:t>
      </w:r>
      <w:proofErr w:type="gram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доп. – Москва: ГЭОТАР-Медиа, 2021.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Инфекции в хирургии. Руководство для врачей. В.К.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Гостищев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Издательство "ГЭОТАР-Медиа", 2007.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Козлов Ю.А., Новожилов В.А. Вакуумная терапия ран у детей. Российский вестник детской хирургии, анестезиологии и реаниматологии. Том 4, № 3, 2014.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Программа СКАТ (Стратегия Контроля Антимикробной Терапии) при оказании стационарной медицинской помощи: Российские клинические рекомендации / Под ред. С.В. Яковлева, Н.И.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Брико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, С.В. Сидоренко и др. - М.: Издательство «Перо», 2018.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 xml:space="preserve">Савенкова М.С., Афанасьева А.А.,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Абдулаев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А.К.,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Неижко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Л.Ю.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Лимфаденопатия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и лимфаденит у детей: диагностика и лечение. Трудный пациент. № 12. Том 6, 2008.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Хирургические инфекции: руководство / Под ред. И.А. Ерюхина, Б.Р. Гельфанда, С.А. Шляпникова. – СПб: Питер, 2003.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K B Santosa, M Keller, M O, A M Keane, E D Sears, A K Snyder-Warwick. Negative Pressure Wound Therapy in Infants and Children: A Population-Based Study.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J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Surg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Res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2018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Nov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gram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30;235:560</w:t>
      </w:r>
      <w:proofErr w:type="gram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–568.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Y Gillet, M Lorrot, P Minodier, A Ouziel, H Haas, R Cohen. Antimicrobial treatment of skin and soft tissue infections.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Infect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Dis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Now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. 2023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Nov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53(8S): 104787.  </w:t>
      </w:r>
    </w:p>
    <w:p w:rsidR="00146831" w:rsidRPr="00146831" w:rsidRDefault="00146831" w:rsidP="00146831">
      <w:pPr>
        <w:numPr>
          <w:ilvl w:val="0"/>
          <w:numId w:val="37"/>
        </w:numPr>
        <w:shd w:val="clear" w:color="auto" w:fill="FFFFFF"/>
        <w:spacing w:after="240" w:line="390" w:lineRule="atLeast"/>
        <w:ind w:left="300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val="en-US" w:eastAsia="ru-RU"/>
        </w:rPr>
        <w:t xml:space="preserve">S Swartz, L Cotter, A Nelson, J Zhang, K Yan, M L Pickett. Skin and Soft Tissue Infections in Young Infants.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WMJ. 2023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May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; 122(2): 105-109.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А1. Состав рабочей группы по разработке и пересмотру клинических рекомендаций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Голованев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Максим Алексеевич – кандидат медицинских наук, доцент кафедры детской хирургии ИМД РНИМУ им. Н.И. Пирогова.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Разумовский Александр Юрьевич – член-корреспондент РАН, доктор медицинских наук, профессор, зав. кафедрой детской хирургии ИМД РНИМУ им. Н.И. Пирогова.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Смирнов Алексей Николаевич – доктор медицинских наук, профессор кафедры детской хирургии ИМД РНИМУ им. Н.И. Пирогова.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Чундокова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Мадина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Арсеновна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– доктор медицинских наук, профессор кафедры детской хирургии ИМД РНИМУ им. Н.И. Пирогова.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Конфликт интересов: Все члены Рабочей группы подтвердили отсутствие финансовой поддержки / конфликта интересов, о которых необходимо сообщить.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Приложение А2. Методология разработки клинических рекомендаций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Целевая аудитория данных клинических рекомендаций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1. Врач-детский хирург;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2. Врач-педиатр;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4. Врач-педиатр участковый;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5. Врач-педиатр городской (районный);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4. Врач общей практики (семейный врач);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5. Врач-неонатолог;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7. Врач-анестезиолог-реаниматолог;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8. Врач-хирург;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9. Врач-терапевт;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11. Врач-терапевт подростковый;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12. Врач-терапевт участковый;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11. Врач функциональной диагностики.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Методы, используемые для сбора/селекции доказательств: поиск в электронных базах данных.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Описание методов, использованных для оценки качества и силы доказательств: доказательной базой для рекомендаций являются публикации, вошедшие в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Кохрейновскую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библиотеку, базы данных EMBASE, MEDLINE и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PubMed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Глубина поиска – 7 лет.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Методы, использованные для оценки качества и силы доказательств: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● консенсус экспертов;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● оценка значимости в соответствии с рейтинговой схемой.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Методы, использованные для анализа доказательств: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● обзоры опубликованных мета-анализов;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● систематические обзоры с таблицами доказательств.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Описание методов, использованных для анализа доказательств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При отборе публикаций, как потенциальных источников доказательств, использованная в каждом исследовании методология изучается для того, чтобы убедиться в ее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валидности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Результат изучения влияет на уровень доказательств, присваиваемый публикации, что в свою очередь, влияет на силу рекомендаций.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Для минимизации потенциальных ошибок каждое исследование оценивалось независимо. Любые различия в оценках обсуждались всей группой авторов в полном составе. При невозможности достижения консенсуса привлекался независимый эксперт.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Таблицы доказательств: заполнялись авторами клинических рекомендаций.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Методы, использованные для формулирования рекомендаций: консенсус экспертов.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Индикаторы доброкачественной практики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Good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Practice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Points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–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GPPs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Рекомендуемая доброкачественная практика базируется на клиническом опыте авторов разработанных рекомендаций.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Экономический анализ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Анализ стоимости не проводился и публикации по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фармакоэкономике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не анализировались.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Метод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валидации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рекомендаций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● Внешняя экспертная оценка.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● Внутренняя экспертная оценка.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Описание метода 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валидации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 рекомендаций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Настоящие рекомендации в предварительной версии были рецензированы независимыми экспертами, которых, прежде всего, попросили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прокомментировать, насколько доступна для понимания интерпретация доказательств, лежащая в основе рекомендаций.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Все комментарии, полученные от экспертов, тщательно систематизировались и обсуждались членами рабочей группы (авторами рекомендаций). Каждый пункт обсуждался в отдельности.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Консультация и экспертная оценка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Проект рекомендаций был рецензирован независимыми экспертами, которых, прежде всего, попросили прокомментировать доходчивость и точность интерпретации доказательной базы, лежащей в основе рекомендаций.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Рабочая группа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Для окончательной редакции и контроля качества рекомендации были повторно проанализированы членами рабочей группы, которые пришли к заключению, что все замечания и комментарии экспертов приняты во внимание, риск систематических ошибок при разработке рекомендаций сведен к минимуму. 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1. Шкала оценки уровней достоверности доказательств (УДД) для методов диагностики (диагностических вмешательств)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13211"/>
      </w:tblGrid>
      <w:tr w:rsidR="00146831" w:rsidRPr="00146831" w:rsidTr="00146831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УДД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Расшифровка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Систематические обзоры исследований с контролем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 или систематический обзор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рандомизированных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клинических исследований с применением мета-анализа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Отдельные исследования с контролем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 или отдельные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рандомизированные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клинические исследования и систематические обзоры исследований любого дизайна, за исключением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рандомизированных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клинических исследований, с применением мета-анализа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Исследования без последовательного контроля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 или исследования с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референсным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методом, не являющимся независимым от исследуемого метода или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нерандомизированные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сравнительные исследования, в том числе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когортные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Несравнительные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исследования, описание клинического случая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Имеется лишь обоснование механизма действия или мнение экспертов</w:t>
            </w:r>
          </w:p>
        </w:tc>
      </w:tr>
    </w:tbl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lastRenderedPageBreak/>
        <w:t>Таблица 2. Шкала оценки уровней убедительности рекомендаций (УУР) для методов профилактики, диагностики, лечения, медицинской реабилитации, в том числе основанных на использовании природных лечебных факторов (профилактических, диагностических, лечебных, реабилитационных вмешательств)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13211"/>
      </w:tblGrid>
      <w:tr w:rsidR="00146831" w:rsidRPr="00146831" w:rsidTr="00146831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УДД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Расшифровка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Систематический обзор РКИ с применением мета-анализа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Отдельные РКИ и систематические обзоры исследований любого дизайна, за исключением РКИ, с применением мета-анализа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Нерандомизированные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сравнительные исследования, в т. ч. </w:t>
            </w: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когортные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proofErr w:type="spellStart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Несравнительные</w:t>
            </w:r>
            <w:proofErr w:type="spellEnd"/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 xml:space="preserve"> исследования, описание клинического случая или серии случаев, исследования «случай-контроль»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Имеется лишь обоснование механизма действия вмешательства (доклинические исследования) или мнение экспертов</w:t>
            </w:r>
          </w:p>
        </w:tc>
      </w:tr>
    </w:tbl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i/>
          <w:iCs/>
          <w:color w:val="333333"/>
          <w:spacing w:val="4"/>
          <w:sz w:val="27"/>
          <w:szCs w:val="27"/>
          <w:lang w:eastAsia="ru-RU"/>
        </w:rPr>
        <w:t>Таблица 3. Шкала оценки уровней убедительности рекомендаций (УУР) для методов профилактики, диагностики, лечения, медицинской реабилитации, в том числе основанных на использовании природных лечебных факторов (профилактических, диагностических, лечебных, реабилитационных вмешательств)</w:t>
      </w:r>
    </w:p>
    <w:tbl>
      <w:tblPr>
        <w:tblW w:w="14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13211"/>
      </w:tblGrid>
      <w:tr w:rsidR="00146831" w:rsidRPr="00146831" w:rsidTr="00146831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УДД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ru-RU"/>
              </w:rPr>
              <w:t>Расшифровка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Сильная рекомендация (все рассматриваемые критерии эффективности (исходы) являются важными, все исследования имеют высокое или удовлетворительное методологическое качество, их выводы по интересующим исходам являются согласованными)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Условная рекомендация (не все рассматриваемые критерии эффективности (исходы) являются важными, не все исследования имеют высокое или удовлетворительное методологическое качество и/или их выводы по интересующим исходам не являются согласованными)</w:t>
            </w:r>
          </w:p>
        </w:tc>
      </w:tr>
      <w:tr w:rsidR="00146831" w:rsidRPr="00146831" w:rsidTr="001468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146831" w:rsidRPr="00146831" w:rsidRDefault="00146831" w:rsidP="00146831">
            <w:pPr>
              <w:spacing w:after="0" w:line="240" w:lineRule="atLeast"/>
              <w:jc w:val="both"/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</w:pPr>
            <w:r w:rsidRPr="00146831">
              <w:rPr>
                <w:rFonts w:ascii="Verdana" w:eastAsia="Times New Roman" w:hAnsi="Verdana" w:cs="Times New Roman"/>
                <w:sz w:val="27"/>
                <w:szCs w:val="27"/>
                <w:lang w:eastAsia="ru-RU"/>
              </w:rPr>
              <w:t>Слабая рекомендация (отсутствие доказательств надлежащего качества (все рассматриваемые критерии эффективности (исходы) являются неважными, все исследования имеют низкое методологическое качество и их выводы по интересующим исходам не являются согласованными)</w:t>
            </w:r>
          </w:p>
        </w:tc>
      </w:tr>
    </w:tbl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lastRenderedPageBreak/>
        <w:t>Приложение А3. Справочные материалы, включая соответствие показаний к применению и противопоказаний, способов применения и доз лекарственных препаратов, инструкции по применению лекарственного препарата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1. Клинические рекомендации Европейской ассоциации детских хирургов 2024 г.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2. Приказ Минздрава России от 31 октября 2012 г. № 562н «Об утверждении порядка оказания медицинской помощи детскому населению по профилю «детская хирургия».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4. Приказ Министерства здравоохранения РФ от 28 февраля 2019 г. N 103н «Об утверждении порядка и сроков разработки клинических рекомендаций, их пересмотра, типовой формы клинических рекомендаций и требований к их структуре, составу и научной обоснованности, включаемой в клинические рекомендации информации».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Б. Алгоритмы действий врача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В. Информация для пациента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Острые воспалительные процессы, возникающие в подкожной клетчатке, мышцах и других мягких тканях. Они могут проявляться в виде абсцессов (локализованных гнойных воспалений), флегмон (диффузного воспаления) или инфицированных ран.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Диагностика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 xml:space="preserve"> хирургических инфекций мягких тканей включает в себя общий осмотр пациента, осмотр области поражения, а также ряд лабораторных и инструментальных методов исследования. Назначение те или иных методов 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lastRenderedPageBreak/>
        <w:t>определятся врачом и зависят от данных осмотра пациента и данных предыдущих исследований.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Лечение 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включает обязательное назначение антибиотиков, которые могут назначаться через рот или в виде инъекций при более тяжелом течении болезни. Дополнительно врач может прописать средства для снятия болевых ощущений и уменьшения отёчности в поражённой области. В случае инфицированных ран проводят регулярные перевязки с антисептическими средствами.</w:t>
      </w:r>
    </w:p>
    <w:p w:rsidR="00146831" w:rsidRPr="00146831" w:rsidRDefault="00146831" w:rsidP="00146831">
      <w:pPr>
        <w:shd w:val="clear" w:color="auto" w:fill="FFFFFF"/>
        <w:spacing w:after="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b/>
          <w:bCs/>
          <w:color w:val="222222"/>
          <w:spacing w:val="4"/>
          <w:sz w:val="27"/>
          <w:szCs w:val="27"/>
          <w:lang w:eastAsia="ru-RU"/>
        </w:rPr>
        <w:t>Хирургическое лечение</w:t>
      </w: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. При наличии абсцессов хирургическое лечение включает вскрытие и дренирование гнойной полости. В случае флегмоны может потребоваться более обширная операция с удалением нежизнеспособных тканей. Инфицированные раны также могут требовать хирургической обработки, особенно если инфекция распространяется вглубь тканей. Это может включать удаление нежизнеспособных тканей (</w:t>
      </w:r>
      <w:proofErr w:type="spellStart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некрэктомию</w:t>
      </w:r>
      <w:proofErr w:type="spellEnd"/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) и очистку раневой поверхности.</w:t>
      </w:r>
    </w:p>
    <w:p w:rsidR="00146831" w:rsidRPr="00146831" w:rsidRDefault="00146831" w:rsidP="00146831">
      <w:pPr>
        <w:shd w:val="clear" w:color="auto" w:fill="FFFFFF"/>
        <w:spacing w:line="240" w:lineRule="auto"/>
        <w:outlineLvl w:val="0"/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</w:pPr>
      <w:r w:rsidRPr="00146831">
        <w:rPr>
          <w:rFonts w:ascii="Inter" w:eastAsia="Times New Roman" w:hAnsi="Inter" w:cs="Times New Roman"/>
          <w:b/>
          <w:bCs/>
          <w:color w:val="000000"/>
          <w:spacing w:val="4"/>
          <w:kern w:val="36"/>
          <w:sz w:val="48"/>
          <w:szCs w:val="48"/>
          <w:lang w:eastAsia="ru-RU"/>
        </w:rPr>
        <w:t>Приложение Г1-ГN. Шкалы оценки, вопросники и другие оценочные инструменты состояния пациента, приведенные в клинических рекомендациях</w:t>
      </w:r>
    </w:p>
    <w:p w:rsidR="00146831" w:rsidRPr="00146831" w:rsidRDefault="00146831" w:rsidP="00146831">
      <w:pPr>
        <w:shd w:val="clear" w:color="auto" w:fill="FFFFFF"/>
        <w:spacing w:after="240" w:line="390" w:lineRule="atLeast"/>
        <w:jc w:val="both"/>
        <w:textAlignment w:val="top"/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</w:pPr>
      <w:r w:rsidRPr="00146831">
        <w:rPr>
          <w:rFonts w:ascii="Times New Roman" w:eastAsia="Times New Roman" w:hAnsi="Times New Roman" w:cs="Times New Roman"/>
          <w:color w:val="222222"/>
          <w:spacing w:val="4"/>
          <w:sz w:val="27"/>
          <w:szCs w:val="27"/>
          <w:lang w:eastAsia="ru-RU"/>
        </w:rPr>
        <w:t>Не предполагается в рамках данных клинических рекомендаций.</w:t>
      </w:r>
    </w:p>
    <w:p w:rsidR="007A7903" w:rsidRDefault="007A7903">
      <w:bookmarkStart w:id="0" w:name="_GoBack"/>
      <w:bookmarkEnd w:id="0"/>
    </w:p>
    <w:sectPr w:rsidR="007A7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2D6A"/>
    <w:multiLevelType w:val="multilevel"/>
    <w:tmpl w:val="EF0C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95875"/>
    <w:multiLevelType w:val="multilevel"/>
    <w:tmpl w:val="801A0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D04820"/>
    <w:multiLevelType w:val="multilevel"/>
    <w:tmpl w:val="81FE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C329A"/>
    <w:multiLevelType w:val="multilevel"/>
    <w:tmpl w:val="EE1C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83FF8"/>
    <w:multiLevelType w:val="multilevel"/>
    <w:tmpl w:val="B2DA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DF440C"/>
    <w:multiLevelType w:val="multilevel"/>
    <w:tmpl w:val="6C569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04326F"/>
    <w:multiLevelType w:val="multilevel"/>
    <w:tmpl w:val="0212E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E66B14"/>
    <w:multiLevelType w:val="multilevel"/>
    <w:tmpl w:val="4FF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BC69F3"/>
    <w:multiLevelType w:val="multilevel"/>
    <w:tmpl w:val="AE48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A2794C"/>
    <w:multiLevelType w:val="multilevel"/>
    <w:tmpl w:val="7B7A6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A53C3"/>
    <w:multiLevelType w:val="multilevel"/>
    <w:tmpl w:val="62D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035C68"/>
    <w:multiLevelType w:val="multilevel"/>
    <w:tmpl w:val="A26CA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BC71F7"/>
    <w:multiLevelType w:val="multilevel"/>
    <w:tmpl w:val="A712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AF3231"/>
    <w:multiLevelType w:val="multilevel"/>
    <w:tmpl w:val="7766E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3F3E01"/>
    <w:multiLevelType w:val="multilevel"/>
    <w:tmpl w:val="E774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6709D5"/>
    <w:multiLevelType w:val="multilevel"/>
    <w:tmpl w:val="DE8AD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02979"/>
    <w:multiLevelType w:val="multilevel"/>
    <w:tmpl w:val="9874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9A76FD"/>
    <w:multiLevelType w:val="multilevel"/>
    <w:tmpl w:val="3C70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471D6A"/>
    <w:multiLevelType w:val="multilevel"/>
    <w:tmpl w:val="453E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AA609F"/>
    <w:multiLevelType w:val="multilevel"/>
    <w:tmpl w:val="E9D8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F63872"/>
    <w:multiLevelType w:val="multilevel"/>
    <w:tmpl w:val="544A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C0359A"/>
    <w:multiLevelType w:val="multilevel"/>
    <w:tmpl w:val="31A8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A17B76"/>
    <w:multiLevelType w:val="multilevel"/>
    <w:tmpl w:val="6E7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AA66FF"/>
    <w:multiLevelType w:val="multilevel"/>
    <w:tmpl w:val="32DC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406F84"/>
    <w:multiLevelType w:val="multilevel"/>
    <w:tmpl w:val="D66C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AF2AD2"/>
    <w:multiLevelType w:val="multilevel"/>
    <w:tmpl w:val="F57A0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4C14C9"/>
    <w:multiLevelType w:val="multilevel"/>
    <w:tmpl w:val="47B4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192666"/>
    <w:multiLevelType w:val="multilevel"/>
    <w:tmpl w:val="95A2D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0000B6"/>
    <w:multiLevelType w:val="multilevel"/>
    <w:tmpl w:val="C98CB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03667B"/>
    <w:multiLevelType w:val="multilevel"/>
    <w:tmpl w:val="A1CEC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6D200F"/>
    <w:multiLevelType w:val="multilevel"/>
    <w:tmpl w:val="447E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833FBC"/>
    <w:multiLevelType w:val="multilevel"/>
    <w:tmpl w:val="C792C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166B96"/>
    <w:multiLevelType w:val="multilevel"/>
    <w:tmpl w:val="5DB8D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A226BB"/>
    <w:multiLevelType w:val="multilevel"/>
    <w:tmpl w:val="25C20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85026B"/>
    <w:multiLevelType w:val="multilevel"/>
    <w:tmpl w:val="C33E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B92BC7"/>
    <w:multiLevelType w:val="multilevel"/>
    <w:tmpl w:val="789E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D13AD9"/>
    <w:multiLevelType w:val="multilevel"/>
    <w:tmpl w:val="9B00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8"/>
  </w:num>
  <w:num w:numId="5">
    <w:abstractNumId w:val="9"/>
  </w:num>
  <w:num w:numId="6">
    <w:abstractNumId w:val="17"/>
  </w:num>
  <w:num w:numId="7">
    <w:abstractNumId w:val="32"/>
  </w:num>
  <w:num w:numId="8">
    <w:abstractNumId w:val="11"/>
  </w:num>
  <w:num w:numId="9">
    <w:abstractNumId w:val="18"/>
  </w:num>
  <w:num w:numId="10">
    <w:abstractNumId w:val="31"/>
  </w:num>
  <w:num w:numId="11">
    <w:abstractNumId w:val="24"/>
  </w:num>
  <w:num w:numId="12">
    <w:abstractNumId w:val="23"/>
  </w:num>
  <w:num w:numId="13">
    <w:abstractNumId w:val="15"/>
  </w:num>
  <w:num w:numId="14">
    <w:abstractNumId w:val="16"/>
  </w:num>
  <w:num w:numId="15">
    <w:abstractNumId w:val="25"/>
  </w:num>
  <w:num w:numId="16">
    <w:abstractNumId w:val="29"/>
  </w:num>
  <w:num w:numId="17">
    <w:abstractNumId w:val="27"/>
  </w:num>
  <w:num w:numId="18">
    <w:abstractNumId w:val="7"/>
  </w:num>
  <w:num w:numId="19">
    <w:abstractNumId w:val="35"/>
  </w:num>
  <w:num w:numId="20">
    <w:abstractNumId w:val="30"/>
  </w:num>
  <w:num w:numId="21">
    <w:abstractNumId w:val="20"/>
  </w:num>
  <w:num w:numId="22">
    <w:abstractNumId w:val="34"/>
  </w:num>
  <w:num w:numId="23">
    <w:abstractNumId w:val="33"/>
  </w:num>
  <w:num w:numId="24">
    <w:abstractNumId w:val="36"/>
  </w:num>
  <w:num w:numId="25">
    <w:abstractNumId w:val="19"/>
  </w:num>
  <w:num w:numId="26">
    <w:abstractNumId w:val="21"/>
  </w:num>
  <w:num w:numId="27">
    <w:abstractNumId w:val="14"/>
  </w:num>
  <w:num w:numId="28">
    <w:abstractNumId w:val="12"/>
  </w:num>
  <w:num w:numId="29">
    <w:abstractNumId w:val="1"/>
  </w:num>
  <w:num w:numId="30">
    <w:abstractNumId w:val="4"/>
  </w:num>
  <w:num w:numId="31">
    <w:abstractNumId w:val="26"/>
  </w:num>
  <w:num w:numId="32">
    <w:abstractNumId w:val="22"/>
  </w:num>
  <w:num w:numId="33">
    <w:abstractNumId w:val="13"/>
  </w:num>
  <w:num w:numId="34">
    <w:abstractNumId w:val="10"/>
  </w:num>
  <w:num w:numId="35">
    <w:abstractNumId w:val="8"/>
  </w:num>
  <w:num w:numId="36">
    <w:abstractNumId w:val="5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2A4"/>
    <w:rsid w:val="00146831"/>
    <w:rsid w:val="007A7903"/>
    <w:rsid w:val="00E6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A752A-D2AA-4E30-8928-FBC5C5FC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468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8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logotext">
    <w:name w:val="logo_text"/>
    <w:basedOn w:val="a0"/>
    <w:rsid w:val="00146831"/>
  </w:style>
  <w:style w:type="character" w:customStyle="1" w:styleId="titlename">
    <w:name w:val="title_name"/>
    <w:basedOn w:val="a0"/>
    <w:rsid w:val="00146831"/>
  </w:style>
  <w:style w:type="character" w:customStyle="1" w:styleId="titlecontent">
    <w:name w:val="title_content"/>
    <w:basedOn w:val="a0"/>
    <w:rsid w:val="00146831"/>
  </w:style>
  <w:style w:type="character" w:customStyle="1" w:styleId="titlenamecolumn">
    <w:name w:val="title_name_column"/>
    <w:basedOn w:val="a0"/>
    <w:rsid w:val="00146831"/>
  </w:style>
  <w:style w:type="character" w:customStyle="1" w:styleId="titlename1">
    <w:name w:val="title_name1"/>
    <w:basedOn w:val="a0"/>
    <w:rsid w:val="00146831"/>
  </w:style>
  <w:style w:type="character" w:customStyle="1" w:styleId="titlecontent1">
    <w:name w:val="title_content1"/>
    <w:basedOn w:val="a0"/>
    <w:rsid w:val="00146831"/>
  </w:style>
  <w:style w:type="character" w:customStyle="1" w:styleId="titlecontent2">
    <w:name w:val="title_content2"/>
    <w:basedOn w:val="a0"/>
    <w:rsid w:val="00146831"/>
  </w:style>
  <w:style w:type="paragraph" w:styleId="a3">
    <w:name w:val="Normal (Web)"/>
    <w:basedOn w:val="a"/>
    <w:uiPriority w:val="99"/>
    <w:semiHidden/>
    <w:unhideWhenUsed/>
    <w:rsid w:val="0014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46831"/>
    <w:rPr>
      <w:b/>
      <w:bCs/>
    </w:rPr>
  </w:style>
  <w:style w:type="character" w:styleId="a5">
    <w:name w:val="Emphasis"/>
    <w:basedOn w:val="a0"/>
    <w:uiPriority w:val="20"/>
    <w:qFormat/>
    <w:rsid w:val="00146831"/>
    <w:rPr>
      <w:i/>
      <w:iCs/>
    </w:rPr>
  </w:style>
  <w:style w:type="paragraph" w:customStyle="1" w:styleId="marginl">
    <w:name w:val="marginl"/>
    <w:basedOn w:val="a"/>
    <w:rsid w:val="0014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6854">
                  <w:marLeft w:val="0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8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5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2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54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54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12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773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7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8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2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4183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28181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07774">
                  <w:marLeft w:val="0"/>
                  <w:marRight w:val="0"/>
                  <w:marTop w:val="0"/>
                  <w:marBottom w:val="3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05375">
                  <w:marLeft w:val="0"/>
                  <w:marRight w:val="0"/>
                  <w:marTop w:val="9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3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2940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0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5250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3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3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5344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22937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64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17821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9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4719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3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7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4621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0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4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23300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4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0771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0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5002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0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3916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9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4851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8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5113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1045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4511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49180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9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45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569177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0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0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7212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8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0120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9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32046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0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3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27470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2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7506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1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2194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8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6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6751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9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94302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2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4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34312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9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8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7907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2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85902">
              <w:marLeft w:val="0"/>
              <w:marRight w:val="0"/>
              <w:marTop w:val="9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8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8325</Words>
  <Characters>47455</Characters>
  <Application>Microsoft Office Word</Application>
  <DocSecurity>0</DocSecurity>
  <Lines>395</Lines>
  <Paragraphs>111</Paragraphs>
  <ScaleCrop>false</ScaleCrop>
  <Company/>
  <LinksUpToDate>false</LinksUpToDate>
  <CharactersWithSpaces>55669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2026-05-12T12:02:00Z</dcterms:created>
  <dcterms:modified xsi:type="dcterms:W3CDTF">2026-05-12T12:02:00Z</dcterms:modified>
</cp:coreProperties>
</file>