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74C5" w:rsidRPr="00C674C5" w:rsidRDefault="00C674C5" w:rsidP="00C674C5">
      <w:pPr>
        <w:spacing w:after="0" w:line="240" w:lineRule="auto"/>
        <w:jc w:val="center"/>
        <w:rPr>
          <w:rFonts w:ascii="Inter" w:eastAsia="Times New Roman" w:hAnsi="Inter" w:cs="Times New Roman"/>
          <w:color w:val="000000"/>
          <w:spacing w:val="4"/>
          <w:sz w:val="24"/>
          <w:szCs w:val="24"/>
          <w:lang w:eastAsia="ru-RU"/>
        </w:rPr>
      </w:pPr>
      <w:r w:rsidRPr="00C674C5">
        <w:rPr>
          <w:rFonts w:ascii="Inter" w:eastAsia="Times New Roman" w:hAnsi="Inter" w:cs="Times New Roman"/>
          <w:color w:val="000000"/>
          <w:spacing w:val="4"/>
          <w:sz w:val="24"/>
          <w:szCs w:val="24"/>
          <w:lang w:eastAsia="ru-RU"/>
        </w:rPr>
        <w:br/>
      </w:r>
      <w:r w:rsidRPr="00C674C5">
        <w:rPr>
          <w:rFonts w:ascii="Inter" w:eastAsia="Times New Roman" w:hAnsi="Inter" w:cs="Times New Roman"/>
          <w:noProof/>
          <w:color w:val="000000"/>
          <w:spacing w:val="4"/>
          <w:sz w:val="24"/>
          <w:szCs w:val="24"/>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D362196"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C674C5" w:rsidRPr="00C674C5" w:rsidRDefault="00C674C5" w:rsidP="00C674C5">
      <w:pPr>
        <w:spacing w:after="0" w:line="240" w:lineRule="auto"/>
        <w:jc w:val="center"/>
        <w:rPr>
          <w:rFonts w:ascii="Inter" w:eastAsia="Times New Roman" w:hAnsi="Inter" w:cs="Times New Roman"/>
          <w:color w:val="000000"/>
          <w:spacing w:val="4"/>
          <w:sz w:val="24"/>
          <w:szCs w:val="24"/>
          <w:lang w:eastAsia="ru-RU"/>
        </w:rPr>
      </w:pPr>
      <w:r w:rsidRPr="00C674C5">
        <w:rPr>
          <w:rFonts w:ascii="Inter" w:eastAsia="Times New Roman" w:hAnsi="Inter" w:cs="Times New Roman"/>
          <w:b/>
          <w:bCs/>
          <w:color w:val="575756"/>
          <w:spacing w:val="4"/>
          <w:sz w:val="27"/>
          <w:szCs w:val="27"/>
          <w:lang w:eastAsia="ru-RU"/>
        </w:rPr>
        <w:t>Министерство</w:t>
      </w:r>
      <w:r w:rsidRPr="00C674C5">
        <w:rPr>
          <w:rFonts w:ascii="Inter" w:eastAsia="Times New Roman" w:hAnsi="Inter" w:cs="Times New Roman"/>
          <w:b/>
          <w:bCs/>
          <w:color w:val="575756"/>
          <w:spacing w:val="4"/>
          <w:sz w:val="27"/>
          <w:szCs w:val="27"/>
          <w:lang w:eastAsia="ru-RU"/>
        </w:rPr>
        <w:br/>
        <w:t>Здравоохранения</w:t>
      </w:r>
      <w:r w:rsidRPr="00C674C5">
        <w:rPr>
          <w:rFonts w:ascii="Inter" w:eastAsia="Times New Roman" w:hAnsi="Inter" w:cs="Times New Roman"/>
          <w:b/>
          <w:bCs/>
          <w:color w:val="575756"/>
          <w:spacing w:val="4"/>
          <w:sz w:val="27"/>
          <w:szCs w:val="27"/>
          <w:lang w:eastAsia="ru-RU"/>
        </w:rPr>
        <w:br/>
        <w:t>Российской Федерации</w:t>
      </w:r>
    </w:p>
    <w:p w:rsidR="00C674C5" w:rsidRPr="00C674C5" w:rsidRDefault="00C674C5" w:rsidP="00C674C5">
      <w:pPr>
        <w:spacing w:line="240" w:lineRule="auto"/>
        <w:rPr>
          <w:rFonts w:ascii="Inter" w:eastAsia="Times New Roman" w:hAnsi="Inter" w:cs="Times New Roman"/>
          <w:color w:val="000000"/>
          <w:spacing w:val="4"/>
          <w:sz w:val="24"/>
          <w:szCs w:val="24"/>
          <w:lang w:eastAsia="ru-RU"/>
        </w:rPr>
      </w:pPr>
      <w:r w:rsidRPr="00C674C5">
        <w:rPr>
          <w:rFonts w:ascii="Inter" w:eastAsia="Times New Roman" w:hAnsi="Inter" w:cs="Times New Roman"/>
          <w:color w:val="808080"/>
          <w:spacing w:val="4"/>
          <w:sz w:val="27"/>
          <w:szCs w:val="27"/>
          <w:lang w:eastAsia="ru-RU"/>
        </w:rPr>
        <w:t>Клинические рекомендации</w:t>
      </w:r>
      <w:r w:rsidRPr="00C674C5">
        <w:rPr>
          <w:rFonts w:ascii="Inter" w:eastAsia="Times New Roman" w:hAnsi="Inter" w:cs="Times New Roman"/>
          <w:b/>
          <w:bCs/>
          <w:color w:val="008000"/>
          <w:spacing w:val="4"/>
          <w:sz w:val="42"/>
          <w:szCs w:val="42"/>
          <w:lang w:eastAsia="ru-RU"/>
        </w:rPr>
        <w:t>Центральная серозная хориоретинопатия</w:t>
      </w:r>
    </w:p>
    <w:p w:rsidR="00C674C5" w:rsidRPr="00C674C5" w:rsidRDefault="00C674C5" w:rsidP="00C674C5">
      <w:pPr>
        <w:spacing w:after="0" w:line="240" w:lineRule="auto"/>
        <w:rPr>
          <w:rFonts w:ascii="Inter" w:eastAsia="Times New Roman" w:hAnsi="Inter" w:cs="Times New Roman"/>
          <w:color w:val="000000"/>
          <w:spacing w:val="4"/>
          <w:sz w:val="24"/>
          <w:szCs w:val="24"/>
          <w:lang w:eastAsia="ru-RU"/>
        </w:rPr>
      </w:pPr>
      <w:r w:rsidRPr="00C674C5">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C674C5">
        <w:rPr>
          <w:rFonts w:ascii="Inter" w:eastAsia="Times New Roman" w:hAnsi="Inter" w:cs="Times New Roman"/>
          <w:b/>
          <w:bCs/>
          <w:color w:val="000000"/>
          <w:spacing w:val="4"/>
          <w:sz w:val="27"/>
          <w:szCs w:val="27"/>
          <w:lang w:eastAsia="ru-RU"/>
        </w:rPr>
        <w:t>H35.7</w:t>
      </w:r>
    </w:p>
    <w:p w:rsidR="00C674C5" w:rsidRPr="00C674C5" w:rsidRDefault="00C674C5" w:rsidP="00C674C5">
      <w:pPr>
        <w:spacing w:after="0" w:line="240" w:lineRule="auto"/>
        <w:rPr>
          <w:rFonts w:ascii="Inter" w:eastAsia="Times New Roman" w:hAnsi="Inter" w:cs="Times New Roman"/>
          <w:color w:val="000000"/>
          <w:spacing w:val="4"/>
          <w:sz w:val="24"/>
          <w:szCs w:val="24"/>
          <w:lang w:eastAsia="ru-RU"/>
        </w:rPr>
      </w:pPr>
      <w:r w:rsidRPr="00C674C5">
        <w:rPr>
          <w:rFonts w:ascii="Inter" w:eastAsia="Times New Roman" w:hAnsi="Inter" w:cs="Times New Roman"/>
          <w:color w:val="9E9E9E"/>
          <w:spacing w:val="4"/>
          <w:sz w:val="27"/>
          <w:szCs w:val="27"/>
          <w:lang w:eastAsia="ru-RU"/>
        </w:rPr>
        <w:t>Год утверждения (частота пересмотра):</w:t>
      </w:r>
      <w:r w:rsidRPr="00C674C5">
        <w:rPr>
          <w:rFonts w:ascii="Inter" w:eastAsia="Times New Roman" w:hAnsi="Inter" w:cs="Times New Roman"/>
          <w:b/>
          <w:bCs/>
          <w:color w:val="000000"/>
          <w:spacing w:val="4"/>
          <w:sz w:val="27"/>
          <w:szCs w:val="27"/>
          <w:lang w:eastAsia="ru-RU"/>
        </w:rPr>
        <w:t>2026</w:t>
      </w:r>
      <w:r w:rsidRPr="00C674C5">
        <w:rPr>
          <w:rFonts w:ascii="Inter" w:eastAsia="Times New Roman" w:hAnsi="Inter" w:cs="Times New Roman"/>
          <w:color w:val="9E9E9E"/>
          <w:spacing w:val="4"/>
          <w:sz w:val="27"/>
          <w:szCs w:val="27"/>
          <w:lang w:eastAsia="ru-RU"/>
        </w:rPr>
        <w:t>Пересмотр не позднее:</w:t>
      </w:r>
      <w:r w:rsidRPr="00C674C5">
        <w:rPr>
          <w:rFonts w:ascii="Inter" w:eastAsia="Times New Roman" w:hAnsi="Inter" w:cs="Times New Roman"/>
          <w:b/>
          <w:bCs/>
          <w:color w:val="000000"/>
          <w:spacing w:val="4"/>
          <w:sz w:val="27"/>
          <w:szCs w:val="27"/>
          <w:lang w:eastAsia="ru-RU"/>
        </w:rPr>
        <w:t>2028</w:t>
      </w:r>
    </w:p>
    <w:p w:rsidR="00C674C5" w:rsidRPr="00C674C5" w:rsidRDefault="00C674C5" w:rsidP="00C674C5">
      <w:pPr>
        <w:spacing w:after="0" w:line="240" w:lineRule="auto"/>
        <w:rPr>
          <w:rFonts w:ascii="Inter" w:eastAsia="Times New Roman" w:hAnsi="Inter" w:cs="Times New Roman"/>
          <w:color w:val="000000"/>
          <w:spacing w:val="4"/>
          <w:sz w:val="24"/>
          <w:szCs w:val="24"/>
          <w:lang w:eastAsia="ru-RU"/>
        </w:rPr>
      </w:pPr>
      <w:r w:rsidRPr="00C674C5">
        <w:rPr>
          <w:rFonts w:ascii="Inter" w:eastAsia="Times New Roman" w:hAnsi="Inter" w:cs="Times New Roman"/>
          <w:color w:val="9E9E9E"/>
          <w:spacing w:val="4"/>
          <w:sz w:val="27"/>
          <w:szCs w:val="27"/>
          <w:lang w:eastAsia="ru-RU"/>
        </w:rPr>
        <w:t>ID:</w:t>
      </w:r>
      <w:r w:rsidRPr="00C674C5">
        <w:rPr>
          <w:rFonts w:ascii="Inter" w:eastAsia="Times New Roman" w:hAnsi="Inter" w:cs="Times New Roman"/>
          <w:b/>
          <w:bCs/>
          <w:color w:val="000000"/>
          <w:spacing w:val="4"/>
          <w:sz w:val="27"/>
          <w:szCs w:val="27"/>
          <w:lang w:eastAsia="ru-RU"/>
        </w:rPr>
        <w:t>1029_1</w:t>
      </w:r>
    </w:p>
    <w:p w:rsidR="00C674C5" w:rsidRPr="00C674C5" w:rsidRDefault="00C674C5" w:rsidP="00C674C5">
      <w:pPr>
        <w:spacing w:after="0" w:line="240" w:lineRule="auto"/>
        <w:rPr>
          <w:rFonts w:ascii="Inter" w:eastAsia="Times New Roman" w:hAnsi="Inter" w:cs="Times New Roman"/>
          <w:color w:val="000000"/>
          <w:spacing w:val="4"/>
          <w:sz w:val="24"/>
          <w:szCs w:val="24"/>
          <w:lang w:eastAsia="ru-RU"/>
        </w:rPr>
      </w:pPr>
      <w:r w:rsidRPr="00C674C5">
        <w:rPr>
          <w:rFonts w:ascii="Inter" w:eastAsia="Times New Roman" w:hAnsi="Inter" w:cs="Times New Roman"/>
          <w:color w:val="9E9E9E"/>
          <w:spacing w:val="4"/>
          <w:sz w:val="27"/>
          <w:szCs w:val="27"/>
          <w:lang w:eastAsia="ru-RU"/>
        </w:rPr>
        <w:t>Возрастная категория:</w:t>
      </w:r>
      <w:r w:rsidRPr="00C674C5">
        <w:rPr>
          <w:rFonts w:ascii="Inter" w:eastAsia="Times New Roman" w:hAnsi="Inter" w:cs="Times New Roman"/>
          <w:b/>
          <w:bCs/>
          <w:color w:val="000000"/>
          <w:spacing w:val="4"/>
          <w:sz w:val="27"/>
          <w:szCs w:val="27"/>
          <w:lang w:eastAsia="ru-RU"/>
        </w:rPr>
        <w:t>Взрослые</w:t>
      </w:r>
    </w:p>
    <w:p w:rsidR="00C674C5" w:rsidRPr="00C674C5" w:rsidRDefault="00C674C5" w:rsidP="00C674C5">
      <w:pPr>
        <w:spacing w:after="0" w:line="240" w:lineRule="auto"/>
        <w:rPr>
          <w:rFonts w:ascii="Inter" w:eastAsia="Times New Roman" w:hAnsi="Inter" w:cs="Times New Roman"/>
          <w:color w:val="000000"/>
          <w:spacing w:val="4"/>
          <w:sz w:val="24"/>
          <w:szCs w:val="24"/>
          <w:lang w:eastAsia="ru-RU"/>
        </w:rPr>
      </w:pPr>
      <w:r w:rsidRPr="00C674C5">
        <w:rPr>
          <w:rFonts w:ascii="Inter" w:eastAsia="Times New Roman" w:hAnsi="Inter" w:cs="Times New Roman"/>
          <w:color w:val="9E9E9E"/>
          <w:spacing w:val="4"/>
          <w:sz w:val="27"/>
          <w:szCs w:val="27"/>
          <w:lang w:eastAsia="ru-RU"/>
        </w:rPr>
        <w:t>Специальность:</w:t>
      </w:r>
    </w:p>
    <w:p w:rsidR="00C674C5" w:rsidRPr="00C674C5" w:rsidRDefault="00C674C5" w:rsidP="00C674C5">
      <w:pPr>
        <w:spacing w:after="0" w:line="240" w:lineRule="auto"/>
        <w:rPr>
          <w:rFonts w:ascii="Inter" w:eastAsia="Times New Roman" w:hAnsi="Inter" w:cs="Times New Roman"/>
          <w:color w:val="000000"/>
          <w:spacing w:val="4"/>
          <w:sz w:val="24"/>
          <w:szCs w:val="24"/>
          <w:lang w:eastAsia="ru-RU"/>
        </w:rPr>
      </w:pPr>
      <w:r w:rsidRPr="00C674C5">
        <w:rPr>
          <w:rFonts w:ascii="Inter" w:eastAsia="Times New Roman" w:hAnsi="Inter" w:cs="Times New Roman"/>
          <w:color w:val="808080"/>
          <w:spacing w:val="4"/>
          <w:sz w:val="27"/>
          <w:szCs w:val="27"/>
          <w:lang w:eastAsia="ru-RU"/>
        </w:rPr>
        <w:t>Разработчик клинической рекомендации</w:t>
      </w:r>
      <w:r w:rsidRPr="00C674C5">
        <w:rPr>
          <w:rFonts w:ascii="Inter" w:eastAsia="Times New Roman" w:hAnsi="Inter" w:cs="Times New Roman"/>
          <w:b/>
          <w:bCs/>
          <w:color w:val="000000"/>
          <w:spacing w:val="4"/>
          <w:sz w:val="27"/>
          <w:szCs w:val="27"/>
          <w:lang w:eastAsia="ru-RU"/>
        </w:rPr>
        <w:t>Общероссийская общественная организация "Ассоциация врачей-офтальмологов", Общероссийская общественная организация «Общество офтальмологов России»</w:t>
      </w:r>
    </w:p>
    <w:p w:rsidR="00C674C5" w:rsidRPr="00C674C5" w:rsidRDefault="00C674C5" w:rsidP="00C674C5">
      <w:pPr>
        <w:spacing w:line="240" w:lineRule="auto"/>
        <w:rPr>
          <w:rFonts w:ascii="Inter" w:eastAsia="Times New Roman" w:hAnsi="Inter" w:cs="Times New Roman"/>
          <w:color w:val="000000"/>
          <w:spacing w:val="4"/>
          <w:sz w:val="24"/>
          <w:szCs w:val="24"/>
          <w:lang w:eastAsia="ru-RU"/>
        </w:rPr>
      </w:pPr>
      <w:r w:rsidRPr="00C674C5">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Оглавление</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Список сокращений</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Термины и определения</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2.1 Жалобы и анамнез</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2.2 Физикальное обследование</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2.3 Лабораторные диагностические исследования</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lastRenderedPageBreak/>
        <w:t>2.4 Инструментальные диагностические исследования</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2.5 Иные диагностические исследования</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6. Организация оказания медицинской помощи</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Критерии оценки качества медицинской помощи</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Список литературы</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Приложение Б. Алгоритмы действий врача</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Приложение В. Информация для пациента</w:t>
      </w:r>
    </w:p>
    <w:p w:rsidR="00C674C5" w:rsidRPr="00C674C5" w:rsidRDefault="00C674C5" w:rsidP="00C674C5">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674C5">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Список сокращений</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ЦСХ ― центральная серозная хориоретинопатия</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МКБ 10 ― международная классификация болезней 10-го пересмотра</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НЭ ― нейроэпителий</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ИЗАГ― ангиография глазного дна с индоцианином зеленым</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ЛКС – фокальная  лазерная коагуляция глазного дна</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ОКТ ― оптическая когерентная томография (оптическое исследование сетчатки или головки зрительного нерва и слоя нервных волокон с помощью компьютерного анализатора)</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lastRenderedPageBreak/>
        <w:t>ОКТ-А ― оптическая когерентная томография в режиме ангиографии (оптическое исследование сетчатки или головки зрительного нерва и слоя нервных волокон с помощью компьютерного анализатора в режиме ангиографии)</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СРЖ ― субретинальная жидкость</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ФДТ ― фотодинамическая терапия</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ОНЭ ― отслойка нейроэпителия</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ПЭ ―  пигментный эпителий</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ОПЭ ― отслойка пигментного эпителия</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ФАГ ― флуоресцентная ангиография глаза</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ХНВ ― хориоидальная неоваскуляризация</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VEGF — vascular endothelial growth factor (сосудистый эндотелиальный фактор роста)</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ГКС ― кортикостероиды  </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 жизненно необходимые и важнейшие лекарственные препараты</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Термины и определения</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Отслойка нейроэпителия (ОНЭ)</w:t>
      </w:r>
      <w:r w:rsidRPr="00C674C5">
        <w:rPr>
          <w:rFonts w:ascii="Times New Roman" w:eastAsia="Times New Roman" w:hAnsi="Times New Roman" w:cs="Times New Roman"/>
          <w:color w:val="222222"/>
          <w:spacing w:val="4"/>
          <w:sz w:val="27"/>
          <w:szCs w:val="27"/>
          <w:lang w:eastAsia="ru-RU"/>
        </w:rPr>
        <w:t> – это скопление жидкости или иных патологических веществ между пигментным (ПЭ) и нейроэпителием (НЭ).</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Отслойка пигментного эпителия (ОПЭ) </w:t>
      </w:r>
      <w:r w:rsidRPr="00C674C5">
        <w:rPr>
          <w:rFonts w:ascii="Times New Roman" w:eastAsia="Times New Roman" w:hAnsi="Times New Roman" w:cs="Times New Roman"/>
          <w:color w:val="222222"/>
          <w:spacing w:val="4"/>
          <w:sz w:val="27"/>
          <w:szCs w:val="27"/>
          <w:lang w:eastAsia="ru-RU"/>
        </w:rPr>
        <w:t>–</w:t>
      </w:r>
      <w:r w:rsidRPr="00C674C5">
        <w:rPr>
          <w:rFonts w:ascii="Times New Roman" w:eastAsia="Times New Roman" w:hAnsi="Times New Roman" w:cs="Times New Roman"/>
          <w:b/>
          <w:bCs/>
          <w:color w:val="222222"/>
          <w:spacing w:val="4"/>
          <w:sz w:val="27"/>
          <w:szCs w:val="27"/>
          <w:lang w:eastAsia="ru-RU"/>
        </w:rPr>
        <w:t> </w:t>
      </w:r>
      <w:r w:rsidRPr="00C674C5">
        <w:rPr>
          <w:rFonts w:ascii="Times New Roman" w:eastAsia="Times New Roman" w:hAnsi="Times New Roman" w:cs="Times New Roman"/>
          <w:color w:val="222222"/>
          <w:spacing w:val="4"/>
          <w:sz w:val="27"/>
          <w:szCs w:val="27"/>
          <w:lang w:eastAsia="ru-RU"/>
        </w:rPr>
        <w:t>это скопление жидкости или иных патологических веществ под пигментным эпителием.</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Оптическая когерентная томография (оптическое исследование сетчатки или головки зрительного нерва и слоя нервных волокон с помощью компьютерного анализатора) (ОКТ)</w:t>
      </w:r>
      <w:r w:rsidRPr="00C674C5">
        <w:rPr>
          <w:rFonts w:ascii="Times New Roman" w:eastAsia="Times New Roman" w:hAnsi="Times New Roman" w:cs="Times New Roman"/>
          <w:color w:val="222222"/>
          <w:spacing w:val="4"/>
          <w:sz w:val="27"/>
          <w:szCs w:val="27"/>
          <w:lang w:eastAsia="ru-RU"/>
        </w:rPr>
        <w:t> – это диагностический неинвазивный бесконтактный метод прижизненной визуализации, качественного и количественного анализа морфологических особенностей структур глазного дна, основанный на принципе световой интерферометрии.</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Оптическое исследование сетчатки или головки зрительного нерва и слоя нервных волокон с помощью компьютерного анализатора в режиме ангиографии (ОКТ-А)</w:t>
      </w:r>
      <w:r w:rsidRPr="00C674C5">
        <w:rPr>
          <w:rFonts w:ascii="Times New Roman" w:eastAsia="Times New Roman" w:hAnsi="Times New Roman" w:cs="Times New Roman"/>
          <w:color w:val="222222"/>
          <w:spacing w:val="4"/>
          <w:sz w:val="27"/>
          <w:szCs w:val="27"/>
          <w:lang w:eastAsia="ru-RU"/>
        </w:rPr>
        <w:t xml:space="preserve"> – это диагностический неинвазивный бесконтактный </w:t>
      </w:r>
      <w:r w:rsidRPr="00C674C5">
        <w:rPr>
          <w:rFonts w:ascii="Times New Roman" w:eastAsia="Times New Roman" w:hAnsi="Times New Roman" w:cs="Times New Roman"/>
          <w:color w:val="222222"/>
          <w:spacing w:val="4"/>
          <w:sz w:val="27"/>
          <w:szCs w:val="27"/>
          <w:lang w:eastAsia="ru-RU"/>
        </w:rPr>
        <w:lastRenderedPageBreak/>
        <w:t>метод прижизненной визуализации, качественного и количественного анализа микроциркуляции в структурах глазного дна с учетом сегментации слоев.</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Субретинальная жидкость</w:t>
      </w:r>
      <w:r w:rsidRPr="00C674C5">
        <w:rPr>
          <w:rFonts w:ascii="Times New Roman" w:eastAsia="Times New Roman" w:hAnsi="Times New Roman" w:cs="Times New Roman"/>
          <w:color w:val="222222"/>
          <w:spacing w:val="4"/>
          <w:sz w:val="27"/>
          <w:szCs w:val="27"/>
          <w:lang w:eastAsia="ru-RU"/>
        </w:rPr>
        <w:t> – жидкость, находящаяся по нейросенсорной сетчаткой.</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Флуоресцентная ангиография глаза (ФАГ, ангиография с флуоресцеином натрия**)</w:t>
      </w:r>
      <w:r w:rsidRPr="00C674C5">
        <w:rPr>
          <w:rFonts w:ascii="Times New Roman" w:eastAsia="Times New Roman" w:hAnsi="Times New Roman" w:cs="Times New Roman"/>
          <w:color w:val="222222"/>
          <w:spacing w:val="4"/>
          <w:sz w:val="27"/>
          <w:szCs w:val="27"/>
          <w:lang w:eastAsia="ru-RU"/>
        </w:rPr>
        <w:t> – диагностический метод, позволяющий выявить нарушения сосудистого русла на глазном дне, оценить состояние наружного и внутреннего гематоретинальных барьеров путем регистрации прохождения красителя (внутривенно вводимого флуоресцеина натрия**) по сосудам сетчатки.</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Ангиография с индоцианином зеленым</w:t>
      </w:r>
      <w:r w:rsidRPr="00C674C5">
        <w:rPr>
          <w:rFonts w:ascii="Times New Roman" w:eastAsia="Times New Roman" w:hAnsi="Times New Roman" w:cs="Times New Roman"/>
          <w:color w:val="222222"/>
          <w:spacing w:val="4"/>
          <w:sz w:val="27"/>
          <w:szCs w:val="27"/>
          <w:lang w:eastAsia="ru-RU"/>
        </w:rPr>
        <w:t> </w:t>
      </w:r>
      <w:r w:rsidRPr="00C674C5">
        <w:rPr>
          <w:rFonts w:ascii="Times New Roman" w:eastAsia="Times New Roman" w:hAnsi="Times New Roman" w:cs="Times New Roman"/>
          <w:b/>
          <w:bCs/>
          <w:color w:val="222222"/>
          <w:spacing w:val="4"/>
          <w:sz w:val="27"/>
          <w:szCs w:val="27"/>
          <w:lang w:eastAsia="ru-RU"/>
        </w:rPr>
        <w:t>(ИЗАГ)</w:t>
      </w:r>
      <w:r w:rsidRPr="00C674C5">
        <w:rPr>
          <w:rFonts w:ascii="Times New Roman" w:eastAsia="Times New Roman" w:hAnsi="Times New Roman" w:cs="Times New Roman"/>
          <w:color w:val="222222"/>
          <w:spacing w:val="4"/>
          <w:sz w:val="27"/>
          <w:szCs w:val="27"/>
          <w:lang w:eastAsia="ru-RU"/>
        </w:rPr>
        <w:t> – диагностический метод, позволяющий выявить нарушения хориоидального кровотока с помощью  водорастворимого красителя (внутривенно вводимого индоцианина зеленого).</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Фотодинамическая терапия</w:t>
      </w:r>
      <w:r w:rsidRPr="00C674C5">
        <w:rPr>
          <w:rFonts w:ascii="Times New Roman" w:eastAsia="Times New Roman" w:hAnsi="Times New Roman" w:cs="Times New Roman"/>
          <w:color w:val="222222"/>
          <w:spacing w:val="4"/>
          <w:sz w:val="27"/>
          <w:szCs w:val="27"/>
          <w:lang w:eastAsia="ru-RU"/>
        </w:rPr>
        <w:t> – это метод лечения, основанный на применении светочувствительных веществ (фотосенсибилизаторов) и света определённой длины волны с целью окклюзии патологических сосудов и /или стимуляции ПЭ.</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Фокальная лазерная коагуляция глазного дна </w:t>
      </w:r>
      <w:r w:rsidRPr="00C674C5">
        <w:rPr>
          <w:rFonts w:ascii="Times New Roman" w:eastAsia="Times New Roman" w:hAnsi="Times New Roman" w:cs="Times New Roman"/>
          <w:color w:val="222222"/>
          <w:spacing w:val="4"/>
          <w:sz w:val="27"/>
          <w:szCs w:val="27"/>
          <w:lang w:eastAsia="ru-RU"/>
        </w:rPr>
        <w:t>–</w:t>
      </w:r>
      <w:r w:rsidRPr="00C674C5">
        <w:rPr>
          <w:rFonts w:ascii="Times New Roman" w:eastAsia="Times New Roman" w:hAnsi="Times New Roman" w:cs="Times New Roman"/>
          <w:b/>
          <w:bCs/>
          <w:color w:val="222222"/>
          <w:spacing w:val="4"/>
          <w:sz w:val="27"/>
          <w:szCs w:val="27"/>
          <w:lang w:eastAsia="ru-RU"/>
        </w:rPr>
        <w:t> </w:t>
      </w:r>
      <w:r w:rsidRPr="00C674C5">
        <w:rPr>
          <w:rFonts w:ascii="Times New Roman" w:eastAsia="Times New Roman" w:hAnsi="Times New Roman" w:cs="Times New Roman"/>
          <w:color w:val="222222"/>
          <w:spacing w:val="4"/>
          <w:sz w:val="27"/>
          <w:szCs w:val="27"/>
          <w:lang w:eastAsia="ru-RU"/>
        </w:rPr>
        <w:t>локальное нанесение дозированных микроожогов с помощью лазерного луча на сетчатку с целью блокирования точек просачивания и коагуляции хориоидальной неоваскуляризации</w:t>
      </w:r>
      <w:r w:rsidRPr="00C674C5">
        <w:rPr>
          <w:rFonts w:ascii="Times New Roman" w:eastAsia="Times New Roman" w:hAnsi="Times New Roman" w:cs="Times New Roman"/>
          <w:b/>
          <w:bCs/>
          <w:color w:val="222222"/>
          <w:spacing w:val="4"/>
          <w:sz w:val="27"/>
          <w:szCs w:val="27"/>
          <w:lang w:eastAsia="ru-RU"/>
        </w:rPr>
        <w:t> </w:t>
      </w:r>
      <w:r w:rsidRPr="00C674C5">
        <w:rPr>
          <w:rFonts w:ascii="Times New Roman" w:eastAsia="Times New Roman" w:hAnsi="Times New Roman" w:cs="Times New Roman"/>
          <w:color w:val="222222"/>
          <w:spacing w:val="4"/>
          <w:sz w:val="27"/>
          <w:szCs w:val="27"/>
          <w:lang w:eastAsia="ru-RU"/>
        </w:rPr>
        <w:t>(ХНВ) при экстрафовеолярном расположении.</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Хориоидальная неоваскуляризация</w:t>
      </w:r>
      <w:r w:rsidRPr="00C674C5">
        <w:rPr>
          <w:rFonts w:ascii="Times New Roman" w:eastAsia="Times New Roman" w:hAnsi="Times New Roman" w:cs="Times New Roman"/>
          <w:color w:val="222222"/>
          <w:spacing w:val="4"/>
          <w:sz w:val="27"/>
          <w:szCs w:val="27"/>
          <w:lang w:eastAsia="ru-RU"/>
        </w:rPr>
        <w:t> – это наличие новообразованных сосудов вследствие патологического неоангиогенеза из сети хориокапилляров через дефекты мембраны Бруха под ПЭ (ХНВ 1 типа) и/или НЭ (ХНВ 2 типа).</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Центральная серозная хориоретинопатия (ЦСХ)</w:t>
      </w:r>
      <w:r w:rsidRPr="00C674C5">
        <w:rPr>
          <w:rFonts w:ascii="Times New Roman" w:eastAsia="Times New Roman" w:hAnsi="Times New Roman" w:cs="Times New Roman"/>
          <w:color w:val="222222"/>
          <w:spacing w:val="4"/>
          <w:sz w:val="27"/>
          <w:szCs w:val="27"/>
          <w:lang w:eastAsia="ru-RU"/>
        </w:rPr>
        <w:t xml:space="preserve"> – заболевание, которое развивается вследствие дисфункции хориоидеи, проявляется, как правило, </w:t>
      </w:r>
      <w:r w:rsidRPr="00C674C5">
        <w:rPr>
          <w:rFonts w:ascii="Times New Roman" w:eastAsia="Times New Roman" w:hAnsi="Times New Roman" w:cs="Times New Roman"/>
          <w:color w:val="222222"/>
          <w:spacing w:val="4"/>
          <w:sz w:val="27"/>
          <w:szCs w:val="27"/>
          <w:lang w:eastAsia="ru-RU"/>
        </w:rPr>
        <w:lastRenderedPageBreak/>
        <w:t>пахихориоидальным фенотипом, характеризуется серозными отслойками нейроэпителия и/или пигментного эпителия, а также атрофическими их изменениями.</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Пахихориоидальный фенотип</w:t>
      </w:r>
      <w:r w:rsidRPr="00C674C5">
        <w:rPr>
          <w:rFonts w:ascii="Times New Roman" w:eastAsia="Times New Roman" w:hAnsi="Times New Roman" w:cs="Times New Roman"/>
          <w:color w:val="222222"/>
          <w:spacing w:val="4"/>
          <w:sz w:val="27"/>
          <w:szCs w:val="27"/>
          <w:lang w:eastAsia="ru-RU"/>
        </w:rPr>
        <w:t> (приставка «пахи» – утолщение) – состояние, для которого характерны следующие структурные изменения хориоидальной архитектоники:</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диффузное или очаговое увеличение толщины хориоидеи;</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расширение хориоидальных сосудов;</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истончение слоя хориокапилляров и средних сосудов (слой Саттлера) при наличии расширенных крупных сосудов хориоидеи (слой Галлера), возможно при нормальной или уменьшенной общей толщине хориоидеи.</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Центральная серозная хориоретинопатия представляет собой заболевание заднего сегмента глаза, которое впервые было описано A. Von Graefe в 1866 году и появилось в офтальмологической литературе под названием «центральный рецидивирующий ретинит» [1].</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Термин «центральная серозная хориоретинопатия», существующий до сих пор, был впервые предложен J. Gass в 1966 г. [2].</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Основной характеристикой заболевания является наличие локализованной, ограниченной серозной ОНЭ, связанной с нарушением барьерной и насосной функции ПЭ, часто сочетающейся с наличием отслоек пигментного эпителия, появляющихся на фоне декомпенсации хориоидеи, которая в свою очередь изменяется по структуре и увеличивается по толщине. По этой причине заболевание было включено в спектр так называемых пахихориоидальных состояний [3-6].</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Этиология окончательно не определена. На сегодняшний день наиболее частой причиной развития заболевания считают повышение уровня стероидных гормонов в организме человека, возникающее как эндогенно, так и экзогенно [7-16].</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lastRenderedPageBreak/>
        <w:t>Факторами риска развития ЦСХ являются:</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психотип А [17];</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эмоциональный стресс [18, 19];</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прием глюкокортикоидов (ГКС) (перорально, интраназально, эпидурально, внутрисуставно, периокулярно, местно) [10, 12, 20-24];</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прием симпатомиметиков, адреномиметиков (оксиметазолина в составе назальных спреев, псевдоэфедрина как действующего вещества в составе комбинированных препаратов), метилендиоксиметамфетамина (амфетамина) и эфедры, содержащихся в продуктах для бодибилдеров) [25];</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заболевания желудочно-кишечного тракта, вызванные </w:t>
      </w:r>
      <w:r w:rsidRPr="00C674C5">
        <w:rPr>
          <w:rFonts w:ascii="Times New Roman" w:eastAsia="Times New Roman" w:hAnsi="Times New Roman" w:cs="Times New Roman"/>
          <w:i/>
          <w:iCs/>
          <w:color w:val="333333"/>
          <w:spacing w:val="4"/>
          <w:sz w:val="27"/>
          <w:szCs w:val="27"/>
          <w:lang w:eastAsia="ru-RU"/>
        </w:rPr>
        <w:t>H. pilori</w:t>
      </w:r>
      <w:r w:rsidRPr="00C674C5">
        <w:rPr>
          <w:rFonts w:ascii="Times New Roman" w:eastAsia="Times New Roman" w:hAnsi="Times New Roman" w:cs="Times New Roman"/>
          <w:color w:val="222222"/>
          <w:spacing w:val="4"/>
          <w:sz w:val="27"/>
          <w:szCs w:val="27"/>
          <w:lang w:eastAsia="ru-RU"/>
        </w:rPr>
        <w:t>; гастроэзофагальный рефлюкс [26-28];</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синдром Кушинга [7, 29];</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беременность (преимущественно 3 триместр со спонтанной регрессией после родов [30, 31];</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гормон-продуцирующие опухоли [30, 31];</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заместительная гормональная терапия в период менопаузы или после гистерэктомии [32];</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гипертоническая болезнь [33].</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Было показано, что ЦСХ является независимым фактором риска развития ишемического инсульта [34], органической, психогенной и эректильной дисфункции [35]. Эти данные свидетельствуют о том, что хориоидальная васкулопатия, описанная при ЦСХ, может иметь не изолированный характер, а являться частью системной сосудистой дисфункции.</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У пациентов с ЦСХ наблюдается симпатическая гиперактивация и парасимпатическая супрессия, что сказывается на показателях артериального давления и сердечного ритма [36]. Вегетативный дисбаланс может быть причиной модуляции хориоидального кровотока.</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xml:space="preserve">L. Yannuzzi (1987) установил, что ЦСХ преобладает  у эмоционально лабильных пациентов с так называемым аффективным типом личности (type A behavior). Данный поведенческий тип, чаще свойственный мужчинам, </w:t>
      </w:r>
      <w:r w:rsidRPr="00C674C5">
        <w:rPr>
          <w:rFonts w:ascii="Times New Roman" w:eastAsia="Times New Roman" w:hAnsi="Times New Roman" w:cs="Times New Roman"/>
          <w:color w:val="222222"/>
          <w:spacing w:val="4"/>
          <w:sz w:val="27"/>
          <w:szCs w:val="27"/>
          <w:lang w:eastAsia="ru-RU"/>
        </w:rPr>
        <w:lastRenderedPageBreak/>
        <w:t>характеризуется проявлениями энергичности, нетерпения, честолюбия, состязательности и даже  агрессивности. Ведущей причиной развития ЦСХ у данных пациентов считается психологический стресс и гиперактивация симпатической нервной системы, ведущие к повышению содержания в организме уровня циркулирующих катехоламинов и кортизола [17]. Также предположена возможная связь между нарциссическим типом личности, характеризующимся чрезмерным удовлетворением своих потребностей, и развитием ЦСХ [37].</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В литературе сообщалось о нескольких случаях семейной ЦСХ [38, 39].</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По данным М. Lehmann с соавт. (2015), у половины родственников пациентов с ЦСХ диагностирована толщина хориоидеи более 395 мм, что позволило предположить, что пахихороид может быть генетически детерминированным состоянием с доминантным типом наследования [3]. Потенциальным геном восприимчивости к ЦСХ определен ген CFH, кодирующий фактор комплемента H. Белок комплемента связывается с адреномедуллином, вызывая расширение сосудов, в том числе и хориоидальных [40]. C. Schubert с соавт. (2014) в когорте из 400 случаев ЦСХ обнаружили значительную связь с 4 видами распространенного однонуклеотидного полиморфизма в генах, кодирующих кадгерин-5 (белок клеточной адгезии эндотелия сосудов, действие которого подавляется ГКС) у пациентов мужского пола. Возможно, генетически обусловленные изменения в кадгерине-5 в сочетании с лечением кортикостероидами могут объяснить высокую долю случаев заболеваемости ЦСХ среди пациентов мужского пола [41].</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xml:space="preserve">Патофизиологические механизмы при развитии ЦСХ тесно связаны с гормональным статусом пациентов, измененным состоянием хориоидеи и ПЭ [42]. Кортикостероиды при развитии ЦСХ способствуют нарушению механизмов сосудистой регуляции за счет подавления вазодилятации и усиления вазоконстрикции, что приводит к спазму и ишемии хориокапилляров, преимущественно за счет усиления процессов агрегации тромбоцитов [43]. Эти изменения приводят к секторальной гипоперфузии в сочетании с повышением внутрипросветного перфузионного давления, что проявляется локальным или диффузным утолщением хориоидеи, истончением слоя хориокапилляров по данным ОКТ, гиперпроницаемостью хориокапилляров, расширением крупных хориоидальных сосудов по данным ИЗАГ. В связи с действием ряда факторов, в числе которых повышенное </w:t>
      </w:r>
      <w:r w:rsidRPr="00C674C5">
        <w:rPr>
          <w:rFonts w:ascii="Times New Roman" w:eastAsia="Times New Roman" w:hAnsi="Times New Roman" w:cs="Times New Roman"/>
          <w:color w:val="222222"/>
          <w:spacing w:val="4"/>
          <w:sz w:val="27"/>
          <w:szCs w:val="27"/>
          <w:lang w:eastAsia="ru-RU"/>
        </w:rPr>
        <w:lastRenderedPageBreak/>
        <w:t>давление в сосудах хориоидеи, локальные нарушение ПЭ, действие ГКС, происходит нарушение полярности клеток ПЭ, что приводит к нарушению их насосной и барьерной функций, создавая условия для движения жидкости в направлении субретинального пространства и способствуя формированию ОНЭ [42, 44]. Локальные нарушения ПЭ, формирующиеся при ЦСХ, наоборот, способствуют движению жидкости в сторону хориоидеи [45]. Замедление восстановления дефектов ПЭ связывают с выраженными противовоспалительными свойствами ГКС, а нарушение в структуре мембраны Бруха – с ингибированием синтеза ими коллагена [42-44].</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A. Daruich с соавт. (2015) выдвинули гипотезу, что глюкокортикостероиды могут потенциально регулировать ионные и водяные каналы в глазу посредством активации минералокортикоидных рецепторов, что приводит к парадоксальным эффектам ГКС при ЦСХ [46]. Помимо почек, другие органы, ткани и клетки экспрессируют минералокортикоидные рецепторы и признаются в качестве неклассических минералокортикоид-чувствительных мишеней: сердце, кровеносные сосуды, мозг, жировая ткань, кожа и макрофаги [47, 48].</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Как следствие, баланс глюкокортикоидных и минералокортикоидных рецепторов имеет решающее значение для водно-электролитной регуляции. В большинстве тканей в физиологических условиях ГКС занимают минералокортикоидные рецепторы, а их избыточная активация является патогенной [49].</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Минералокортикоидные рецепторы и 11-HSD2 (11beta hydroxysteroid dehydrogenase type 2) экспрессируются в нейросенсорной сетчатке, пигментном эпителии и сосудистой оболочке у крыс, обезьян и людей, помещая сетчатку в категорию неклассических чувствительных к минералокортикоидам тканям [50, 51].</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xml:space="preserve">Минералокортикоидные рецепторы имеют два природных лиганда: альдостерон и кортизол, которые связываются с ними с одинаковым сродством. Уровень кортизола в крови намного выше, чем альдостерона. В тканях, где экспрессируется 11-HSD2, минералокортикоидные рецепторы защищены от ГКС посредством действия 11-HSD2. Он метаболизирует кортизол в кортизон, который имеет гораздо более низкое сродство к рецепторам. В большинстве неэпителиальных рецепторных мишеней 11-HSD2 </w:t>
      </w:r>
      <w:r w:rsidRPr="00C674C5">
        <w:rPr>
          <w:rFonts w:ascii="Times New Roman" w:eastAsia="Times New Roman" w:hAnsi="Times New Roman" w:cs="Times New Roman"/>
          <w:color w:val="222222"/>
          <w:spacing w:val="4"/>
          <w:sz w:val="27"/>
          <w:szCs w:val="27"/>
          <w:lang w:eastAsia="ru-RU"/>
        </w:rPr>
        <w:lastRenderedPageBreak/>
        <w:t>не экспрессируется и, таким образом, ГКС занимают минералокортикоидные рецепторы [52, 53].</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Предполагается, что чрезмерная или неадекватная активация минералокортикоидных рецепторов из-за предрасполагающих факторов может вызвать у восприимчивых людей более высокий риск гипертонии, коронарных событий, психологической уязвимости к стрессу и ЦСХ, особенно при стимуляции минералокортикоидных рецепторов ГКС. Эта гипотеза легла в основу использования в лечении хронических форм ЦСХ антагонистов альдостерона, таких как эплеренон и спиронолактон**.</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Механизм появления субретинального материала при хронической форме ЦСХ, впервые описанный J. Gass еще в 1967 году, до конца не ясен. Длительное время считалось, что он состоит из фибрина и липидов. Позже в ряде работ было отмечено, что гиперрефлективные депозиты и субретинальный материал усиливают аутофлюоресценцию при проведении исследования [54-56].</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Длительные наблюдения пациентов с ЦСХ подтвердили корреляцию между участками гипераутофлюоресценции и персистированием субретинального материала и депозитов. Учитывая то, что липиды и фибрин не усиливают аутофлюоресценцию, I. Maruko с соавт. (2011) предположили, что макрофаги, мигрирующие в субретинальное пространство, могут фагоцитировать и метаболизировать наружные сегменты фоторецепторов. Следовательно, эти комплексы фагоцитов и наружных сегментов фоторецепторов могут быть основным гипераутофлюоресцирующим субстратом субретинального материала, и его наличие может указывать на повреждение фоторецепторов и клеток ПЭ [57].</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xml:space="preserve">ЦСХ входит в число наиболее распространенных, угрожающих зрению ретинопатий после ВМД, диабетической ретинопатии и окклюзий ветвей сетчатки [42]. Более высокая распространенность ЦСХ выявляется среди мужчин трудоспособного возраста (72-88 % случаев), средний возраст приходится на диапазон от 39 до 51 года [24, 58]. В более позднем возрасте </w:t>
      </w:r>
      <w:r w:rsidRPr="00C674C5">
        <w:rPr>
          <w:rFonts w:ascii="Times New Roman" w:eastAsia="Times New Roman" w:hAnsi="Times New Roman" w:cs="Times New Roman"/>
          <w:color w:val="222222"/>
          <w:spacing w:val="4"/>
          <w:sz w:val="27"/>
          <w:szCs w:val="27"/>
          <w:lang w:eastAsia="ru-RU"/>
        </w:rPr>
        <w:lastRenderedPageBreak/>
        <w:t>заболевание чаще встречается у женщин [58] и имеет хроническое течение, а также у пациентов обоих полов с атипичными вариантами течения [24, 32, 59, 60].</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Более высокая частота заболевания среди азиатов, европейцев и  латиноамериканцев по сравнению с афроамериканцами [17] была подтверждена не во всех исследованиях [61]. Предположительно, более тяжелые формы ЦСХ  с выраженным снижением остроты зрения развиваются чаще у афроамериканских пациентов. В азиатской популяции ЦСХ является тяжело протекающим заболеванием, двусторонние и многоочаговые формы регистрируются чаще, чем в других этнических группах [62].</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У пациентов с бессимптомным течением ЦСХ могут наблюдаться ОНЭ за пределами макулы на парном глазу, что может стать случайной находкой при обследовании [3, 63].</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В связи с этим можно предположить, что распространенность ЦСХ, вероятно, недооценена. Двухстороннее поражение больше характерно для хронического течения, встречается по данным литературы в 40 % случаев заболевания [42].</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H 35.7 Расщепление слоев сетчатки (центральная серозная хориоретинопатия).</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Классификация ЦСХ</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1. </w:t>
      </w:r>
      <w:r w:rsidRPr="00C674C5">
        <w:rPr>
          <w:rFonts w:ascii="Times New Roman" w:eastAsia="Times New Roman" w:hAnsi="Times New Roman" w:cs="Times New Roman"/>
          <w:color w:val="222222"/>
          <w:spacing w:val="4"/>
          <w:sz w:val="27"/>
          <w:szCs w:val="27"/>
          <w:lang w:eastAsia="ru-RU"/>
        </w:rPr>
        <w:t>Острая ЦСХ.</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lastRenderedPageBreak/>
        <w:t>Характеризуется впервые выявленными или вновь возникшими (после полного разрешения предыдущего эпизода) одной или несколькими серозными  отслойками НЭ и/или ПЭ и незначительными атрофическими его изменениями. На ФАГ определяются одна или больше точек просачивания. Субретинальная жидкость (СРЖ) обычно самопроизвольно резорбируется в течение 3-4 месяцев.</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2. </w:t>
      </w:r>
      <w:r w:rsidRPr="00C674C5">
        <w:rPr>
          <w:rFonts w:ascii="Times New Roman" w:eastAsia="Times New Roman" w:hAnsi="Times New Roman" w:cs="Times New Roman"/>
          <w:color w:val="222222"/>
          <w:spacing w:val="4"/>
          <w:sz w:val="27"/>
          <w:szCs w:val="27"/>
          <w:lang w:eastAsia="ru-RU"/>
        </w:rPr>
        <w:t>Хроническая ЦСХ.</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Характеризуется продолжительным течением эпизода заболевания (более 4 месяцев), ОНЭ, более выраженными атрофическими изменениями ПЭ и НЭ с возможным формированием кистозных полостей в нейросенсорной сетчатке, что может быть косвенным признаком ХНВ.</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3. </w:t>
      </w:r>
      <w:r w:rsidRPr="00C674C5">
        <w:rPr>
          <w:rFonts w:ascii="Times New Roman" w:eastAsia="Times New Roman" w:hAnsi="Times New Roman" w:cs="Times New Roman"/>
          <w:color w:val="222222"/>
          <w:spacing w:val="4"/>
          <w:sz w:val="27"/>
          <w:szCs w:val="27"/>
          <w:lang w:eastAsia="ru-RU"/>
        </w:rPr>
        <w:t>Атипичная ЦСХ (буллезная, со скоплением субретинального белкового субстрата, диффузная ретинальная пигментная эпителиопатия).</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Буллезная ЦСХ – множественные высокие отслойки нейроэпителия, которые встречаются при острой и хронической форме.</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ОНЭ с субретинальным белковым субстратом – проявляется скоплением большого количества фибрина, как правило, в сочетании с ОПЭ. Нередко приводит к субретинальному фиброзу, сопровождающимся выраженным снижением зрительных функций. Встречается при острой и хронической форме.</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Диффузная ретинальная пигментная эпителиопатия – обширное атрофическое повреждение ПЭ, связанное с длительным просачиванием СРЖ, ее распространением в силу гравитации в нижние отделы глазного дна и проявляющееся феноменом «хвоста кометы» при выполнении ФАГ и «гравитационными дорожками» при исследовании аутофлюоресценции. Является вариантом хронического течения заболевания.</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Осложнения и исходы ЦСХ</w:t>
      </w:r>
      <w:r w:rsidRPr="00C674C5">
        <w:rPr>
          <w:rFonts w:ascii="Times New Roman" w:eastAsia="Times New Roman" w:hAnsi="Times New Roman" w:cs="Times New Roman"/>
          <w:color w:val="222222"/>
          <w:spacing w:val="4"/>
          <w:sz w:val="27"/>
          <w:szCs w:val="27"/>
          <w:lang w:eastAsia="ru-RU"/>
        </w:rPr>
        <w:t>:</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хориоидальная неоваскуляризация;</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разрыв ретинального пигментного эпителия;</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субретинальный фиброз;</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атрофия наружных слоев сетчатки;</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lastRenderedPageBreak/>
        <w:t>– атрофия пигментного эпителия.</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Жалобы не патогномоничны, как правило, имеют острое начало, характеризующееся появлением метаморфопсий, микропсий, дисхроматопсий, в некоторых случаях можно диагностировать появление относительных или абсолютных скотом в центральном поле зрения. Острота зрения при острой ЦСХ может быть снижена незначительно. При рецидивировании, хронической форме, атипичной форме и осложнениях может регистрироваться значительное снижение зрительных функций.</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Офтальмоскопически при острой форме визуализируется одна или несколько ОНЭ, иногда сочетается с ОПЭ. Самопроизвольный регресс отслойки нейроэпителия при острой ЦСХ развивается в течение 3-4 месяцев, как правило, без осложнений [64]. Новые эпизоды встречаются в 15-50 % случаев [46]. Хроническая форма развивается через 4 месяца существования отслойки нейроэпителия, характеризуется обширными зонами атрофического повреждения ПЭ, хорошо визуализируемыми при биомикроскопии глазного дна и  исследовании глазного дна на аутофлюоресценцию. Прозрачность субретинальной жидкости при ЦСХ может быть снижена за счет большого количества фибрина, откладывающегося в форме кольца («бублика») с просветом в одной из зон скопления белка.</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Отслойка пигментного эпителия (ОПЭ) – это отделение базальной мембраны пигментного эпителия от внутреннего коллагенового слоя мембраны Бруха. Выявляется как офтальмоскопически, так и при применении ОКТ.</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Аваскулярная серозная ОПЭ характеризуется отсутствием новобразованных сосудов, твердых экссудатов, геморрагий, наличием гипорефлективной зоны под ОПЭ, четкими границами.</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xml:space="preserve">Наиболее часто ЦСХ осложняется 1 типом ХНВ, расположенной под ПЭ и характеризующейся нерегулярной и/или плоской ОПЭ с гиперрефлективным содержимым. С внедрением ОКТ-ангиографии (ОКТ-А), была зарегистрирована более высокая частота выявления ХНВ – 58 %, против 2 % </w:t>
      </w:r>
      <w:r w:rsidRPr="00C674C5">
        <w:rPr>
          <w:rFonts w:ascii="Times New Roman" w:eastAsia="Times New Roman" w:hAnsi="Times New Roman" w:cs="Times New Roman"/>
          <w:color w:val="222222"/>
          <w:spacing w:val="4"/>
          <w:sz w:val="27"/>
          <w:szCs w:val="27"/>
          <w:lang w:eastAsia="ru-RU"/>
        </w:rPr>
        <w:lastRenderedPageBreak/>
        <w:t>выявляемых офтальмоскопически. Вторичная ХНВ 2 типа может развиться у пациентов после фокальной лазерной коагуляции точек просачивания жидкости, расположенных на близком растоянии от фовеолярной аваскулярной зоны (не более 1 диаметра ДЗН).</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Диагностика ЦСХ должна быть направлена на выявление изменений сетчатки, пигментного эпителия и сосудистой оболочки.</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i/>
          <w:iCs/>
          <w:color w:val="333333"/>
          <w:spacing w:val="4"/>
          <w:sz w:val="27"/>
          <w:szCs w:val="27"/>
          <w:lang w:eastAsia="ru-RU"/>
        </w:rPr>
        <w:t>Таблица 1. Основные диагностические критерии установления ЦСХ.</w:t>
      </w:r>
    </w:p>
    <w:tbl>
      <w:tblPr>
        <w:tblW w:w="14165" w:type="dxa"/>
        <w:tblCellMar>
          <w:left w:w="0" w:type="dxa"/>
          <w:right w:w="0" w:type="dxa"/>
        </w:tblCellMar>
        <w:tblLook w:val="04A0" w:firstRow="1" w:lastRow="0" w:firstColumn="1" w:lastColumn="0" w:noHBand="0" w:noVBand="1"/>
      </w:tblPr>
      <w:tblGrid>
        <w:gridCol w:w="2618"/>
        <w:gridCol w:w="11547"/>
      </w:tblGrid>
      <w:tr w:rsidR="00C674C5" w:rsidRPr="00C674C5" w:rsidTr="00C674C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674C5" w:rsidRPr="00C674C5" w:rsidRDefault="00C674C5" w:rsidP="00C674C5">
            <w:pPr>
              <w:spacing w:after="0" w:line="240" w:lineRule="atLeast"/>
              <w:jc w:val="both"/>
              <w:rPr>
                <w:rFonts w:ascii="Verdana" w:eastAsia="Times New Roman" w:hAnsi="Verdana" w:cs="Times New Roman"/>
                <w:b/>
                <w:bCs/>
                <w:sz w:val="27"/>
                <w:szCs w:val="27"/>
                <w:lang w:eastAsia="ru-RU"/>
              </w:rPr>
            </w:pPr>
            <w:r w:rsidRPr="00C674C5">
              <w:rPr>
                <w:rFonts w:ascii="Verdana" w:eastAsia="Times New Roman" w:hAnsi="Verdana" w:cs="Times New Roman"/>
                <w:b/>
                <w:bCs/>
                <w:sz w:val="27"/>
                <w:szCs w:val="27"/>
                <w:lang w:eastAsia="ru-RU"/>
              </w:rPr>
              <w:t>Вариант диагностики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674C5" w:rsidRPr="00C674C5" w:rsidRDefault="00C674C5" w:rsidP="00C674C5">
            <w:pPr>
              <w:spacing w:after="0" w:line="240" w:lineRule="atLeast"/>
              <w:jc w:val="both"/>
              <w:rPr>
                <w:rFonts w:ascii="Verdana" w:eastAsia="Times New Roman" w:hAnsi="Verdana" w:cs="Times New Roman"/>
                <w:b/>
                <w:bCs/>
                <w:sz w:val="27"/>
                <w:szCs w:val="27"/>
                <w:lang w:eastAsia="ru-RU"/>
              </w:rPr>
            </w:pPr>
            <w:r w:rsidRPr="00C674C5">
              <w:rPr>
                <w:rFonts w:ascii="Verdana" w:eastAsia="Times New Roman" w:hAnsi="Verdana" w:cs="Times New Roman"/>
                <w:b/>
                <w:bCs/>
                <w:sz w:val="27"/>
                <w:szCs w:val="27"/>
                <w:lang w:eastAsia="ru-RU"/>
              </w:rPr>
              <w:t>Критерии установления заболевания</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Анамнез и жалобы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Часто на фоне стресса, переутомления, особенно у пациентов с психотипом А, на фоне аутоиммунных заболеваний, требующих лечения системными ГКС, или на фоне полного благополучия, редко – на фоне беременности.</w:t>
            </w:r>
          </w:p>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b/>
                <w:bCs/>
                <w:sz w:val="27"/>
                <w:szCs w:val="27"/>
                <w:lang w:eastAsia="ru-RU"/>
              </w:rPr>
              <w:t>Жалобы</w:t>
            </w:r>
          </w:p>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b/>
                <w:bCs/>
                <w:sz w:val="27"/>
                <w:szCs w:val="27"/>
                <w:lang w:eastAsia="ru-RU"/>
              </w:rPr>
              <w:t>Острое течение: </w:t>
            </w:r>
            <w:r w:rsidRPr="00C674C5">
              <w:rPr>
                <w:rFonts w:ascii="Verdana" w:eastAsia="Times New Roman" w:hAnsi="Verdana" w:cs="Times New Roman"/>
                <w:sz w:val="27"/>
                <w:szCs w:val="27"/>
                <w:lang w:eastAsia="ru-RU"/>
              </w:rPr>
              <w:t>снижение остроты зрения, появление полупрозрачного «пятна», «тумана», микропсии, макропсии, метаморфопсии, дисхроматопсии.</w:t>
            </w:r>
          </w:p>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b/>
                <w:bCs/>
                <w:sz w:val="27"/>
                <w:szCs w:val="27"/>
                <w:lang w:eastAsia="ru-RU"/>
              </w:rPr>
              <w:t>Хроническое течение:</w:t>
            </w:r>
            <w:r w:rsidRPr="00C674C5">
              <w:rPr>
                <w:rFonts w:ascii="Verdana" w:eastAsia="Times New Roman" w:hAnsi="Verdana" w:cs="Times New Roman"/>
                <w:sz w:val="27"/>
                <w:szCs w:val="27"/>
                <w:lang w:eastAsia="ru-RU"/>
              </w:rPr>
              <w:t> те же, что и при остром течении с продолжительностью симптомов 4 мес. и более, с эпизодами улучшения и ухудшения зрительных функций</w:t>
            </w:r>
          </w:p>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b/>
                <w:bCs/>
                <w:sz w:val="27"/>
                <w:szCs w:val="27"/>
                <w:lang w:eastAsia="ru-RU"/>
              </w:rPr>
              <w:t>При появлении ХНВ: </w:t>
            </w:r>
            <w:r w:rsidRPr="00C674C5">
              <w:rPr>
                <w:rFonts w:ascii="Verdana" w:eastAsia="Times New Roman" w:hAnsi="Verdana" w:cs="Times New Roman"/>
                <w:sz w:val="27"/>
                <w:szCs w:val="27"/>
                <w:lang w:eastAsia="ru-RU"/>
              </w:rPr>
              <w:t>усиление метаморфопсий, снижение остроты зрения, непрозрачное «пятно».</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Критерии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b/>
                <w:bCs/>
                <w:sz w:val="27"/>
                <w:szCs w:val="27"/>
                <w:lang w:eastAsia="ru-RU"/>
              </w:rPr>
              <w:t>При</w:t>
            </w:r>
            <w:r w:rsidRPr="00C674C5">
              <w:rPr>
                <w:rFonts w:ascii="Verdana" w:eastAsia="Times New Roman" w:hAnsi="Verdana" w:cs="Times New Roman"/>
                <w:sz w:val="27"/>
                <w:szCs w:val="27"/>
                <w:lang w:eastAsia="ru-RU"/>
              </w:rPr>
              <w:t> </w:t>
            </w:r>
            <w:r w:rsidRPr="00C674C5">
              <w:rPr>
                <w:rFonts w:ascii="Verdana" w:eastAsia="Times New Roman" w:hAnsi="Verdana" w:cs="Times New Roman"/>
                <w:b/>
                <w:bCs/>
                <w:sz w:val="27"/>
                <w:szCs w:val="27"/>
                <w:lang w:eastAsia="ru-RU"/>
              </w:rPr>
              <w:t>остром течении</w:t>
            </w:r>
            <w:r w:rsidRPr="00C674C5">
              <w:rPr>
                <w:rFonts w:ascii="Verdana" w:eastAsia="Times New Roman" w:hAnsi="Verdana" w:cs="Times New Roman"/>
                <w:sz w:val="27"/>
                <w:szCs w:val="27"/>
                <w:lang w:eastAsia="ru-RU"/>
              </w:rPr>
              <w:t> в макулярной зоне или в зоне поражения – округлая или овальная ОНЭ (одна или несколько) и/или ОПЭ, незначительные атрофические изменения ПЭ, часто «толстая» хориоидея, на ФАГ – активные  точки просачивания («фара», «дым из трубы»), на ИЗАГ – расширение и гиперпроницаемость  сосудов хориоидеи.</w:t>
            </w:r>
          </w:p>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b/>
                <w:bCs/>
                <w:sz w:val="27"/>
                <w:szCs w:val="27"/>
                <w:lang w:eastAsia="ru-RU"/>
              </w:rPr>
              <w:t>При</w:t>
            </w:r>
            <w:r w:rsidRPr="00C674C5">
              <w:rPr>
                <w:rFonts w:ascii="Verdana" w:eastAsia="Times New Roman" w:hAnsi="Verdana" w:cs="Times New Roman"/>
                <w:sz w:val="27"/>
                <w:szCs w:val="27"/>
                <w:lang w:eastAsia="ru-RU"/>
              </w:rPr>
              <w:t> </w:t>
            </w:r>
            <w:r w:rsidRPr="00C674C5">
              <w:rPr>
                <w:rFonts w:ascii="Verdana" w:eastAsia="Times New Roman" w:hAnsi="Verdana" w:cs="Times New Roman"/>
                <w:b/>
                <w:bCs/>
                <w:sz w:val="27"/>
                <w:szCs w:val="27"/>
                <w:lang w:eastAsia="ru-RU"/>
              </w:rPr>
              <w:t>хроническом течении</w:t>
            </w:r>
            <w:r w:rsidRPr="00C674C5">
              <w:rPr>
                <w:rFonts w:ascii="Verdana" w:eastAsia="Times New Roman" w:hAnsi="Verdana" w:cs="Times New Roman"/>
                <w:sz w:val="27"/>
                <w:szCs w:val="27"/>
                <w:lang w:eastAsia="ru-RU"/>
              </w:rPr>
              <w:t> – чаще двусторонние диффузные атрофические изменения ПЭ, возможно с наличием ОНЭ и ОПЭ, субретинальных мелких депозитов, фибринозных субретинальных отложений, «гравитационных дорожек», кистозных полостей в нейросенсорной сетчатке.</w:t>
            </w:r>
          </w:p>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b/>
                <w:bCs/>
                <w:sz w:val="27"/>
                <w:szCs w:val="27"/>
                <w:lang w:eastAsia="ru-RU"/>
              </w:rPr>
              <w:lastRenderedPageBreak/>
              <w:t>При</w:t>
            </w:r>
            <w:r w:rsidRPr="00C674C5">
              <w:rPr>
                <w:rFonts w:ascii="Verdana" w:eastAsia="Times New Roman" w:hAnsi="Verdana" w:cs="Times New Roman"/>
                <w:sz w:val="27"/>
                <w:szCs w:val="27"/>
                <w:lang w:eastAsia="ru-RU"/>
              </w:rPr>
              <w:t> </w:t>
            </w:r>
            <w:r w:rsidRPr="00C674C5">
              <w:rPr>
                <w:rFonts w:ascii="Verdana" w:eastAsia="Times New Roman" w:hAnsi="Verdana" w:cs="Times New Roman"/>
                <w:b/>
                <w:bCs/>
                <w:sz w:val="27"/>
                <w:szCs w:val="27"/>
                <w:lang w:eastAsia="ru-RU"/>
              </w:rPr>
              <w:t>осложненном течении</w:t>
            </w:r>
            <w:r w:rsidRPr="00C674C5">
              <w:rPr>
                <w:rFonts w:ascii="Verdana" w:eastAsia="Times New Roman" w:hAnsi="Verdana" w:cs="Times New Roman"/>
                <w:sz w:val="27"/>
                <w:szCs w:val="27"/>
                <w:lang w:eastAsia="ru-RU"/>
              </w:rPr>
              <w:t> – дополнительно к вышеперечисленным признакам обнаруживаются признаки ХНВ.</w:t>
            </w:r>
          </w:p>
        </w:tc>
      </w:tr>
    </w:tbl>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lastRenderedPageBreak/>
        <w:t>2.1 Жалобы и анамнез</w:t>
      </w:r>
    </w:p>
    <w:p w:rsidR="00C674C5" w:rsidRPr="00C674C5" w:rsidRDefault="00C674C5" w:rsidP="00C674C5">
      <w:pPr>
        <w:numPr>
          <w:ilvl w:val="0"/>
          <w:numId w:val="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Рекомендуется</w:t>
      </w:r>
      <w:r w:rsidRPr="00C674C5">
        <w:rPr>
          <w:rFonts w:ascii="Times New Roman" w:eastAsia="Times New Roman" w:hAnsi="Times New Roman" w:cs="Times New Roman"/>
          <w:color w:val="222222"/>
          <w:spacing w:val="4"/>
          <w:sz w:val="27"/>
          <w:szCs w:val="27"/>
          <w:lang w:eastAsia="ru-RU"/>
        </w:rPr>
        <w:t> сбор анамнеза у всех пациентов с целью выявления фактов, которые могут повлиять на выбор тактики ведения [65, 66].</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Комментарии:</w:t>
      </w:r>
      <w:r w:rsidRPr="00C674C5">
        <w:rPr>
          <w:rFonts w:ascii="Times New Roman" w:eastAsia="Times New Roman" w:hAnsi="Times New Roman" w:cs="Times New Roman"/>
          <w:i/>
          <w:iCs/>
          <w:color w:val="333333"/>
          <w:spacing w:val="4"/>
          <w:sz w:val="27"/>
          <w:szCs w:val="27"/>
          <w:lang w:eastAsia="ru-RU"/>
        </w:rPr>
        <w:t> необходимо тщательно расспрашивать пациентов о предыдущих  эпизодах снижения зрения (как на пораженном, так и на парном глазу), времени возникновения первых зрительных расстройств, их связи со стрессами, переутомлением и перенесенными заболеваниями. Особое внимание уделять наличию беременности, аутоиммунных заболеваний, приему ГКС.</w:t>
      </w:r>
    </w:p>
    <w:p w:rsidR="00C674C5" w:rsidRPr="00C674C5" w:rsidRDefault="00C674C5" w:rsidP="00C674C5">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Рекомендуется</w:t>
      </w:r>
      <w:r w:rsidRPr="00C674C5">
        <w:rPr>
          <w:rFonts w:ascii="Times New Roman" w:eastAsia="Times New Roman" w:hAnsi="Times New Roman" w:cs="Times New Roman"/>
          <w:color w:val="222222"/>
          <w:spacing w:val="4"/>
          <w:sz w:val="27"/>
          <w:szCs w:val="27"/>
          <w:lang w:eastAsia="ru-RU"/>
        </w:rPr>
        <w:t> сбор жалоб у всех пациентов с целью выяснения наличия функциональных зрительных расстройств и выявления симптомов, которые могут повлиять на выбор тактики ведения [65, 66].</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Комментарии:</w:t>
      </w:r>
      <w:r w:rsidRPr="00C674C5">
        <w:rPr>
          <w:rFonts w:ascii="Times New Roman" w:eastAsia="Times New Roman" w:hAnsi="Times New Roman" w:cs="Times New Roman"/>
          <w:color w:val="222222"/>
          <w:spacing w:val="4"/>
          <w:sz w:val="27"/>
          <w:szCs w:val="27"/>
          <w:lang w:eastAsia="ru-RU"/>
        </w:rPr>
        <w:t> </w:t>
      </w:r>
      <w:r w:rsidRPr="00C674C5">
        <w:rPr>
          <w:rFonts w:ascii="Times New Roman" w:eastAsia="Times New Roman" w:hAnsi="Times New Roman" w:cs="Times New Roman"/>
          <w:i/>
          <w:iCs/>
          <w:color w:val="333333"/>
          <w:spacing w:val="4"/>
          <w:sz w:val="27"/>
          <w:szCs w:val="27"/>
          <w:lang w:eastAsia="ru-RU"/>
        </w:rPr>
        <w:t>возможно отсутствие жалоб в течение продолжительного времени, несмотря на рецидивирующее течение заболевания. Выявление изменений глазного дна, связанных с перенесенной ЦСХ, часто является случайной находкой (особенно на парном глазу). Возможны жалобы на снижение остроты зрения, появление полупрозрачного «пятна», «тумана», микропсии, макропсии, метаморфопсии, изменение цветовосприятия. При осложнении течения ЦСХ хориоидальной  неоваскуляризацией характерны жалобы на выраженное снижение остроты зрения, метаморфопсии, трудности при чтении, появление непрозрачного  «пятна».</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2.2 Физикальное обследование</w:t>
      </w:r>
    </w:p>
    <w:p w:rsidR="00C674C5" w:rsidRPr="00C674C5" w:rsidRDefault="00C674C5" w:rsidP="00C674C5">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Не рекомендуется </w:t>
      </w:r>
      <w:r w:rsidRPr="00C674C5">
        <w:rPr>
          <w:rFonts w:ascii="Times New Roman" w:eastAsia="Times New Roman" w:hAnsi="Times New Roman" w:cs="Times New Roman"/>
          <w:color w:val="222222"/>
          <w:spacing w:val="4"/>
          <w:sz w:val="27"/>
          <w:szCs w:val="27"/>
          <w:lang w:eastAsia="ru-RU"/>
        </w:rPr>
        <w:t>физикальное обследование пациентам с целью диагностики и лечения ЦСХ [66].</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674C5" w:rsidRPr="00C674C5" w:rsidRDefault="00C674C5" w:rsidP="00C674C5">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lastRenderedPageBreak/>
        <w:t>Рекомендуется </w:t>
      </w:r>
      <w:r w:rsidRPr="00C674C5">
        <w:rPr>
          <w:rFonts w:ascii="Times New Roman" w:eastAsia="Times New Roman" w:hAnsi="Times New Roman" w:cs="Times New Roman"/>
          <w:color w:val="222222"/>
          <w:spacing w:val="4"/>
          <w:sz w:val="27"/>
          <w:szCs w:val="27"/>
          <w:lang w:eastAsia="ru-RU"/>
        </w:rPr>
        <w:t>направлять к профильным специалистам за консультацией пациентов с аутоиммунными заболеваниями, принимающих глюкокортикоиды с целью возможной отмены данной терапии, а также с   сопутствующими заболеваниями и факторами риска системных осложнений перед выполнением интравитреального введения лекарственного средства, препятствующего новообразованию сосудов, с целью выявления возможных противопоказаний к данному виду лечения или минимизирования риска осложнений [66].</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Комментарии:</w:t>
      </w:r>
      <w:r w:rsidRPr="00C674C5">
        <w:rPr>
          <w:rFonts w:ascii="Times New Roman" w:eastAsia="Times New Roman" w:hAnsi="Times New Roman" w:cs="Times New Roman"/>
          <w:color w:val="222222"/>
          <w:spacing w:val="4"/>
          <w:sz w:val="27"/>
          <w:szCs w:val="27"/>
          <w:lang w:eastAsia="ru-RU"/>
        </w:rPr>
        <w:t> </w:t>
      </w:r>
      <w:r w:rsidRPr="00C674C5">
        <w:rPr>
          <w:rFonts w:ascii="Times New Roman" w:eastAsia="Times New Roman" w:hAnsi="Times New Roman" w:cs="Times New Roman"/>
          <w:i/>
          <w:iCs/>
          <w:color w:val="333333"/>
          <w:spacing w:val="4"/>
          <w:sz w:val="27"/>
          <w:szCs w:val="27"/>
          <w:lang w:eastAsia="ru-RU"/>
        </w:rPr>
        <w:t>выбор профиля специалиста определяется в зависимости от наличия у пациента сопутствующего системного заболевания и фактора риска системных осложнений.</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Диагностических критериев ЦСХ на основании данных клинического лабораторного обследования не существует.</w:t>
      </w:r>
    </w:p>
    <w:p w:rsidR="00C674C5" w:rsidRPr="00C674C5" w:rsidRDefault="00C674C5" w:rsidP="00C674C5">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Рекомендуется</w:t>
      </w:r>
      <w:r w:rsidRPr="00C674C5">
        <w:rPr>
          <w:rFonts w:ascii="Times New Roman" w:eastAsia="Times New Roman" w:hAnsi="Times New Roman" w:cs="Times New Roman"/>
          <w:color w:val="222222"/>
          <w:spacing w:val="4"/>
          <w:sz w:val="27"/>
          <w:szCs w:val="27"/>
          <w:lang w:eastAsia="ru-RU"/>
        </w:rPr>
        <w:t> общий (клинический) анализ крови, анализ крови биохимический общетерапевтический (исследование уровня общего белка в крови, исследование уровня глюкозы в крови, исследование уровня мочевины в крови, исследование уровня креатинина в крови, исследование уровня общего билирубина в крови, исследование уровня связанного (конъюгированного) билирубина в крови, определение активности аспартатаминотрансферазы в крови, определение активности аланинаминотрансферазы в крови, определение активности щелочной фосфатазы в крови, исследование уровня холестерина в крови, исследование уровня холестерина липопротеинов низкой плотности в крови, исследование уровня триглицеридов в крови, исследование уровня гликированного гемоглобина в крови (</w:t>
      </w:r>
      <w:r w:rsidRPr="00C674C5">
        <w:rPr>
          <w:rFonts w:ascii="Times New Roman" w:eastAsia="Times New Roman" w:hAnsi="Times New Roman" w:cs="Times New Roman"/>
          <w:i/>
          <w:iCs/>
          <w:color w:val="333333"/>
          <w:spacing w:val="4"/>
          <w:sz w:val="27"/>
          <w:szCs w:val="27"/>
          <w:lang w:eastAsia="ru-RU"/>
        </w:rPr>
        <w:t>HbА1C</w:t>
      </w:r>
      <w:r w:rsidRPr="00C674C5">
        <w:rPr>
          <w:rFonts w:ascii="Times New Roman" w:eastAsia="Times New Roman" w:hAnsi="Times New Roman" w:cs="Times New Roman"/>
          <w:color w:val="222222"/>
          <w:spacing w:val="4"/>
          <w:sz w:val="27"/>
          <w:szCs w:val="27"/>
          <w:lang w:eastAsia="ru-RU"/>
        </w:rPr>
        <w:t>), коагулограмма (ориентировочное исследование системы гемостаза), общий (клинический) анализ мочи, определение антител к бледной трепонеме (</w:t>
      </w:r>
      <w:r w:rsidRPr="00C674C5">
        <w:rPr>
          <w:rFonts w:ascii="Times New Roman" w:eastAsia="Times New Roman" w:hAnsi="Times New Roman" w:cs="Times New Roman"/>
          <w:i/>
          <w:iCs/>
          <w:color w:val="333333"/>
          <w:spacing w:val="4"/>
          <w:sz w:val="27"/>
          <w:szCs w:val="27"/>
          <w:lang w:eastAsia="ru-RU"/>
        </w:rPr>
        <w:t>Treponema pallidum</w:t>
      </w:r>
      <w:r w:rsidRPr="00C674C5">
        <w:rPr>
          <w:rFonts w:ascii="Times New Roman" w:eastAsia="Times New Roman" w:hAnsi="Times New Roman" w:cs="Times New Roman"/>
          <w:color w:val="222222"/>
          <w:spacing w:val="4"/>
          <w:sz w:val="27"/>
          <w:szCs w:val="27"/>
          <w:lang w:eastAsia="ru-RU"/>
        </w:rPr>
        <w:t>) иммуноферментным методом (ИФА) в крови, определение антигена (</w:t>
      </w:r>
      <w:r w:rsidRPr="00C674C5">
        <w:rPr>
          <w:rFonts w:ascii="Times New Roman" w:eastAsia="Times New Roman" w:hAnsi="Times New Roman" w:cs="Times New Roman"/>
          <w:i/>
          <w:iCs/>
          <w:color w:val="333333"/>
          <w:spacing w:val="4"/>
          <w:sz w:val="27"/>
          <w:szCs w:val="27"/>
          <w:lang w:eastAsia="ru-RU"/>
        </w:rPr>
        <w:t>HbsAg</w:t>
      </w:r>
      <w:r w:rsidRPr="00C674C5">
        <w:rPr>
          <w:rFonts w:ascii="Times New Roman" w:eastAsia="Times New Roman" w:hAnsi="Times New Roman" w:cs="Times New Roman"/>
          <w:color w:val="222222"/>
          <w:spacing w:val="4"/>
          <w:sz w:val="27"/>
          <w:szCs w:val="27"/>
          <w:lang w:eastAsia="ru-RU"/>
        </w:rPr>
        <w:t>) вируса гепатита B (</w:t>
      </w:r>
      <w:r w:rsidRPr="00C674C5">
        <w:rPr>
          <w:rFonts w:ascii="Times New Roman" w:eastAsia="Times New Roman" w:hAnsi="Times New Roman" w:cs="Times New Roman"/>
          <w:i/>
          <w:iCs/>
          <w:color w:val="333333"/>
          <w:spacing w:val="4"/>
          <w:sz w:val="27"/>
          <w:szCs w:val="27"/>
          <w:lang w:eastAsia="ru-RU"/>
        </w:rPr>
        <w:t>Hepatitis B virus</w:t>
      </w:r>
      <w:r w:rsidRPr="00C674C5">
        <w:rPr>
          <w:rFonts w:ascii="Times New Roman" w:eastAsia="Times New Roman" w:hAnsi="Times New Roman" w:cs="Times New Roman"/>
          <w:color w:val="222222"/>
          <w:spacing w:val="4"/>
          <w:sz w:val="27"/>
          <w:szCs w:val="27"/>
          <w:lang w:eastAsia="ru-RU"/>
        </w:rPr>
        <w:t>) в крови, определение антител к вирусу гепатита С (</w:t>
      </w:r>
      <w:r w:rsidRPr="00C674C5">
        <w:rPr>
          <w:rFonts w:ascii="Times New Roman" w:eastAsia="Times New Roman" w:hAnsi="Times New Roman" w:cs="Times New Roman"/>
          <w:i/>
          <w:iCs/>
          <w:color w:val="333333"/>
          <w:spacing w:val="4"/>
          <w:sz w:val="27"/>
          <w:szCs w:val="27"/>
          <w:lang w:eastAsia="ru-RU"/>
        </w:rPr>
        <w:t>Hepatitis С virus</w:t>
      </w:r>
      <w:r w:rsidRPr="00C674C5">
        <w:rPr>
          <w:rFonts w:ascii="Times New Roman" w:eastAsia="Times New Roman" w:hAnsi="Times New Roman" w:cs="Times New Roman"/>
          <w:color w:val="222222"/>
          <w:spacing w:val="4"/>
          <w:sz w:val="27"/>
          <w:szCs w:val="27"/>
          <w:lang w:eastAsia="ru-RU"/>
        </w:rPr>
        <w:t xml:space="preserve">) в крови,  молекулярно-биологическое исследование крови на вирус иммунодефицита человека </w:t>
      </w:r>
      <w:r w:rsidRPr="00C674C5">
        <w:rPr>
          <w:rFonts w:ascii="Times New Roman" w:eastAsia="Times New Roman" w:hAnsi="Times New Roman" w:cs="Times New Roman"/>
          <w:color w:val="222222"/>
          <w:spacing w:val="4"/>
          <w:sz w:val="27"/>
          <w:szCs w:val="27"/>
          <w:lang w:eastAsia="ru-RU"/>
        </w:rPr>
        <w:lastRenderedPageBreak/>
        <w:t>ВИЧ-1 (</w:t>
      </w:r>
      <w:r w:rsidRPr="00C674C5">
        <w:rPr>
          <w:rFonts w:ascii="Times New Roman" w:eastAsia="Times New Roman" w:hAnsi="Times New Roman" w:cs="Times New Roman"/>
          <w:i/>
          <w:iCs/>
          <w:color w:val="333333"/>
          <w:spacing w:val="4"/>
          <w:sz w:val="27"/>
          <w:szCs w:val="27"/>
          <w:lang w:eastAsia="ru-RU"/>
        </w:rPr>
        <w:t>Human immunodeficiency virus HIV 1</w:t>
      </w:r>
      <w:r w:rsidRPr="00C674C5">
        <w:rPr>
          <w:rFonts w:ascii="Times New Roman" w:eastAsia="Times New Roman" w:hAnsi="Times New Roman" w:cs="Times New Roman"/>
          <w:color w:val="222222"/>
          <w:spacing w:val="4"/>
          <w:sz w:val="27"/>
          <w:szCs w:val="27"/>
          <w:lang w:eastAsia="ru-RU"/>
        </w:rPr>
        <w:t>),  определение антител классов М, G (</w:t>
      </w:r>
      <w:r w:rsidRPr="00C674C5">
        <w:rPr>
          <w:rFonts w:ascii="Times New Roman" w:eastAsia="Times New Roman" w:hAnsi="Times New Roman" w:cs="Times New Roman"/>
          <w:i/>
          <w:iCs/>
          <w:color w:val="333333"/>
          <w:spacing w:val="4"/>
          <w:sz w:val="27"/>
          <w:szCs w:val="27"/>
          <w:lang w:eastAsia="ru-RU"/>
        </w:rPr>
        <w:t>IgM, IgG</w:t>
      </w:r>
      <w:r w:rsidRPr="00C674C5">
        <w:rPr>
          <w:rFonts w:ascii="Times New Roman" w:eastAsia="Times New Roman" w:hAnsi="Times New Roman" w:cs="Times New Roman"/>
          <w:color w:val="222222"/>
          <w:spacing w:val="4"/>
          <w:sz w:val="27"/>
          <w:szCs w:val="27"/>
          <w:lang w:eastAsia="ru-RU"/>
        </w:rPr>
        <w:t>) к вирусу иммунодефицита человека ВИЧ-1(</w:t>
      </w:r>
      <w:r w:rsidRPr="00C674C5">
        <w:rPr>
          <w:rFonts w:ascii="Times New Roman" w:eastAsia="Times New Roman" w:hAnsi="Times New Roman" w:cs="Times New Roman"/>
          <w:i/>
          <w:iCs/>
          <w:color w:val="333333"/>
          <w:spacing w:val="4"/>
          <w:sz w:val="27"/>
          <w:szCs w:val="27"/>
          <w:lang w:eastAsia="ru-RU"/>
        </w:rPr>
        <w:t>Human immunodeficiency virus HIV 1</w:t>
      </w:r>
      <w:r w:rsidRPr="00C674C5">
        <w:rPr>
          <w:rFonts w:ascii="Times New Roman" w:eastAsia="Times New Roman" w:hAnsi="Times New Roman" w:cs="Times New Roman"/>
          <w:color w:val="222222"/>
          <w:spacing w:val="4"/>
          <w:sz w:val="27"/>
          <w:szCs w:val="27"/>
          <w:lang w:eastAsia="ru-RU"/>
        </w:rPr>
        <w:t>) в крови, определение антител классов М, G (</w:t>
      </w:r>
      <w:r w:rsidRPr="00C674C5">
        <w:rPr>
          <w:rFonts w:ascii="Times New Roman" w:eastAsia="Times New Roman" w:hAnsi="Times New Roman" w:cs="Times New Roman"/>
          <w:i/>
          <w:iCs/>
          <w:color w:val="333333"/>
          <w:spacing w:val="4"/>
          <w:sz w:val="27"/>
          <w:szCs w:val="27"/>
          <w:lang w:eastAsia="ru-RU"/>
        </w:rPr>
        <w:t>IgM, IgG</w:t>
      </w:r>
      <w:r w:rsidRPr="00C674C5">
        <w:rPr>
          <w:rFonts w:ascii="Times New Roman" w:eastAsia="Times New Roman" w:hAnsi="Times New Roman" w:cs="Times New Roman"/>
          <w:color w:val="222222"/>
          <w:spacing w:val="4"/>
          <w:sz w:val="27"/>
          <w:szCs w:val="27"/>
          <w:lang w:eastAsia="ru-RU"/>
        </w:rPr>
        <w:t>) к вирусу иммунодефицита человека ВИЧ-2 (</w:t>
      </w:r>
      <w:r w:rsidRPr="00C674C5">
        <w:rPr>
          <w:rFonts w:ascii="Times New Roman" w:eastAsia="Times New Roman" w:hAnsi="Times New Roman" w:cs="Times New Roman"/>
          <w:i/>
          <w:iCs/>
          <w:color w:val="333333"/>
          <w:spacing w:val="4"/>
          <w:sz w:val="27"/>
          <w:szCs w:val="27"/>
          <w:lang w:eastAsia="ru-RU"/>
        </w:rPr>
        <w:t>Human immunodeficiency virus HIV 2</w:t>
      </w:r>
      <w:r w:rsidRPr="00C674C5">
        <w:rPr>
          <w:rFonts w:ascii="Times New Roman" w:eastAsia="Times New Roman" w:hAnsi="Times New Roman" w:cs="Times New Roman"/>
          <w:color w:val="222222"/>
          <w:spacing w:val="4"/>
          <w:sz w:val="27"/>
          <w:szCs w:val="27"/>
          <w:lang w:eastAsia="ru-RU"/>
        </w:rPr>
        <w:t>) в крови, определение ДНК вируса иммунодефицита человека методом ПЦР, качественное исследование пациентам с ЦСХ, осложненной макулярной неоваскуляризацией,  при подготовке к госпитализации для проведения интравитреального введения средств, препятствующих новообразованию сосудов, либо с иной целью с кратностью в соответствии с действующими федеральными, региональными и локальными нормативными документами для оценки общего статуса, выявления сопутствующих заболеваний и возможных противопоказаний к данным видам лечения, минимизирования риска осложнений [66-69]</w:t>
      </w:r>
      <w:r w:rsidRPr="00C674C5">
        <w:rPr>
          <w:rFonts w:ascii="Times New Roman" w:eastAsia="Times New Roman" w:hAnsi="Times New Roman" w:cs="Times New Roman"/>
          <w:i/>
          <w:iCs/>
          <w:color w:val="333333"/>
          <w:spacing w:val="4"/>
          <w:sz w:val="27"/>
          <w:szCs w:val="27"/>
          <w:lang w:eastAsia="ru-RU"/>
        </w:rPr>
        <w:t>.</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Комментарии:</w:t>
      </w:r>
      <w:r w:rsidRPr="00C674C5">
        <w:rPr>
          <w:rFonts w:ascii="Times New Roman" w:eastAsia="Times New Roman" w:hAnsi="Times New Roman" w:cs="Times New Roman"/>
          <w:color w:val="222222"/>
          <w:spacing w:val="4"/>
          <w:sz w:val="27"/>
          <w:szCs w:val="27"/>
          <w:lang w:eastAsia="ru-RU"/>
        </w:rPr>
        <w:t> </w:t>
      </w:r>
      <w:r w:rsidRPr="00C674C5">
        <w:rPr>
          <w:rFonts w:ascii="Times New Roman" w:eastAsia="Times New Roman" w:hAnsi="Times New Roman" w:cs="Times New Roman"/>
          <w:i/>
          <w:iCs/>
          <w:color w:val="333333"/>
          <w:spacing w:val="4"/>
          <w:sz w:val="27"/>
          <w:szCs w:val="27"/>
          <w:lang w:eastAsia="ru-RU"/>
        </w:rPr>
        <w:t>обследование проводится на основании добровольного согласия (санитарно-эпидемиологические правила СП 3.1.5.2826-10 «Профилактика ВИЧ-инфекции»). Выбор лабораторного исследования определяется в зависимости от наличия у пациента сопутствующего системного заболевания и фактора риска системных осложнений.</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C674C5" w:rsidRPr="00C674C5" w:rsidRDefault="00C674C5" w:rsidP="00C674C5">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Рекомендуется</w:t>
      </w:r>
      <w:r w:rsidRPr="00C674C5">
        <w:rPr>
          <w:rFonts w:ascii="Times New Roman" w:eastAsia="Times New Roman" w:hAnsi="Times New Roman" w:cs="Times New Roman"/>
          <w:color w:val="222222"/>
          <w:spacing w:val="4"/>
          <w:sz w:val="27"/>
          <w:szCs w:val="27"/>
          <w:lang w:eastAsia="ru-RU"/>
        </w:rPr>
        <w:t> визометрия всем пациентам с ЦСХ при диагностике заболевания, динамическом наблюдении и контроле за лечением с целью определения тяжести зрительных расстройств [65, 66].</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674C5" w:rsidRPr="00C674C5" w:rsidRDefault="00C674C5" w:rsidP="00C674C5">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Рекомендуется</w:t>
      </w:r>
      <w:r w:rsidRPr="00C674C5">
        <w:rPr>
          <w:rFonts w:ascii="Times New Roman" w:eastAsia="Times New Roman" w:hAnsi="Times New Roman" w:cs="Times New Roman"/>
          <w:color w:val="222222"/>
          <w:spacing w:val="4"/>
          <w:sz w:val="27"/>
          <w:szCs w:val="27"/>
          <w:lang w:eastAsia="ru-RU"/>
        </w:rPr>
        <w:t> рефрактометрия или определение рефракции с помощью набора пробных линз всем пациентам при диагностике заболевания, динамическом наблюдении и контроле за лечением с целью определения максимальной корригированной остроты зрения для точной оценки тяжести зрительных расстройств [66].</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674C5" w:rsidRPr="00C674C5" w:rsidRDefault="00C674C5" w:rsidP="00C674C5">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lastRenderedPageBreak/>
        <w:t>Рекомендуется</w:t>
      </w:r>
      <w:r w:rsidRPr="00C674C5">
        <w:rPr>
          <w:rFonts w:ascii="Times New Roman" w:eastAsia="Times New Roman" w:hAnsi="Times New Roman" w:cs="Times New Roman"/>
          <w:color w:val="222222"/>
          <w:spacing w:val="4"/>
          <w:sz w:val="27"/>
          <w:szCs w:val="27"/>
          <w:lang w:eastAsia="ru-RU"/>
        </w:rPr>
        <w:t> офтальмотонометрия (в том числе, под местной анестезией с использованием раствора местного анестетика) всем пациентам при диагностике заболевания, динамическом наблюдении и контроле за лечением с целью выявления нарушений офтальмотонуса [65].</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674C5" w:rsidRPr="00C674C5" w:rsidRDefault="00C674C5" w:rsidP="00C674C5">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Рекомендуется</w:t>
      </w:r>
      <w:r w:rsidRPr="00C674C5">
        <w:rPr>
          <w:rFonts w:ascii="Times New Roman" w:eastAsia="Times New Roman" w:hAnsi="Times New Roman" w:cs="Times New Roman"/>
          <w:color w:val="222222"/>
          <w:spacing w:val="4"/>
          <w:sz w:val="27"/>
          <w:szCs w:val="27"/>
          <w:lang w:eastAsia="ru-RU"/>
        </w:rPr>
        <w:t> биомикроскопия глаза всем пациентам при диагностике заболевания,  динамическом наблюдении и контроле за лечением с целью оценки состояния сред и структур глаза [65].</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674C5" w:rsidRPr="00C674C5" w:rsidRDefault="00C674C5" w:rsidP="00C674C5">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Рекомендуется </w:t>
      </w:r>
      <w:r w:rsidRPr="00C674C5">
        <w:rPr>
          <w:rFonts w:ascii="Times New Roman" w:eastAsia="Times New Roman" w:hAnsi="Times New Roman" w:cs="Times New Roman"/>
          <w:color w:val="222222"/>
          <w:spacing w:val="4"/>
          <w:sz w:val="27"/>
          <w:szCs w:val="27"/>
          <w:lang w:eastAsia="ru-RU"/>
        </w:rPr>
        <w:t>биомикроскопия глазного дна или офтальмоскопия в условиях медикаментозного мидриаза (с использованием антихолинэргических средств и симпатомиметиков, кроме противоглаукомных препаратов, включая фиксированные комбинации, при диагностике заболевания, динамическом наблюдении и контроле за лечением с целью выявления изменений на глазном дне, оценки их тяжести, мониторинга и выбора оптимальной тактики ведения [65].</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Комментарии:</w:t>
      </w:r>
      <w:r w:rsidRPr="00C674C5">
        <w:rPr>
          <w:rFonts w:ascii="Times New Roman" w:eastAsia="Times New Roman" w:hAnsi="Times New Roman" w:cs="Times New Roman"/>
          <w:color w:val="222222"/>
          <w:spacing w:val="4"/>
          <w:sz w:val="27"/>
          <w:szCs w:val="27"/>
          <w:lang w:eastAsia="ru-RU"/>
        </w:rPr>
        <w:t> </w:t>
      </w:r>
      <w:r w:rsidRPr="00C674C5">
        <w:rPr>
          <w:rFonts w:ascii="Times New Roman" w:eastAsia="Times New Roman" w:hAnsi="Times New Roman" w:cs="Times New Roman"/>
          <w:i/>
          <w:iCs/>
          <w:color w:val="333333"/>
          <w:spacing w:val="4"/>
          <w:sz w:val="27"/>
          <w:szCs w:val="27"/>
          <w:lang w:eastAsia="ru-RU"/>
        </w:rPr>
        <w:t>биомикроскопия глазного дна с асферическими линзами при помощи щелевой лампы (или офтальмоскопия) является основным методом диагностики изменений глазного дна в рамках офтальмологического приема при любом виде (первичная медико-санитарная помощь, специализированная помощь) и условии (стационарная, амбулаторная) оказания медицинской помощи. Важно помнить, что до фармакологического расширения зрачка нужно оценить глубину передней камеры.</w:t>
      </w:r>
    </w:p>
    <w:p w:rsidR="00C674C5" w:rsidRPr="00C674C5" w:rsidRDefault="00C674C5" w:rsidP="00C674C5">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Рекомендуется</w:t>
      </w:r>
      <w:r w:rsidRPr="00C674C5">
        <w:rPr>
          <w:rFonts w:ascii="Times New Roman" w:eastAsia="Times New Roman" w:hAnsi="Times New Roman" w:cs="Times New Roman"/>
          <w:color w:val="222222"/>
          <w:spacing w:val="4"/>
          <w:sz w:val="27"/>
          <w:szCs w:val="27"/>
          <w:lang w:eastAsia="ru-RU"/>
        </w:rPr>
        <w:t> биомикрофотография глазного дна с использованием фундус-камеры (при наличии технической возможности) пациентам в условиях медикаментозного мидриаза (с использованием антихолинэргических средств и симпатомиметиков, кроме противоглаукомных препаратов, включая фиксированные комбинации) при диагностике заболевания, динамическом наблюдении и контроле за лечением с целью скрининга, мониторинга и оценки эффективности лечения [70].</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lastRenderedPageBreak/>
        <w:t>Комментарии: </w:t>
      </w:r>
      <w:r w:rsidRPr="00C674C5">
        <w:rPr>
          <w:rFonts w:ascii="Times New Roman" w:eastAsia="Times New Roman" w:hAnsi="Times New Roman" w:cs="Times New Roman"/>
          <w:i/>
          <w:iCs/>
          <w:color w:val="333333"/>
          <w:spacing w:val="4"/>
          <w:sz w:val="27"/>
          <w:szCs w:val="27"/>
          <w:lang w:eastAsia="ru-RU"/>
        </w:rPr>
        <w:t>необходимость и частота фотографирования глазного дна с помощью фундус-камеры определяется врачом-офтальмологом в зависимости от особенностей течения заболевания.</w:t>
      </w:r>
    </w:p>
    <w:p w:rsidR="00C674C5" w:rsidRPr="00C674C5" w:rsidRDefault="00C674C5" w:rsidP="00C674C5">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Рекомендуется</w:t>
      </w:r>
      <w:r w:rsidRPr="00C674C5">
        <w:rPr>
          <w:rFonts w:ascii="Times New Roman" w:eastAsia="Times New Roman" w:hAnsi="Times New Roman" w:cs="Times New Roman"/>
          <w:color w:val="222222"/>
          <w:spacing w:val="4"/>
          <w:sz w:val="27"/>
          <w:szCs w:val="27"/>
          <w:lang w:eastAsia="ru-RU"/>
        </w:rPr>
        <w:t> исследование глазного дна на аутофлюоресценцию пациентам с подозрением на поражение ПЭ при диагностике заболевания, динамическом наблюдении и контроле за лечением с целью выявления и мониторинга изменений ПЭ [55, 71].</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Комментарии: </w:t>
      </w:r>
      <w:r w:rsidRPr="00C674C5">
        <w:rPr>
          <w:rFonts w:ascii="Times New Roman" w:eastAsia="Times New Roman" w:hAnsi="Times New Roman" w:cs="Times New Roman"/>
          <w:color w:val="222222"/>
          <w:spacing w:val="4"/>
          <w:sz w:val="27"/>
          <w:szCs w:val="27"/>
          <w:lang w:eastAsia="ru-RU"/>
        </w:rPr>
        <w:t>необходимость и частота </w:t>
      </w:r>
      <w:r w:rsidRPr="00C674C5">
        <w:rPr>
          <w:rFonts w:ascii="Times New Roman" w:eastAsia="Times New Roman" w:hAnsi="Times New Roman" w:cs="Times New Roman"/>
          <w:i/>
          <w:iCs/>
          <w:color w:val="333333"/>
          <w:spacing w:val="4"/>
          <w:sz w:val="27"/>
          <w:szCs w:val="27"/>
          <w:lang w:eastAsia="ru-RU"/>
        </w:rPr>
        <w:t>исследования глазного дна на аутофлюоресценцию определяется врачом-офтальмологом в зависимости от  особенностей течения заболевания</w:t>
      </w:r>
      <w:r w:rsidRPr="00C674C5">
        <w:rPr>
          <w:rFonts w:ascii="Times New Roman" w:eastAsia="Times New Roman" w:hAnsi="Times New Roman" w:cs="Times New Roman"/>
          <w:color w:val="222222"/>
          <w:spacing w:val="4"/>
          <w:sz w:val="27"/>
          <w:szCs w:val="27"/>
          <w:lang w:eastAsia="ru-RU"/>
        </w:rPr>
        <w:t>. </w:t>
      </w:r>
      <w:r w:rsidRPr="00C674C5">
        <w:rPr>
          <w:rFonts w:ascii="Times New Roman" w:eastAsia="Times New Roman" w:hAnsi="Times New Roman" w:cs="Times New Roman"/>
          <w:i/>
          <w:iCs/>
          <w:color w:val="333333"/>
          <w:spacing w:val="4"/>
          <w:sz w:val="27"/>
          <w:szCs w:val="27"/>
          <w:lang w:eastAsia="ru-RU"/>
        </w:rPr>
        <w:t>Исследование глазного дна на аутофлюоресценицию необходимо выполнять в условиях фармакологического мидриаза, поскольку это значительно повышает информативность метода.</w:t>
      </w:r>
    </w:p>
    <w:p w:rsidR="00C674C5" w:rsidRPr="00C674C5" w:rsidRDefault="00C674C5" w:rsidP="00C674C5">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Рекомендуется</w:t>
      </w:r>
      <w:r w:rsidRPr="00C674C5">
        <w:rPr>
          <w:rFonts w:ascii="Times New Roman" w:eastAsia="Times New Roman" w:hAnsi="Times New Roman" w:cs="Times New Roman"/>
          <w:color w:val="222222"/>
          <w:spacing w:val="4"/>
          <w:sz w:val="27"/>
          <w:szCs w:val="27"/>
          <w:lang w:eastAsia="ru-RU"/>
        </w:rPr>
        <w:t> оптическое исследование сетчатки с помощью компьютерного анализатора (оптическая когерентная томография – ОКТ) в условиях медикаментозного мидриаза (с использованием антихолинэргических средств и симпатомиметиков, кроме противоглаукомных препаратов, включая фиксированные комбинации, всем пациентам с ЦСХ  или с подозрением на ее наличие при диагностике заболевания, динамическом наблюдении и контроле за лечением с целью его количественной и качественной оценки, а также мониторинга эффективности лечения [19, 72].</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Комментарии: </w:t>
      </w:r>
      <w:r w:rsidRPr="00C674C5">
        <w:rPr>
          <w:rFonts w:ascii="Times New Roman" w:eastAsia="Times New Roman" w:hAnsi="Times New Roman" w:cs="Times New Roman"/>
          <w:i/>
          <w:iCs/>
          <w:color w:val="333333"/>
          <w:spacing w:val="4"/>
          <w:sz w:val="27"/>
          <w:szCs w:val="27"/>
          <w:lang w:eastAsia="ru-RU"/>
        </w:rPr>
        <w:t>следует проводить качественный и количественный анализ томограммы сетчатки с детальной оценкой наличия, локализации и характера жидкости, наличия субретинальных отложений, поражения наружных слоев сетчатки, поражения пигментного эпителия, толщины хориоидеи, а также оценку конфигурации полученных сканов при исследовании макулярной области. Необходимо провести дифференциальную диагностику с заболеваниями, сопровождающимися наличием хориоидальной  неоваскуляризации. Оптическое исследование сетчатки с помощью компьютерного анализатора необходимо выполнять в условиях фармакологического мидриаза, поскольку это значительно повышает качество исследования.</w:t>
      </w:r>
    </w:p>
    <w:p w:rsidR="00C674C5" w:rsidRPr="00C674C5" w:rsidRDefault="00C674C5" w:rsidP="00C674C5">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lastRenderedPageBreak/>
        <w:t>Рекомендуется </w:t>
      </w:r>
      <w:r w:rsidRPr="00C674C5">
        <w:rPr>
          <w:rFonts w:ascii="Times New Roman" w:eastAsia="Times New Roman" w:hAnsi="Times New Roman" w:cs="Times New Roman"/>
          <w:color w:val="222222"/>
          <w:spacing w:val="4"/>
          <w:sz w:val="27"/>
          <w:szCs w:val="27"/>
          <w:lang w:eastAsia="ru-RU"/>
        </w:rPr>
        <w:t>оптическое исследование сетчатки с помощью компьютерного анализатора в режиме ангиографии (оптическая когерентная томография в режиме ангиографии – ОКТ-А) в условиях медикаментозного мидриаза (с использованием антихолинэргических средств и симпатомиметиков, кроме противоглаукомных препаратов, включая фиксированные комбинации, всем пациентам с ЦСХ с подозрением на наличие хориоидальной неоваскуляризации при диагностике заболевания, динамическом наблюдении и контроле за лечением [73].</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Комментарии: </w:t>
      </w:r>
      <w:r w:rsidRPr="00C674C5">
        <w:rPr>
          <w:rFonts w:ascii="Times New Roman" w:eastAsia="Times New Roman" w:hAnsi="Times New Roman" w:cs="Times New Roman"/>
          <w:i/>
          <w:iCs/>
          <w:color w:val="333333"/>
          <w:spacing w:val="4"/>
          <w:sz w:val="27"/>
          <w:szCs w:val="27"/>
          <w:lang w:eastAsia="ru-RU"/>
        </w:rPr>
        <w:t>следует проводить качественный и количественный анализ ангиограмм с целью выявления патологической неоваскулярной сети и дифференциальной диагностики иных причин ее возникновения. Необходимость и частота ОКТ-А определяется врачом-офтальмологом в зависимости от особенностей течения заболевания. Оптическое исследование сетчатки с помощью компьютерного анализатора в режиме ангиографии необходимо выполнять в условиях фармакологического мидриаза, поскольку это значительно повышает качество исследования.</w:t>
      </w:r>
    </w:p>
    <w:p w:rsidR="00C674C5" w:rsidRPr="00C674C5" w:rsidRDefault="00C674C5" w:rsidP="00C674C5">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Рекомендуется</w:t>
      </w:r>
      <w:r w:rsidRPr="00C674C5">
        <w:rPr>
          <w:rFonts w:ascii="Times New Roman" w:eastAsia="Times New Roman" w:hAnsi="Times New Roman" w:cs="Times New Roman"/>
          <w:color w:val="222222"/>
          <w:spacing w:val="4"/>
          <w:sz w:val="27"/>
          <w:szCs w:val="27"/>
          <w:lang w:eastAsia="ru-RU"/>
        </w:rPr>
        <w:t> флюоресцентная ангиография глаза (ФАГ) в условиях медикаментозного мидриаза (с использованием антихолинэргических средств и симпатомиметиков (исключая противоглаукомные препараты), включая фиксированные комбинации, при диагностике заболевания, динамическом наблюдении и контроле за лечением пациентам с ЦСХ в диагностически сложных случаях, с хроническим или осложненным течением с целью дифференциальной диагностики, выявления точек просачивания и/или хориоидальной неоваскуляризации с дальнейшим определением тактики лечения [74].</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Комментарии:</w:t>
      </w:r>
      <w:r w:rsidRPr="00C674C5">
        <w:rPr>
          <w:rFonts w:ascii="Times New Roman" w:eastAsia="Times New Roman" w:hAnsi="Times New Roman" w:cs="Times New Roman"/>
          <w:color w:val="222222"/>
          <w:spacing w:val="4"/>
          <w:sz w:val="27"/>
          <w:szCs w:val="27"/>
          <w:lang w:eastAsia="ru-RU"/>
        </w:rPr>
        <w:t> </w:t>
      </w:r>
      <w:r w:rsidRPr="00C674C5">
        <w:rPr>
          <w:rFonts w:ascii="Times New Roman" w:eastAsia="Times New Roman" w:hAnsi="Times New Roman" w:cs="Times New Roman"/>
          <w:i/>
          <w:iCs/>
          <w:color w:val="333333"/>
          <w:spacing w:val="4"/>
          <w:sz w:val="27"/>
          <w:szCs w:val="27"/>
          <w:lang w:eastAsia="ru-RU"/>
        </w:rPr>
        <w:t>необходимость и частота проведения  ФАГ определяется врачом-офтальмологом в зависимости от особенностей течения заболевания. Флюоресцентную ангиографию глаза рекомендуется выполнять в условиях фармакологического мидриаза, поскольку это значительно повышает качество исследования.</w:t>
      </w:r>
    </w:p>
    <w:p w:rsidR="00C674C5" w:rsidRPr="00C674C5" w:rsidRDefault="00C674C5" w:rsidP="00C674C5">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Рекомендуется </w:t>
      </w:r>
      <w:r w:rsidRPr="00C674C5">
        <w:rPr>
          <w:rFonts w:ascii="Times New Roman" w:eastAsia="Times New Roman" w:hAnsi="Times New Roman" w:cs="Times New Roman"/>
          <w:color w:val="222222"/>
          <w:spacing w:val="4"/>
          <w:sz w:val="27"/>
          <w:szCs w:val="27"/>
          <w:lang w:eastAsia="ru-RU"/>
        </w:rPr>
        <w:t xml:space="preserve">ангиография глазного дна с индоцианином зеленым (ИЗАГ) в условиях медикаментозного мидриаза (с использованием антихолинэргических средств и симпатомиметиков, кроме </w:t>
      </w:r>
      <w:r w:rsidRPr="00C674C5">
        <w:rPr>
          <w:rFonts w:ascii="Times New Roman" w:eastAsia="Times New Roman" w:hAnsi="Times New Roman" w:cs="Times New Roman"/>
          <w:color w:val="222222"/>
          <w:spacing w:val="4"/>
          <w:sz w:val="27"/>
          <w:szCs w:val="27"/>
          <w:lang w:eastAsia="ru-RU"/>
        </w:rPr>
        <w:lastRenderedPageBreak/>
        <w:t>противоглаукомных препаратов, включая фиксированные комбинации, при диагностике заболевания, динамическом наблюдении и контроле за лечением пациентам с ЦСХ в диагностически сложных случаях, с хроническим или осложненным течением с целью дифференциальной диагностики, при подозрении на полиповидную васкулопатию для дальнейшего определением тактики лечения</w:t>
      </w:r>
      <w:r w:rsidRPr="00C674C5">
        <w:rPr>
          <w:rFonts w:ascii="Times New Roman" w:eastAsia="Times New Roman" w:hAnsi="Times New Roman" w:cs="Times New Roman"/>
          <w:b/>
          <w:bCs/>
          <w:color w:val="222222"/>
          <w:spacing w:val="4"/>
          <w:sz w:val="27"/>
          <w:szCs w:val="27"/>
          <w:lang w:eastAsia="ru-RU"/>
        </w:rPr>
        <w:t> </w:t>
      </w:r>
      <w:r w:rsidRPr="00C674C5">
        <w:rPr>
          <w:rFonts w:ascii="Times New Roman" w:eastAsia="Times New Roman" w:hAnsi="Times New Roman" w:cs="Times New Roman"/>
          <w:color w:val="222222"/>
          <w:spacing w:val="4"/>
          <w:sz w:val="27"/>
          <w:szCs w:val="27"/>
          <w:lang w:eastAsia="ru-RU"/>
        </w:rPr>
        <w:t>[74, 75].</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Комментарии:</w:t>
      </w:r>
      <w:r w:rsidRPr="00C674C5">
        <w:rPr>
          <w:rFonts w:ascii="Times New Roman" w:eastAsia="Times New Roman" w:hAnsi="Times New Roman" w:cs="Times New Roman"/>
          <w:color w:val="222222"/>
          <w:spacing w:val="4"/>
          <w:sz w:val="27"/>
          <w:szCs w:val="27"/>
          <w:lang w:eastAsia="ru-RU"/>
        </w:rPr>
        <w:t> </w:t>
      </w:r>
      <w:r w:rsidRPr="00C674C5">
        <w:rPr>
          <w:rFonts w:ascii="Times New Roman" w:eastAsia="Times New Roman" w:hAnsi="Times New Roman" w:cs="Times New Roman"/>
          <w:i/>
          <w:iCs/>
          <w:color w:val="333333"/>
          <w:spacing w:val="4"/>
          <w:sz w:val="27"/>
          <w:szCs w:val="27"/>
          <w:lang w:eastAsia="ru-RU"/>
        </w:rPr>
        <w:t>необходимость и частота ИЗАГ определяется врачом-офтальмологом в зависимости от особенностей течения заболевания. Ангиографию глазного дна с индоцианином зеленым необходимо выполнять в условиях фармакологического мидриаза, поскольку это значительно повышает качество исследования.</w:t>
      </w:r>
    </w:p>
    <w:p w:rsidR="00C674C5" w:rsidRPr="00C674C5" w:rsidRDefault="00C674C5" w:rsidP="00C674C5">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Рекомендуется</w:t>
      </w:r>
      <w:r w:rsidRPr="00C674C5">
        <w:rPr>
          <w:rFonts w:ascii="Times New Roman" w:eastAsia="Times New Roman" w:hAnsi="Times New Roman" w:cs="Times New Roman"/>
          <w:color w:val="222222"/>
          <w:spacing w:val="4"/>
          <w:sz w:val="27"/>
          <w:szCs w:val="27"/>
          <w:lang w:eastAsia="ru-RU"/>
        </w:rPr>
        <w:t> периметрия пациентам с ЦСХ и подозрением на поражение зрительного нерва в случае необходимости углубленного анализа функциональных нарушений при дифференциальной диагностике заболевания, динамическом наблюдении и контроле за лечением с целью оценки функции сетчатки и проводящих путей [65].</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674C5" w:rsidRPr="00C674C5" w:rsidRDefault="00C674C5" w:rsidP="00C674C5">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Рекомендуется</w:t>
      </w:r>
      <w:r w:rsidRPr="00C674C5">
        <w:rPr>
          <w:rFonts w:ascii="Times New Roman" w:eastAsia="Times New Roman" w:hAnsi="Times New Roman" w:cs="Times New Roman"/>
          <w:color w:val="222222"/>
          <w:spacing w:val="4"/>
          <w:sz w:val="27"/>
          <w:szCs w:val="27"/>
          <w:lang w:eastAsia="ru-RU"/>
        </w:rPr>
        <w:t> регистрация мультифокальной электроретинограммы пациентам с необъяснимым снижением зрительных функций с целью оценки функции сетчатки и проводящих путей [19]. </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Комментарии: </w:t>
      </w:r>
      <w:r w:rsidRPr="00C674C5">
        <w:rPr>
          <w:rFonts w:ascii="Times New Roman" w:eastAsia="Times New Roman" w:hAnsi="Times New Roman" w:cs="Times New Roman"/>
          <w:i/>
          <w:iCs/>
          <w:color w:val="333333"/>
          <w:spacing w:val="4"/>
          <w:sz w:val="27"/>
          <w:szCs w:val="27"/>
          <w:lang w:eastAsia="ru-RU"/>
        </w:rPr>
        <w:t>решение о назначении иных дополнительных методов исследования принимает врач по результатам базового обследования.</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2.5 Иные диагностические исследования</w:t>
      </w:r>
    </w:p>
    <w:p w:rsidR="00C674C5" w:rsidRPr="00C674C5" w:rsidRDefault="00C674C5" w:rsidP="00C674C5">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Рекомендуется </w:t>
      </w:r>
      <w:r w:rsidRPr="00C674C5">
        <w:rPr>
          <w:rFonts w:ascii="Times New Roman" w:eastAsia="Times New Roman" w:hAnsi="Times New Roman" w:cs="Times New Roman"/>
          <w:color w:val="222222"/>
          <w:spacing w:val="4"/>
          <w:sz w:val="27"/>
          <w:szCs w:val="27"/>
          <w:lang w:eastAsia="ru-RU"/>
        </w:rPr>
        <w:t xml:space="preserve">флюорография легких (или флюорография легких цифровая) всем пациентам с осложненным течением ЦСХ при подготовке к госпитализации для проведения интравитреального введения средств, препятствующих новообразованию сосудов, либо с иной целью с кратностью в соответствии с действующими нормативными документами федерального, регионального и локального уровней для оценки общего статуса, выявления сопутствующих заболеваний и возможных </w:t>
      </w:r>
      <w:r w:rsidRPr="00C674C5">
        <w:rPr>
          <w:rFonts w:ascii="Times New Roman" w:eastAsia="Times New Roman" w:hAnsi="Times New Roman" w:cs="Times New Roman"/>
          <w:color w:val="222222"/>
          <w:spacing w:val="4"/>
          <w:sz w:val="27"/>
          <w:szCs w:val="27"/>
          <w:lang w:eastAsia="ru-RU"/>
        </w:rPr>
        <w:lastRenderedPageBreak/>
        <w:t>противопоказаний к данным видам лечения, минимизирования риска осложнений [66].</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r w:rsidRPr="00C674C5">
        <w:rPr>
          <w:rFonts w:ascii="Times New Roman" w:eastAsia="Times New Roman" w:hAnsi="Times New Roman" w:cs="Times New Roman"/>
          <w:color w:val="222222"/>
          <w:spacing w:val="4"/>
          <w:sz w:val="27"/>
          <w:szCs w:val="27"/>
          <w:lang w:eastAsia="ru-RU"/>
        </w:rPr>
        <w:t> </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Комментарии:</w:t>
      </w:r>
      <w:r w:rsidRPr="00C674C5">
        <w:rPr>
          <w:rFonts w:ascii="Times New Roman" w:eastAsia="Times New Roman" w:hAnsi="Times New Roman" w:cs="Times New Roman"/>
          <w:color w:val="222222"/>
          <w:spacing w:val="4"/>
          <w:sz w:val="27"/>
          <w:szCs w:val="27"/>
          <w:lang w:eastAsia="ru-RU"/>
        </w:rPr>
        <w:t> </w:t>
      </w:r>
      <w:r w:rsidRPr="00C674C5">
        <w:rPr>
          <w:rFonts w:ascii="Times New Roman" w:eastAsia="Times New Roman" w:hAnsi="Times New Roman" w:cs="Times New Roman"/>
          <w:i/>
          <w:iCs/>
          <w:color w:val="333333"/>
          <w:spacing w:val="4"/>
          <w:sz w:val="27"/>
          <w:szCs w:val="27"/>
          <w:lang w:eastAsia="ru-RU"/>
        </w:rPr>
        <w:t>перечень исследований определяет профильный специалист при наличии сопутствующей патологии.</w:t>
      </w:r>
    </w:p>
    <w:p w:rsidR="00C674C5" w:rsidRPr="00C674C5" w:rsidRDefault="00C674C5" w:rsidP="00C674C5">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Рекомендуется </w:t>
      </w:r>
      <w:r w:rsidRPr="00C674C5">
        <w:rPr>
          <w:rFonts w:ascii="Times New Roman" w:eastAsia="Times New Roman" w:hAnsi="Times New Roman" w:cs="Times New Roman"/>
          <w:color w:val="222222"/>
          <w:spacing w:val="4"/>
          <w:sz w:val="27"/>
          <w:szCs w:val="27"/>
          <w:lang w:eastAsia="ru-RU"/>
        </w:rPr>
        <w:t>регистрация</w:t>
      </w:r>
      <w:r w:rsidRPr="00C674C5">
        <w:rPr>
          <w:rFonts w:ascii="Times New Roman" w:eastAsia="Times New Roman" w:hAnsi="Times New Roman" w:cs="Times New Roman"/>
          <w:b/>
          <w:bCs/>
          <w:color w:val="222222"/>
          <w:spacing w:val="4"/>
          <w:sz w:val="27"/>
          <w:szCs w:val="27"/>
          <w:lang w:eastAsia="ru-RU"/>
        </w:rPr>
        <w:t> </w:t>
      </w:r>
      <w:r w:rsidRPr="00C674C5">
        <w:rPr>
          <w:rFonts w:ascii="Times New Roman" w:eastAsia="Times New Roman" w:hAnsi="Times New Roman" w:cs="Times New Roman"/>
          <w:color w:val="222222"/>
          <w:spacing w:val="4"/>
          <w:sz w:val="27"/>
          <w:szCs w:val="27"/>
          <w:lang w:eastAsia="ru-RU"/>
        </w:rPr>
        <w:t>электрокардиограммы (с расшифровкой, описанием и интерпретацией электрографических данных) всем пациентам с осложненным течением ЦСХ при подготовке к госпитализации для проведения интравитреального введения средств, препятствующих новообразованию сосудов, либо с иной целью с кратностью в соответствии с действующими нормативными документами федерального, регионального и локального уровней для оценки общего статуса, выявления сопутствующих заболеваний и возможных противопоказаний к данным видам лечения, минимизирования риска осложнений [66].</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Комментарии:</w:t>
      </w:r>
      <w:r w:rsidRPr="00C674C5">
        <w:rPr>
          <w:rFonts w:ascii="Times New Roman" w:eastAsia="Times New Roman" w:hAnsi="Times New Roman" w:cs="Times New Roman"/>
          <w:color w:val="222222"/>
          <w:spacing w:val="4"/>
          <w:sz w:val="27"/>
          <w:szCs w:val="27"/>
          <w:lang w:eastAsia="ru-RU"/>
        </w:rPr>
        <w:t> </w:t>
      </w:r>
      <w:r w:rsidRPr="00C674C5">
        <w:rPr>
          <w:rFonts w:ascii="Times New Roman" w:eastAsia="Times New Roman" w:hAnsi="Times New Roman" w:cs="Times New Roman"/>
          <w:i/>
          <w:iCs/>
          <w:color w:val="333333"/>
          <w:spacing w:val="4"/>
          <w:sz w:val="27"/>
          <w:szCs w:val="27"/>
          <w:lang w:eastAsia="ru-RU"/>
        </w:rPr>
        <w:t>перечень исследований определяет профильный специалист при наличии сопутствующей патологии.</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C674C5" w:rsidRPr="00C674C5" w:rsidRDefault="00C674C5" w:rsidP="00C674C5">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674C5">
        <w:rPr>
          <w:rFonts w:ascii="Times New Roman" w:eastAsia="Times New Roman" w:hAnsi="Times New Roman" w:cs="Times New Roman"/>
          <w:b/>
          <w:bCs/>
          <w:color w:val="000000"/>
          <w:spacing w:val="4"/>
          <w:kern w:val="36"/>
          <w:sz w:val="48"/>
          <w:szCs w:val="48"/>
          <w:lang w:eastAsia="ru-RU"/>
        </w:rPr>
        <w:t>3.1 Консервативное лечение</w:t>
      </w:r>
    </w:p>
    <w:p w:rsidR="00C674C5" w:rsidRPr="00C674C5" w:rsidRDefault="00C674C5" w:rsidP="00C674C5">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Не рекомендуется </w:t>
      </w:r>
      <w:r w:rsidRPr="00C674C5">
        <w:rPr>
          <w:rFonts w:ascii="Times New Roman" w:eastAsia="Times New Roman" w:hAnsi="Times New Roman" w:cs="Times New Roman"/>
          <w:color w:val="222222"/>
          <w:spacing w:val="4"/>
          <w:sz w:val="27"/>
          <w:szCs w:val="27"/>
          <w:lang w:eastAsia="ru-RU"/>
        </w:rPr>
        <w:t>специальное лечение пациентам с ЦСХ с целью резорбции субретинальной жидкости и разрешения отслойки нейроэпителия [76-79].</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1)</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lastRenderedPageBreak/>
        <w:t>Комментарии:</w:t>
      </w:r>
      <w:r w:rsidRPr="00C674C5">
        <w:rPr>
          <w:rFonts w:ascii="Times New Roman" w:eastAsia="Times New Roman" w:hAnsi="Times New Roman" w:cs="Times New Roman"/>
          <w:color w:val="222222"/>
          <w:spacing w:val="4"/>
          <w:sz w:val="27"/>
          <w:szCs w:val="27"/>
          <w:lang w:eastAsia="ru-RU"/>
        </w:rPr>
        <w:t> </w:t>
      </w:r>
      <w:r w:rsidRPr="00C674C5">
        <w:rPr>
          <w:rFonts w:ascii="Times New Roman" w:eastAsia="Times New Roman" w:hAnsi="Times New Roman" w:cs="Times New Roman"/>
          <w:i/>
          <w:iCs/>
          <w:color w:val="333333"/>
          <w:spacing w:val="4"/>
          <w:sz w:val="27"/>
          <w:szCs w:val="27"/>
          <w:lang w:eastAsia="ru-RU"/>
        </w:rPr>
        <w:t>проведенные на сегодняшний день мета-анализы и систематизированные обзоры данных не выявили убедительных доказательств надлежащего качества того, что какая-либо из терапевтических стратегий обладает значимыми преимуществами перед плацебо или наблюдением за пациентами с ЦСХ. Приводимые ниже подходы имеют доказательства лишь низкого качества и в значительной степени безрезультатны (данные небольших ретроспективных исследований при ЦСХ  следует оценивать с осторожностью, так как заболевание склонно к спонтанному разрешению) [76-79]</w:t>
      </w:r>
      <w:r w:rsidRPr="00C674C5">
        <w:rPr>
          <w:rFonts w:ascii="Times New Roman" w:eastAsia="Times New Roman" w:hAnsi="Times New Roman" w:cs="Times New Roman"/>
          <w:color w:val="222222"/>
          <w:spacing w:val="4"/>
          <w:sz w:val="27"/>
          <w:szCs w:val="27"/>
          <w:lang w:eastAsia="ru-RU"/>
        </w:rPr>
        <w:t>.</w:t>
      </w:r>
    </w:p>
    <w:p w:rsidR="00C674C5" w:rsidRPr="00C674C5" w:rsidRDefault="00C674C5" w:rsidP="00C674C5">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674C5">
        <w:rPr>
          <w:rFonts w:ascii="Times New Roman" w:eastAsia="Times New Roman" w:hAnsi="Times New Roman" w:cs="Times New Roman"/>
          <w:b/>
          <w:bCs/>
          <w:color w:val="000000"/>
          <w:spacing w:val="4"/>
          <w:kern w:val="36"/>
          <w:sz w:val="48"/>
          <w:szCs w:val="48"/>
          <w:lang w:eastAsia="ru-RU"/>
        </w:rPr>
        <w:t>3.2 Лазерное лечение</w:t>
      </w:r>
    </w:p>
    <w:p w:rsidR="00C674C5" w:rsidRPr="00C674C5" w:rsidRDefault="00C674C5" w:rsidP="00C674C5">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Рекомендуется</w:t>
      </w:r>
      <w:r w:rsidRPr="00C674C5">
        <w:rPr>
          <w:rFonts w:ascii="Times New Roman" w:eastAsia="Times New Roman" w:hAnsi="Times New Roman" w:cs="Times New Roman"/>
          <w:color w:val="222222"/>
          <w:spacing w:val="4"/>
          <w:sz w:val="27"/>
          <w:szCs w:val="27"/>
          <w:lang w:eastAsia="ru-RU"/>
        </w:rPr>
        <w:t> фокальная лазерная коагуляция глазного дна (при наличии локального отека сетчатки) под местной анестезией (с использованием раствора местного анестетика) в условиях медикаментозного мидриаза (с использованием антихолинэргических средств и симпатомиметиков, кроме противоглаукомных препаратов, включая фиксированные комбинации, пациентам с ЦСХ в случае экстрафовеолярного расположения точки просачивания с целью её блокирования [18-19, 76-79].</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w:t>
      </w:r>
      <w:r w:rsidRPr="00C674C5">
        <w:rPr>
          <w:rFonts w:ascii="Times New Roman" w:eastAsia="Times New Roman" w:hAnsi="Times New Roman" w:cs="Times New Roman"/>
          <w:color w:val="222222"/>
          <w:spacing w:val="4"/>
          <w:sz w:val="27"/>
          <w:szCs w:val="27"/>
          <w:lang w:eastAsia="ru-RU"/>
        </w:rPr>
        <w:t> </w:t>
      </w:r>
      <w:r w:rsidRPr="00C674C5">
        <w:rPr>
          <w:rFonts w:ascii="Times New Roman" w:eastAsia="Times New Roman" w:hAnsi="Times New Roman" w:cs="Times New Roman"/>
          <w:b/>
          <w:bCs/>
          <w:color w:val="222222"/>
          <w:spacing w:val="4"/>
          <w:sz w:val="27"/>
          <w:szCs w:val="27"/>
          <w:lang w:eastAsia="ru-RU"/>
        </w:rPr>
        <w:t>1)</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Комментарии:</w:t>
      </w:r>
      <w:r w:rsidRPr="00C674C5">
        <w:rPr>
          <w:rFonts w:ascii="Times New Roman" w:eastAsia="Times New Roman" w:hAnsi="Times New Roman" w:cs="Times New Roman"/>
          <w:color w:val="222222"/>
          <w:spacing w:val="4"/>
          <w:sz w:val="27"/>
          <w:szCs w:val="27"/>
          <w:lang w:eastAsia="ru-RU"/>
        </w:rPr>
        <w:t xml:space="preserve"> ЛКС (фокальная лазерная коагуляция глазного дна) может быть применена как при острой, так и при хронической формах заболевания при наличии экстрафовеолярных точек просачивания. В большинстве случаев острой ЦСХ серозные отслойки сетчатки спонтанно разрешаются в течение четырех месяцев и обычно рекомендуется наблюдение без лечения. При острой форме, если пациент не намерен ждать самостоятельного разрешения заболевания, и если заболевание препятствует выполнению трудовой функции, возможно выполнение фокальной лазерной коагуляции глазного дна в любые сроки. В случаях со стойкой серозной отслойкой сетчатки или при её рецидивах, ЛКС экстрафовеолярных точек просачивания может сократить продолжительность таких эпизодов. При хронической форме ЛКС должна выполняться в ближайшие сроки, учитывая риск дальнейшего разрушения ПЭ и НЭ. Перед проведением фокальной лазерной коагуляции глазного дна необходимо точное определение размера и локализации точки просачивания </w:t>
      </w:r>
      <w:r w:rsidRPr="00C674C5">
        <w:rPr>
          <w:rFonts w:ascii="Times New Roman" w:eastAsia="Times New Roman" w:hAnsi="Times New Roman" w:cs="Times New Roman"/>
          <w:color w:val="222222"/>
          <w:spacing w:val="4"/>
          <w:sz w:val="27"/>
          <w:szCs w:val="27"/>
          <w:lang w:eastAsia="ru-RU"/>
        </w:rPr>
        <w:lastRenderedPageBreak/>
        <w:t>на основании результатов комплексного обследования, включающего ФАГ, ОКТ, возможно ОКТ-А. Следует также учитывать, что ЛКС повышает риск развития ХНВ.</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Фокальная лазерная коагуляция глазного дна с использованием субпорогового микроимпульсного режима лазеров с различными длинами волн проводится  при острой ЦСХ на любых сроках ее выявления и при хронической ЦСХ при отсутствии возможности использования других методов лечения [18, 19, 76-79].</w:t>
      </w:r>
    </w:p>
    <w:p w:rsidR="00C674C5" w:rsidRPr="00C674C5" w:rsidRDefault="00C674C5" w:rsidP="00C674C5">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674C5">
        <w:rPr>
          <w:rFonts w:ascii="Times New Roman" w:eastAsia="Times New Roman" w:hAnsi="Times New Roman" w:cs="Times New Roman"/>
          <w:b/>
          <w:bCs/>
          <w:color w:val="000000"/>
          <w:spacing w:val="4"/>
          <w:kern w:val="36"/>
          <w:sz w:val="48"/>
          <w:szCs w:val="48"/>
          <w:lang w:eastAsia="ru-RU"/>
        </w:rPr>
        <w:t>3.3 Хирургическое лечение</w:t>
      </w:r>
    </w:p>
    <w:p w:rsidR="00C674C5" w:rsidRPr="00C674C5" w:rsidRDefault="00C674C5" w:rsidP="00C674C5">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Рекомендуется</w:t>
      </w:r>
      <w:r w:rsidRPr="00C674C5">
        <w:rPr>
          <w:rFonts w:ascii="Times New Roman" w:eastAsia="Times New Roman" w:hAnsi="Times New Roman" w:cs="Times New Roman"/>
          <w:color w:val="222222"/>
          <w:spacing w:val="4"/>
          <w:sz w:val="27"/>
          <w:szCs w:val="27"/>
          <w:lang w:eastAsia="ru-RU"/>
        </w:rPr>
        <w:t> интравитреальное введение (в условиях операционной, под местной анестезией (с использованием глазных капель раствора местного анестетика), после обработки кожи век, области вокруг глаз и глазной поверхности антисептиками и дезинфицирующими средствами (включая препараты йода), с использованием до и после процедуры глазных капель растворов антисептиков, противомикробных и противовоспалительных препаратов (включая фиксированные комбинации), лекарственного средства, препятствующего новообразованию сосудов – ранибизумаба** пациентам с ЦСХ, осложнившейся развитием ХНВ, с периодичностью инъекций в соответствии с инструкцией по использованию применяемого лекарственного препарата, с целью подавления активности ХНВ, стабилизации или повышения корригированной остроты зрения [74, 76-79, 80].</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1)</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Комментарии:</w:t>
      </w:r>
      <w:r w:rsidRPr="00C674C5">
        <w:rPr>
          <w:rFonts w:ascii="Times New Roman" w:eastAsia="Times New Roman" w:hAnsi="Times New Roman" w:cs="Times New Roman"/>
          <w:i/>
          <w:iCs/>
          <w:color w:val="333333"/>
          <w:spacing w:val="4"/>
          <w:sz w:val="27"/>
          <w:szCs w:val="27"/>
          <w:lang w:eastAsia="ru-RU"/>
        </w:rPr>
        <w:t> эффект данного способа лечения, описанный в литературе, связан, вероятнее всего, с наличием у пациентов малозаметной или фоновой ХНВ, которую можно выявить с помощью ОКТ-А или методов мультимодальной визуализации; эффект этого лечения при отсутствии ХНВ не доказан.</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i/>
          <w:iCs/>
          <w:color w:val="333333"/>
          <w:spacing w:val="4"/>
          <w:sz w:val="27"/>
          <w:szCs w:val="27"/>
          <w:lang w:eastAsia="ru-RU"/>
        </w:rPr>
        <w:t xml:space="preserve">Ранибизумаб** – это фрагмент гуманизированного антитела к эндотелиальному фактору роста сосудов А (VEGF-A). Избирательно связывается с VEGF-А (VEGF110, VEGF121, VEGF165), предотвращая его взаимодействие с рецепторами на поверхности клеток эндотелия, что </w:t>
      </w:r>
      <w:r w:rsidRPr="00C674C5">
        <w:rPr>
          <w:rFonts w:ascii="Times New Roman" w:eastAsia="Times New Roman" w:hAnsi="Times New Roman" w:cs="Times New Roman"/>
          <w:i/>
          <w:iCs/>
          <w:color w:val="333333"/>
          <w:spacing w:val="4"/>
          <w:sz w:val="27"/>
          <w:szCs w:val="27"/>
          <w:lang w:eastAsia="ru-RU"/>
        </w:rPr>
        <w:lastRenderedPageBreak/>
        <w:t>приводит к подавлению неоваскуляризации и пролиферации эндотелиальных клеток [80].</w:t>
      </w:r>
    </w:p>
    <w:p w:rsidR="00C674C5" w:rsidRPr="00C674C5" w:rsidRDefault="00C674C5" w:rsidP="00C674C5">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674C5">
        <w:rPr>
          <w:rFonts w:ascii="Times New Roman" w:eastAsia="Times New Roman" w:hAnsi="Times New Roman" w:cs="Times New Roman"/>
          <w:b/>
          <w:bCs/>
          <w:color w:val="000000"/>
          <w:spacing w:val="4"/>
          <w:kern w:val="36"/>
          <w:sz w:val="48"/>
          <w:szCs w:val="48"/>
          <w:lang w:eastAsia="ru-RU"/>
        </w:rPr>
        <w:t>3.4 Обезболивание</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Методы обезболивания не применяются, так как ЦСХ не сопровождается болевым синдромом.</w:t>
      </w:r>
    </w:p>
    <w:p w:rsidR="00C674C5" w:rsidRPr="00C674C5" w:rsidRDefault="00C674C5" w:rsidP="00C674C5">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674C5">
        <w:rPr>
          <w:rFonts w:ascii="Times New Roman" w:eastAsia="Times New Roman" w:hAnsi="Times New Roman" w:cs="Times New Roman"/>
          <w:b/>
          <w:bCs/>
          <w:color w:val="000000"/>
          <w:spacing w:val="4"/>
          <w:kern w:val="36"/>
          <w:sz w:val="48"/>
          <w:szCs w:val="48"/>
          <w:lang w:eastAsia="ru-RU"/>
        </w:rPr>
        <w:t>3.5 Диетотерапия</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Специальной диеты при ЦСХ не существует.</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Специальные методы медицинской реабилитации и санаторно-курортное лечение не применяются.</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C674C5" w:rsidRPr="00C674C5" w:rsidRDefault="00C674C5" w:rsidP="00C674C5">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Рекомендуется </w:t>
      </w:r>
      <w:r w:rsidRPr="00C674C5">
        <w:rPr>
          <w:rFonts w:ascii="Times New Roman" w:eastAsia="Times New Roman" w:hAnsi="Times New Roman" w:cs="Times New Roman"/>
          <w:color w:val="222222"/>
          <w:spacing w:val="4"/>
          <w:sz w:val="27"/>
          <w:szCs w:val="27"/>
          <w:lang w:eastAsia="ru-RU"/>
        </w:rPr>
        <w:t>устранение факторов риска заболевания пациентам с острой и хронической ЦСХ  с целью ускорения резорбции жидкости, улучшения зрительных функций и уменьшения риска рецидивов: в первую очередь, прекратить, по возможности, использование всех форм ГКС (включая местные и ингаляционные препараты) [21, 74].</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Комментарии:</w:t>
      </w:r>
      <w:r w:rsidRPr="00C674C5">
        <w:rPr>
          <w:rFonts w:ascii="Times New Roman" w:eastAsia="Times New Roman" w:hAnsi="Times New Roman" w:cs="Times New Roman"/>
          <w:color w:val="222222"/>
          <w:spacing w:val="4"/>
          <w:sz w:val="27"/>
          <w:szCs w:val="27"/>
          <w:lang w:eastAsia="ru-RU"/>
        </w:rPr>
        <w:t> </w:t>
      </w:r>
      <w:r w:rsidRPr="00C674C5">
        <w:rPr>
          <w:rFonts w:ascii="Times New Roman" w:eastAsia="Times New Roman" w:hAnsi="Times New Roman" w:cs="Times New Roman"/>
          <w:i/>
          <w:iCs/>
          <w:color w:val="333333"/>
          <w:spacing w:val="4"/>
          <w:sz w:val="27"/>
          <w:szCs w:val="27"/>
          <w:lang w:eastAsia="ru-RU"/>
        </w:rPr>
        <w:t>следует направлять к врачу-эндокринологу пациентов с симптомами синдрома/болезни Кушинга, включая округление лица и ожирение туловища (van Haalen et al., 2018b), поскольку ЦСХ может быть признаком этого заболевания (van Dijk et al., 2016). Беременных женщин, имеющих в анамнезе эпизоды ЦСХ, следует информировать о возможности рецидива заболевания во время беременности. Существуют литературные данные, что снижение эмоционального стресса, нормализация сна, лечение апноэ может положительно влиять на течение заболевания [74, 76-79].</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Диспансерное наблюдение пациентам с ЦСХ не проводится.</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Первичная специализированная медико-санитарная помощь оказывается врачом-офтальмологом в поликлиническом отделении медицинской организации.</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Проведение лечения (фокальной лазерной коагуляции глазного дна, интравитреального введения лекарственного средства, препятствующего новообразованию сосудов) проводится врачом-офтальмологом в амбулаторных условиях, или в условиях дневного стационара, или в условиях круглосуточного стационара.</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Показание для плановой госпитализации в медицинскую организацию:</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необходимость выполнения интравитреального введения лекарственного средства, препятствующего новообразованию сосудов, и/или лазерного лечения при невозможности проведения лечения в амбулаторных условиях.</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Показание для неотложной госпитализации в медицинскую организацию:</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эндофтальмит как осложнение интравитреального введения лекарственного средства, препятствующего новообразованию сосудов.</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Показание к выписке пациента из медицинской организации:</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xml:space="preserve">1) завершение лечения или одного из этапов оказания специализированной  медицинской помощи в условиях круглосуточного или дневного стационара при условии отсутствия осложнений лечения, требующих </w:t>
      </w:r>
      <w:r w:rsidRPr="00C674C5">
        <w:rPr>
          <w:rFonts w:ascii="Times New Roman" w:eastAsia="Times New Roman" w:hAnsi="Times New Roman" w:cs="Times New Roman"/>
          <w:color w:val="222222"/>
          <w:spacing w:val="4"/>
          <w:sz w:val="27"/>
          <w:szCs w:val="27"/>
          <w:lang w:eastAsia="ru-RU"/>
        </w:rPr>
        <w:lastRenderedPageBreak/>
        <w:t>медикаментозной коррекции и/или медицинских вмешательств в стационарных условиях;</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2) отказ пациента или его законного представителя от специализированной медицинской помощи в условиях круглосуточного или дневного стационара;</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3) необходимость перевода пациента в другую медицинскую организацию.</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Пациент должен владеть информацией о своем заболевании, факторах риска и способах профилактики рецидивов. Пациент должен быть предупрежден, что для устранения факторов риска возникновения и рецидивировния ЦСХ могут потребоваться консультации других специалистов. Также необходимо настроить пациента на неукоснительное соблюдение всех назначений врача-офтальмолога.</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Важно акцентировать внимание пациента на необходимости безотлагательного обращения к врачу-офтальмологу при появлении новых жалоб со стороны органа зрения, особенно указывающих на возможное развитие хориоидальной неоваскуляризации (появление метаморфопсий). Необходимо информировать пациентов, что эффективность лечения осложненных форм ЦСХ напрямую зависит от своевременности его начала.</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Необходимо акцентировать внимание пациента на необходимости проверки зрительных функций каждого глаза в отдельности.</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Необходимо научить пациента пользоваться простыми способами самоконтроля зрительных расстройств. Самый лучший способ самоконтроля для обнаружения даже небольших изменений – это использование простейшего теста – так называемой сетки Amsler’a. Данная методика достаточно информативна, обладает хорошей чувствительностью и позволяет выявлять различные изменения в макулярной области.</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xml:space="preserve">Можно посоветовать пациенту в качестве сетки Amsler’a использовать обычный листок из школьной тетради в клетку. Нужно отделить квадрат </w:t>
      </w:r>
      <w:r w:rsidRPr="00C674C5">
        <w:rPr>
          <w:rFonts w:ascii="Times New Roman" w:eastAsia="Times New Roman" w:hAnsi="Times New Roman" w:cs="Times New Roman"/>
          <w:color w:val="222222"/>
          <w:spacing w:val="4"/>
          <w:sz w:val="27"/>
          <w:szCs w:val="27"/>
          <w:lang w:eastAsia="ru-RU"/>
        </w:rPr>
        <w:lastRenderedPageBreak/>
        <w:t>размером 10 x 10 сантиметров и поставить в его центре точку. Далее надо проводить исследование в следующем порядке:</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надеть свои очки для чтения;</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прикрыть один глаз;</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смотреть все время только на центральную точку;</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не отрывая взгляд от центральной точки, оценить, все ли линии прямые и ровные, и все ли клеточки одинаковы по размеру;</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обратить внимание нет ли зон, где рисунок искажа</w:t>
      </w:r>
      <w:r w:rsidRPr="00C674C5">
        <w:rPr>
          <w:rFonts w:ascii="Times New Roman" w:eastAsia="Times New Roman" w:hAnsi="Times New Roman" w:cs="Times New Roman"/>
          <w:color w:val="222222"/>
          <w:spacing w:val="4"/>
          <w:sz w:val="27"/>
          <w:szCs w:val="27"/>
          <w:lang w:eastAsia="ru-RU"/>
        </w:rPr>
        <w:softHyphen/>
        <w:t>ется, затуманивается, обесцвечивается;</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провести точно так же исследование другого глаза.</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Если при данном исследовании обнаруживаются какие-либо изменения, необходимо немедленно обратить</w:t>
      </w:r>
      <w:r w:rsidRPr="00C674C5">
        <w:rPr>
          <w:rFonts w:ascii="Times New Roman" w:eastAsia="Times New Roman" w:hAnsi="Times New Roman" w:cs="Times New Roman"/>
          <w:color w:val="222222"/>
          <w:spacing w:val="4"/>
          <w:sz w:val="27"/>
          <w:szCs w:val="27"/>
          <w:lang w:eastAsia="ru-RU"/>
        </w:rPr>
        <w:softHyphen/>
        <w:t>ся к врачу.</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В случае необратимой слепоты или слабовидения пациент должен владеть полной информацией о возможностях профессиональной, социальной, психологической реабилитации.</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В случае применения метода интравитреального введения лекарственных средств необходимо обсудить с пациентом следующие моменты:</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перспективы лечения при помощи интравитреального введения лекарственных препаратов у пациентов с ЦСХ, осложнившейся развитием ХНВ, зависят от своевременного начала лечения и соблюдения оптимального режима инъекций в соответствии с инструкцией к препарату и клиническими рекомендациями на основе данных регулярного мониторинга;</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важно предупреждать пациентов, получающих интравитреальные инъекции, о необходимости незамедлительно сообщать о симптомах, при наличии которых можно заподозрить внутриглазное воспаление (эндофтальмит): боль в глазу или увеличение неприятных ощущений в глазу, усиление покраснения глаза, нечеткости или снижения зрения, увеличение светочувствительности, увеличение числа «летающих мушек» в поле зрения и незамедлительно обратиться за медицинской помощью в учреждение, где была выполнена интравитреальная инъекций  или другую специализированную медицинскую организацию.</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lastRenderedPageBreak/>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650"/>
        <w:gridCol w:w="10953"/>
        <w:gridCol w:w="2562"/>
      </w:tblGrid>
      <w:tr w:rsidR="00C674C5" w:rsidRPr="00C674C5" w:rsidTr="00C674C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674C5" w:rsidRPr="00C674C5" w:rsidRDefault="00C674C5" w:rsidP="00C674C5">
            <w:pPr>
              <w:spacing w:after="0" w:line="240" w:lineRule="atLeast"/>
              <w:jc w:val="both"/>
              <w:rPr>
                <w:rFonts w:ascii="Verdana" w:eastAsia="Times New Roman" w:hAnsi="Verdana" w:cs="Times New Roman"/>
                <w:b/>
                <w:bCs/>
                <w:sz w:val="27"/>
                <w:szCs w:val="27"/>
                <w:lang w:eastAsia="ru-RU"/>
              </w:rPr>
            </w:pPr>
            <w:r w:rsidRPr="00C674C5">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674C5" w:rsidRPr="00C674C5" w:rsidRDefault="00C674C5" w:rsidP="00C674C5">
            <w:pPr>
              <w:spacing w:after="0" w:line="240" w:lineRule="atLeast"/>
              <w:jc w:val="both"/>
              <w:rPr>
                <w:rFonts w:ascii="Verdana" w:eastAsia="Times New Roman" w:hAnsi="Verdana" w:cs="Times New Roman"/>
                <w:b/>
                <w:bCs/>
                <w:sz w:val="27"/>
                <w:szCs w:val="27"/>
                <w:lang w:eastAsia="ru-RU"/>
              </w:rPr>
            </w:pPr>
            <w:r w:rsidRPr="00C674C5">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674C5" w:rsidRPr="00C674C5" w:rsidRDefault="00C674C5" w:rsidP="00C674C5">
            <w:pPr>
              <w:spacing w:after="0" w:line="240" w:lineRule="atLeast"/>
              <w:jc w:val="both"/>
              <w:rPr>
                <w:rFonts w:ascii="Verdana" w:eastAsia="Times New Roman" w:hAnsi="Verdana" w:cs="Times New Roman"/>
                <w:b/>
                <w:bCs/>
                <w:sz w:val="27"/>
                <w:szCs w:val="27"/>
                <w:lang w:eastAsia="ru-RU"/>
              </w:rPr>
            </w:pPr>
            <w:r w:rsidRPr="00C674C5">
              <w:rPr>
                <w:rFonts w:ascii="Verdana" w:eastAsia="Times New Roman" w:hAnsi="Verdana" w:cs="Times New Roman"/>
                <w:b/>
                <w:bCs/>
                <w:sz w:val="27"/>
                <w:szCs w:val="27"/>
                <w:lang w:eastAsia="ru-RU"/>
              </w:rPr>
              <w:t>Оценка выполнения</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Выполнена визометрия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Да/Нет</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Выполнена биомикроскопия глаза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Да/Нет</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Выполнена биомикроскопия глазного дна и/или офтальмоскопия в условиях мидриаза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Да/Нет</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Выполнена или рекомендована оптическая когерентная томография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Да/нет</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Назначена выжидательная тактика при острой форме ЦСХ.</w:t>
            </w:r>
          </w:p>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Выполнено (или рекомендовано) фокальная лазеркоагуляция глазного дна и/или интравитреальное введение лекарственного средства, препятствующего новообразованию сосудов, при наличии показаний и отсутствии противопоказаний при острой и хронической формах ЦСХ.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Да/нет</w:t>
            </w:r>
          </w:p>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 </w:t>
            </w:r>
          </w:p>
        </w:tc>
      </w:tr>
    </w:tbl>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Список литературы</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von Graefe A. Ueber centrale recidivierende retinitis // Graefes Arch Clin Exp Ophthalmol. 1866. Vol. 12. P. 211–215.</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Gass J.D., Norton E.W., Justice J. Jr. Serous detachment of the retinal pigment epithelium // Trans Am Acad Ophthalmol Otolaryngol. 1966. Vol. 70. No. 6. P. 990–1015. PMID: 5971481</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Lehmann M., Bousquet E., Beydoun T., Behar-Cohen F. PACHYCHOROID: an inherited condition? // Retina. 2015. Vol. 35. No. 1. P. 10–16. DOI: 10.1097/IAE.0000000000000287</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Cheung C.M.G., Lee W.K., Koizumi H., et al. Pachychoroid disease // Eye (Lond). 2019. Vol. 33. No. 1. P. 14–33. DOI: 10.1038/s41433-018-0158-4</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Borooah S., Sim P.Y., Phatak S., et al. Pachychoroid spectrum disease // Acta Ophthalmol. 2021. Vol. 99. No. 6. P. e806–e822. DOI: 10.1111/aos.14683</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Pang, C.E., Freund K.B. Pachychoroid neovasculopathy // Retina. 2015. Vol. 35. No. 1. P. 1–9. DOI: 10.1097/IAE.0000000000000331</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lastRenderedPageBreak/>
        <w:t>Bouzas E.A., Scott M.H., Mastorakos G., et al. Central serous chorioretinopathy in endogenous  hypercortisolism // Arch Ophthalmol. 1993. Vol. 111. No. 9. P. 1229–1233. DOI: 10.1001/archopht.1993.01090090081024</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Garg S.P., Data T., Talwar D., Biswas N.R. Endogenous cortisol profile in patients with central serous chorioretinopathy // Br J Ophthalmol. 1997. Vol. 81. No. 11. P. 962–964. DOI: 10.1136/bjo.81.11.962</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Haimovichi R., Gragoudas E.S., Duker J.S., et al. Central serous chorioretinopathy associated with inhaled or intranasal corticosteroids // Ophthalmology. 1997. Vol. 104. No. 10. P. 1653–1960. DOI: 10.1016/s0161-6420(97)30082-7</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Haimovichi R., Koh S., Gagnon D., et al. Risk factors for central serous chorioretinopathy: a case control study // Ophthalmology. 2004. Vol. 111. No. 2. P. 244–249. DOI: 10.1016/j.ophtha.2003.09.024</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Jain I.S., Singh K. Maculopathy: a corticosteroid side-effect // J All India Ophthalmol Soc. 1966. Vol. 14. No. 6. P. 250–252. PMID: 5990443</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Karadimas P., Bouzas E. Glucocorticoid use represents a risk factor for central serous chorioretinopathy: a prospective, case-control study // Graefes Arch Clin Exp Ophthalmol. 2004. Vol. 242. No. 9. P. 800–802. DOI: 10.1007/s00417-004-0885-z</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Polak B.C.P., Baarsma G.S., Snyers B. Diffuse retinal pigment epitheliopathy complicating systemic corticosteroid treatment // Br J Ophthalmol. 1995. Vol.79. No. 10. P. 922–925. DOI: 10.1136/bjo.79.10.922</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Ulbing M.R., Riordan-Eva P., Holz F.G., et al. Membranoproliferative glomerulonephritis type II associated with central serous retinopathy // Am J Ophthalmol. 1993. Vol. 116. No. 4. P. 410–413. DOI: 10.1016/s0002-9394(14)71397-2</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Wakakura M., Ishikawa S. Central serous chorioretinopathy complicating systemic corticosteroid treatment // Br J Ophthalmol. 1984. Vol. 68. No. 5. P. 329–331. DOI: 10.1136/bjo.68.5.329</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lastRenderedPageBreak/>
        <w:t>Wakakura M., Song E., Ishikawa S. Corticosteroid-induced central serous chorioretinopathy // Jpn J Ophthalmol. 1997. Vol. 41. No. 3. P. 180–185. DOI: 10.1016/s0021-5155(97)00027-0</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Yannuzzi L.A. Type-A behaviour and central serous chorioretinopathy // Retina. 1987. Vol. 7. No. 2. P. 111–130. DOI: 10.1097/00006982-198700720-00009</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Дога А.В., Качалина Г.Ф., Клепинина О.Б. Центральная серозная хориоретинопатия: современные аспекты диагностики и лечения. Москва. Офтальмология. 2017. 226с.</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Гойдин А.П., Проничкина М.М., Яблокова Н.В., Крылова И.А. Современные представления об этиологии, патогенезе, клинике и лечении центральной серозной хориоретинопатии // Вестник российских университетов. Математика. 2015. № 4. URL: https://cyberleninka.ru/article/n/sovremennye-predstavleniya-ob-etiologii-patogeneze-klinike-i-lechenii-tsentralnoy-seroznoy-horioretinopatii.</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Hurvitz A.P., Hodapp K.L., Jadgchew J., et al. Central serous chorioretinopathy resulting in altered vision and color perception after glenohumeral corticosteroid injection // Orthopedics. 2009. Vol. 32. No. 8. DOI: 10.3928/01477447-20090624-22</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Carvalho-Recchia C.A., Yannuzzi L.A., Negrão S., et al. Corticosteroids and central serous chorioretinopathy // Ophthalmology 2002. Vol. 109. No. 10. P. 1834–1837. DOI: 10.1016/s0161-6420(02)01117-x</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Kassam A-A., White W., Ling R.H., Kitson J.B. Loss of visual acuity due to central serous retinopathy after steroid injection into the shoulder bursa // J Shoulder Elb Surg. 2011. Vol. 20. No. 4. P. e5–6. DOI: 10.1016/j.jse.2011.01.019</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Tsai D-C., Chen S-J., Huang C-C., et al. Risk of central serous chorioretinopathy in adults prescribed oral corticosteroids: a population-based study in Taiwan // Retina. 2014. Vol. 34. No. 9. P. 1867–1874. DOI: 10.1097/IAE.0000000000000159</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Kitzmann A.S., Pulido J.S., Diehl N.N., et al. The incidence of central serous chorioretinopathy in Olmsted County, Minnesota, 1980-2002 // Ophthalmology. 2008. Vol. 115, No. 1. P. 169–173. DOI: 10.1016/j.ophtha.2007.02.032</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lastRenderedPageBreak/>
        <w:t>Pierce K.K., Lane R.G. Central serous chorioretinopathy associated with the use of ephedra // Retin Cases Brief Rep. 2009. Vol. 3. No. 4. P. 376–378. DOI: 10.1097/ICB.0b013e31818ad3ce</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Mansuetta C.C., Mason  J.O. 3rd, Swanner J., et al. An association between central serous chorioretinopathy and gastroesophageal reﬂux disease // Am J Ophthalmol. 2004. Vol. 137. No. 6. P. 1096–1100. DOI: 10.1016/j.ajo.2004.01.054</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Roshani M., Davoodi N.A., Seyyedmajidi M.R., et al. Association of Helicobacter pylori with central serous chorioretinopathy in Iranian patients // Gastroenterol Hepatol Bed Bench. 2014. Vol. 7. No. 1. P. 63–67. PMID: 25436099</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Mateo-Montoya, A., Mauget-Faÿse M. Helicobacter pylori as a risk factor for central serous chorioretinopathy: Literature review // World J Gastrointest Pathophysiol. 2014. Vol. 5. No. 3. P. 355–358. DOI:10.4291/wjgp.v5.i3.355</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Harada T., Harada K. Six cases of central serous choroidopathy induced by systemic corticosteroid therapy // Doc Ophthalmol. 1985. Vol. 60. No. 1. P. 37–44. DOI: 10.1007/BF00164568</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Gass J.D. Central serous chorioretinopathy and white subretinal exudation during pregnancy // Arch Ophthalmol. 1991. Vol. 109. No. 5. P. 677–681. DOI: 10.1001/archopht.1991.01080050091036</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Errera M.-H., Kohly R.P., da Cruz L. Pregnancy-associated retinal diseases and their management // Surv Ophthalmol. 2013. Vol. 58. No. 2. P. 127–142. DOI: 10.1016/j.survophthal.2012.08.001</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Perkins S.L., Kim J.E., Pollack J.S., Merrill P.T. Clinical characteristics of central serous chorioretinopathy in women // Ophthalmology. 2002. Vol.109. No. 2. P. 262–266. DOI: 10.1016/s0161-6420(01)00951-4</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Eom Y., Oh J., Kim S-W., Huh K. Systemic factors associated with central serous chorioretinopathy in Koreans // Korean J Ophthalmol. 2012. Vol. 26. No. 4. P. 260–264. DOI: 10.3341/kjo.2012.26.4.260</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Tsai D.-C., Huang C-C., Chen S-J., et al. Central serous chorioretinopathy and risk of ischaemic stroke: a population-based cohort study // Br J Ophthalmol. 2012. Vol. 96. No. 12. P. 1484–1488. DOI: 10.1136/bjophthalmol-2012-301810</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lastRenderedPageBreak/>
        <w:t>Tsai D.-C., Huang C-C., Chen S-J., et al. Increased risk of erectile dysfunction among males with central serous chorioretinopathy – a retrospective cohort study // Acta Ophthalmol. 2013. Vol. 91. No. 7. P. 666–671. DOI: 10.1111/j.1755-3768.2012.02528.x</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Tewari H.K., Gadia R., Kumar D., et al. Sympathetic-parasympathetic activity and reactivity in central serous chorioretinopathy: a case-control study // Invest Ophthalmol Vis Sci. 2006. Vol. 47. No. 8. P. 3474–3478. DOI: 10.1167/iovs.05-1246</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Yannuzzi L.A. Type A behavior and central serous chorioretinopathy // Trans Am Ophthalmol Soc. 1986. Vol. 84. P. 799-845. PMID: 3590481</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Park D.W., Schatz H., Gaffney M.M., et al. Central serous chorioretinopathy in two families / // Eur. J. Ophthalmol. 1998. Vol. 8. No. 1. P. 42-47 DOI: 10.1177/112067219800800110</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Lin, E., Arrigg P.G., Kim R.Y. Familial central serous choroidopathy // Graefes Arch. Clin. Exp. Ophthalmol. 2000. Vol. 238. No. 11. P. 930–931. DOI: 10.1007/s004179900110</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Miki A., Kondo N., Yanagisawa S., et al. Common variants in the complement factor H gene confer genetic susceptibility to central serous chorioretinopathy // Ophthalmology. 2014. Vol. 121. No. 5. P. 1067–1072. DOI: 10.1016/j.ophtha.2013.11.020</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Schubert C., Pryds A., Zeng S., et al. Cadherin 5 is regulated by corticosteroids and associated with central serous chorioretinopathy // Hum. Mutat. 2014. Vol. 35. No. 7. P. 859–867. DOI: 10.1002/humu.22551.43</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Wang M., Munch I.C., Hasler P.W., et al. Central serous chorioretinopathy // Acta Ophthalmol. 2008. Vol. 86. No. 2. P. 126–145. DOI: 10.1111/j.1600-0420.2007.00889.x</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Caccavale A., Romanazzi F., Imparato M., et al.  Central serous chorioretinopathy: a pathogenetic model // Clin. Ophthalmol. 2011. Vol. 5. P. 239–243. DOI: 10.2147/OPTH.S17182</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xml:space="preserve">Nicholson B., Noble J., Forooghian F., Meyerle C. Central Serous Chorioretinopathy: Update on Pathophysiology and Treatment // Surv </w:t>
      </w:r>
      <w:r w:rsidRPr="00C674C5">
        <w:rPr>
          <w:rFonts w:ascii="Times New Roman" w:eastAsia="Times New Roman" w:hAnsi="Times New Roman" w:cs="Times New Roman"/>
          <w:color w:val="222222"/>
          <w:spacing w:val="4"/>
          <w:sz w:val="27"/>
          <w:szCs w:val="27"/>
          <w:lang w:eastAsia="ru-RU"/>
        </w:rPr>
        <w:lastRenderedPageBreak/>
        <w:t>Ophthalmol. 2013. Vol. 58. No. 2. P. 103–119. DOI: 10.1016/j.survophthal.2012.07.004</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Negi A., Marmor M.F. Experimental serous retinal detachment and focal pigment epithelial damage // Arch Ophthalmol. 1984. Vol. 102. No. 3. P. 445–449. DOI: 10.1001/archopht.1984.01040030359038</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Daruich A., Matet A., Dirani A., et al. Central serous chorioretinopathy: Recent findings and new physiopathology hypothesis // Prog Retin Eye Res. 2015. Vol. 48. P. 82–118. DOI: 10.1016/j.preteyeres.2015.05.003</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Nguyen Dinh Cat A., Jaisser F. Extrarenal effects of aldosterone // Curr Opin Nephrol Hypertens. 2012. Vol. 21. No. 2. P. 147–156. DOI: 10.1097/MNH.0b013e32834fb25b</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Farman N., Maubec E., Poeggeler B., et al. The mineralocorticoid receptor as a novel player in skin biology: beyond the renal horizon? // Exp Dermatol. 2010. Vol. 19. No. 2. P. 100–107. DOI: 10.1111/j.1600-0625.2009.01011.x</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Gomez-Sanchez E., Gomez-Sanchez C.E. The multifaceted mineralocorticoid receptor // Compr. Physiol. 2014. Vol. 4. No. 3. P. 965–994. DOI: 10.1002/cphy.c130044</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Zhao M., Bousquet E., Valamanesh F., et al. Differential regulations of AQP4 and Kir4.1 by triamcinolone acetonide and dexamethasone in the healthy and inflamed retina // Invest Ophthalmol Vis Sci. 2011. Vol. 52. No. 9. P. 6340–6347. DOI: 10.1167/iovs.11-7675</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Wilkinson-Berka J.L., Tan G., Jaworski K., et al. Identiﬁcation of a retinal aldosterone system and the protective effects of mineralocorticoid receptor antagonism on retinal vascular pathology // Circ. Res. 2009. Vol. 104. No. 1. P. 124–133. DOI: 10.1161/CIRCRESAHA.108.176008</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Fuller P.J., Yao Y., Yang  J., Young M.J. Mechanisms of ligand speciﬁcity of the mineralocorticoid receptor // J Endocrinol. 2012. Vol. 213.  No. 1. P. 15–24. DOI: 10.1530/JOE-11-0372</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Odermatt, A. Atanasov A.G. Mineralocorticoid receptors: emerging complexity and functional diversity // Steroids. 2009. Vol. 74. No. 2. P. 163–171. DOI: 10.1016/j.steroids.2008.10.010</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lastRenderedPageBreak/>
        <w:t>Spaide, R.F. Autoﬂuorescence from the outer retina and subretinal space: hypothesis and review // Retina. 2008. Vol. 28. No. 1. P. 5–35. DOI: 10.1097/IAE.0b013e318158eca4</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Spaide R.F., Klancnik J.M. Jr.  Fundus autofluorescence and central serous chorioretinopathy // Ophthalmolology. 2005. Vol. 112. No. 5. P. 825–833. DOI:10.1016/j.ophtha.2005.01.003</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Piccolino F.C., de la Longrais R.R., Ravera G., et al. The foveal photoreceptor layer and visual acuity loss in central serous chorioretinopathy // Am J Ophthalmol. 2005. Vol. 139. No. 1. P. 87–99. DOI: 10.1016/j.ajo.2004.08.037</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Maruko I., Iida T., A. Ojima A., Sekiryu T. Subretinal dot-like precipitates and yellow material in central serous chorioretinopathy // Retina. 2011. Vol. 31. No. 4. P. 759–765. DOI: 10.1097/IAE.0b013e3181fbce8e</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Tsai D.C., Chen S.J., Huang C.C., et al. Epidemiology of idiopathic central serous chorioretinopathy in Taiwan, 2001-2006: a population-based study // PLoS One. 2013. Vol. 8. No. 6. P. e66858. DOI: 10.1371/journal.pone.0066858</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Cohen D., Gaudric A., Coscas G., et al. Diffuse retinal epitheliopathy and central serous chorioretinopathy // Ophthalmology. 1983. Vol. 6. No. 4. P. 339–349. PMID: 6886302</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Lafaut B.A., Salati C., Priem C., De Laey J.J. Indocyanine green angiography is of value for the diagnosis of chronic central serous chorioretinopathy in elderly patients // Graefes Arch Clin Exp Ophthalmol. 1998. Vol. 236. No. 7. P. 513–521. DOI: 10.1007/s004170050114</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Desai U.R., Alhalel A.A., Campen T.J., et al. Central serous chorioretinopathy in African Americans // J Natl Med Assoc. 2003. Vol. 95. No. 7. P. 553–559. PMID: 12911253</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How A.C.S.W., Koh A.H.C. Angiographic characteristics of acute central serous chorioretinopathy in an Asian population // Ann Acad Med Singap. 2006. Vol. 35. No. 2. P. 77–79. PMID: 16565758</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Weenink A.C., Borsje R.A., Oosterhuis J.A. Familial chronic central serous chorioretinopathy // Ophthalmology. 2001. Vol. 215. No. 3. P. 183–187. DOI: 10.1159/000050855</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lastRenderedPageBreak/>
        <w:t>Baran N.V., Gürlü V.P., Esgin H. Long-term macular function in eyes with central serous chorioretinopathy // Clin Exp Ophthalmol. 2005. Vol.33. No. 4. P. 369–372. DOI: 10.1111/j.1442-9071.2005.01027.x</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Аветисов С.Э., Егоров Е.А., Мошетова Л.К., Нероев В.В., Тахчиди Х.П. Офтальмология: национальное руководство. 2-е изд. Москва: ГЭОТАР-Медиа, 2018. 904 с.</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Нероев В.В., Астахов Ю.С., Коротких С.А., и др. Протокол выполнения интравитреального введения лекарственных препаратов. Консенсус Экспертного совета по заболеваниям сетчатки и зрительного нерва Общероссийской общественной организации «Ассоциация врачей-офтальмологов» // Вестник офтальмологии. 2020. Т. 136. № 6. С. 251–263. DOI: 10.17116/oftalma2020136062251</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Санитарно-эпидемиологические правила и нормативы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 (постановление Главного государственного санитарного врача РФ от 24.12.2020 г. № 44).</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Санитарно-эпидемиологические правила и нормативы СанПиН 3.3686-21 «Санитарно-эпидемиологические требования по профилактике инфекционных болезней» (постановление Главного государственного санитарного врача РФ от 28.01.2021 г. № 2).</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Управление плановой госпитализацией в многопрофильной больнице. Методические рекомендации N 2001/144 : (утв. Минздравом РФ 09.11.2001 г.).</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He L., Chen C., Yi Z., et al. Clinical application of multicolor imaging in central serous chorioretinopathy // Retina. 2020. Vol. No. 4. P. 743-749. DOI: 10.1097/IAE.0000000000002441</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von Rückmann A., Fitzke F.W., Fan J., et al. Abnormalities of fundus autofluorescence in central serous retinopathy // Am J Ophthalmol. 2002. Vol. 133. No. 6. P.780-786. DOI: 10.1016/S0002-9394(02)01428-9</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lastRenderedPageBreak/>
        <w:t>Nkrumah G., Paez-Escamilla M., Singh S.R., et al. Biomarkers for central serous chorioretinopathy // Ther Adv Ophthalmol. 2020. Vol. 24. No. 12:2515841420950846. doi: 10.1177/2515841420950846</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Chan S.Y., Wang Q., Wei W.B., Jonas J.B. Optical coherence tomographic angiography in central serous chorioretinopathy // Retina. 2016. Vol. 36. No. 11. P. 2051-2058. DOI: 10.1097/IAE.0000000000001064</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Kaye R., Chandra S., Sheth, J., et al. Central serous chorioretinopathy: An update on risk factors, pathophysiology and imaging modalities // Progress in Retinal and Eye Research. 2020. Vol.79:100865. DOI: 10.1016/j.preteyeres.2020.100865</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Piccolino F.C., Borgia L. Central serous chorioretinopathy and indocyanine green angiography // Retina. 1994. Vol. 14. No. 3.P. 231–242</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Salehi M., Wenick A.S., Law H.A., et al. Interventions for central serous chorioretinopathy: a network meta-analysis // Cochrane Database of Systematic Reviews. 2015. No. 12. CD011841. DOI: 10.1002/14651858.CD011841.pub2</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Duan J., Zhang Y., Zhang M. Efficacy and safety of the mineralocorticoid receptor antagonist treatment for central serous chorioretinopathy: a systematic review and meta-analysis // Eye. 2021. Vol. 35. No. 4. P. 1102–1110 DOI: 10.1038/s41433-020-01338-4</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van Rijssen T.J., van Dijk E.H.C., Yzer S. et al. Central serous chorioretinopathy: Towards an evidence-based treatment guideline // Progress in Retinal and Eye Research. 2019. Vol. 73:100770. DOI: 10.1016/j.preteyeres.2019.07.003</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Nicolò M., Desideri L.F., Vagge A., Traverso C.E. Current Pharmacological Treatment Options for Central Serous Chorioretinopathy: A Review // Pharmaceuticals. 2020, Vol.13. 264. DOI:10.3390/ph13100264</w:t>
      </w:r>
    </w:p>
    <w:p w:rsidR="00C674C5" w:rsidRPr="00C674C5" w:rsidRDefault="00C674C5" w:rsidP="00C674C5">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Lai T.Y.Y., Staurenghi G., Lanzetta P., et al. MINERVA study group. Efficacy and safety of ranibizumab for the treatment of choroidal neovascularization due to uncommon cause: Twelve-Month Results of the MINERVA Study // Retina. 2018. Vol. 38. No. 8. P. 1464-1477. DOI: 10.1097/IAE.0000000000001744</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lastRenderedPageBreak/>
        <w:t>Приложение А1. Состав рабочей группы по разработке и пересмотру клинических рекомендаций</w:t>
      </w:r>
    </w:p>
    <w:p w:rsidR="00C674C5" w:rsidRPr="00C674C5" w:rsidRDefault="00C674C5" w:rsidP="00C674C5">
      <w:pPr>
        <w:numPr>
          <w:ilvl w:val="0"/>
          <w:numId w:val="2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Фурсова Анжелла Жановна,</w:t>
      </w:r>
      <w:r w:rsidRPr="00C674C5">
        <w:rPr>
          <w:rFonts w:ascii="Times New Roman" w:eastAsia="Times New Roman" w:hAnsi="Times New Roman" w:cs="Times New Roman"/>
          <w:color w:val="222222"/>
          <w:spacing w:val="4"/>
          <w:sz w:val="27"/>
          <w:szCs w:val="27"/>
          <w:lang w:eastAsia="ru-RU"/>
        </w:rPr>
        <w:t> руководитель группы, д.м.н., заведующая кафедрой офтальмологии ФБГОУ ВО «Новосибирский государственный медицинский университет»,заведующая офтальмологическим отделением ГБУЗ НСО «Государственная Новосибирская областная клиническая больница», член ООО «Ассоциация врачей-офтальмологов»;</w:t>
      </w:r>
    </w:p>
    <w:p w:rsidR="00C674C5" w:rsidRPr="00C674C5" w:rsidRDefault="00C674C5" w:rsidP="00C674C5">
      <w:pPr>
        <w:numPr>
          <w:ilvl w:val="0"/>
          <w:numId w:val="2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Будзинская М.В.,</w:t>
      </w:r>
      <w:r w:rsidRPr="00C674C5">
        <w:rPr>
          <w:rFonts w:ascii="Times New Roman" w:eastAsia="Times New Roman" w:hAnsi="Times New Roman" w:cs="Times New Roman"/>
          <w:color w:val="222222"/>
          <w:spacing w:val="4"/>
          <w:sz w:val="27"/>
          <w:szCs w:val="27"/>
          <w:lang w:eastAsia="ru-RU"/>
        </w:rPr>
        <w:t> д.м.н., профессор кафедры офтальмологии, ФГБНУ «НИИ глазных болезней им. М.М. Краснова»;</w:t>
      </w:r>
    </w:p>
    <w:p w:rsidR="00C674C5" w:rsidRPr="00C674C5" w:rsidRDefault="00C674C5" w:rsidP="00C674C5">
      <w:pPr>
        <w:numPr>
          <w:ilvl w:val="0"/>
          <w:numId w:val="2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Шадричев Ф.Е.,</w:t>
      </w:r>
      <w:r w:rsidRPr="00C674C5">
        <w:rPr>
          <w:rFonts w:ascii="Times New Roman" w:eastAsia="Times New Roman" w:hAnsi="Times New Roman" w:cs="Times New Roman"/>
          <w:color w:val="222222"/>
          <w:spacing w:val="4"/>
          <w:sz w:val="27"/>
          <w:szCs w:val="27"/>
          <w:lang w:eastAsia="ru-RU"/>
        </w:rPr>
        <w:t> к.м.н., заведующий офтальмологическим отделением Санкт-Петербургского территориального диабетологического центра СПбГБУЗ «ГКДЦ № 1», ассистент кафедры офтальмологии с клиникой имени Ю.С. Астахова ФБГОУ ВО «Первый Санкт-Петербургский государственный медицинский университет им. акад. И.П. Павлова», член ООО «Ассоциация врачей-офтальмологов»;</w:t>
      </w:r>
    </w:p>
    <w:p w:rsidR="00C674C5" w:rsidRPr="00C674C5" w:rsidRDefault="00C674C5" w:rsidP="00C674C5">
      <w:pPr>
        <w:numPr>
          <w:ilvl w:val="0"/>
          <w:numId w:val="2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Нечипоренко П.А.,</w:t>
      </w:r>
      <w:r w:rsidRPr="00C674C5">
        <w:rPr>
          <w:rFonts w:ascii="Times New Roman" w:eastAsia="Times New Roman" w:hAnsi="Times New Roman" w:cs="Times New Roman"/>
          <w:color w:val="222222"/>
          <w:spacing w:val="4"/>
          <w:sz w:val="27"/>
          <w:szCs w:val="27"/>
          <w:lang w:eastAsia="ru-RU"/>
        </w:rPr>
        <w:t> к.м.н., ассистент кафедры офтальмологии с клиникой имени профессора Ю.С. Астахова ФБГОУ ВО «Первый Санкт-Петербургский государственный медицинский университет им. акад. И.П. Павлова», член ООО «Ассоциация врачей-офтальмологов»;</w:t>
      </w:r>
    </w:p>
    <w:p w:rsidR="00C674C5" w:rsidRPr="00C674C5" w:rsidRDefault="00C674C5" w:rsidP="00C674C5">
      <w:pPr>
        <w:numPr>
          <w:ilvl w:val="0"/>
          <w:numId w:val="2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Измайлов А.С., </w:t>
      </w:r>
      <w:r w:rsidRPr="00C674C5">
        <w:rPr>
          <w:rFonts w:ascii="Times New Roman" w:eastAsia="Times New Roman" w:hAnsi="Times New Roman" w:cs="Times New Roman"/>
          <w:color w:val="222222"/>
          <w:spacing w:val="4"/>
          <w:sz w:val="27"/>
          <w:szCs w:val="27"/>
          <w:lang w:eastAsia="ru-RU"/>
        </w:rPr>
        <w:t>д.м.н., заведующий отделением СПб филиала ФГАУ НМИЦ «МНТК «Микрохирургия глаза» имени академика С.Н. Федорова Министерства здравоохранения Российской Федерации», доцент кафедры офтальмологии ФГБОУ ВО «Северо-Западный государственный медицинский университет им. И.И. Мечникова» Министерства здравоохранения Российской Федерации;</w:t>
      </w:r>
    </w:p>
    <w:p w:rsidR="00C674C5" w:rsidRPr="00C674C5" w:rsidRDefault="00C674C5" w:rsidP="00C674C5">
      <w:pPr>
        <w:numPr>
          <w:ilvl w:val="0"/>
          <w:numId w:val="2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Гацу М.В., </w:t>
      </w:r>
      <w:r w:rsidRPr="00C674C5">
        <w:rPr>
          <w:rFonts w:ascii="Times New Roman" w:eastAsia="Times New Roman" w:hAnsi="Times New Roman" w:cs="Times New Roman"/>
          <w:color w:val="222222"/>
          <w:spacing w:val="4"/>
          <w:sz w:val="27"/>
          <w:szCs w:val="27"/>
          <w:lang w:eastAsia="ru-RU"/>
        </w:rPr>
        <w:t>д.м.н., доцент, заместитель директора по организационно-клинической работе СПб филиала ФГАУ НМИЦ «МНТК «Микрохирургия глаза» имени академика С.Н. Федорова Министерства здравоохранения Российской Федерации», доцент кафедры офтальмологии ФГБОУ ВО «Северо-Западный государственный медицинский университет им. И.И. Мечникова» Министерства здравоохранения Российской Федерации, член Общества офтальмологв России;</w:t>
      </w:r>
    </w:p>
    <w:p w:rsidR="00C674C5" w:rsidRPr="00C674C5" w:rsidRDefault="00C674C5" w:rsidP="00C674C5">
      <w:pPr>
        <w:numPr>
          <w:ilvl w:val="0"/>
          <w:numId w:val="2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Григорьева Н.Н.,</w:t>
      </w:r>
      <w:r w:rsidRPr="00C674C5">
        <w:rPr>
          <w:rFonts w:ascii="Times New Roman" w:eastAsia="Times New Roman" w:hAnsi="Times New Roman" w:cs="Times New Roman"/>
          <w:color w:val="222222"/>
          <w:spacing w:val="4"/>
          <w:sz w:val="27"/>
          <w:szCs w:val="27"/>
          <w:lang w:eastAsia="ru-RU"/>
        </w:rPr>
        <w:t> к.м.н., ассистент кафедры оториноларингологии и офтальмологии медицинского факультета ФБГОУ ВО «Санкт-</w:t>
      </w:r>
      <w:r w:rsidRPr="00C674C5">
        <w:rPr>
          <w:rFonts w:ascii="Times New Roman" w:eastAsia="Times New Roman" w:hAnsi="Times New Roman" w:cs="Times New Roman"/>
          <w:color w:val="222222"/>
          <w:spacing w:val="4"/>
          <w:sz w:val="27"/>
          <w:szCs w:val="27"/>
          <w:lang w:eastAsia="ru-RU"/>
        </w:rPr>
        <w:lastRenderedPageBreak/>
        <w:t>Петербургский государственный университет» Министерства здравоохранения Российской Федерации, член ООО «Ассоциация врачей-офтальмологов»;</w:t>
      </w:r>
    </w:p>
    <w:p w:rsidR="00C674C5" w:rsidRPr="00C674C5" w:rsidRDefault="00C674C5" w:rsidP="00C674C5">
      <w:pPr>
        <w:numPr>
          <w:ilvl w:val="0"/>
          <w:numId w:val="2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Шкляров Е.Б.,</w:t>
      </w:r>
      <w:r w:rsidRPr="00C674C5">
        <w:rPr>
          <w:rFonts w:ascii="Times New Roman" w:eastAsia="Times New Roman" w:hAnsi="Times New Roman" w:cs="Times New Roman"/>
          <w:color w:val="222222"/>
          <w:spacing w:val="4"/>
          <w:sz w:val="27"/>
          <w:szCs w:val="27"/>
          <w:lang w:eastAsia="ru-RU"/>
        </w:rPr>
        <w:t> к.м.н., врач офтальмологического отделения Санкт-Петербургского территориального диабетологического центра СПбГБУЗ «ГКДЦ № 1», ассистент кафедры семейной медицины ФГБОУ ВО «Северо-Западный государственный медицинский университет им. И.И. Мечникова» Министерства здравоохранения Российской Федерации, член ООО «Ассоциация врачей-офтальмологов».</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Конфликт интересов отсутствует.</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Целевая аудитория данных клинических рекомендаций:</w:t>
      </w:r>
    </w:p>
    <w:p w:rsidR="00C674C5" w:rsidRPr="00C674C5" w:rsidRDefault="00C674C5" w:rsidP="00C674C5">
      <w:pPr>
        <w:numPr>
          <w:ilvl w:val="0"/>
          <w:numId w:val="2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Врачи-офтальмологи;</w:t>
      </w:r>
    </w:p>
    <w:p w:rsidR="00C674C5" w:rsidRPr="00C674C5" w:rsidRDefault="00C674C5" w:rsidP="00C674C5">
      <w:pPr>
        <w:numPr>
          <w:ilvl w:val="0"/>
          <w:numId w:val="2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Врачи общей врачебной практики (семейной медицины).</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Методы, использованные для сбора/селекции доказательств:</w:t>
      </w:r>
      <w:r w:rsidRPr="00C674C5">
        <w:rPr>
          <w:rFonts w:ascii="Times New Roman" w:eastAsia="Times New Roman" w:hAnsi="Times New Roman" w:cs="Times New Roman"/>
          <w:color w:val="222222"/>
          <w:spacing w:val="4"/>
          <w:sz w:val="27"/>
          <w:szCs w:val="27"/>
          <w:lang w:eastAsia="ru-RU"/>
        </w:rPr>
        <w:t> поиск в электронных базах данных; анализ современных научных разработок по проблеме ВМД в России и за рубежом, обобщение практического опыта российских и зарубежных специалистов. Описание методов, использованных для сбора/селекции доказательств: доказательной базой для рекомендаций являются публикации, вошедшие в Кохрайновскую библиотеку, базы данных EMBASE и MEDLINE, а также монографии и статьи в ведущих специализированных рецензируемых отечественных медицинских журналах по данной тематике. Методы, использованные для оценки качества и силы доказательств: консенсус экспертов, оценка значимости в соответствии с рейтинговой схемой.</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i/>
          <w:iCs/>
          <w:color w:val="333333"/>
          <w:spacing w:val="4"/>
          <w:sz w:val="27"/>
          <w:szCs w:val="27"/>
          <w:lang w:eastAsia="ru-RU"/>
        </w:rPr>
        <w:t>Таблица 1.</w:t>
      </w:r>
      <w:r w:rsidRPr="00C674C5">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C674C5" w:rsidRPr="00C674C5" w:rsidTr="00C674C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674C5" w:rsidRPr="00C674C5" w:rsidRDefault="00C674C5" w:rsidP="00C674C5">
            <w:pPr>
              <w:spacing w:after="0" w:line="240" w:lineRule="atLeast"/>
              <w:jc w:val="both"/>
              <w:rPr>
                <w:rFonts w:ascii="Verdana" w:eastAsia="Times New Roman" w:hAnsi="Verdana" w:cs="Times New Roman"/>
                <w:b/>
                <w:bCs/>
                <w:sz w:val="27"/>
                <w:szCs w:val="27"/>
                <w:lang w:eastAsia="ru-RU"/>
              </w:rPr>
            </w:pPr>
            <w:r w:rsidRPr="00C674C5">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674C5" w:rsidRPr="00C674C5" w:rsidRDefault="00C674C5" w:rsidP="00C674C5">
            <w:pPr>
              <w:spacing w:after="0" w:line="240" w:lineRule="atLeast"/>
              <w:jc w:val="both"/>
              <w:rPr>
                <w:rFonts w:ascii="Verdana" w:eastAsia="Times New Roman" w:hAnsi="Verdana" w:cs="Times New Roman"/>
                <w:b/>
                <w:bCs/>
                <w:sz w:val="27"/>
                <w:szCs w:val="27"/>
                <w:lang w:eastAsia="ru-RU"/>
              </w:rPr>
            </w:pPr>
            <w:r w:rsidRPr="00C674C5">
              <w:rPr>
                <w:rFonts w:ascii="Verdana" w:eastAsia="Times New Roman" w:hAnsi="Verdana" w:cs="Times New Roman"/>
                <w:b/>
                <w:bCs/>
                <w:sz w:val="27"/>
                <w:szCs w:val="27"/>
                <w:lang w:eastAsia="ru-RU"/>
              </w:rPr>
              <w:t>Расшифровка</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Систематические обзоры исследований с контролем референтным методом или систематический обзор рандомизированных клинических исследований с применением метаанализа</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Отдельные исследования с контролем референтным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Исследования без последовательного контроля референтным методом или исследования с референтным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Несравнительные исследования, описание клинического случая</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i/>
          <w:iCs/>
          <w:color w:val="333333"/>
          <w:spacing w:val="4"/>
          <w:sz w:val="27"/>
          <w:szCs w:val="27"/>
          <w:lang w:eastAsia="ru-RU"/>
        </w:rPr>
        <w:t>Таблица 2.</w:t>
      </w:r>
      <w:r w:rsidRPr="00C674C5">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 для методов профилактики, лечения и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C674C5" w:rsidRPr="00C674C5" w:rsidTr="00C674C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674C5" w:rsidRPr="00C674C5" w:rsidRDefault="00C674C5" w:rsidP="00C674C5">
            <w:pPr>
              <w:spacing w:after="0" w:line="240" w:lineRule="atLeast"/>
              <w:jc w:val="both"/>
              <w:rPr>
                <w:rFonts w:ascii="Verdana" w:eastAsia="Times New Roman" w:hAnsi="Verdana" w:cs="Times New Roman"/>
                <w:b/>
                <w:bCs/>
                <w:sz w:val="27"/>
                <w:szCs w:val="27"/>
                <w:lang w:eastAsia="ru-RU"/>
              </w:rPr>
            </w:pPr>
            <w:r w:rsidRPr="00C674C5">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674C5" w:rsidRPr="00C674C5" w:rsidRDefault="00C674C5" w:rsidP="00C674C5">
            <w:pPr>
              <w:spacing w:after="0" w:line="240" w:lineRule="atLeast"/>
              <w:jc w:val="both"/>
              <w:rPr>
                <w:rFonts w:ascii="Verdana" w:eastAsia="Times New Roman" w:hAnsi="Verdana" w:cs="Times New Roman"/>
                <w:b/>
                <w:bCs/>
                <w:sz w:val="27"/>
                <w:szCs w:val="27"/>
                <w:lang w:eastAsia="ru-RU"/>
              </w:rPr>
            </w:pPr>
            <w:r w:rsidRPr="00C674C5">
              <w:rPr>
                <w:rFonts w:ascii="Verdana" w:eastAsia="Times New Roman" w:hAnsi="Verdana" w:cs="Times New Roman"/>
                <w:b/>
                <w:bCs/>
                <w:sz w:val="27"/>
                <w:szCs w:val="27"/>
                <w:lang w:eastAsia="ru-RU"/>
              </w:rPr>
              <w:t>Расшифровка</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Систематический обзор рандомизированных клинических исследований с применением метаанализа</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Отдельные рандомизированные клинические исследований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i/>
          <w:iCs/>
          <w:color w:val="333333"/>
          <w:spacing w:val="4"/>
          <w:sz w:val="27"/>
          <w:szCs w:val="27"/>
          <w:lang w:eastAsia="ru-RU"/>
        </w:rPr>
        <w:t>Таблица 3.</w:t>
      </w:r>
      <w:r w:rsidRPr="00C674C5">
        <w:rPr>
          <w:rFonts w:ascii="Times New Roman" w:eastAsia="Times New Roman" w:hAnsi="Times New Roman" w:cs="Times New Roman"/>
          <w:i/>
          <w:iCs/>
          <w:color w:val="333333"/>
          <w:spacing w:val="4"/>
          <w:sz w:val="27"/>
          <w:szCs w:val="27"/>
          <w:lang w:eastAsia="ru-RU"/>
        </w:rPr>
        <w:t> Шкала оценки уровней убедительности рекомендаций (УУР) для методов профилактики, диагностики, лечения и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C674C5" w:rsidRPr="00C674C5" w:rsidTr="00C674C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674C5" w:rsidRPr="00C674C5" w:rsidRDefault="00C674C5" w:rsidP="00C674C5">
            <w:pPr>
              <w:spacing w:after="0" w:line="240" w:lineRule="atLeast"/>
              <w:jc w:val="both"/>
              <w:rPr>
                <w:rFonts w:ascii="Verdana" w:eastAsia="Times New Roman" w:hAnsi="Verdana" w:cs="Times New Roman"/>
                <w:b/>
                <w:bCs/>
                <w:sz w:val="27"/>
                <w:szCs w:val="27"/>
                <w:lang w:eastAsia="ru-RU"/>
              </w:rPr>
            </w:pPr>
            <w:r w:rsidRPr="00C674C5">
              <w:rPr>
                <w:rFonts w:ascii="Verdana" w:eastAsia="Times New Roman" w:hAnsi="Verdana" w:cs="Times New Roman"/>
                <w:b/>
                <w:bCs/>
                <w:sz w:val="27"/>
                <w:szCs w:val="27"/>
                <w:lang w:eastAsia="ru-RU"/>
              </w:rPr>
              <w:lastRenderedPageBreak/>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674C5" w:rsidRPr="00C674C5" w:rsidRDefault="00C674C5" w:rsidP="00C674C5">
            <w:pPr>
              <w:spacing w:after="0" w:line="240" w:lineRule="atLeast"/>
              <w:jc w:val="both"/>
              <w:rPr>
                <w:rFonts w:ascii="Verdana" w:eastAsia="Times New Roman" w:hAnsi="Verdana" w:cs="Times New Roman"/>
                <w:b/>
                <w:bCs/>
                <w:sz w:val="27"/>
                <w:szCs w:val="27"/>
                <w:lang w:eastAsia="ru-RU"/>
              </w:rPr>
            </w:pPr>
            <w:r w:rsidRPr="00C674C5">
              <w:rPr>
                <w:rFonts w:ascii="Verdana" w:eastAsia="Times New Roman" w:hAnsi="Verdana" w:cs="Times New Roman"/>
                <w:b/>
                <w:bCs/>
                <w:sz w:val="27"/>
                <w:szCs w:val="27"/>
                <w:lang w:eastAsia="ru-RU"/>
              </w:rPr>
              <w:t>Расшифровка</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клиническим рекомендациям, но не чаще 1 раза в 6 месяцев.</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1. Актуальные инструкции к лекарственным препаратам, упоминаемым в данных клинических рекомендациях, можно найти на сайте </w:t>
      </w:r>
      <w:hyperlink r:id="rId5" w:history="1">
        <w:r w:rsidRPr="00C674C5">
          <w:rPr>
            <w:rFonts w:ascii="Times New Roman" w:eastAsia="Times New Roman" w:hAnsi="Times New Roman" w:cs="Times New Roman"/>
            <w:color w:val="0000FF"/>
            <w:spacing w:val="4"/>
            <w:sz w:val="27"/>
            <w:szCs w:val="27"/>
            <w:u w:val="single"/>
            <w:lang w:eastAsia="ru-RU"/>
          </w:rPr>
          <w:t>http://grls.rosminzdrav.ru</w:t>
        </w:r>
      </w:hyperlink>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b/>
          <w:bCs/>
          <w:i/>
          <w:iCs/>
          <w:color w:val="333333"/>
          <w:spacing w:val="4"/>
          <w:sz w:val="27"/>
          <w:szCs w:val="27"/>
          <w:lang w:eastAsia="ru-RU"/>
        </w:rPr>
        <w:t>Таблица 4. Доза, путь введения и режимы применения лекарственных препаратов</w:t>
      </w:r>
    </w:p>
    <w:tbl>
      <w:tblPr>
        <w:tblW w:w="14165" w:type="dxa"/>
        <w:tblCellMar>
          <w:left w:w="0" w:type="dxa"/>
          <w:right w:w="0" w:type="dxa"/>
        </w:tblCellMar>
        <w:tblLook w:val="04A0" w:firstRow="1" w:lastRow="0" w:firstColumn="1" w:lastColumn="0" w:noHBand="0" w:noVBand="1"/>
      </w:tblPr>
      <w:tblGrid>
        <w:gridCol w:w="2470"/>
        <w:gridCol w:w="1139"/>
        <w:gridCol w:w="3137"/>
        <w:gridCol w:w="7419"/>
      </w:tblGrid>
      <w:tr w:rsidR="00C674C5" w:rsidRPr="00C674C5" w:rsidTr="00C674C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674C5" w:rsidRPr="00C674C5" w:rsidRDefault="00C674C5" w:rsidP="00C674C5">
            <w:pPr>
              <w:spacing w:after="0" w:line="240" w:lineRule="atLeast"/>
              <w:jc w:val="both"/>
              <w:rPr>
                <w:rFonts w:ascii="Verdana" w:eastAsia="Times New Roman" w:hAnsi="Verdana" w:cs="Times New Roman"/>
                <w:b/>
                <w:bCs/>
                <w:sz w:val="27"/>
                <w:szCs w:val="27"/>
                <w:lang w:eastAsia="ru-RU"/>
              </w:rPr>
            </w:pPr>
            <w:r w:rsidRPr="00C674C5">
              <w:rPr>
                <w:rFonts w:ascii="Verdana" w:eastAsia="Times New Roman" w:hAnsi="Verdana" w:cs="Times New Roman"/>
                <w:b/>
                <w:bCs/>
                <w:sz w:val="27"/>
                <w:szCs w:val="27"/>
                <w:lang w:eastAsia="ru-RU"/>
              </w:rPr>
              <w:lastRenderedPageBreak/>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674C5" w:rsidRPr="00C674C5" w:rsidRDefault="00C674C5" w:rsidP="00C674C5">
            <w:pPr>
              <w:spacing w:after="0" w:line="240" w:lineRule="atLeast"/>
              <w:jc w:val="both"/>
              <w:rPr>
                <w:rFonts w:ascii="Verdana" w:eastAsia="Times New Roman" w:hAnsi="Verdana" w:cs="Times New Roman"/>
                <w:b/>
                <w:bCs/>
                <w:sz w:val="27"/>
                <w:szCs w:val="27"/>
                <w:lang w:eastAsia="ru-RU"/>
              </w:rPr>
            </w:pPr>
            <w:r w:rsidRPr="00C674C5">
              <w:rPr>
                <w:rFonts w:ascii="Verdana" w:eastAsia="Times New Roman" w:hAnsi="Verdana" w:cs="Times New Roman"/>
                <w:b/>
                <w:bCs/>
                <w:sz w:val="27"/>
                <w:szCs w:val="27"/>
                <w:lang w:eastAsia="ru-RU"/>
              </w:rPr>
              <w:t>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674C5" w:rsidRPr="00C674C5" w:rsidRDefault="00C674C5" w:rsidP="00C674C5">
            <w:pPr>
              <w:spacing w:after="0" w:line="240" w:lineRule="atLeast"/>
              <w:jc w:val="both"/>
              <w:rPr>
                <w:rFonts w:ascii="Verdana" w:eastAsia="Times New Roman" w:hAnsi="Verdana" w:cs="Times New Roman"/>
                <w:b/>
                <w:bCs/>
                <w:sz w:val="27"/>
                <w:szCs w:val="27"/>
                <w:lang w:eastAsia="ru-RU"/>
              </w:rPr>
            </w:pPr>
            <w:r w:rsidRPr="00C674C5">
              <w:rPr>
                <w:rFonts w:ascii="Verdana" w:eastAsia="Times New Roman" w:hAnsi="Verdana" w:cs="Times New Roman"/>
                <w:b/>
                <w:bCs/>
                <w:sz w:val="27"/>
                <w:szCs w:val="27"/>
                <w:lang w:eastAsia="ru-RU"/>
              </w:rPr>
              <w:t>Путь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674C5" w:rsidRPr="00C674C5" w:rsidRDefault="00C674C5" w:rsidP="00C674C5">
            <w:pPr>
              <w:spacing w:after="0" w:line="240" w:lineRule="atLeast"/>
              <w:jc w:val="both"/>
              <w:rPr>
                <w:rFonts w:ascii="Verdana" w:eastAsia="Times New Roman" w:hAnsi="Verdana" w:cs="Times New Roman"/>
                <w:b/>
                <w:bCs/>
                <w:sz w:val="27"/>
                <w:szCs w:val="27"/>
                <w:lang w:eastAsia="ru-RU"/>
              </w:rPr>
            </w:pPr>
            <w:r w:rsidRPr="00C674C5">
              <w:rPr>
                <w:rFonts w:ascii="Verdana" w:eastAsia="Times New Roman" w:hAnsi="Verdana" w:cs="Times New Roman"/>
                <w:b/>
                <w:bCs/>
                <w:sz w:val="27"/>
                <w:szCs w:val="27"/>
                <w:lang w:eastAsia="ru-RU"/>
              </w:rPr>
              <w:t>Режим</w:t>
            </w:r>
          </w:p>
        </w:tc>
      </w:tr>
      <w:tr w:rsidR="00C674C5" w:rsidRPr="00C674C5" w:rsidTr="00C674C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Ранибизумаб**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0,5 мг</w:t>
            </w:r>
          </w:p>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(0,05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Интравитреальное введение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674C5" w:rsidRPr="00C674C5" w:rsidRDefault="00C674C5" w:rsidP="00C674C5">
            <w:pPr>
              <w:spacing w:after="0" w:line="240" w:lineRule="atLeast"/>
              <w:jc w:val="both"/>
              <w:rPr>
                <w:rFonts w:ascii="Verdana" w:eastAsia="Times New Roman" w:hAnsi="Verdana" w:cs="Times New Roman"/>
                <w:sz w:val="27"/>
                <w:szCs w:val="27"/>
                <w:lang w:eastAsia="ru-RU"/>
              </w:rPr>
            </w:pPr>
            <w:r w:rsidRPr="00C674C5">
              <w:rPr>
                <w:rFonts w:ascii="Verdana" w:eastAsia="Times New Roman" w:hAnsi="Verdana" w:cs="Times New Roman"/>
                <w:sz w:val="27"/>
                <w:szCs w:val="27"/>
                <w:lang w:eastAsia="ru-RU"/>
              </w:rPr>
              <w:t>Три или более последовательных ежемесячных интравитреальных введения до достижения максимальной стабильной остроты зрения и/или до исчезновения признаков и симптомов активности заболевания. В дальнейшем режим введений устанавливает лечащий врач в зависимости от особенностей клинической картины. Между введениями препарата в один глаз следует соблюдать интервал не менее 4 недель.</w:t>
            </w:r>
          </w:p>
        </w:tc>
      </w:tr>
    </w:tbl>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2. Международная </w:t>
      </w:r>
      <w:hyperlink r:id="rId6" w:anchor="l0" w:history="1">
        <w:r w:rsidRPr="00C674C5">
          <w:rPr>
            <w:rFonts w:ascii="Times New Roman" w:eastAsia="Times New Roman" w:hAnsi="Times New Roman" w:cs="Times New Roman"/>
            <w:color w:val="0000FF"/>
            <w:spacing w:val="4"/>
            <w:sz w:val="27"/>
            <w:szCs w:val="27"/>
            <w:u w:val="single"/>
            <w:lang w:eastAsia="ru-RU"/>
          </w:rPr>
          <w:t>классификация</w:t>
        </w:r>
      </w:hyperlink>
      <w:r w:rsidRPr="00C674C5">
        <w:rPr>
          <w:rFonts w:ascii="Times New Roman" w:eastAsia="Times New Roman" w:hAnsi="Times New Roman" w:cs="Times New Roman"/>
          <w:color w:val="222222"/>
          <w:spacing w:val="4"/>
          <w:sz w:val="27"/>
          <w:szCs w:val="27"/>
          <w:lang w:eastAsia="ru-RU"/>
        </w:rPr>
        <w:t> болезней, травм и состояний, влияющих на здоровье, 10-го пересмотра (МКБ-10). Всемирная организация здравоохранения.</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3. </w:t>
      </w:r>
      <w:hyperlink r:id="rId7" w:anchor="l2389" w:history="1">
        <w:r w:rsidRPr="00C674C5">
          <w:rPr>
            <w:rFonts w:ascii="Times New Roman" w:eastAsia="Times New Roman" w:hAnsi="Times New Roman" w:cs="Times New Roman"/>
            <w:color w:val="0000FF"/>
            <w:spacing w:val="4"/>
            <w:sz w:val="27"/>
            <w:szCs w:val="27"/>
            <w:u w:val="single"/>
            <w:lang w:eastAsia="ru-RU"/>
          </w:rPr>
          <w:t>Номенклатура</w:t>
        </w:r>
      </w:hyperlink>
      <w:r w:rsidRPr="00C674C5">
        <w:rPr>
          <w:rFonts w:ascii="Times New Roman" w:eastAsia="Times New Roman" w:hAnsi="Times New Roman" w:cs="Times New Roman"/>
          <w:color w:val="222222"/>
          <w:spacing w:val="4"/>
          <w:sz w:val="27"/>
          <w:szCs w:val="27"/>
          <w:lang w:eastAsia="ru-RU"/>
        </w:rPr>
        <w:t> медицинских услуг. Приказ Министерства здравоохранения РФ от 13 октября 2017 г. № 804н «Об утверждении номенклатуры медицинских услуг».</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4. Федеральный закон «Об основах охраны здоровья граждан в Российской Федерации» от 21.11.2011 г. № 323 Ф3.</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5. Порядок оказания медицинской помощи взрослому населению при заболеваниях глаза, его придаточного аппарата и орбиты. Приказ Министерства здравоохранения России от 12.11.2012 г. № 902н «Об утверждении Порядка оказания медицинской помощи взрослому населению при заболеваниях глаза, его придаточного аппарата и орбиты».</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xml:space="preserve">6. Перечень жизненно необходимых и важнейших лекарственных препаратов для медицинского применения на 2020 год. Распоряжение Правительства РФ от 12 октября 2019 г. № 2406-р «Об утверждении перечня жизненно необходимых и важнейших лекарственных препаратов для медицинского применения на 2020 год, перечня лекарственных препаратов для медицинского применения, перечня лекарственных препаратов, предназначенных для обеспечения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лиц после трансплантации </w:t>
      </w:r>
      <w:r w:rsidRPr="00C674C5">
        <w:rPr>
          <w:rFonts w:ascii="Times New Roman" w:eastAsia="Times New Roman" w:hAnsi="Times New Roman" w:cs="Times New Roman"/>
          <w:color w:val="222222"/>
          <w:spacing w:val="4"/>
          <w:sz w:val="27"/>
          <w:szCs w:val="27"/>
          <w:lang w:eastAsia="ru-RU"/>
        </w:rPr>
        <w:lastRenderedPageBreak/>
        <w:t>органов и (или) тканей, а также минимального ассортимента лекарственных препаратов, необходимых для оказания медицинской помощи».</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7. СанПиН 2.1.3.2630-10 "Санитарно-эпидемиологические требования к организациям, осуществляющим медицинскую деятельность".</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Приложение Б. Алгоритмы действий врача</w:t>
      </w:r>
    </w:p>
    <w:p w:rsidR="00C674C5" w:rsidRPr="00C674C5" w:rsidRDefault="00C674C5" w:rsidP="00C674C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Приложение В. Информация для пациента</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Пациент должен владеть информацией о своем заболевании, факторах риска и способах профилактики рецидивов. Пациент должен быть предупрежден, что для устранения факторов риска возникновения и рецидивировния ЦСХ могут потребоваться консультации других специалистов.</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В случае наличия ЦСХ следует соблюдать необходимую кратность обследования у врача-офтальмолога в зависимости от тяжести изменений, которая будет установлена врачом. При появлении новых жалоб со стороны органа зрения, особенно указывающих на возможное развитие хориоидальной неоваскуляризации (появление метаморфопсий) необходимо безотлагательно обратиться к врачу-офтальмологу. Пациент должен понимать, что эффективность лечения осложненных форм ЦСХ напрямую зависит от своевременности его начала.</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Необходимо акцентировать внимание пациента на необходимости проверки зрительных функций каждого глаза в отдельности. В качестве самоконтроля прогрессирования заболевания пациентам с ЦСХ целесообразно проведение теста Амслера, заключающегося в выявлении скотом и искривления прямых линий нарисованной решетки при фиксации взора на центральной метке.</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 xml:space="preserve">Клиническая картина ЦСХ, течение и прогноз заболевания, применяемые методы диагностики и лечения различны в зависимости от стадии и формы заболевания, наличия факторов риска его прогрессирования. Хроническое течение болезни обусловливает необходимость регулярных обследований врачом-офтальмологом и, в случае развития хориоидальной </w:t>
      </w:r>
      <w:r w:rsidRPr="00C674C5">
        <w:rPr>
          <w:rFonts w:ascii="Times New Roman" w:eastAsia="Times New Roman" w:hAnsi="Times New Roman" w:cs="Times New Roman"/>
          <w:color w:val="222222"/>
          <w:spacing w:val="4"/>
          <w:sz w:val="27"/>
          <w:szCs w:val="27"/>
          <w:lang w:eastAsia="ru-RU"/>
        </w:rPr>
        <w:lastRenderedPageBreak/>
        <w:t>неоваскуляризации, интравитреальных введений лекарственных препаратов (препаратов, препятствующих росту новообразованых сосудов). Интравитреальные инъекции лекарственных препаратов требуют регулярных осмотров у врача-офтальмолога и, как правило, повторных инъекций, кратность которых устанавливает врач. Риск осложнений при интравитреальных введениях лекарственных препаратов минимален, однако существует, поэтому в случае появления симптомов, вероятно указывающих на воспаление (боль в глазу или увеличение неприятных ощущений в глазу, усиление покраснения глаза, усиление нечеткости или дальнейшее снижение зрения, увеличение светочувствительности, увеличение числа «летающих мушек» в поле зрения) в течение нескольких дней после инъекции, необходимо незамедлительно сообщить о них врачу.</w:t>
      </w:r>
    </w:p>
    <w:p w:rsidR="00C674C5" w:rsidRPr="00C674C5" w:rsidRDefault="00C674C5" w:rsidP="00C674C5">
      <w:pPr>
        <w:spacing w:line="240" w:lineRule="auto"/>
        <w:outlineLvl w:val="0"/>
        <w:rPr>
          <w:rFonts w:ascii="Inter" w:eastAsia="Times New Roman" w:hAnsi="Inter" w:cs="Times New Roman"/>
          <w:b/>
          <w:bCs/>
          <w:color w:val="000000"/>
          <w:spacing w:val="4"/>
          <w:kern w:val="36"/>
          <w:sz w:val="48"/>
          <w:szCs w:val="48"/>
          <w:lang w:eastAsia="ru-RU"/>
        </w:rPr>
      </w:pPr>
      <w:r w:rsidRPr="00C674C5">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C674C5" w:rsidRPr="00C674C5" w:rsidRDefault="00C674C5" w:rsidP="00C674C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674C5">
        <w:rPr>
          <w:rFonts w:ascii="Times New Roman" w:eastAsia="Times New Roman" w:hAnsi="Times New Roman" w:cs="Times New Roman"/>
          <w:color w:val="222222"/>
          <w:spacing w:val="4"/>
          <w:sz w:val="27"/>
          <w:szCs w:val="27"/>
          <w:lang w:eastAsia="ru-RU"/>
        </w:rPr>
        <w:t>Нет.</w:t>
      </w:r>
    </w:p>
    <w:p w:rsidR="00EC0814" w:rsidRDefault="00EC0814">
      <w:bookmarkStart w:id="0" w:name="_GoBack"/>
      <w:bookmarkEnd w:id="0"/>
    </w:p>
    <w:sectPr w:rsidR="00EC08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A3DD6"/>
    <w:multiLevelType w:val="multilevel"/>
    <w:tmpl w:val="0568B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31D06"/>
    <w:multiLevelType w:val="multilevel"/>
    <w:tmpl w:val="4DC4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657F8"/>
    <w:multiLevelType w:val="multilevel"/>
    <w:tmpl w:val="1C460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495BCA"/>
    <w:multiLevelType w:val="multilevel"/>
    <w:tmpl w:val="592C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0F63C2"/>
    <w:multiLevelType w:val="multilevel"/>
    <w:tmpl w:val="88FA7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427D72"/>
    <w:multiLevelType w:val="multilevel"/>
    <w:tmpl w:val="C442A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271973"/>
    <w:multiLevelType w:val="multilevel"/>
    <w:tmpl w:val="25F0B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352DD3"/>
    <w:multiLevelType w:val="multilevel"/>
    <w:tmpl w:val="67CC5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8A209D"/>
    <w:multiLevelType w:val="multilevel"/>
    <w:tmpl w:val="D76E4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45B68"/>
    <w:multiLevelType w:val="multilevel"/>
    <w:tmpl w:val="CF84A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995DF3"/>
    <w:multiLevelType w:val="multilevel"/>
    <w:tmpl w:val="E99A7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E82EDE"/>
    <w:multiLevelType w:val="multilevel"/>
    <w:tmpl w:val="8AC08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192643"/>
    <w:multiLevelType w:val="multilevel"/>
    <w:tmpl w:val="2EFE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3549F5"/>
    <w:multiLevelType w:val="multilevel"/>
    <w:tmpl w:val="1CF2D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57350C"/>
    <w:multiLevelType w:val="multilevel"/>
    <w:tmpl w:val="95020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8E5853"/>
    <w:multiLevelType w:val="multilevel"/>
    <w:tmpl w:val="40789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AD11AF"/>
    <w:multiLevelType w:val="multilevel"/>
    <w:tmpl w:val="35F08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2E66EB"/>
    <w:multiLevelType w:val="multilevel"/>
    <w:tmpl w:val="343EB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2F3671"/>
    <w:multiLevelType w:val="multilevel"/>
    <w:tmpl w:val="7D7A3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CF3886"/>
    <w:multiLevelType w:val="multilevel"/>
    <w:tmpl w:val="6DC8F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D24271"/>
    <w:multiLevelType w:val="multilevel"/>
    <w:tmpl w:val="60564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510318"/>
    <w:multiLevelType w:val="multilevel"/>
    <w:tmpl w:val="B2E6B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C07CF5"/>
    <w:multiLevelType w:val="multilevel"/>
    <w:tmpl w:val="2A7AF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0D161A"/>
    <w:multiLevelType w:val="multilevel"/>
    <w:tmpl w:val="373A1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213290"/>
    <w:multiLevelType w:val="multilevel"/>
    <w:tmpl w:val="FD6A6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C44330"/>
    <w:multiLevelType w:val="multilevel"/>
    <w:tmpl w:val="9CCE1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D17127"/>
    <w:multiLevelType w:val="multilevel"/>
    <w:tmpl w:val="46324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F61094"/>
    <w:multiLevelType w:val="multilevel"/>
    <w:tmpl w:val="8308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16"/>
  </w:num>
  <w:num w:numId="3">
    <w:abstractNumId w:val="24"/>
  </w:num>
  <w:num w:numId="4">
    <w:abstractNumId w:val="27"/>
  </w:num>
  <w:num w:numId="5">
    <w:abstractNumId w:val="21"/>
  </w:num>
  <w:num w:numId="6">
    <w:abstractNumId w:val="4"/>
  </w:num>
  <w:num w:numId="7">
    <w:abstractNumId w:val="14"/>
  </w:num>
  <w:num w:numId="8">
    <w:abstractNumId w:val="19"/>
  </w:num>
  <w:num w:numId="9">
    <w:abstractNumId w:val="3"/>
  </w:num>
  <w:num w:numId="10">
    <w:abstractNumId w:val="18"/>
  </w:num>
  <w:num w:numId="11">
    <w:abstractNumId w:val="1"/>
  </w:num>
  <w:num w:numId="12">
    <w:abstractNumId w:val="11"/>
  </w:num>
  <w:num w:numId="13">
    <w:abstractNumId w:val="15"/>
  </w:num>
  <w:num w:numId="14">
    <w:abstractNumId w:val="13"/>
  </w:num>
  <w:num w:numId="15">
    <w:abstractNumId w:val="9"/>
  </w:num>
  <w:num w:numId="16">
    <w:abstractNumId w:val="8"/>
  </w:num>
  <w:num w:numId="17">
    <w:abstractNumId w:val="20"/>
  </w:num>
  <w:num w:numId="18">
    <w:abstractNumId w:val="2"/>
  </w:num>
  <w:num w:numId="19">
    <w:abstractNumId w:val="22"/>
  </w:num>
  <w:num w:numId="20">
    <w:abstractNumId w:val="0"/>
  </w:num>
  <w:num w:numId="21">
    <w:abstractNumId w:val="25"/>
  </w:num>
  <w:num w:numId="22">
    <w:abstractNumId w:val="23"/>
  </w:num>
  <w:num w:numId="23">
    <w:abstractNumId w:val="12"/>
  </w:num>
  <w:num w:numId="24">
    <w:abstractNumId w:val="10"/>
  </w:num>
  <w:num w:numId="25">
    <w:abstractNumId w:val="17"/>
  </w:num>
  <w:num w:numId="26">
    <w:abstractNumId w:val="6"/>
  </w:num>
  <w:num w:numId="27">
    <w:abstractNumId w:val="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393"/>
    <w:rsid w:val="005C6393"/>
    <w:rsid w:val="00C674C5"/>
    <w:rsid w:val="00EC08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55F5BD-175E-49EE-8FC2-D274B526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674C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74C5"/>
    <w:rPr>
      <w:rFonts w:ascii="Times New Roman" w:eastAsia="Times New Roman" w:hAnsi="Times New Roman" w:cs="Times New Roman"/>
      <w:b/>
      <w:bCs/>
      <w:kern w:val="36"/>
      <w:sz w:val="48"/>
      <w:szCs w:val="48"/>
      <w:lang w:eastAsia="ru-RU"/>
    </w:rPr>
  </w:style>
  <w:style w:type="character" w:customStyle="1" w:styleId="logotext">
    <w:name w:val="logo_text"/>
    <w:basedOn w:val="a0"/>
    <w:rsid w:val="00C674C5"/>
  </w:style>
  <w:style w:type="character" w:customStyle="1" w:styleId="titlename">
    <w:name w:val="title_name"/>
    <w:basedOn w:val="a0"/>
    <w:rsid w:val="00C674C5"/>
  </w:style>
  <w:style w:type="character" w:customStyle="1" w:styleId="titlecontent">
    <w:name w:val="title_content"/>
    <w:basedOn w:val="a0"/>
    <w:rsid w:val="00C674C5"/>
  </w:style>
  <w:style w:type="character" w:customStyle="1" w:styleId="titlenamecolumn">
    <w:name w:val="title_name_column"/>
    <w:basedOn w:val="a0"/>
    <w:rsid w:val="00C674C5"/>
  </w:style>
  <w:style w:type="character" w:customStyle="1" w:styleId="titlename1">
    <w:name w:val="title_name1"/>
    <w:basedOn w:val="a0"/>
    <w:rsid w:val="00C674C5"/>
  </w:style>
  <w:style w:type="character" w:customStyle="1" w:styleId="titlecontent1">
    <w:name w:val="title_content1"/>
    <w:basedOn w:val="a0"/>
    <w:rsid w:val="00C674C5"/>
  </w:style>
  <w:style w:type="character" w:customStyle="1" w:styleId="titlecontent2">
    <w:name w:val="title_content2"/>
    <w:basedOn w:val="a0"/>
    <w:rsid w:val="00C674C5"/>
  </w:style>
  <w:style w:type="paragraph" w:styleId="a3">
    <w:name w:val="Normal (Web)"/>
    <w:basedOn w:val="a"/>
    <w:uiPriority w:val="99"/>
    <w:semiHidden/>
    <w:unhideWhenUsed/>
    <w:rsid w:val="00C674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674C5"/>
    <w:rPr>
      <w:b/>
      <w:bCs/>
    </w:rPr>
  </w:style>
  <w:style w:type="character" w:styleId="a5">
    <w:name w:val="Emphasis"/>
    <w:basedOn w:val="a0"/>
    <w:uiPriority w:val="20"/>
    <w:qFormat/>
    <w:rsid w:val="00C674C5"/>
    <w:rPr>
      <w:i/>
      <w:iCs/>
    </w:rPr>
  </w:style>
  <w:style w:type="paragraph" w:customStyle="1" w:styleId="marginl">
    <w:name w:val="marginl"/>
    <w:basedOn w:val="a"/>
    <w:rsid w:val="00C674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C674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2854">
      <w:bodyDiv w:val="1"/>
      <w:marLeft w:val="0"/>
      <w:marRight w:val="0"/>
      <w:marTop w:val="0"/>
      <w:marBottom w:val="0"/>
      <w:divBdr>
        <w:top w:val="none" w:sz="0" w:space="0" w:color="auto"/>
        <w:left w:val="none" w:sz="0" w:space="0" w:color="auto"/>
        <w:bottom w:val="none" w:sz="0" w:space="0" w:color="auto"/>
        <w:right w:val="none" w:sz="0" w:space="0" w:color="auto"/>
      </w:divBdr>
      <w:divsChild>
        <w:div w:id="1821799889">
          <w:marLeft w:val="0"/>
          <w:marRight w:val="0"/>
          <w:marTop w:val="0"/>
          <w:marBottom w:val="0"/>
          <w:divBdr>
            <w:top w:val="none" w:sz="0" w:space="0" w:color="auto"/>
            <w:left w:val="none" w:sz="0" w:space="0" w:color="auto"/>
            <w:bottom w:val="none" w:sz="0" w:space="0" w:color="auto"/>
            <w:right w:val="none" w:sz="0" w:space="0" w:color="auto"/>
          </w:divBdr>
          <w:divsChild>
            <w:div w:id="1484346122">
              <w:marLeft w:val="0"/>
              <w:marRight w:val="0"/>
              <w:marTop w:val="0"/>
              <w:marBottom w:val="0"/>
              <w:divBdr>
                <w:top w:val="none" w:sz="0" w:space="0" w:color="auto"/>
                <w:left w:val="none" w:sz="0" w:space="0" w:color="auto"/>
                <w:bottom w:val="none" w:sz="0" w:space="0" w:color="auto"/>
                <w:right w:val="none" w:sz="0" w:space="0" w:color="auto"/>
              </w:divBdr>
            </w:div>
            <w:div w:id="1478181238">
              <w:marLeft w:val="0"/>
              <w:marRight w:val="0"/>
              <w:marTop w:val="0"/>
              <w:marBottom w:val="0"/>
              <w:divBdr>
                <w:top w:val="none" w:sz="0" w:space="0" w:color="auto"/>
                <w:left w:val="none" w:sz="0" w:space="0" w:color="auto"/>
                <w:bottom w:val="none" w:sz="0" w:space="0" w:color="auto"/>
                <w:right w:val="none" w:sz="0" w:space="0" w:color="auto"/>
              </w:divBdr>
            </w:div>
            <w:div w:id="1625427819">
              <w:marLeft w:val="0"/>
              <w:marRight w:val="0"/>
              <w:marTop w:val="0"/>
              <w:marBottom w:val="0"/>
              <w:divBdr>
                <w:top w:val="none" w:sz="0" w:space="0" w:color="auto"/>
                <w:left w:val="none" w:sz="0" w:space="0" w:color="auto"/>
                <w:bottom w:val="none" w:sz="0" w:space="0" w:color="auto"/>
                <w:right w:val="none" w:sz="0" w:space="0" w:color="auto"/>
              </w:divBdr>
              <w:divsChild>
                <w:div w:id="1140925173">
                  <w:marLeft w:val="0"/>
                  <w:marRight w:val="0"/>
                  <w:marTop w:val="0"/>
                  <w:marBottom w:val="0"/>
                  <w:divBdr>
                    <w:top w:val="none" w:sz="0" w:space="0" w:color="auto"/>
                    <w:left w:val="none" w:sz="0" w:space="0" w:color="auto"/>
                    <w:bottom w:val="none" w:sz="0" w:space="0" w:color="auto"/>
                    <w:right w:val="none" w:sz="0" w:space="0" w:color="auto"/>
                  </w:divBdr>
                  <w:divsChild>
                    <w:div w:id="1866937146">
                      <w:marLeft w:val="0"/>
                      <w:marRight w:val="0"/>
                      <w:marTop w:val="0"/>
                      <w:marBottom w:val="1500"/>
                      <w:divBdr>
                        <w:top w:val="none" w:sz="0" w:space="0" w:color="auto"/>
                        <w:left w:val="none" w:sz="0" w:space="0" w:color="auto"/>
                        <w:bottom w:val="none" w:sz="0" w:space="0" w:color="auto"/>
                        <w:right w:val="none" w:sz="0" w:space="0" w:color="auto"/>
                      </w:divBdr>
                    </w:div>
                  </w:divsChild>
                </w:div>
                <w:div w:id="127822782">
                  <w:marLeft w:val="0"/>
                  <w:marRight w:val="0"/>
                  <w:marTop w:val="0"/>
                  <w:marBottom w:val="0"/>
                  <w:divBdr>
                    <w:top w:val="none" w:sz="0" w:space="0" w:color="auto"/>
                    <w:left w:val="none" w:sz="0" w:space="0" w:color="auto"/>
                    <w:bottom w:val="none" w:sz="0" w:space="0" w:color="auto"/>
                    <w:right w:val="none" w:sz="0" w:space="0" w:color="auto"/>
                  </w:divBdr>
                  <w:divsChild>
                    <w:div w:id="2062288736">
                      <w:marLeft w:val="0"/>
                      <w:marRight w:val="0"/>
                      <w:marTop w:val="0"/>
                      <w:marBottom w:val="0"/>
                      <w:divBdr>
                        <w:top w:val="none" w:sz="0" w:space="0" w:color="auto"/>
                        <w:left w:val="none" w:sz="0" w:space="0" w:color="auto"/>
                        <w:bottom w:val="none" w:sz="0" w:space="0" w:color="auto"/>
                        <w:right w:val="none" w:sz="0" w:space="0" w:color="auto"/>
                      </w:divBdr>
                      <w:divsChild>
                        <w:div w:id="68486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534318">
                  <w:marLeft w:val="0"/>
                  <w:marRight w:val="0"/>
                  <w:marTop w:val="0"/>
                  <w:marBottom w:val="0"/>
                  <w:divBdr>
                    <w:top w:val="none" w:sz="0" w:space="0" w:color="auto"/>
                    <w:left w:val="none" w:sz="0" w:space="0" w:color="auto"/>
                    <w:bottom w:val="none" w:sz="0" w:space="0" w:color="auto"/>
                    <w:right w:val="none" w:sz="0" w:space="0" w:color="auto"/>
                  </w:divBdr>
                  <w:divsChild>
                    <w:div w:id="187522368">
                      <w:marLeft w:val="0"/>
                      <w:marRight w:val="0"/>
                      <w:marTop w:val="0"/>
                      <w:marBottom w:val="0"/>
                      <w:divBdr>
                        <w:top w:val="none" w:sz="0" w:space="0" w:color="auto"/>
                        <w:left w:val="none" w:sz="0" w:space="0" w:color="auto"/>
                        <w:bottom w:val="none" w:sz="0" w:space="0" w:color="auto"/>
                        <w:right w:val="none" w:sz="0" w:space="0" w:color="auto"/>
                      </w:divBdr>
                      <w:divsChild>
                        <w:div w:id="25178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993964">
                  <w:marLeft w:val="0"/>
                  <w:marRight w:val="0"/>
                  <w:marTop w:val="0"/>
                  <w:marBottom w:val="0"/>
                  <w:divBdr>
                    <w:top w:val="none" w:sz="0" w:space="0" w:color="auto"/>
                    <w:left w:val="none" w:sz="0" w:space="0" w:color="auto"/>
                    <w:bottom w:val="none" w:sz="0" w:space="0" w:color="auto"/>
                    <w:right w:val="none" w:sz="0" w:space="0" w:color="auto"/>
                  </w:divBdr>
                  <w:divsChild>
                    <w:div w:id="549925126">
                      <w:marLeft w:val="0"/>
                      <w:marRight w:val="0"/>
                      <w:marTop w:val="0"/>
                      <w:marBottom w:val="0"/>
                      <w:divBdr>
                        <w:top w:val="none" w:sz="0" w:space="0" w:color="auto"/>
                        <w:left w:val="none" w:sz="0" w:space="0" w:color="auto"/>
                        <w:bottom w:val="none" w:sz="0" w:space="0" w:color="auto"/>
                        <w:right w:val="none" w:sz="0" w:space="0" w:color="auto"/>
                      </w:divBdr>
                      <w:divsChild>
                        <w:div w:id="212461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280747">
                  <w:marLeft w:val="0"/>
                  <w:marRight w:val="0"/>
                  <w:marTop w:val="0"/>
                  <w:marBottom w:val="0"/>
                  <w:divBdr>
                    <w:top w:val="none" w:sz="0" w:space="0" w:color="auto"/>
                    <w:left w:val="none" w:sz="0" w:space="0" w:color="auto"/>
                    <w:bottom w:val="none" w:sz="0" w:space="0" w:color="auto"/>
                    <w:right w:val="none" w:sz="0" w:space="0" w:color="auto"/>
                  </w:divBdr>
                  <w:divsChild>
                    <w:div w:id="615874030">
                      <w:marLeft w:val="0"/>
                      <w:marRight w:val="0"/>
                      <w:marTop w:val="0"/>
                      <w:marBottom w:val="0"/>
                      <w:divBdr>
                        <w:top w:val="none" w:sz="0" w:space="0" w:color="auto"/>
                        <w:left w:val="none" w:sz="0" w:space="0" w:color="auto"/>
                        <w:bottom w:val="none" w:sz="0" w:space="0" w:color="auto"/>
                        <w:right w:val="none" w:sz="0" w:space="0" w:color="auto"/>
                      </w:divBdr>
                      <w:divsChild>
                        <w:div w:id="187835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55149">
                  <w:marLeft w:val="0"/>
                  <w:marRight w:val="0"/>
                  <w:marTop w:val="0"/>
                  <w:marBottom w:val="0"/>
                  <w:divBdr>
                    <w:top w:val="none" w:sz="0" w:space="0" w:color="auto"/>
                    <w:left w:val="none" w:sz="0" w:space="0" w:color="auto"/>
                    <w:bottom w:val="none" w:sz="0" w:space="0" w:color="auto"/>
                    <w:right w:val="none" w:sz="0" w:space="0" w:color="auto"/>
                  </w:divBdr>
                  <w:divsChild>
                    <w:div w:id="1897353792">
                      <w:marLeft w:val="0"/>
                      <w:marRight w:val="0"/>
                      <w:marTop w:val="0"/>
                      <w:marBottom w:val="0"/>
                      <w:divBdr>
                        <w:top w:val="none" w:sz="0" w:space="0" w:color="auto"/>
                        <w:left w:val="none" w:sz="0" w:space="0" w:color="auto"/>
                        <w:bottom w:val="none" w:sz="0" w:space="0" w:color="auto"/>
                        <w:right w:val="none" w:sz="0" w:space="0" w:color="auto"/>
                      </w:divBdr>
                      <w:divsChild>
                        <w:div w:id="190548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13698">
                  <w:marLeft w:val="0"/>
                  <w:marRight w:val="0"/>
                  <w:marTop w:val="450"/>
                  <w:marBottom w:val="0"/>
                  <w:divBdr>
                    <w:top w:val="none" w:sz="0" w:space="0" w:color="auto"/>
                    <w:left w:val="none" w:sz="0" w:space="0" w:color="auto"/>
                    <w:bottom w:val="none" w:sz="0" w:space="0" w:color="auto"/>
                    <w:right w:val="none" w:sz="0" w:space="0" w:color="auto"/>
                  </w:divBdr>
                  <w:divsChild>
                    <w:div w:id="923686451">
                      <w:marLeft w:val="0"/>
                      <w:marRight w:val="0"/>
                      <w:marTop w:val="0"/>
                      <w:marBottom w:val="0"/>
                      <w:divBdr>
                        <w:top w:val="none" w:sz="0" w:space="0" w:color="auto"/>
                        <w:left w:val="none" w:sz="0" w:space="0" w:color="auto"/>
                        <w:bottom w:val="none" w:sz="0" w:space="0" w:color="auto"/>
                        <w:right w:val="none" w:sz="0" w:space="0" w:color="auto"/>
                      </w:divBdr>
                    </w:div>
                  </w:divsChild>
                </w:div>
                <w:div w:id="728846834">
                  <w:marLeft w:val="0"/>
                  <w:marRight w:val="0"/>
                  <w:marTop w:val="450"/>
                  <w:marBottom w:val="0"/>
                  <w:divBdr>
                    <w:top w:val="none" w:sz="0" w:space="0" w:color="auto"/>
                    <w:left w:val="none" w:sz="0" w:space="0" w:color="auto"/>
                    <w:bottom w:val="none" w:sz="0" w:space="0" w:color="auto"/>
                    <w:right w:val="none" w:sz="0" w:space="0" w:color="auto"/>
                  </w:divBdr>
                  <w:divsChild>
                    <w:div w:id="1765953695">
                      <w:marLeft w:val="0"/>
                      <w:marRight w:val="0"/>
                      <w:marTop w:val="0"/>
                      <w:marBottom w:val="3750"/>
                      <w:divBdr>
                        <w:top w:val="none" w:sz="0" w:space="0" w:color="auto"/>
                        <w:left w:val="none" w:sz="0" w:space="0" w:color="auto"/>
                        <w:bottom w:val="none" w:sz="0" w:space="0" w:color="auto"/>
                        <w:right w:val="none" w:sz="0" w:space="0" w:color="auto"/>
                      </w:divBdr>
                    </w:div>
                    <w:div w:id="1956059361">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1409770520">
              <w:marLeft w:val="0"/>
              <w:marRight w:val="0"/>
              <w:marTop w:val="0"/>
              <w:marBottom w:val="0"/>
              <w:divBdr>
                <w:top w:val="none" w:sz="0" w:space="0" w:color="auto"/>
                <w:left w:val="none" w:sz="0" w:space="0" w:color="auto"/>
                <w:bottom w:val="none" w:sz="0" w:space="0" w:color="auto"/>
                <w:right w:val="none" w:sz="0" w:space="0" w:color="auto"/>
              </w:divBdr>
              <w:divsChild>
                <w:div w:id="282543137">
                  <w:marLeft w:val="0"/>
                  <w:marRight w:val="0"/>
                  <w:marTop w:val="900"/>
                  <w:marBottom w:val="600"/>
                  <w:divBdr>
                    <w:top w:val="none" w:sz="0" w:space="0" w:color="auto"/>
                    <w:left w:val="none" w:sz="0" w:space="0" w:color="auto"/>
                    <w:bottom w:val="none" w:sz="0" w:space="0" w:color="auto"/>
                    <w:right w:val="none" w:sz="0" w:space="0" w:color="auto"/>
                  </w:divBdr>
                </w:div>
                <w:div w:id="1405949852">
                  <w:marLeft w:val="0"/>
                  <w:marRight w:val="0"/>
                  <w:marTop w:val="0"/>
                  <w:marBottom w:val="0"/>
                  <w:divBdr>
                    <w:top w:val="none" w:sz="0" w:space="0" w:color="auto"/>
                    <w:left w:val="none" w:sz="0" w:space="0" w:color="auto"/>
                    <w:bottom w:val="none" w:sz="0" w:space="0" w:color="auto"/>
                    <w:right w:val="none" w:sz="0" w:space="0" w:color="auto"/>
                  </w:divBdr>
                  <w:divsChild>
                    <w:div w:id="85245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20506">
              <w:marLeft w:val="0"/>
              <w:marRight w:val="0"/>
              <w:marTop w:val="0"/>
              <w:marBottom w:val="0"/>
              <w:divBdr>
                <w:top w:val="none" w:sz="0" w:space="0" w:color="auto"/>
                <w:left w:val="none" w:sz="0" w:space="0" w:color="auto"/>
                <w:bottom w:val="none" w:sz="0" w:space="0" w:color="auto"/>
                <w:right w:val="none" w:sz="0" w:space="0" w:color="auto"/>
              </w:divBdr>
              <w:divsChild>
                <w:div w:id="215705790">
                  <w:marLeft w:val="0"/>
                  <w:marRight w:val="0"/>
                  <w:marTop w:val="900"/>
                  <w:marBottom w:val="600"/>
                  <w:divBdr>
                    <w:top w:val="none" w:sz="0" w:space="0" w:color="auto"/>
                    <w:left w:val="none" w:sz="0" w:space="0" w:color="auto"/>
                    <w:bottom w:val="none" w:sz="0" w:space="0" w:color="auto"/>
                    <w:right w:val="none" w:sz="0" w:space="0" w:color="auto"/>
                  </w:divBdr>
                </w:div>
                <w:div w:id="1936936111">
                  <w:marLeft w:val="0"/>
                  <w:marRight w:val="0"/>
                  <w:marTop w:val="0"/>
                  <w:marBottom w:val="0"/>
                  <w:divBdr>
                    <w:top w:val="none" w:sz="0" w:space="0" w:color="auto"/>
                    <w:left w:val="none" w:sz="0" w:space="0" w:color="auto"/>
                    <w:bottom w:val="none" w:sz="0" w:space="0" w:color="auto"/>
                    <w:right w:val="none" w:sz="0" w:space="0" w:color="auto"/>
                  </w:divBdr>
                  <w:divsChild>
                    <w:div w:id="205711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379636">
              <w:marLeft w:val="0"/>
              <w:marRight w:val="0"/>
              <w:marTop w:val="0"/>
              <w:marBottom w:val="0"/>
              <w:divBdr>
                <w:top w:val="none" w:sz="0" w:space="0" w:color="auto"/>
                <w:left w:val="none" w:sz="0" w:space="0" w:color="auto"/>
                <w:bottom w:val="none" w:sz="0" w:space="0" w:color="auto"/>
                <w:right w:val="none" w:sz="0" w:space="0" w:color="auto"/>
              </w:divBdr>
              <w:divsChild>
                <w:div w:id="2049337144">
                  <w:marLeft w:val="0"/>
                  <w:marRight w:val="0"/>
                  <w:marTop w:val="900"/>
                  <w:marBottom w:val="600"/>
                  <w:divBdr>
                    <w:top w:val="none" w:sz="0" w:space="0" w:color="auto"/>
                    <w:left w:val="none" w:sz="0" w:space="0" w:color="auto"/>
                    <w:bottom w:val="none" w:sz="0" w:space="0" w:color="auto"/>
                    <w:right w:val="none" w:sz="0" w:space="0" w:color="auto"/>
                  </w:divBdr>
                </w:div>
                <w:div w:id="1066294781">
                  <w:marLeft w:val="0"/>
                  <w:marRight w:val="0"/>
                  <w:marTop w:val="0"/>
                  <w:marBottom w:val="0"/>
                  <w:divBdr>
                    <w:top w:val="none" w:sz="0" w:space="0" w:color="auto"/>
                    <w:left w:val="none" w:sz="0" w:space="0" w:color="auto"/>
                    <w:bottom w:val="none" w:sz="0" w:space="0" w:color="auto"/>
                    <w:right w:val="none" w:sz="0" w:space="0" w:color="auto"/>
                  </w:divBdr>
                  <w:divsChild>
                    <w:div w:id="167047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881538">
              <w:marLeft w:val="0"/>
              <w:marRight w:val="0"/>
              <w:marTop w:val="0"/>
              <w:marBottom w:val="0"/>
              <w:divBdr>
                <w:top w:val="none" w:sz="0" w:space="0" w:color="auto"/>
                <w:left w:val="none" w:sz="0" w:space="0" w:color="auto"/>
                <w:bottom w:val="none" w:sz="0" w:space="0" w:color="auto"/>
                <w:right w:val="none" w:sz="0" w:space="0" w:color="auto"/>
              </w:divBdr>
              <w:divsChild>
                <w:div w:id="598828124">
                  <w:marLeft w:val="0"/>
                  <w:marRight w:val="0"/>
                  <w:marTop w:val="900"/>
                  <w:marBottom w:val="600"/>
                  <w:divBdr>
                    <w:top w:val="none" w:sz="0" w:space="0" w:color="auto"/>
                    <w:left w:val="none" w:sz="0" w:space="0" w:color="auto"/>
                    <w:bottom w:val="none" w:sz="0" w:space="0" w:color="auto"/>
                    <w:right w:val="none" w:sz="0" w:space="0" w:color="auto"/>
                  </w:divBdr>
                </w:div>
                <w:div w:id="890775570">
                  <w:marLeft w:val="0"/>
                  <w:marRight w:val="0"/>
                  <w:marTop w:val="0"/>
                  <w:marBottom w:val="0"/>
                  <w:divBdr>
                    <w:top w:val="none" w:sz="0" w:space="0" w:color="auto"/>
                    <w:left w:val="none" w:sz="0" w:space="0" w:color="auto"/>
                    <w:bottom w:val="none" w:sz="0" w:space="0" w:color="auto"/>
                    <w:right w:val="none" w:sz="0" w:space="0" w:color="auto"/>
                  </w:divBdr>
                  <w:divsChild>
                    <w:div w:id="13465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140683">
              <w:marLeft w:val="0"/>
              <w:marRight w:val="0"/>
              <w:marTop w:val="0"/>
              <w:marBottom w:val="0"/>
              <w:divBdr>
                <w:top w:val="none" w:sz="0" w:space="0" w:color="auto"/>
                <w:left w:val="none" w:sz="0" w:space="0" w:color="auto"/>
                <w:bottom w:val="none" w:sz="0" w:space="0" w:color="auto"/>
                <w:right w:val="none" w:sz="0" w:space="0" w:color="auto"/>
              </w:divBdr>
              <w:divsChild>
                <w:div w:id="1077629816">
                  <w:marLeft w:val="0"/>
                  <w:marRight w:val="0"/>
                  <w:marTop w:val="900"/>
                  <w:marBottom w:val="600"/>
                  <w:divBdr>
                    <w:top w:val="none" w:sz="0" w:space="0" w:color="auto"/>
                    <w:left w:val="none" w:sz="0" w:space="0" w:color="auto"/>
                    <w:bottom w:val="none" w:sz="0" w:space="0" w:color="auto"/>
                    <w:right w:val="none" w:sz="0" w:space="0" w:color="auto"/>
                  </w:divBdr>
                </w:div>
                <w:div w:id="1608659880">
                  <w:marLeft w:val="0"/>
                  <w:marRight w:val="0"/>
                  <w:marTop w:val="0"/>
                  <w:marBottom w:val="0"/>
                  <w:divBdr>
                    <w:top w:val="none" w:sz="0" w:space="0" w:color="auto"/>
                    <w:left w:val="none" w:sz="0" w:space="0" w:color="auto"/>
                    <w:bottom w:val="none" w:sz="0" w:space="0" w:color="auto"/>
                    <w:right w:val="none" w:sz="0" w:space="0" w:color="auto"/>
                  </w:divBdr>
                  <w:divsChild>
                    <w:div w:id="119866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013560">
              <w:marLeft w:val="0"/>
              <w:marRight w:val="0"/>
              <w:marTop w:val="0"/>
              <w:marBottom w:val="0"/>
              <w:divBdr>
                <w:top w:val="none" w:sz="0" w:space="0" w:color="auto"/>
                <w:left w:val="none" w:sz="0" w:space="0" w:color="auto"/>
                <w:bottom w:val="none" w:sz="0" w:space="0" w:color="auto"/>
                <w:right w:val="none" w:sz="0" w:space="0" w:color="auto"/>
              </w:divBdr>
              <w:divsChild>
                <w:div w:id="215121770">
                  <w:marLeft w:val="0"/>
                  <w:marRight w:val="0"/>
                  <w:marTop w:val="900"/>
                  <w:marBottom w:val="600"/>
                  <w:divBdr>
                    <w:top w:val="none" w:sz="0" w:space="0" w:color="auto"/>
                    <w:left w:val="none" w:sz="0" w:space="0" w:color="auto"/>
                    <w:bottom w:val="none" w:sz="0" w:space="0" w:color="auto"/>
                    <w:right w:val="none" w:sz="0" w:space="0" w:color="auto"/>
                  </w:divBdr>
                </w:div>
                <w:div w:id="470098831">
                  <w:marLeft w:val="0"/>
                  <w:marRight w:val="0"/>
                  <w:marTop w:val="0"/>
                  <w:marBottom w:val="0"/>
                  <w:divBdr>
                    <w:top w:val="none" w:sz="0" w:space="0" w:color="auto"/>
                    <w:left w:val="none" w:sz="0" w:space="0" w:color="auto"/>
                    <w:bottom w:val="none" w:sz="0" w:space="0" w:color="auto"/>
                    <w:right w:val="none" w:sz="0" w:space="0" w:color="auto"/>
                  </w:divBdr>
                  <w:divsChild>
                    <w:div w:id="11701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754787">
              <w:marLeft w:val="0"/>
              <w:marRight w:val="0"/>
              <w:marTop w:val="0"/>
              <w:marBottom w:val="0"/>
              <w:divBdr>
                <w:top w:val="none" w:sz="0" w:space="0" w:color="auto"/>
                <w:left w:val="none" w:sz="0" w:space="0" w:color="auto"/>
                <w:bottom w:val="none" w:sz="0" w:space="0" w:color="auto"/>
                <w:right w:val="none" w:sz="0" w:space="0" w:color="auto"/>
              </w:divBdr>
              <w:divsChild>
                <w:div w:id="767702316">
                  <w:marLeft w:val="0"/>
                  <w:marRight w:val="0"/>
                  <w:marTop w:val="900"/>
                  <w:marBottom w:val="600"/>
                  <w:divBdr>
                    <w:top w:val="none" w:sz="0" w:space="0" w:color="auto"/>
                    <w:left w:val="none" w:sz="0" w:space="0" w:color="auto"/>
                    <w:bottom w:val="none" w:sz="0" w:space="0" w:color="auto"/>
                    <w:right w:val="none" w:sz="0" w:space="0" w:color="auto"/>
                  </w:divBdr>
                </w:div>
                <w:div w:id="271668676">
                  <w:marLeft w:val="0"/>
                  <w:marRight w:val="0"/>
                  <w:marTop w:val="0"/>
                  <w:marBottom w:val="0"/>
                  <w:divBdr>
                    <w:top w:val="none" w:sz="0" w:space="0" w:color="auto"/>
                    <w:left w:val="none" w:sz="0" w:space="0" w:color="auto"/>
                    <w:bottom w:val="none" w:sz="0" w:space="0" w:color="auto"/>
                    <w:right w:val="none" w:sz="0" w:space="0" w:color="auto"/>
                  </w:divBdr>
                  <w:divsChild>
                    <w:div w:id="6484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021368">
              <w:marLeft w:val="0"/>
              <w:marRight w:val="0"/>
              <w:marTop w:val="0"/>
              <w:marBottom w:val="0"/>
              <w:divBdr>
                <w:top w:val="none" w:sz="0" w:space="0" w:color="auto"/>
                <w:left w:val="none" w:sz="0" w:space="0" w:color="auto"/>
                <w:bottom w:val="none" w:sz="0" w:space="0" w:color="auto"/>
                <w:right w:val="none" w:sz="0" w:space="0" w:color="auto"/>
              </w:divBdr>
              <w:divsChild>
                <w:div w:id="244345481">
                  <w:marLeft w:val="0"/>
                  <w:marRight w:val="0"/>
                  <w:marTop w:val="900"/>
                  <w:marBottom w:val="600"/>
                  <w:divBdr>
                    <w:top w:val="none" w:sz="0" w:space="0" w:color="auto"/>
                    <w:left w:val="none" w:sz="0" w:space="0" w:color="auto"/>
                    <w:bottom w:val="none" w:sz="0" w:space="0" w:color="auto"/>
                    <w:right w:val="none" w:sz="0" w:space="0" w:color="auto"/>
                  </w:divBdr>
                </w:div>
                <w:div w:id="333189670">
                  <w:marLeft w:val="0"/>
                  <w:marRight w:val="0"/>
                  <w:marTop w:val="0"/>
                  <w:marBottom w:val="0"/>
                  <w:divBdr>
                    <w:top w:val="none" w:sz="0" w:space="0" w:color="auto"/>
                    <w:left w:val="none" w:sz="0" w:space="0" w:color="auto"/>
                    <w:bottom w:val="none" w:sz="0" w:space="0" w:color="auto"/>
                    <w:right w:val="none" w:sz="0" w:space="0" w:color="auto"/>
                  </w:divBdr>
                  <w:divsChild>
                    <w:div w:id="112742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490185">
              <w:marLeft w:val="0"/>
              <w:marRight w:val="0"/>
              <w:marTop w:val="0"/>
              <w:marBottom w:val="0"/>
              <w:divBdr>
                <w:top w:val="none" w:sz="0" w:space="0" w:color="auto"/>
                <w:left w:val="none" w:sz="0" w:space="0" w:color="auto"/>
                <w:bottom w:val="none" w:sz="0" w:space="0" w:color="auto"/>
                <w:right w:val="none" w:sz="0" w:space="0" w:color="auto"/>
              </w:divBdr>
              <w:divsChild>
                <w:div w:id="1775054802">
                  <w:marLeft w:val="0"/>
                  <w:marRight w:val="0"/>
                  <w:marTop w:val="900"/>
                  <w:marBottom w:val="600"/>
                  <w:divBdr>
                    <w:top w:val="none" w:sz="0" w:space="0" w:color="auto"/>
                    <w:left w:val="none" w:sz="0" w:space="0" w:color="auto"/>
                    <w:bottom w:val="none" w:sz="0" w:space="0" w:color="auto"/>
                    <w:right w:val="none" w:sz="0" w:space="0" w:color="auto"/>
                  </w:divBdr>
                </w:div>
                <w:div w:id="786437734">
                  <w:marLeft w:val="0"/>
                  <w:marRight w:val="0"/>
                  <w:marTop w:val="0"/>
                  <w:marBottom w:val="0"/>
                  <w:divBdr>
                    <w:top w:val="none" w:sz="0" w:space="0" w:color="auto"/>
                    <w:left w:val="none" w:sz="0" w:space="0" w:color="auto"/>
                    <w:bottom w:val="none" w:sz="0" w:space="0" w:color="auto"/>
                    <w:right w:val="none" w:sz="0" w:space="0" w:color="auto"/>
                  </w:divBdr>
                  <w:divsChild>
                    <w:div w:id="37644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546578">
              <w:marLeft w:val="0"/>
              <w:marRight w:val="0"/>
              <w:marTop w:val="0"/>
              <w:marBottom w:val="0"/>
              <w:divBdr>
                <w:top w:val="none" w:sz="0" w:space="0" w:color="auto"/>
                <w:left w:val="none" w:sz="0" w:space="0" w:color="auto"/>
                <w:bottom w:val="none" w:sz="0" w:space="0" w:color="auto"/>
                <w:right w:val="none" w:sz="0" w:space="0" w:color="auto"/>
              </w:divBdr>
              <w:divsChild>
                <w:div w:id="1019354536">
                  <w:marLeft w:val="0"/>
                  <w:marRight w:val="0"/>
                  <w:marTop w:val="900"/>
                  <w:marBottom w:val="600"/>
                  <w:divBdr>
                    <w:top w:val="none" w:sz="0" w:space="0" w:color="auto"/>
                    <w:left w:val="none" w:sz="0" w:space="0" w:color="auto"/>
                    <w:bottom w:val="none" w:sz="0" w:space="0" w:color="auto"/>
                    <w:right w:val="none" w:sz="0" w:space="0" w:color="auto"/>
                  </w:divBdr>
                </w:div>
                <w:div w:id="1549101196">
                  <w:marLeft w:val="0"/>
                  <w:marRight w:val="0"/>
                  <w:marTop w:val="0"/>
                  <w:marBottom w:val="0"/>
                  <w:divBdr>
                    <w:top w:val="none" w:sz="0" w:space="0" w:color="auto"/>
                    <w:left w:val="none" w:sz="0" w:space="0" w:color="auto"/>
                    <w:bottom w:val="none" w:sz="0" w:space="0" w:color="auto"/>
                    <w:right w:val="none" w:sz="0" w:space="0" w:color="auto"/>
                  </w:divBdr>
                  <w:divsChild>
                    <w:div w:id="14209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094771">
              <w:marLeft w:val="0"/>
              <w:marRight w:val="0"/>
              <w:marTop w:val="0"/>
              <w:marBottom w:val="0"/>
              <w:divBdr>
                <w:top w:val="none" w:sz="0" w:space="0" w:color="auto"/>
                <w:left w:val="none" w:sz="0" w:space="0" w:color="auto"/>
                <w:bottom w:val="none" w:sz="0" w:space="0" w:color="auto"/>
                <w:right w:val="none" w:sz="0" w:space="0" w:color="auto"/>
              </w:divBdr>
              <w:divsChild>
                <w:div w:id="439840180">
                  <w:marLeft w:val="0"/>
                  <w:marRight w:val="0"/>
                  <w:marTop w:val="900"/>
                  <w:marBottom w:val="600"/>
                  <w:divBdr>
                    <w:top w:val="none" w:sz="0" w:space="0" w:color="auto"/>
                    <w:left w:val="none" w:sz="0" w:space="0" w:color="auto"/>
                    <w:bottom w:val="none" w:sz="0" w:space="0" w:color="auto"/>
                    <w:right w:val="none" w:sz="0" w:space="0" w:color="auto"/>
                  </w:divBdr>
                </w:div>
                <w:div w:id="1812016808">
                  <w:marLeft w:val="0"/>
                  <w:marRight w:val="0"/>
                  <w:marTop w:val="0"/>
                  <w:marBottom w:val="0"/>
                  <w:divBdr>
                    <w:top w:val="none" w:sz="0" w:space="0" w:color="auto"/>
                    <w:left w:val="none" w:sz="0" w:space="0" w:color="auto"/>
                    <w:bottom w:val="none" w:sz="0" w:space="0" w:color="auto"/>
                    <w:right w:val="none" w:sz="0" w:space="0" w:color="auto"/>
                  </w:divBdr>
                  <w:divsChild>
                    <w:div w:id="94342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389426">
              <w:marLeft w:val="0"/>
              <w:marRight w:val="0"/>
              <w:marTop w:val="0"/>
              <w:marBottom w:val="0"/>
              <w:divBdr>
                <w:top w:val="none" w:sz="0" w:space="0" w:color="auto"/>
                <w:left w:val="none" w:sz="0" w:space="0" w:color="auto"/>
                <w:bottom w:val="none" w:sz="0" w:space="0" w:color="auto"/>
                <w:right w:val="none" w:sz="0" w:space="0" w:color="auto"/>
              </w:divBdr>
              <w:divsChild>
                <w:div w:id="808085901">
                  <w:marLeft w:val="0"/>
                  <w:marRight w:val="0"/>
                  <w:marTop w:val="900"/>
                  <w:marBottom w:val="600"/>
                  <w:divBdr>
                    <w:top w:val="none" w:sz="0" w:space="0" w:color="auto"/>
                    <w:left w:val="none" w:sz="0" w:space="0" w:color="auto"/>
                    <w:bottom w:val="none" w:sz="0" w:space="0" w:color="auto"/>
                    <w:right w:val="none" w:sz="0" w:space="0" w:color="auto"/>
                  </w:divBdr>
                </w:div>
                <w:div w:id="175461561">
                  <w:marLeft w:val="0"/>
                  <w:marRight w:val="0"/>
                  <w:marTop w:val="0"/>
                  <w:marBottom w:val="0"/>
                  <w:divBdr>
                    <w:top w:val="none" w:sz="0" w:space="0" w:color="auto"/>
                    <w:left w:val="none" w:sz="0" w:space="0" w:color="auto"/>
                    <w:bottom w:val="none" w:sz="0" w:space="0" w:color="auto"/>
                    <w:right w:val="none" w:sz="0" w:space="0" w:color="auto"/>
                  </w:divBdr>
                  <w:divsChild>
                    <w:div w:id="204297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325009">
              <w:marLeft w:val="0"/>
              <w:marRight w:val="0"/>
              <w:marTop w:val="0"/>
              <w:marBottom w:val="0"/>
              <w:divBdr>
                <w:top w:val="none" w:sz="0" w:space="0" w:color="auto"/>
                <w:left w:val="none" w:sz="0" w:space="0" w:color="auto"/>
                <w:bottom w:val="none" w:sz="0" w:space="0" w:color="auto"/>
                <w:right w:val="none" w:sz="0" w:space="0" w:color="auto"/>
              </w:divBdr>
              <w:divsChild>
                <w:div w:id="1246839366">
                  <w:marLeft w:val="0"/>
                  <w:marRight w:val="0"/>
                  <w:marTop w:val="900"/>
                  <w:marBottom w:val="600"/>
                  <w:divBdr>
                    <w:top w:val="none" w:sz="0" w:space="0" w:color="auto"/>
                    <w:left w:val="none" w:sz="0" w:space="0" w:color="auto"/>
                    <w:bottom w:val="none" w:sz="0" w:space="0" w:color="auto"/>
                    <w:right w:val="none" w:sz="0" w:space="0" w:color="auto"/>
                  </w:divBdr>
                </w:div>
                <w:div w:id="679048055">
                  <w:marLeft w:val="0"/>
                  <w:marRight w:val="0"/>
                  <w:marTop w:val="0"/>
                  <w:marBottom w:val="0"/>
                  <w:divBdr>
                    <w:top w:val="none" w:sz="0" w:space="0" w:color="auto"/>
                    <w:left w:val="none" w:sz="0" w:space="0" w:color="auto"/>
                    <w:bottom w:val="none" w:sz="0" w:space="0" w:color="auto"/>
                    <w:right w:val="none" w:sz="0" w:space="0" w:color="auto"/>
                  </w:divBdr>
                  <w:divsChild>
                    <w:div w:id="2079786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284688">
              <w:marLeft w:val="0"/>
              <w:marRight w:val="0"/>
              <w:marTop w:val="0"/>
              <w:marBottom w:val="0"/>
              <w:divBdr>
                <w:top w:val="none" w:sz="0" w:space="0" w:color="auto"/>
                <w:left w:val="none" w:sz="0" w:space="0" w:color="auto"/>
                <w:bottom w:val="none" w:sz="0" w:space="0" w:color="auto"/>
                <w:right w:val="none" w:sz="0" w:space="0" w:color="auto"/>
              </w:divBdr>
              <w:divsChild>
                <w:div w:id="827944248">
                  <w:marLeft w:val="0"/>
                  <w:marRight w:val="0"/>
                  <w:marTop w:val="900"/>
                  <w:marBottom w:val="600"/>
                  <w:divBdr>
                    <w:top w:val="none" w:sz="0" w:space="0" w:color="auto"/>
                    <w:left w:val="none" w:sz="0" w:space="0" w:color="auto"/>
                    <w:bottom w:val="none" w:sz="0" w:space="0" w:color="auto"/>
                    <w:right w:val="none" w:sz="0" w:space="0" w:color="auto"/>
                  </w:divBdr>
                </w:div>
                <w:div w:id="974144415">
                  <w:marLeft w:val="0"/>
                  <w:marRight w:val="0"/>
                  <w:marTop w:val="0"/>
                  <w:marBottom w:val="0"/>
                  <w:divBdr>
                    <w:top w:val="none" w:sz="0" w:space="0" w:color="auto"/>
                    <w:left w:val="none" w:sz="0" w:space="0" w:color="auto"/>
                    <w:bottom w:val="none" w:sz="0" w:space="0" w:color="auto"/>
                    <w:right w:val="none" w:sz="0" w:space="0" w:color="auto"/>
                  </w:divBdr>
                  <w:divsChild>
                    <w:div w:id="27899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907499">
              <w:marLeft w:val="0"/>
              <w:marRight w:val="0"/>
              <w:marTop w:val="0"/>
              <w:marBottom w:val="0"/>
              <w:divBdr>
                <w:top w:val="none" w:sz="0" w:space="0" w:color="auto"/>
                <w:left w:val="none" w:sz="0" w:space="0" w:color="auto"/>
                <w:bottom w:val="none" w:sz="0" w:space="0" w:color="auto"/>
                <w:right w:val="none" w:sz="0" w:space="0" w:color="auto"/>
              </w:divBdr>
              <w:divsChild>
                <w:div w:id="494027597">
                  <w:marLeft w:val="0"/>
                  <w:marRight w:val="0"/>
                  <w:marTop w:val="900"/>
                  <w:marBottom w:val="600"/>
                  <w:divBdr>
                    <w:top w:val="none" w:sz="0" w:space="0" w:color="auto"/>
                    <w:left w:val="none" w:sz="0" w:space="0" w:color="auto"/>
                    <w:bottom w:val="none" w:sz="0" w:space="0" w:color="auto"/>
                    <w:right w:val="none" w:sz="0" w:space="0" w:color="auto"/>
                  </w:divBdr>
                </w:div>
                <w:div w:id="574441760">
                  <w:marLeft w:val="0"/>
                  <w:marRight w:val="0"/>
                  <w:marTop w:val="0"/>
                  <w:marBottom w:val="0"/>
                  <w:divBdr>
                    <w:top w:val="none" w:sz="0" w:space="0" w:color="auto"/>
                    <w:left w:val="none" w:sz="0" w:space="0" w:color="auto"/>
                    <w:bottom w:val="none" w:sz="0" w:space="0" w:color="auto"/>
                    <w:right w:val="none" w:sz="0" w:space="0" w:color="auto"/>
                  </w:divBdr>
                  <w:divsChild>
                    <w:div w:id="202743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81606">
              <w:marLeft w:val="0"/>
              <w:marRight w:val="0"/>
              <w:marTop w:val="0"/>
              <w:marBottom w:val="0"/>
              <w:divBdr>
                <w:top w:val="none" w:sz="0" w:space="0" w:color="auto"/>
                <w:left w:val="none" w:sz="0" w:space="0" w:color="auto"/>
                <w:bottom w:val="none" w:sz="0" w:space="0" w:color="auto"/>
                <w:right w:val="none" w:sz="0" w:space="0" w:color="auto"/>
              </w:divBdr>
              <w:divsChild>
                <w:div w:id="1295603050">
                  <w:marLeft w:val="0"/>
                  <w:marRight w:val="0"/>
                  <w:marTop w:val="900"/>
                  <w:marBottom w:val="600"/>
                  <w:divBdr>
                    <w:top w:val="none" w:sz="0" w:space="0" w:color="auto"/>
                    <w:left w:val="none" w:sz="0" w:space="0" w:color="auto"/>
                    <w:bottom w:val="none" w:sz="0" w:space="0" w:color="auto"/>
                    <w:right w:val="none" w:sz="0" w:space="0" w:color="auto"/>
                  </w:divBdr>
                </w:div>
                <w:div w:id="378020337">
                  <w:marLeft w:val="0"/>
                  <w:marRight w:val="0"/>
                  <w:marTop w:val="0"/>
                  <w:marBottom w:val="0"/>
                  <w:divBdr>
                    <w:top w:val="none" w:sz="0" w:space="0" w:color="auto"/>
                    <w:left w:val="none" w:sz="0" w:space="0" w:color="auto"/>
                    <w:bottom w:val="none" w:sz="0" w:space="0" w:color="auto"/>
                    <w:right w:val="none" w:sz="0" w:space="0" w:color="auto"/>
                  </w:divBdr>
                  <w:divsChild>
                    <w:div w:id="153938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262019">
              <w:marLeft w:val="0"/>
              <w:marRight w:val="0"/>
              <w:marTop w:val="0"/>
              <w:marBottom w:val="0"/>
              <w:divBdr>
                <w:top w:val="none" w:sz="0" w:space="0" w:color="auto"/>
                <w:left w:val="none" w:sz="0" w:space="0" w:color="auto"/>
                <w:bottom w:val="none" w:sz="0" w:space="0" w:color="auto"/>
                <w:right w:val="none" w:sz="0" w:space="0" w:color="auto"/>
              </w:divBdr>
              <w:divsChild>
                <w:div w:id="1605304889">
                  <w:marLeft w:val="0"/>
                  <w:marRight w:val="0"/>
                  <w:marTop w:val="900"/>
                  <w:marBottom w:val="600"/>
                  <w:divBdr>
                    <w:top w:val="none" w:sz="0" w:space="0" w:color="auto"/>
                    <w:left w:val="none" w:sz="0" w:space="0" w:color="auto"/>
                    <w:bottom w:val="none" w:sz="0" w:space="0" w:color="auto"/>
                    <w:right w:val="none" w:sz="0" w:space="0" w:color="auto"/>
                  </w:divBdr>
                </w:div>
                <w:div w:id="118036881">
                  <w:marLeft w:val="0"/>
                  <w:marRight w:val="0"/>
                  <w:marTop w:val="0"/>
                  <w:marBottom w:val="0"/>
                  <w:divBdr>
                    <w:top w:val="none" w:sz="0" w:space="0" w:color="auto"/>
                    <w:left w:val="none" w:sz="0" w:space="0" w:color="auto"/>
                    <w:bottom w:val="none" w:sz="0" w:space="0" w:color="auto"/>
                    <w:right w:val="none" w:sz="0" w:space="0" w:color="auto"/>
                  </w:divBdr>
                  <w:divsChild>
                    <w:div w:id="106333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910034">
              <w:marLeft w:val="0"/>
              <w:marRight w:val="0"/>
              <w:marTop w:val="0"/>
              <w:marBottom w:val="0"/>
              <w:divBdr>
                <w:top w:val="none" w:sz="0" w:space="0" w:color="auto"/>
                <w:left w:val="none" w:sz="0" w:space="0" w:color="auto"/>
                <w:bottom w:val="none" w:sz="0" w:space="0" w:color="auto"/>
                <w:right w:val="none" w:sz="0" w:space="0" w:color="auto"/>
              </w:divBdr>
              <w:divsChild>
                <w:div w:id="1706758564">
                  <w:marLeft w:val="0"/>
                  <w:marRight w:val="0"/>
                  <w:marTop w:val="900"/>
                  <w:marBottom w:val="600"/>
                  <w:divBdr>
                    <w:top w:val="none" w:sz="0" w:space="0" w:color="auto"/>
                    <w:left w:val="none" w:sz="0" w:space="0" w:color="auto"/>
                    <w:bottom w:val="none" w:sz="0" w:space="0" w:color="auto"/>
                    <w:right w:val="none" w:sz="0" w:space="0" w:color="auto"/>
                  </w:divBdr>
                </w:div>
                <w:div w:id="309869305">
                  <w:marLeft w:val="0"/>
                  <w:marRight w:val="0"/>
                  <w:marTop w:val="0"/>
                  <w:marBottom w:val="0"/>
                  <w:divBdr>
                    <w:top w:val="none" w:sz="0" w:space="0" w:color="auto"/>
                    <w:left w:val="none" w:sz="0" w:space="0" w:color="auto"/>
                    <w:bottom w:val="none" w:sz="0" w:space="0" w:color="auto"/>
                    <w:right w:val="none" w:sz="0" w:space="0" w:color="auto"/>
                  </w:divBdr>
                  <w:divsChild>
                    <w:div w:id="136016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850770">
              <w:marLeft w:val="0"/>
              <w:marRight w:val="0"/>
              <w:marTop w:val="0"/>
              <w:marBottom w:val="0"/>
              <w:divBdr>
                <w:top w:val="none" w:sz="0" w:space="0" w:color="auto"/>
                <w:left w:val="none" w:sz="0" w:space="0" w:color="auto"/>
                <w:bottom w:val="none" w:sz="0" w:space="0" w:color="auto"/>
                <w:right w:val="none" w:sz="0" w:space="0" w:color="auto"/>
              </w:divBdr>
              <w:divsChild>
                <w:div w:id="660691747">
                  <w:marLeft w:val="0"/>
                  <w:marRight w:val="0"/>
                  <w:marTop w:val="900"/>
                  <w:marBottom w:val="600"/>
                  <w:divBdr>
                    <w:top w:val="none" w:sz="0" w:space="0" w:color="auto"/>
                    <w:left w:val="none" w:sz="0" w:space="0" w:color="auto"/>
                    <w:bottom w:val="none" w:sz="0" w:space="0" w:color="auto"/>
                    <w:right w:val="none" w:sz="0" w:space="0" w:color="auto"/>
                  </w:divBdr>
                </w:div>
                <w:div w:id="2096130352">
                  <w:marLeft w:val="0"/>
                  <w:marRight w:val="0"/>
                  <w:marTop w:val="0"/>
                  <w:marBottom w:val="0"/>
                  <w:divBdr>
                    <w:top w:val="none" w:sz="0" w:space="0" w:color="auto"/>
                    <w:left w:val="none" w:sz="0" w:space="0" w:color="auto"/>
                    <w:bottom w:val="none" w:sz="0" w:space="0" w:color="auto"/>
                    <w:right w:val="none" w:sz="0" w:space="0" w:color="auto"/>
                  </w:divBdr>
                  <w:divsChild>
                    <w:div w:id="175685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00226">
              <w:marLeft w:val="0"/>
              <w:marRight w:val="0"/>
              <w:marTop w:val="0"/>
              <w:marBottom w:val="0"/>
              <w:divBdr>
                <w:top w:val="none" w:sz="0" w:space="0" w:color="auto"/>
                <w:left w:val="none" w:sz="0" w:space="0" w:color="auto"/>
                <w:bottom w:val="none" w:sz="0" w:space="0" w:color="auto"/>
                <w:right w:val="none" w:sz="0" w:space="0" w:color="auto"/>
              </w:divBdr>
              <w:divsChild>
                <w:div w:id="682979465">
                  <w:marLeft w:val="0"/>
                  <w:marRight w:val="0"/>
                  <w:marTop w:val="900"/>
                  <w:marBottom w:val="600"/>
                  <w:divBdr>
                    <w:top w:val="none" w:sz="0" w:space="0" w:color="auto"/>
                    <w:left w:val="none" w:sz="0" w:space="0" w:color="auto"/>
                    <w:bottom w:val="none" w:sz="0" w:space="0" w:color="auto"/>
                    <w:right w:val="none" w:sz="0" w:space="0" w:color="auto"/>
                  </w:divBdr>
                </w:div>
                <w:div w:id="328170197">
                  <w:marLeft w:val="0"/>
                  <w:marRight w:val="0"/>
                  <w:marTop w:val="0"/>
                  <w:marBottom w:val="0"/>
                  <w:divBdr>
                    <w:top w:val="none" w:sz="0" w:space="0" w:color="auto"/>
                    <w:left w:val="none" w:sz="0" w:space="0" w:color="auto"/>
                    <w:bottom w:val="none" w:sz="0" w:space="0" w:color="auto"/>
                    <w:right w:val="none" w:sz="0" w:space="0" w:color="auto"/>
                  </w:divBdr>
                  <w:divsChild>
                    <w:div w:id="152759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67031">
              <w:marLeft w:val="0"/>
              <w:marRight w:val="0"/>
              <w:marTop w:val="0"/>
              <w:marBottom w:val="0"/>
              <w:divBdr>
                <w:top w:val="none" w:sz="0" w:space="0" w:color="auto"/>
                <w:left w:val="none" w:sz="0" w:space="0" w:color="auto"/>
                <w:bottom w:val="none" w:sz="0" w:space="0" w:color="auto"/>
                <w:right w:val="none" w:sz="0" w:space="0" w:color="auto"/>
              </w:divBdr>
              <w:divsChild>
                <w:div w:id="588463939">
                  <w:marLeft w:val="0"/>
                  <w:marRight w:val="0"/>
                  <w:marTop w:val="900"/>
                  <w:marBottom w:val="600"/>
                  <w:divBdr>
                    <w:top w:val="none" w:sz="0" w:space="0" w:color="auto"/>
                    <w:left w:val="none" w:sz="0" w:space="0" w:color="auto"/>
                    <w:bottom w:val="none" w:sz="0" w:space="0" w:color="auto"/>
                    <w:right w:val="none" w:sz="0" w:space="0" w:color="auto"/>
                  </w:divBdr>
                </w:div>
                <w:div w:id="336272064">
                  <w:marLeft w:val="0"/>
                  <w:marRight w:val="0"/>
                  <w:marTop w:val="0"/>
                  <w:marBottom w:val="0"/>
                  <w:divBdr>
                    <w:top w:val="none" w:sz="0" w:space="0" w:color="auto"/>
                    <w:left w:val="none" w:sz="0" w:space="0" w:color="auto"/>
                    <w:bottom w:val="none" w:sz="0" w:space="0" w:color="auto"/>
                    <w:right w:val="none" w:sz="0" w:space="0" w:color="auto"/>
                  </w:divBdr>
                  <w:divsChild>
                    <w:div w:id="9020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382927">
              <w:marLeft w:val="0"/>
              <w:marRight w:val="0"/>
              <w:marTop w:val="0"/>
              <w:marBottom w:val="0"/>
              <w:divBdr>
                <w:top w:val="none" w:sz="0" w:space="0" w:color="auto"/>
                <w:left w:val="none" w:sz="0" w:space="0" w:color="auto"/>
                <w:bottom w:val="none" w:sz="0" w:space="0" w:color="auto"/>
                <w:right w:val="none" w:sz="0" w:space="0" w:color="auto"/>
              </w:divBdr>
              <w:divsChild>
                <w:div w:id="286864001">
                  <w:marLeft w:val="0"/>
                  <w:marRight w:val="0"/>
                  <w:marTop w:val="900"/>
                  <w:marBottom w:val="600"/>
                  <w:divBdr>
                    <w:top w:val="none" w:sz="0" w:space="0" w:color="auto"/>
                    <w:left w:val="none" w:sz="0" w:space="0" w:color="auto"/>
                    <w:bottom w:val="none" w:sz="0" w:space="0" w:color="auto"/>
                    <w:right w:val="none" w:sz="0" w:space="0" w:color="auto"/>
                  </w:divBdr>
                </w:div>
                <w:div w:id="144736200">
                  <w:marLeft w:val="0"/>
                  <w:marRight w:val="0"/>
                  <w:marTop w:val="0"/>
                  <w:marBottom w:val="0"/>
                  <w:divBdr>
                    <w:top w:val="none" w:sz="0" w:space="0" w:color="auto"/>
                    <w:left w:val="none" w:sz="0" w:space="0" w:color="auto"/>
                    <w:bottom w:val="none" w:sz="0" w:space="0" w:color="auto"/>
                    <w:right w:val="none" w:sz="0" w:space="0" w:color="auto"/>
                  </w:divBdr>
                  <w:divsChild>
                    <w:div w:id="212723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419450">
              <w:marLeft w:val="0"/>
              <w:marRight w:val="0"/>
              <w:marTop w:val="0"/>
              <w:marBottom w:val="0"/>
              <w:divBdr>
                <w:top w:val="none" w:sz="0" w:space="0" w:color="auto"/>
                <w:left w:val="none" w:sz="0" w:space="0" w:color="auto"/>
                <w:bottom w:val="none" w:sz="0" w:space="0" w:color="auto"/>
                <w:right w:val="none" w:sz="0" w:space="0" w:color="auto"/>
              </w:divBdr>
              <w:divsChild>
                <w:div w:id="350375231">
                  <w:marLeft w:val="0"/>
                  <w:marRight w:val="0"/>
                  <w:marTop w:val="900"/>
                  <w:marBottom w:val="600"/>
                  <w:divBdr>
                    <w:top w:val="none" w:sz="0" w:space="0" w:color="auto"/>
                    <w:left w:val="none" w:sz="0" w:space="0" w:color="auto"/>
                    <w:bottom w:val="none" w:sz="0" w:space="0" w:color="auto"/>
                    <w:right w:val="none" w:sz="0" w:space="0" w:color="auto"/>
                  </w:divBdr>
                </w:div>
                <w:div w:id="1753624973">
                  <w:marLeft w:val="0"/>
                  <w:marRight w:val="0"/>
                  <w:marTop w:val="0"/>
                  <w:marBottom w:val="0"/>
                  <w:divBdr>
                    <w:top w:val="none" w:sz="0" w:space="0" w:color="auto"/>
                    <w:left w:val="none" w:sz="0" w:space="0" w:color="auto"/>
                    <w:bottom w:val="none" w:sz="0" w:space="0" w:color="auto"/>
                    <w:right w:val="none" w:sz="0" w:space="0" w:color="auto"/>
                  </w:divBdr>
                  <w:divsChild>
                    <w:div w:id="177609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686563">
              <w:marLeft w:val="0"/>
              <w:marRight w:val="0"/>
              <w:marTop w:val="0"/>
              <w:marBottom w:val="0"/>
              <w:divBdr>
                <w:top w:val="none" w:sz="0" w:space="0" w:color="auto"/>
                <w:left w:val="none" w:sz="0" w:space="0" w:color="auto"/>
                <w:bottom w:val="none" w:sz="0" w:space="0" w:color="auto"/>
                <w:right w:val="none" w:sz="0" w:space="0" w:color="auto"/>
              </w:divBdr>
              <w:divsChild>
                <w:div w:id="1505054089">
                  <w:marLeft w:val="0"/>
                  <w:marRight w:val="0"/>
                  <w:marTop w:val="900"/>
                  <w:marBottom w:val="600"/>
                  <w:divBdr>
                    <w:top w:val="none" w:sz="0" w:space="0" w:color="auto"/>
                    <w:left w:val="none" w:sz="0" w:space="0" w:color="auto"/>
                    <w:bottom w:val="none" w:sz="0" w:space="0" w:color="auto"/>
                    <w:right w:val="none" w:sz="0" w:space="0" w:color="auto"/>
                  </w:divBdr>
                </w:div>
                <w:div w:id="765729735">
                  <w:marLeft w:val="0"/>
                  <w:marRight w:val="0"/>
                  <w:marTop w:val="0"/>
                  <w:marBottom w:val="0"/>
                  <w:divBdr>
                    <w:top w:val="none" w:sz="0" w:space="0" w:color="auto"/>
                    <w:left w:val="none" w:sz="0" w:space="0" w:color="auto"/>
                    <w:bottom w:val="none" w:sz="0" w:space="0" w:color="auto"/>
                    <w:right w:val="none" w:sz="0" w:space="0" w:color="auto"/>
                  </w:divBdr>
                  <w:divsChild>
                    <w:div w:id="35901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560723">
              <w:marLeft w:val="0"/>
              <w:marRight w:val="0"/>
              <w:marTop w:val="0"/>
              <w:marBottom w:val="0"/>
              <w:divBdr>
                <w:top w:val="none" w:sz="0" w:space="0" w:color="auto"/>
                <w:left w:val="none" w:sz="0" w:space="0" w:color="auto"/>
                <w:bottom w:val="none" w:sz="0" w:space="0" w:color="auto"/>
                <w:right w:val="none" w:sz="0" w:space="0" w:color="auto"/>
              </w:divBdr>
              <w:divsChild>
                <w:div w:id="976182303">
                  <w:marLeft w:val="0"/>
                  <w:marRight w:val="0"/>
                  <w:marTop w:val="900"/>
                  <w:marBottom w:val="600"/>
                  <w:divBdr>
                    <w:top w:val="none" w:sz="0" w:space="0" w:color="auto"/>
                    <w:left w:val="none" w:sz="0" w:space="0" w:color="auto"/>
                    <w:bottom w:val="none" w:sz="0" w:space="0" w:color="auto"/>
                    <w:right w:val="none" w:sz="0" w:space="0" w:color="auto"/>
                  </w:divBdr>
                </w:div>
                <w:div w:id="642662763">
                  <w:marLeft w:val="0"/>
                  <w:marRight w:val="0"/>
                  <w:marTop w:val="0"/>
                  <w:marBottom w:val="0"/>
                  <w:divBdr>
                    <w:top w:val="none" w:sz="0" w:space="0" w:color="auto"/>
                    <w:left w:val="none" w:sz="0" w:space="0" w:color="auto"/>
                    <w:bottom w:val="none" w:sz="0" w:space="0" w:color="auto"/>
                    <w:right w:val="none" w:sz="0" w:space="0" w:color="auto"/>
                  </w:divBdr>
                  <w:divsChild>
                    <w:div w:id="180650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6404">
              <w:marLeft w:val="0"/>
              <w:marRight w:val="0"/>
              <w:marTop w:val="0"/>
              <w:marBottom w:val="0"/>
              <w:divBdr>
                <w:top w:val="none" w:sz="0" w:space="0" w:color="auto"/>
                <w:left w:val="none" w:sz="0" w:space="0" w:color="auto"/>
                <w:bottom w:val="none" w:sz="0" w:space="0" w:color="auto"/>
                <w:right w:val="none" w:sz="0" w:space="0" w:color="auto"/>
              </w:divBdr>
              <w:divsChild>
                <w:div w:id="945695029">
                  <w:marLeft w:val="0"/>
                  <w:marRight w:val="0"/>
                  <w:marTop w:val="900"/>
                  <w:marBottom w:val="600"/>
                  <w:divBdr>
                    <w:top w:val="none" w:sz="0" w:space="0" w:color="auto"/>
                    <w:left w:val="none" w:sz="0" w:space="0" w:color="auto"/>
                    <w:bottom w:val="none" w:sz="0" w:space="0" w:color="auto"/>
                    <w:right w:val="none" w:sz="0" w:space="0" w:color="auto"/>
                  </w:divBdr>
                </w:div>
                <w:div w:id="458035445">
                  <w:marLeft w:val="0"/>
                  <w:marRight w:val="0"/>
                  <w:marTop w:val="0"/>
                  <w:marBottom w:val="0"/>
                  <w:divBdr>
                    <w:top w:val="none" w:sz="0" w:space="0" w:color="auto"/>
                    <w:left w:val="none" w:sz="0" w:space="0" w:color="auto"/>
                    <w:bottom w:val="none" w:sz="0" w:space="0" w:color="auto"/>
                    <w:right w:val="none" w:sz="0" w:space="0" w:color="auto"/>
                  </w:divBdr>
                  <w:divsChild>
                    <w:div w:id="186439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182572">
              <w:marLeft w:val="0"/>
              <w:marRight w:val="0"/>
              <w:marTop w:val="0"/>
              <w:marBottom w:val="0"/>
              <w:divBdr>
                <w:top w:val="none" w:sz="0" w:space="0" w:color="auto"/>
                <w:left w:val="none" w:sz="0" w:space="0" w:color="auto"/>
                <w:bottom w:val="none" w:sz="0" w:space="0" w:color="auto"/>
                <w:right w:val="none" w:sz="0" w:space="0" w:color="auto"/>
              </w:divBdr>
              <w:divsChild>
                <w:div w:id="1009719491">
                  <w:marLeft w:val="0"/>
                  <w:marRight w:val="0"/>
                  <w:marTop w:val="900"/>
                  <w:marBottom w:val="600"/>
                  <w:divBdr>
                    <w:top w:val="none" w:sz="0" w:space="0" w:color="auto"/>
                    <w:left w:val="none" w:sz="0" w:space="0" w:color="auto"/>
                    <w:bottom w:val="none" w:sz="0" w:space="0" w:color="auto"/>
                    <w:right w:val="none" w:sz="0" w:space="0" w:color="auto"/>
                  </w:divBdr>
                </w:div>
                <w:div w:id="459343723">
                  <w:marLeft w:val="0"/>
                  <w:marRight w:val="0"/>
                  <w:marTop w:val="0"/>
                  <w:marBottom w:val="0"/>
                  <w:divBdr>
                    <w:top w:val="none" w:sz="0" w:space="0" w:color="auto"/>
                    <w:left w:val="none" w:sz="0" w:space="0" w:color="auto"/>
                    <w:bottom w:val="none" w:sz="0" w:space="0" w:color="auto"/>
                    <w:right w:val="none" w:sz="0" w:space="0" w:color="auto"/>
                  </w:divBdr>
                  <w:divsChild>
                    <w:div w:id="31484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227264">
              <w:marLeft w:val="0"/>
              <w:marRight w:val="0"/>
              <w:marTop w:val="0"/>
              <w:marBottom w:val="0"/>
              <w:divBdr>
                <w:top w:val="none" w:sz="0" w:space="0" w:color="auto"/>
                <w:left w:val="none" w:sz="0" w:space="0" w:color="auto"/>
                <w:bottom w:val="none" w:sz="0" w:space="0" w:color="auto"/>
                <w:right w:val="none" w:sz="0" w:space="0" w:color="auto"/>
              </w:divBdr>
              <w:divsChild>
                <w:div w:id="1796025271">
                  <w:marLeft w:val="0"/>
                  <w:marRight w:val="0"/>
                  <w:marTop w:val="900"/>
                  <w:marBottom w:val="600"/>
                  <w:divBdr>
                    <w:top w:val="none" w:sz="0" w:space="0" w:color="auto"/>
                    <w:left w:val="none" w:sz="0" w:space="0" w:color="auto"/>
                    <w:bottom w:val="none" w:sz="0" w:space="0" w:color="auto"/>
                    <w:right w:val="none" w:sz="0" w:space="0" w:color="auto"/>
                  </w:divBdr>
                </w:div>
                <w:div w:id="2102333497">
                  <w:marLeft w:val="0"/>
                  <w:marRight w:val="0"/>
                  <w:marTop w:val="0"/>
                  <w:marBottom w:val="0"/>
                  <w:divBdr>
                    <w:top w:val="none" w:sz="0" w:space="0" w:color="auto"/>
                    <w:left w:val="none" w:sz="0" w:space="0" w:color="auto"/>
                    <w:bottom w:val="none" w:sz="0" w:space="0" w:color="auto"/>
                    <w:right w:val="none" w:sz="0" w:space="0" w:color="auto"/>
                  </w:divBdr>
                  <w:divsChild>
                    <w:div w:id="37011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normativ.kontur.ru/document?moduleId=1&amp;amp;amp;documentId=25005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ormativ.kontur.ru/document?moduleId=1&amp;amp;amp;documentId=71591" TargetMode="External"/><Relationship Id="rId5" Type="http://schemas.openxmlformats.org/officeDocument/2006/relationships/hyperlink" Target="http://grls.rosminzdrav.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43</Pages>
  <Words>11652</Words>
  <Characters>66421</Characters>
  <Application>Microsoft Office Word</Application>
  <DocSecurity>0</DocSecurity>
  <Lines>553</Lines>
  <Paragraphs>155</Paragraphs>
  <ScaleCrop>false</ScaleCrop>
  <Company/>
  <LinksUpToDate>false</LinksUpToDate>
  <CharactersWithSpaces>77918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2026-05-06T13:59:00Z</dcterms:created>
  <dcterms:modified xsi:type="dcterms:W3CDTF">2026-05-06T13:59:00Z</dcterms:modified>
</cp:coreProperties>
</file>