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47FE3" w:rsidRDefault="005F4898">
      <w:pPr>
        <w:spacing w:after="0" w:line="259" w:lineRule="auto"/>
        <w:ind w:left="-1701" w:right="11207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12</wp:posOffset>
                </wp:positionV>
                <wp:extent cx="7559993" cy="10691635"/>
                <wp:effectExtent l="0" t="0" r="0" b="0"/>
                <wp:wrapTopAndBottom/>
                <wp:docPr id="47568" name="Group 475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993" cy="10691635"/>
                          <a:chOff x="0" y="0"/>
                          <a:chExt cx="7559993" cy="10691635"/>
                        </a:xfrm>
                      </wpg:grpSpPr>
                      <wps:wsp>
                        <wps:cNvPr id="63487" name="Shape 63487"/>
                        <wps:cNvSpPr/>
                        <wps:spPr>
                          <a:xfrm>
                            <a:off x="0" y="0"/>
                            <a:ext cx="7559993" cy="106916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993" h="10691635">
                                <a:moveTo>
                                  <a:pt x="0" y="0"/>
                                </a:moveTo>
                                <a:lnTo>
                                  <a:pt x="7559993" y="0"/>
                                </a:lnTo>
                                <a:lnTo>
                                  <a:pt x="7559993" y="10691635"/>
                                </a:lnTo>
                                <a:lnTo>
                                  <a:pt x="0" y="106916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B595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380365" y="361951"/>
                            <a:ext cx="6810375" cy="9982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10375" h="9982200">
                                <a:moveTo>
                                  <a:pt x="0" y="0"/>
                                </a:moveTo>
                                <a:lnTo>
                                  <a:pt x="6810375" y="0"/>
                                </a:lnTo>
                                <a:lnTo>
                                  <a:pt x="6810375" y="9982200"/>
                                </a:lnTo>
                                <a:lnTo>
                                  <a:pt x="3405505" y="9982200"/>
                                </a:lnTo>
                                <a:lnTo>
                                  <a:pt x="0" y="9982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Rectangle 10"/>
                        <wps:cNvSpPr/>
                        <wps:spPr>
                          <a:xfrm>
                            <a:off x="777875" y="9775049"/>
                            <a:ext cx="8000423" cy="1870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Одобрено на заседании научно-практического совета Министерства здравоохранения Российской Федерации»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3253105" y="3672290"/>
                            <a:ext cx="1278582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808080"/>
                                </w:rPr>
                                <w:t xml:space="preserve">Клинические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4215130" y="3672290"/>
                            <a:ext cx="1319120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767171"/>
                                </w:rPr>
                                <w:t>рекомендации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2414905" y="3940119"/>
                            <a:ext cx="4827482" cy="411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>Трофобластические опухоли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729740" y="4388570"/>
                            <a:ext cx="2889983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808080"/>
                                </w:rPr>
                                <w:t>Кодирование по Международной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903980" y="4388570"/>
                            <a:ext cx="50673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80808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228725" y="4589865"/>
                            <a:ext cx="3555015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808080"/>
                                </w:rPr>
                                <w:t>статистической классификации болезней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903980" y="4589865"/>
                            <a:ext cx="50673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80808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543050" y="4791160"/>
                            <a:ext cx="3137875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808080"/>
                                </w:rPr>
                                <w:t>и проблем, связанных со здоровьем: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3903980" y="4791160"/>
                            <a:ext cx="50673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80808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4040505" y="4791160"/>
                            <a:ext cx="337685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C58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4040505" y="4992455"/>
                            <a:ext cx="50673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2642235" y="5193750"/>
                            <a:ext cx="1676466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767171"/>
                                </w:rPr>
                                <w:t>Возрастная группа: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3903980" y="5193750"/>
                            <a:ext cx="50673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76717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040505" y="5193750"/>
                            <a:ext cx="795161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взрослые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739390" y="5525220"/>
                            <a:ext cx="1547554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808080"/>
                                </w:rPr>
                                <w:t>Год утверждения: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4040505" y="5525220"/>
                            <a:ext cx="202692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1149985" y="5856690"/>
                            <a:ext cx="1075078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808080"/>
                                </w:rPr>
                                <w:t>Разработчик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1958975" y="5856690"/>
                            <a:ext cx="108440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808080"/>
                                </w:rPr>
                                <w:t>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040255" y="5856690"/>
                            <a:ext cx="2342309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808080"/>
                                </w:rPr>
                                <w:t xml:space="preserve"> клинических рекомендаци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803015" y="5856690"/>
                            <a:ext cx="108440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808080"/>
                                </w:rPr>
                                <w:t>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884295" y="5856690"/>
                            <a:ext cx="56146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808080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926840" y="5856690"/>
                            <a:ext cx="50673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80808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344295" y="6112327"/>
                            <a:ext cx="93036" cy="2483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Segoe UI Symbol" w:eastAsia="Segoe UI Symbol" w:hAnsi="Segoe UI Symbol" w:cs="Segoe UI Symbol"/>
                                </w:rPr>
                                <w:t>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1524000" y="6129740"/>
                            <a:ext cx="6148054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Общероссийский национальный союз "Ассоциация онкологов России"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1344295" y="6392861"/>
                            <a:ext cx="108542" cy="289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Segoe UI Symbol" w:eastAsia="Segoe UI Symbol" w:hAnsi="Segoe UI Symbol" w:cs="Segoe UI Symbol"/>
                                  <w:sz w:val="28"/>
                                </w:rPr>
                                <w:t>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1524000" y="6435810"/>
                            <a:ext cx="7067060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Общероссийская общественная организация "Российское общество клинической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1524000" y="6704415"/>
                            <a:ext cx="994610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онкологии"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1344295" y="6961186"/>
                            <a:ext cx="108542" cy="289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Segoe UI Symbol" w:eastAsia="Segoe UI Symbol" w:hAnsi="Segoe UI Symbol" w:cs="Segoe UI Symbol"/>
                                  <w:sz w:val="28"/>
                                </w:rPr>
                                <w:t>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1524000" y="7004136"/>
                            <a:ext cx="7081856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Общероссийская общественная организация "Российское общество специалистов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6853556" y="7004136"/>
                            <a:ext cx="50673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1524000" y="7272740"/>
                            <a:ext cx="5640311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по профилактике и лечению опухолей репродуктивной системы"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2360295" y="1293764"/>
                            <a:ext cx="789823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Утверждено: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1584960" y="1469024"/>
                            <a:ext cx="1819499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>Общеросс</w:t>
                              </w:r>
                              <w:r>
                                <w:rPr>
                                  <w:sz w:val="16"/>
                                </w:rPr>
                                <w:t>ийская общественная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2954655" y="1469024"/>
                            <a:ext cx="33782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1414145" y="1644283"/>
                            <a:ext cx="2047325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>организация "Российское общество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2954655" y="1644283"/>
                            <a:ext cx="33782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512570" y="1819543"/>
                            <a:ext cx="1916385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>специалистов по профилактике 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2954655" y="1819543"/>
                            <a:ext cx="33782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1409700" y="1994803"/>
                            <a:ext cx="2053675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>лечению опухолей репродуктивной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2954655" y="1994803"/>
                            <a:ext cx="33782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2546350" y="2170064"/>
                            <a:ext cx="542134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>системы"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2954655" y="2170064"/>
                            <a:ext cx="33782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1684655" y="2520583"/>
                            <a:ext cx="1689100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>_________________________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644650" y="2695843"/>
                            <a:ext cx="777932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 xml:space="preserve">                м.п.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4244340" y="1293764"/>
                            <a:ext cx="789823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Утверждено: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4103370" y="1469024"/>
                            <a:ext cx="976840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>Общероссийская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4838700" y="1469024"/>
                            <a:ext cx="33782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3666490" y="1644283"/>
                            <a:ext cx="1557351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>общественная организация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4838700" y="1644283"/>
                            <a:ext cx="33782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3861435" y="1819543"/>
                            <a:ext cx="1298985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>"Российское общество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4838700" y="1819543"/>
                            <a:ext cx="33782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3755390" y="1994803"/>
                            <a:ext cx="1439519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>клинической онкологии"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3568700" y="2520583"/>
                            <a:ext cx="1689100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>_________________________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4100830" y="2695843"/>
                            <a:ext cx="237420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м.п.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6314440" y="1293764"/>
                            <a:ext cx="789823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Утверждено: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5261610" y="1469024"/>
                            <a:ext cx="2189345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>Общероссийский национальный союз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6908800" y="1469024"/>
                            <a:ext cx="33782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5497830" y="1644283"/>
                            <a:ext cx="1875307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6"/>
                                </w:rPr>
                                <w:t>"Ассоциация онкологов России"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5283200" y="2520583"/>
                            <a:ext cx="405384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______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5588000" y="2520583"/>
                            <a:ext cx="810768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____________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6197600" y="2520583"/>
                            <a:ext cx="945896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______________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6908800" y="2520583"/>
                            <a:ext cx="33782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6730365" y="2695843"/>
                            <a:ext cx="237419" cy="149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47FE3" w:rsidRDefault="005F489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м.п.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7568" style="width:595.275pt;height:841.861pt;position:absolute;mso-position-horizontal-relative:page;mso-position-horizontal:absolute;margin-left:0pt;mso-position-vertical-relative:page;margin-top:0.000976563pt;" coordsize="75599,106916">
                <v:shape id="Shape 63488" style="position:absolute;width:75599;height:106916;left:0;top:0;" coordsize="7559993,10691635" path="m0,0l7559993,0l7559993,10691635l0,10691635l0,0">
                  <v:stroke weight="0pt" endcap="flat" joinstyle="miter" miterlimit="10" on="false" color="#000000" opacity="0"/>
                  <v:fill on="true" color="#0b595d"/>
                </v:shape>
                <v:shape id="Shape 8" style="position:absolute;width:68103;height:99822;left:3803;top:3619;" coordsize="6810375,9982200" path="m0,0l6810375,0l6810375,9982200l3405505,9982200l0,9982200l0,0x">
                  <v:stroke weight="0pt" endcap="flat" joinstyle="miter" miterlimit="10" on="false" color="#000000" opacity="0"/>
                  <v:fill on="true" color="#ffffff"/>
                </v:shape>
                <v:rect id="Rectangle 10" style="position:absolute;width:80004;height:1870;left:7778;top:977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Одобрено на заседании научно-практического совета Министерства здравоохранения Российской Федерации»</w:t>
                        </w:r>
                      </w:p>
                    </w:txbxContent>
                  </v:textbox>
                </v:rect>
                <v:rect id="Rectangle 11" style="position:absolute;width:12785;height:2244;left:32531;top:367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color w:val="808080"/>
                          </w:rPr>
                          <w:t xml:space="preserve">Клинические </w:t>
                        </w:r>
                      </w:p>
                    </w:txbxContent>
                  </v:textbox>
                </v:rect>
                <v:rect id="Rectangle 12" style="position:absolute;width:13191;height:2244;left:42151;top:367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color w:val="767171"/>
                          </w:rPr>
                          <w:t xml:space="preserve">рекомендации</w:t>
                        </w:r>
                      </w:p>
                    </w:txbxContent>
                  </v:textbox>
                </v:rect>
                <v:rect id="Rectangle 13" style="position:absolute;width:48274;height:4115;left:24149;top:394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44"/>
                          </w:rPr>
                          <w:t xml:space="preserve">Трофобластические опухоли</w:t>
                        </w:r>
                      </w:p>
                    </w:txbxContent>
                  </v:textbox>
                </v:rect>
                <v:rect id="Rectangle 14" style="position:absolute;width:28899;height:2244;left:17297;top:438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808080"/>
                          </w:rPr>
                          <w:t xml:space="preserve">Кодирование по Международной</w:t>
                        </w:r>
                      </w:p>
                    </w:txbxContent>
                  </v:textbox>
                </v:rect>
                <v:rect id="Rectangle 15" style="position:absolute;width:506;height:2244;left:39039;top:438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80808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style="position:absolute;width:35550;height:2244;left:12287;top:458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808080"/>
                          </w:rPr>
                          <w:t xml:space="preserve">статистической классификации болезней</w:t>
                        </w:r>
                      </w:p>
                    </w:txbxContent>
                  </v:textbox>
                </v:rect>
                <v:rect id="Rectangle 17" style="position:absolute;width:506;height:2244;left:39039;top:458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80808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style="position:absolute;width:31378;height:2244;left:15430;top:479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808080"/>
                          </w:rPr>
                          <w:t xml:space="preserve">и проблем, связанных со здоровьем:</w:t>
                        </w:r>
                      </w:p>
                    </w:txbxContent>
                  </v:textbox>
                </v:rect>
                <v:rect id="Rectangle 19" style="position:absolute;width:506;height:2244;left:39039;top:479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80808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style="position:absolute;width:3376;height:2244;left:40405;top:479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C58</w:t>
                        </w:r>
                      </w:p>
                    </w:txbxContent>
                  </v:textbox>
                </v:rect>
                <v:rect id="Rectangle 21" style="position:absolute;width:506;height:2244;left:40405;top:499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2" style="position:absolute;width:16764;height:2244;left:26422;top:519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767171"/>
                          </w:rPr>
                          <w:t xml:space="preserve">Возрастная группа:</w:t>
                        </w:r>
                      </w:p>
                    </w:txbxContent>
                  </v:textbox>
                </v:rect>
                <v:rect id="Rectangle 23" style="position:absolute;width:506;height:2244;left:39039;top:519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76717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style="position:absolute;width:7951;height:2244;left:40405;top:519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взрослые</w:t>
                        </w:r>
                      </w:p>
                    </w:txbxContent>
                  </v:textbox>
                </v:rect>
                <v:rect id="Rectangle 25" style="position:absolute;width:15475;height:2244;left:27393;top:5525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808080"/>
                          </w:rPr>
                          <w:t xml:space="preserve">Год утверждения:</w:t>
                        </w:r>
                      </w:p>
                    </w:txbxContent>
                  </v:textbox>
                </v:rect>
                <v:rect id="Rectangle 26" style="position:absolute;width:2026;height:2244;left:40405;top:5525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20</w:t>
                        </w:r>
                      </w:p>
                    </w:txbxContent>
                  </v:textbox>
                </v:rect>
                <v:rect id="Rectangle 27" style="position:absolute;width:10750;height:2244;left:11499;top:585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808080"/>
                          </w:rPr>
                          <w:t xml:space="preserve">Разработчик</w:t>
                        </w:r>
                      </w:p>
                    </w:txbxContent>
                  </v:textbox>
                </v:rect>
                <v:rect id="Rectangle 28" style="position:absolute;width:1084;height:2244;left:19589;top:585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808080"/>
                          </w:rPr>
                          <w:t xml:space="preserve">и</w:t>
                        </w:r>
                      </w:p>
                    </w:txbxContent>
                  </v:textbox>
                </v:rect>
                <v:rect id="Rectangle 29" style="position:absolute;width:23423;height:2244;left:20402;top:585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808080"/>
                          </w:rPr>
                          <w:t xml:space="preserve"> клинических рекомендаци</w:t>
                        </w:r>
                      </w:p>
                    </w:txbxContent>
                  </v:textbox>
                </v:rect>
                <v:rect id="Rectangle 30" style="position:absolute;width:1084;height:2244;left:38030;top:585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808080"/>
                          </w:rPr>
                          <w:t xml:space="preserve">й</w:t>
                        </w:r>
                      </w:p>
                    </w:txbxContent>
                  </v:textbox>
                </v:rect>
                <v:rect id="Rectangle 31" style="position:absolute;width:561;height:2244;left:38842;top:585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808080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32" style="position:absolute;width:506;height:2244;left:39268;top:585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80808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style="position:absolute;width:930;height:2483;left:13442;top:6112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Segoe UI Symbol" w:hAnsi="Segoe UI Symbol" w:eastAsia="Segoe UI Symbol" w:ascii="Segoe UI Symbol"/>
                          </w:rPr>
                          <w:t xml:space="preserve">·</w:t>
                        </w:r>
                      </w:p>
                    </w:txbxContent>
                  </v:textbox>
                </v:rect>
                <v:rect id="Rectangle 34" style="position:absolute;width:61480;height:2244;left:15240;top:6129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Общероссийский национальный союз "Ассоциация онкологов России"</w:t>
                        </w:r>
                      </w:p>
                    </w:txbxContent>
                  </v:textbox>
                </v:rect>
                <v:rect id="Rectangle 35" style="position:absolute;width:1085;height:2897;left:13442;top:6392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Segoe UI Symbol" w:hAnsi="Segoe UI Symbol" w:eastAsia="Segoe UI Symbol" w:ascii="Segoe UI Symbol"/>
                            <w:sz w:val="28"/>
                          </w:rPr>
                          <w:t xml:space="preserve">·</w:t>
                        </w:r>
                      </w:p>
                    </w:txbxContent>
                  </v:textbox>
                </v:rect>
                <v:rect id="Rectangle 36" style="position:absolute;width:70670;height:2244;left:15240;top:643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Общероссийская общественная организация "Российское общество клинической </w:t>
                        </w:r>
                      </w:p>
                    </w:txbxContent>
                  </v:textbox>
                </v:rect>
                <v:rect id="Rectangle 37" style="position:absolute;width:9946;height:2244;left:15240;top:6704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онкологии"</w:t>
                        </w:r>
                      </w:p>
                    </w:txbxContent>
                  </v:textbox>
                </v:rect>
                <v:rect id="Rectangle 38" style="position:absolute;width:1085;height:2897;left:13442;top:696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Segoe UI Symbol" w:hAnsi="Segoe UI Symbol" w:eastAsia="Segoe UI Symbol" w:ascii="Segoe UI Symbol"/>
                            <w:sz w:val="28"/>
                          </w:rPr>
                          <w:t xml:space="preserve">·</w:t>
                        </w:r>
                      </w:p>
                    </w:txbxContent>
                  </v:textbox>
                </v:rect>
                <v:rect id="Rectangle 39" style="position:absolute;width:70818;height:2244;left:15240;top:700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Общероссийская общественная организация "Российское общество специалистов</w:t>
                        </w:r>
                      </w:p>
                    </w:txbxContent>
                  </v:textbox>
                </v:rect>
                <v:rect id="Rectangle 40" style="position:absolute;width:506;height:2244;left:68535;top:700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41" style="position:absolute;width:56403;height:2244;left:15240;top:727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по профилактике и лечению опухолей репродуктивной системы"</w:t>
                        </w:r>
                      </w:p>
                    </w:txbxContent>
                  </v:textbox>
                </v:rect>
                <v:rect id="Rectangle 42" style="position:absolute;width:7898;height:1496;left:23602;top:129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16"/>
                          </w:rPr>
                          <w:t xml:space="preserve">Утверждено:</w:t>
                        </w:r>
                      </w:p>
                    </w:txbxContent>
                  </v:textbox>
                </v:rect>
                <v:rect id="Rectangle 43" style="position:absolute;width:18194;height:1496;left:15849;top:146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Общероссийская общественная</w:t>
                        </w:r>
                      </w:p>
                    </w:txbxContent>
                  </v:textbox>
                </v:rect>
                <v:rect id="Rectangle 44" style="position:absolute;width:337;height:1496;left:29546;top:146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5" style="position:absolute;width:20473;height:1496;left:14141;top:1644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организация "Российское общество</w:t>
                        </w:r>
                      </w:p>
                    </w:txbxContent>
                  </v:textbox>
                </v:rect>
                <v:rect id="Rectangle 46" style="position:absolute;width:337;height:1496;left:29546;top:1644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7" style="position:absolute;width:19163;height:1496;left:15125;top:1819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специалистов по профилактике и</w:t>
                        </w:r>
                      </w:p>
                    </w:txbxContent>
                  </v:textbox>
                </v:rect>
                <v:rect id="Rectangle 48" style="position:absolute;width:337;height:1496;left:29546;top:1819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" style="position:absolute;width:20536;height:1496;left:14097;top:1994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лечению опухолей репродуктивной</w:t>
                        </w:r>
                      </w:p>
                    </w:txbxContent>
                  </v:textbox>
                </v:rect>
                <v:rect id="Rectangle 50" style="position:absolute;width:337;height:1496;left:29546;top:1994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" style="position:absolute;width:5421;height:1496;left:25463;top:2170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системы"</w:t>
                        </w:r>
                      </w:p>
                    </w:txbxContent>
                  </v:textbox>
                </v:rect>
                <v:rect id="Rectangle 52" style="position:absolute;width:337;height:1496;left:29546;top:2170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style="position:absolute;width:16891;height:1496;left:16846;top:252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_________________________</w:t>
                        </w:r>
                      </w:p>
                    </w:txbxContent>
                  </v:textbox>
                </v:rect>
                <v:rect id="Rectangle 54" style="position:absolute;width:7779;height:1496;left:16446;top:269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16"/>
                          </w:rPr>
                          <w:t xml:space="preserve">                м.п.</w:t>
                        </w:r>
                      </w:p>
                    </w:txbxContent>
                  </v:textbox>
                </v:rect>
                <v:rect id="Rectangle 55" style="position:absolute;width:7898;height:1496;left:42443;top:129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16"/>
                          </w:rPr>
                          <w:t xml:space="preserve">Утверждено:</w:t>
                        </w:r>
                      </w:p>
                    </w:txbxContent>
                  </v:textbox>
                </v:rect>
                <v:rect id="Rectangle 56" style="position:absolute;width:9768;height:1496;left:41033;top:146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Общероссийская</w:t>
                        </w:r>
                      </w:p>
                    </w:txbxContent>
                  </v:textbox>
                </v:rect>
                <v:rect id="Rectangle 57" style="position:absolute;width:337;height:1496;left:48387;top:146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" style="position:absolute;width:15573;height:1496;left:36664;top:1644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общественная организация</w:t>
                        </w:r>
                      </w:p>
                    </w:txbxContent>
                  </v:textbox>
                </v:rect>
                <v:rect id="Rectangle 59" style="position:absolute;width:337;height:1496;left:48387;top:1644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style="position:absolute;width:12989;height:1496;left:38614;top:1819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"Российское общество</w:t>
                        </w:r>
                      </w:p>
                    </w:txbxContent>
                  </v:textbox>
                </v:rect>
                <v:rect id="Rectangle 61" style="position:absolute;width:337;height:1496;left:48387;top:1819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" style="position:absolute;width:14395;height:1496;left:37553;top:1994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клинической онкологии"</w:t>
                        </w:r>
                      </w:p>
                    </w:txbxContent>
                  </v:textbox>
                </v:rect>
                <v:rect id="Rectangle 63" style="position:absolute;width:16891;height:1496;left:35687;top:252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_________________________</w:t>
                        </w:r>
                      </w:p>
                    </w:txbxContent>
                  </v:textbox>
                </v:rect>
                <v:rect id="Rectangle 64" style="position:absolute;width:2374;height:1496;left:41008;top:269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16"/>
                          </w:rPr>
                          <w:t xml:space="preserve">м.п.</w:t>
                        </w:r>
                      </w:p>
                    </w:txbxContent>
                  </v:textbox>
                </v:rect>
                <v:rect id="Rectangle 65" style="position:absolute;width:7898;height:1496;left:63144;top:129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16"/>
                          </w:rPr>
                          <w:t xml:space="preserve">Утверждено:</w:t>
                        </w:r>
                      </w:p>
                    </w:txbxContent>
                  </v:textbox>
                </v:rect>
                <v:rect id="Rectangle 66" style="position:absolute;width:21893;height:1496;left:52616;top:146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Общероссийский национальный союз</w:t>
                        </w:r>
                      </w:p>
                    </w:txbxContent>
                  </v:textbox>
                </v:rect>
                <v:rect id="Rectangle 67" style="position:absolute;width:337;height:1496;left:69088;top:146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8" style="position:absolute;width:18753;height:1496;left:54978;top:1644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6"/>
                          </w:rPr>
                          <w:t xml:space="preserve">"Ассоциация онкологов России"</w:t>
                        </w:r>
                      </w:p>
                    </w:txbxContent>
                  </v:textbox>
                </v:rect>
                <v:rect id="Rectangle 69" style="position:absolute;width:4053;height:1496;left:52832;top:252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16"/>
                          </w:rPr>
                          <w:t xml:space="preserve">______</w:t>
                        </w:r>
                      </w:p>
                    </w:txbxContent>
                  </v:textbox>
                </v:rect>
                <v:rect id="Rectangle 70" style="position:absolute;width:8107;height:1496;left:55880;top:252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16"/>
                          </w:rPr>
                          <w:t xml:space="preserve">____________</w:t>
                        </w:r>
                      </w:p>
                    </w:txbxContent>
                  </v:textbox>
                </v:rect>
                <v:rect id="Rectangle 71" style="position:absolute;width:9458;height:1496;left:61976;top:252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16"/>
                          </w:rPr>
                          <w:t xml:space="preserve">______________</w:t>
                        </w:r>
                      </w:p>
                    </w:txbxContent>
                  </v:textbox>
                </v:rect>
                <v:rect id="Rectangle 72" style="position:absolute;width:337;height:1496;left:69088;top:252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3" style="position:absolute;width:2374;height:1496;left:67303;top:269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16"/>
                          </w:rPr>
                          <w:t xml:space="preserve">м.п.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br w:type="page"/>
      </w:r>
    </w:p>
    <w:p w:rsidR="00547FE3" w:rsidRDefault="005F4898">
      <w:pPr>
        <w:pStyle w:val="Heading1"/>
        <w:spacing w:after="95" w:line="259" w:lineRule="auto"/>
      </w:pPr>
      <w:r>
        <w:lastRenderedPageBreak/>
        <w:t>Оглавление</w:t>
      </w:r>
    </w:p>
    <w:p w:rsidR="00547FE3" w:rsidRDefault="005F4898">
      <w:pPr>
        <w:spacing w:after="114" w:line="259" w:lineRule="auto"/>
        <w:ind w:left="-3" w:right="148"/>
      </w:pPr>
      <w:r>
        <w:t>Список сокращений.......................................................................................................................4</w:t>
      </w:r>
    </w:p>
    <w:p w:rsidR="00547FE3" w:rsidRDefault="005F4898">
      <w:pPr>
        <w:spacing w:after="114" w:line="259" w:lineRule="auto"/>
        <w:ind w:left="-3" w:right="148"/>
      </w:pPr>
      <w:r>
        <w:t>Термины и определения......................................................................................</w:t>
      </w:r>
      <w:r>
        <w:t>..........................5</w:t>
      </w:r>
    </w:p>
    <w:p w:rsidR="00547FE3" w:rsidRDefault="005F4898">
      <w:pPr>
        <w:numPr>
          <w:ilvl w:val="0"/>
          <w:numId w:val="1"/>
        </w:numPr>
        <w:spacing w:after="114" w:line="259" w:lineRule="auto"/>
        <w:ind w:right="148" w:hanging="240"/>
      </w:pPr>
      <w:r>
        <w:t xml:space="preserve">Краткая информация по заболеванию  или состоянию (группе заболеваний или </w:t>
      </w:r>
    </w:p>
    <w:p w:rsidR="00547FE3" w:rsidRDefault="005F4898">
      <w:pPr>
        <w:spacing w:after="114" w:line="259" w:lineRule="auto"/>
        <w:ind w:left="-3" w:right="148"/>
      </w:pPr>
      <w:r>
        <w:t>состояний)......................................................................................................................................6</w:t>
      </w:r>
    </w:p>
    <w:p w:rsidR="00547FE3" w:rsidRDefault="005F4898">
      <w:pPr>
        <w:numPr>
          <w:ilvl w:val="1"/>
          <w:numId w:val="1"/>
        </w:numPr>
        <w:spacing w:after="114" w:line="259" w:lineRule="auto"/>
        <w:ind w:right="148" w:hanging="420"/>
      </w:pPr>
      <w:r>
        <w:t>Определе</w:t>
      </w:r>
      <w:r>
        <w:t>ние заболевания или состояния (группы заболеваний или состояний)..6</w:t>
      </w:r>
    </w:p>
    <w:p w:rsidR="00547FE3" w:rsidRDefault="005F4898">
      <w:pPr>
        <w:numPr>
          <w:ilvl w:val="1"/>
          <w:numId w:val="1"/>
        </w:numPr>
        <w:spacing w:after="114" w:line="259" w:lineRule="auto"/>
        <w:ind w:right="148" w:hanging="420"/>
      </w:pPr>
      <w:r>
        <w:t xml:space="preserve">Этиология и патогенез заболевания или состояния (группы заболеваний или </w:t>
      </w:r>
    </w:p>
    <w:p w:rsidR="00547FE3" w:rsidRDefault="005F4898">
      <w:pPr>
        <w:spacing w:after="114" w:line="259" w:lineRule="auto"/>
        <w:ind w:left="692" w:right="148"/>
      </w:pPr>
      <w:r>
        <w:t>состояний).........................................................................................................</w:t>
      </w:r>
      <w:r>
        <w:t>..................6</w:t>
      </w:r>
    </w:p>
    <w:p w:rsidR="00547FE3" w:rsidRDefault="005F4898">
      <w:pPr>
        <w:numPr>
          <w:ilvl w:val="1"/>
          <w:numId w:val="1"/>
        </w:numPr>
        <w:spacing w:after="114" w:line="259" w:lineRule="auto"/>
        <w:ind w:right="148" w:hanging="420"/>
      </w:pPr>
      <w:r>
        <w:t xml:space="preserve">Эпидемиология заболевания или состояния (группы заболеваний или </w:t>
      </w:r>
    </w:p>
    <w:p w:rsidR="00547FE3" w:rsidRDefault="005F4898">
      <w:pPr>
        <w:spacing w:after="114" w:line="259" w:lineRule="auto"/>
        <w:ind w:left="692" w:right="148"/>
      </w:pPr>
      <w:r>
        <w:t>состояний)...........................................................................................................................8</w:t>
      </w:r>
    </w:p>
    <w:p w:rsidR="00547FE3" w:rsidRDefault="005F4898">
      <w:pPr>
        <w:numPr>
          <w:ilvl w:val="1"/>
          <w:numId w:val="1"/>
        </w:numPr>
        <w:ind w:right="148" w:hanging="420"/>
      </w:pPr>
      <w:r>
        <w:t xml:space="preserve">Особенности кодирования заболевания или состояния (группы заболеваний или состояний) по Международной статистической классификации болезней и проблем, </w:t>
      </w:r>
    </w:p>
    <w:p w:rsidR="00547FE3" w:rsidRDefault="005F4898">
      <w:pPr>
        <w:spacing w:after="114" w:line="259" w:lineRule="auto"/>
        <w:ind w:left="692" w:right="148"/>
      </w:pPr>
      <w:r>
        <w:t>связанных со здоровья…………………………………………………………………...8</w:t>
      </w:r>
    </w:p>
    <w:p w:rsidR="00547FE3" w:rsidRDefault="005F4898">
      <w:pPr>
        <w:numPr>
          <w:ilvl w:val="1"/>
          <w:numId w:val="1"/>
        </w:numPr>
        <w:spacing w:after="114" w:line="259" w:lineRule="auto"/>
        <w:ind w:right="148" w:hanging="420"/>
      </w:pPr>
      <w:r>
        <w:t>Классификация заболевания или состояния (группы забол</w:t>
      </w:r>
      <w:r>
        <w:t>еваний или состояний)</w:t>
      </w:r>
    </w:p>
    <w:p w:rsidR="00547FE3" w:rsidRDefault="005F4898">
      <w:pPr>
        <w:spacing w:after="114" w:line="259" w:lineRule="auto"/>
        <w:ind w:left="690" w:right="148"/>
      </w:pPr>
      <w:r>
        <w:t>..............................................................................................................................................9</w:t>
      </w:r>
    </w:p>
    <w:p w:rsidR="00547FE3" w:rsidRDefault="005F4898">
      <w:pPr>
        <w:numPr>
          <w:ilvl w:val="1"/>
          <w:numId w:val="1"/>
        </w:numPr>
        <w:spacing w:after="114" w:line="259" w:lineRule="auto"/>
        <w:ind w:right="148" w:hanging="420"/>
      </w:pPr>
      <w:r>
        <w:t xml:space="preserve">Клиническая картина заболевания или состояния (группы заболеваний или </w:t>
      </w:r>
    </w:p>
    <w:p w:rsidR="00547FE3" w:rsidRDefault="005F4898">
      <w:pPr>
        <w:spacing w:after="114" w:line="259" w:lineRule="auto"/>
        <w:ind w:left="692" w:right="148"/>
      </w:pPr>
      <w:r>
        <w:t>состояний).........</w:t>
      </w:r>
      <w:r>
        <w:t>................................................................................................................11</w:t>
      </w:r>
    </w:p>
    <w:p w:rsidR="00547FE3" w:rsidRDefault="005F4898">
      <w:pPr>
        <w:numPr>
          <w:ilvl w:val="0"/>
          <w:numId w:val="1"/>
        </w:numPr>
        <w:ind w:right="148" w:hanging="240"/>
      </w:pPr>
      <w:r>
        <w:t>Диагностика заболевания или состояния  (группы заболеваний или состояний), медицинские показания  и противопоказания к применению методов диа</w:t>
      </w:r>
      <w:r>
        <w:t>гностики...........11</w:t>
      </w:r>
    </w:p>
    <w:p w:rsidR="00547FE3" w:rsidRDefault="005F4898">
      <w:pPr>
        <w:numPr>
          <w:ilvl w:val="1"/>
          <w:numId w:val="1"/>
        </w:numPr>
        <w:spacing w:after="114" w:line="259" w:lineRule="auto"/>
        <w:ind w:right="148" w:hanging="420"/>
      </w:pPr>
      <w:r>
        <w:t>Жалобы и анамнез.....................................................................................................12</w:t>
      </w:r>
    </w:p>
    <w:p w:rsidR="00547FE3" w:rsidRDefault="005F4898">
      <w:pPr>
        <w:numPr>
          <w:ilvl w:val="1"/>
          <w:numId w:val="1"/>
        </w:numPr>
        <w:spacing w:after="114" w:line="259" w:lineRule="auto"/>
        <w:ind w:right="148" w:hanging="420"/>
      </w:pPr>
      <w:r>
        <w:t>Физикальное обследование......................................................................................13</w:t>
      </w:r>
    </w:p>
    <w:p w:rsidR="00547FE3" w:rsidRDefault="005F4898">
      <w:pPr>
        <w:numPr>
          <w:ilvl w:val="1"/>
          <w:numId w:val="1"/>
        </w:numPr>
        <w:spacing w:after="114" w:line="259" w:lineRule="auto"/>
        <w:ind w:right="148" w:hanging="420"/>
      </w:pPr>
      <w:r>
        <w:t>Л</w:t>
      </w:r>
      <w:r>
        <w:t>абораторные диагностические исследования…………………………………...13</w:t>
      </w:r>
    </w:p>
    <w:p w:rsidR="00547FE3" w:rsidRDefault="005F4898">
      <w:pPr>
        <w:numPr>
          <w:ilvl w:val="1"/>
          <w:numId w:val="1"/>
        </w:numPr>
        <w:spacing w:after="1" w:line="359" w:lineRule="auto"/>
        <w:ind w:right="148" w:hanging="420"/>
      </w:pPr>
      <w:r>
        <w:t>Инструментальные диагностические исследования...............................................15 3. Лечение, включая медикаментозную и немедикаментозную терапии, диетотерапию, обезболивание, медицинс</w:t>
      </w:r>
      <w:r>
        <w:t xml:space="preserve">кие показания и противопоказания к применению методов </w:t>
      </w:r>
    </w:p>
    <w:p w:rsidR="00547FE3" w:rsidRDefault="005F4898">
      <w:pPr>
        <w:spacing w:after="114" w:line="259" w:lineRule="auto"/>
        <w:ind w:left="-3" w:right="148"/>
      </w:pPr>
      <w:r>
        <w:t>лечения..........................................................................................................................................16</w:t>
      </w:r>
    </w:p>
    <w:p w:rsidR="00547FE3" w:rsidRDefault="005F4898">
      <w:pPr>
        <w:numPr>
          <w:ilvl w:val="1"/>
          <w:numId w:val="2"/>
        </w:numPr>
        <w:spacing w:after="114" w:line="259" w:lineRule="auto"/>
        <w:ind w:right="148" w:hanging="420"/>
      </w:pPr>
      <w:r>
        <w:t xml:space="preserve">Лечение полного и частичного ПЗ при нежизнеспособном </w:t>
      </w:r>
      <w:r>
        <w:t>плоде......................16</w:t>
      </w:r>
    </w:p>
    <w:p w:rsidR="00547FE3" w:rsidRDefault="005F4898">
      <w:pPr>
        <w:numPr>
          <w:ilvl w:val="1"/>
          <w:numId w:val="2"/>
        </w:numPr>
        <w:spacing w:after="114" w:line="259" w:lineRule="auto"/>
        <w:ind w:right="148" w:hanging="420"/>
      </w:pPr>
      <w:r>
        <w:t>Тактика при ПЗ и развивающейся беременности..................................................18</w:t>
      </w:r>
    </w:p>
    <w:p w:rsidR="00547FE3" w:rsidRDefault="005F4898">
      <w:pPr>
        <w:spacing w:after="114" w:line="259" w:lineRule="auto"/>
        <w:ind w:left="692" w:right="148"/>
      </w:pPr>
      <w:r>
        <w:t>3.3 Лечение злокачественных ТО...................................................................................19</w:t>
      </w:r>
    </w:p>
    <w:p w:rsidR="00547FE3" w:rsidRDefault="005F4898">
      <w:pPr>
        <w:spacing w:after="114" w:line="259" w:lineRule="auto"/>
        <w:ind w:left="692" w:right="148"/>
      </w:pPr>
      <w:r>
        <w:t>3.3.1. Консервативное лечение........................................................................................19</w:t>
      </w:r>
    </w:p>
    <w:p w:rsidR="00547FE3" w:rsidRDefault="005F4898">
      <w:pPr>
        <w:numPr>
          <w:ilvl w:val="1"/>
          <w:numId w:val="3"/>
        </w:numPr>
        <w:spacing w:after="114" w:line="259" w:lineRule="auto"/>
        <w:ind w:right="148" w:hanging="420"/>
      </w:pPr>
      <w:r>
        <w:t>Лечение больных с редкими формами ЗТО............................................................25</w:t>
      </w:r>
    </w:p>
    <w:p w:rsidR="00547FE3" w:rsidRDefault="005F4898">
      <w:pPr>
        <w:numPr>
          <w:ilvl w:val="1"/>
          <w:numId w:val="3"/>
        </w:numPr>
        <w:spacing w:after="114" w:line="259" w:lineRule="auto"/>
        <w:ind w:right="148" w:hanging="420"/>
      </w:pPr>
      <w:r>
        <w:t>Лечение пациенток с церебральными ме</w:t>
      </w:r>
      <w:r>
        <w:t>тастазами……………………………...26</w:t>
      </w:r>
    </w:p>
    <w:p w:rsidR="00547FE3" w:rsidRDefault="005F4898">
      <w:pPr>
        <w:numPr>
          <w:ilvl w:val="1"/>
          <w:numId w:val="3"/>
        </w:numPr>
        <w:spacing w:after="114" w:line="259" w:lineRule="auto"/>
        <w:ind w:right="148" w:hanging="420"/>
      </w:pPr>
      <w:r>
        <w:t>Хирургическое лечение............................................................................................27</w:t>
      </w:r>
    </w:p>
    <w:p w:rsidR="00547FE3" w:rsidRDefault="005F4898">
      <w:pPr>
        <w:numPr>
          <w:ilvl w:val="1"/>
          <w:numId w:val="3"/>
        </w:numPr>
        <w:spacing w:line="259" w:lineRule="auto"/>
        <w:ind w:right="148" w:hanging="420"/>
      </w:pPr>
      <w:r>
        <w:t>Лечение рецидивирующей ЗТО…………………………………………………...28</w:t>
      </w:r>
    </w:p>
    <w:p w:rsidR="00547FE3" w:rsidRDefault="005F4898">
      <w:pPr>
        <w:numPr>
          <w:ilvl w:val="1"/>
          <w:numId w:val="3"/>
        </w:numPr>
        <w:spacing w:after="114" w:line="259" w:lineRule="auto"/>
        <w:ind w:right="148" w:hanging="420"/>
      </w:pPr>
      <w:r>
        <w:t xml:space="preserve">Сопроводительная терапия у пациенток со злокачественными </w:t>
      </w:r>
    </w:p>
    <w:p w:rsidR="00547FE3" w:rsidRDefault="005F4898">
      <w:pPr>
        <w:spacing w:after="114" w:line="259" w:lineRule="auto"/>
        <w:ind w:left="10" w:right="159"/>
        <w:jc w:val="right"/>
      </w:pPr>
      <w:r>
        <w:t>трофобластическими опухолями………………………………………………………29</w:t>
      </w:r>
    </w:p>
    <w:p w:rsidR="00547FE3" w:rsidRDefault="005F4898">
      <w:pPr>
        <w:numPr>
          <w:ilvl w:val="0"/>
          <w:numId w:val="4"/>
        </w:numPr>
        <w:ind w:right="148" w:hanging="240"/>
      </w:pPr>
      <w:r>
        <w:t xml:space="preserve">Медицинская реабилитация и санаторно-курортное лечение, медицинские показания и противопоказания к применению методов реабилитации, в том числе основанных на </w:t>
      </w:r>
    </w:p>
    <w:p w:rsidR="00547FE3" w:rsidRDefault="005F4898">
      <w:pPr>
        <w:spacing w:after="114" w:line="259" w:lineRule="auto"/>
        <w:ind w:left="-3" w:right="148"/>
      </w:pPr>
      <w:r>
        <w:t>использовании природных лечебных факторов....</w:t>
      </w:r>
      <w:r>
        <w:t>...................................................................31</w:t>
      </w:r>
    </w:p>
    <w:p w:rsidR="00547FE3" w:rsidRDefault="005F4898">
      <w:pPr>
        <w:numPr>
          <w:ilvl w:val="1"/>
          <w:numId w:val="4"/>
        </w:numPr>
        <w:spacing w:after="114" w:line="259" w:lineRule="auto"/>
        <w:ind w:right="159" w:hanging="360"/>
        <w:jc w:val="right"/>
      </w:pPr>
      <w:r>
        <w:t>Реабилитация после хирургического лечения…………………………………….31</w:t>
      </w:r>
    </w:p>
    <w:p w:rsidR="00547FE3" w:rsidRDefault="005F4898">
      <w:pPr>
        <w:numPr>
          <w:ilvl w:val="1"/>
          <w:numId w:val="4"/>
        </w:numPr>
        <w:spacing w:after="114" w:line="259" w:lineRule="auto"/>
        <w:ind w:right="159" w:hanging="360"/>
        <w:jc w:val="right"/>
      </w:pPr>
      <w:r>
        <w:t>Реабилитация при химиотерапии.............................................................................34</w:t>
      </w:r>
    </w:p>
    <w:p w:rsidR="00547FE3" w:rsidRDefault="005F4898">
      <w:pPr>
        <w:numPr>
          <w:ilvl w:val="0"/>
          <w:numId w:val="4"/>
        </w:numPr>
        <w:spacing w:after="114" w:line="259" w:lineRule="auto"/>
        <w:ind w:right="148" w:hanging="240"/>
      </w:pPr>
      <w:r>
        <w:t>Профилактика и дис</w:t>
      </w:r>
      <w:r>
        <w:t xml:space="preserve">пансерное наблюдение, медицинские показания и </w:t>
      </w:r>
    </w:p>
    <w:p w:rsidR="00547FE3" w:rsidRDefault="005F4898">
      <w:pPr>
        <w:spacing w:after="114" w:line="259" w:lineRule="auto"/>
        <w:ind w:left="-3" w:right="148"/>
      </w:pPr>
      <w:r>
        <w:t>противопоказания к применению методов профилактики......................................................35</w:t>
      </w:r>
    </w:p>
    <w:p w:rsidR="00547FE3" w:rsidRDefault="005F4898">
      <w:pPr>
        <w:numPr>
          <w:ilvl w:val="0"/>
          <w:numId w:val="4"/>
        </w:numPr>
        <w:spacing w:after="114" w:line="259" w:lineRule="auto"/>
        <w:ind w:right="148" w:hanging="240"/>
      </w:pPr>
      <w:r>
        <w:t>Организация оказания медицинской помощи……………………………………………...37</w:t>
      </w:r>
    </w:p>
    <w:p w:rsidR="00547FE3" w:rsidRDefault="005F4898">
      <w:pPr>
        <w:spacing w:after="114" w:line="259" w:lineRule="auto"/>
        <w:ind w:left="-3" w:right="148"/>
      </w:pPr>
      <w:r>
        <w:t>Критерии</w:t>
      </w:r>
      <w:r>
        <w:rPr>
          <w:b/>
        </w:rPr>
        <w:t xml:space="preserve"> </w:t>
      </w:r>
      <w:r>
        <w:t>оценки качества медицинской</w:t>
      </w:r>
      <w:r>
        <w:rPr>
          <w:b/>
        </w:rPr>
        <w:t xml:space="preserve"> </w:t>
      </w:r>
      <w:r>
        <w:t>помощи…………………………………………...43</w:t>
      </w:r>
    </w:p>
    <w:p w:rsidR="00547FE3" w:rsidRDefault="005F4898">
      <w:pPr>
        <w:spacing w:after="114" w:line="259" w:lineRule="auto"/>
        <w:ind w:left="-3" w:right="148"/>
      </w:pPr>
      <w:r>
        <w:t xml:space="preserve">Приложение А1. Состав рабочей группы  по разработке и пересмотру клинических </w:t>
      </w:r>
    </w:p>
    <w:p w:rsidR="00547FE3" w:rsidRDefault="005F4898">
      <w:pPr>
        <w:spacing w:after="114" w:line="259" w:lineRule="auto"/>
        <w:ind w:left="-3" w:right="148"/>
      </w:pPr>
      <w:r>
        <w:t>рекомендаций...............................................................................................................................51</w:t>
      </w:r>
    </w:p>
    <w:p w:rsidR="00547FE3" w:rsidRDefault="005F4898">
      <w:pPr>
        <w:spacing w:after="1" w:line="359" w:lineRule="auto"/>
        <w:ind w:left="-13" w:right="77" w:firstLine="0"/>
        <w:jc w:val="left"/>
      </w:pPr>
      <w:r>
        <w:t>Приложен</w:t>
      </w:r>
      <w:r>
        <w:t>ие А2. Методология разработки клинических рекомендаций…………………...54</w:t>
      </w:r>
    </w:p>
    <w:p w:rsidR="00547FE3" w:rsidRDefault="005F4898">
      <w:pPr>
        <w:spacing w:after="1" w:line="359" w:lineRule="auto"/>
        <w:ind w:left="-13" w:right="77" w:firstLine="0"/>
        <w:jc w:val="left"/>
      </w:pPr>
      <w:r>
        <w:t xml:space="preserve">Приложение А3. Справочные материалы, включая соответствие показаний к применению и противопоказаний, способов применения и доз лекарственных препаратов, инструкции </w:t>
      </w:r>
    </w:p>
    <w:p w:rsidR="00547FE3" w:rsidRDefault="005F4898">
      <w:pPr>
        <w:ind w:left="-3" w:right="148"/>
      </w:pPr>
      <w:r>
        <w:t>по применению лекарствен</w:t>
      </w:r>
      <w:r>
        <w:t>ного препарата…………………………………………………...57 Приложение Б. Алгоритмы действий врача…………………………………………………..58</w:t>
      </w:r>
    </w:p>
    <w:p w:rsidR="00547FE3" w:rsidRDefault="005F4898">
      <w:pPr>
        <w:spacing w:after="114" w:line="259" w:lineRule="auto"/>
        <w:ind w:left="-3" w:right="148"/>
      </w:pPr>
      <w:r>
        <w:t>Приложение В. Информация для пациента…………………………………………………...59</w:t>
      </w:r>
    </w:p>
    <w:p w:rsidR="00547FE3" w:rsidRDefault="005F4898">
      <w:pPr>
        <w:ind w:left="-3" w:right="148"/>
      </w:pPr>
      <w:r>
        <w:t>Приложение Г1 - ГN. Шкалы оценки, вопросники и другие оценочные инструменты состояния пациент</w:t>
      </w:r>
      <w:r>
        <w:t>а, приведенные в клинических рекомендациях…………………………61</w:t>
      </w:r>
    </w:p>
    <w:p w:rsidR="00547FE3" w:rsidRDefault="005F4898">
      <w:pPr>
        <w:pStyle w:val="Heading1"/>
        <w:spacing w:after="455" w:line="259" w:lineRule="auto"/>
      </w:pPr>
      <w:r>
        <w:t>Список сокращений</w:t>
      </w:r>
    </w:p>
    <w:p w:rsidR="00547FE3" w:rsidRDefault="005F4898">
      <w:pPr>
        <w:ind w:left="721" w:right="6367"/>
      </w:pPr>
      <w:r>
        <w:t>в/в – внутривенный в/м – внутримышечный</w:t>
      </w:r>
    </w:p>
    <w:p w:rsidR="00547FE3" w:rsidRDefault="005F4898">
      <w:pPr>
        <w:spacing w:after="114" w:line="259" w:lineRule="auto"/>
        <w:ind w:left="721" w:right="148"/>
      </w:pPr>
      <w:r>
        <w:t>ЗТО – злокачественные трофобластические опухоли</w:t>
      </w:r>
    </w:p>
    <w:p w:rsidR="00547FE3" w:rsidRDefault="005F4898">
      <w:pPr>
        <w:spacing w:after="114" w:line="259" w:lineRule="auto"/>
        <w:ind w:left="721" w:right="148"/>
      </w:pPr>
      <w:r>
        <w:t>ИПЗ – инвазивный пузырный занос</w:t>
      </w:r>
    </w:p>
    <w:p w:rsidR="00547FE3" w:rsidRDefault="005F4898">
      <w:pPr>
        <w:spacing w:after="114" w:line="259" w:lineRule="auto"/>
        <w:ind w:left="721" w:right="148"/>
      </w:pPr>
      <w:r>
        <w:t>ПЗ – пузырный занос</w:t>
      </w:r>
    </w:p>
    <w:p w:rsidR="00547FE3" w:rsidRDefault="005F4898">
      <w:pPr>
        <w:spacing w:after="114" w:line="259" w:lineRule="auto"/>
        <w:ind w:left="721" w:right="148"/>
      </w:pPr>
      <w:r>
        <w:t>ППЗ – полный пузырный занос</w:t>
      </w:r>
    </w:p>
    <w:p w:rsidR="00547FE3" w:rsidRDefault="005F4898">
      <w:pPr>
        <w:spacing w:after="114" w:line="259" w:lineRule="auto"/>
        <w:ind w:left="721" w:right="148"/>
      </w:pPr>
      <w:r>
        <w:t>ЧПЗ – частичный</w:t>
      </w:r>
      <w:r>
        <w:t xml:space="preserve"> пузырный занос</w:t>
      </w:r>
    </w:p>
    <w:p w:rsidR="00547FE3" w:rsidRDefault="005F4898">
      <w:pPr>
        <w:spacing w:after="114" w:line="259" w:lineRule="auto"/>
        <w:ind w:left="721" w:right="148"/>
      </w:pPr>
      <w:r>
        <w:t>ТБ – трофобластическая болезнь</w:t>
      </w:r>
    </w:p>
    <w:p w:rsidR="00547FE3" w:rsidRDefault="005F4898">
      <w:pPr>
        <w:spacing w:after="114" w:line="259" w:lineRule="auto"/>
        <w:ind w:left="721" w:right="148"/>
      </w:pPr>
      <w:r>
        <w:t>ГТБ – гестационная трофобластическая болезнь</w:t>
      </w:r>
    </w:p>
    <w:p w:rsidR="00547FE3" w:rsidRDefault="005F4898">
      <w:pPr>
        <w:spacing w:after="114" w:line="259" w:lineRule="auto"/>
        <w:ind w:left="721" w:right="148"/>
      </w:pPr>
      <w:r>
        <w:t xml:space="preserve">Г-КСФ – гранулоцитарный колониестимулирующий фактор (L03AA </w:t>
      </w:r>
    </w:p>
    <w:p w:rsidR="00547FE3" w:rsidRDefault="005F4898">
      <w:pPr>
        <w:spacing w:after="114" w:line="259" w:lineRule="auto"/>
        <w:ind w:left="721" w:right="148"/>
      </w:pPr>
      <w:r>
        <w:t>Колониестимулирующие факторы)</w:t>
      </w:r>
    </w:p>
    <w:p w:rsidR="00547FE3" w:rsidRDefault="005F4898">
      <w:pPr>
        <w:spacing w:after="114" w:line="259" w:lineRule="auto"/>
        <w:ind w:left="721" w:right="148"/>
      </w:pPr>
      <w:r>
        <w:t>ТН – трофобластические неоплазии</w:t>
      </w:r>
    </w:p>
    <w:p w:rsidR="00547FE3" w:rsidRDefault="005F4898">
      <w:pPr>
        <w:spacing w:after="114" w:line="259" w:lineRule="auto"/>
        <w:ind w:left="721" w:right="148"/>
      </w:pPr>
      <w:r>
        <w:t>ТО – трофобластические опухоли</w:t>
      </w:r>
    </w:p>
    <w:p w:rsidR="00547FE3" w:rsidRDefault="005F4898">
      <w:pPr>
        <w:spacing w:after="114" w:line="259" w:lineRule="auto"/>
        <w:ind w:left="721" w:right="148"/>
      </w:pPr>
      <w:r>
        <w:t>ПТО – персистирующие трофобластические опухоли</w:t>
      </w:r>
    </w:p>
    <w:p w:rsidR="00547FE3" w:rsidRDefault="005F4898">
      <w:pPr>
        <w:spacing w:after="114" w:line="259" w:lineRule="auto"/>
        <w:ind w:left="721" w:right="148"/>
      </w:pPr>
      <w:r>
        <w:t>ТОПЛ – трофобластическая опухоль плацентарного ложа</w:t>
      </w:r>
    </w:p>
    <w:p w:rsidR="00547FE3" w:rsidRDefault="005F4898">
      <w:pPr>
        <w:spacing w:after="114" w:line="259" w:lineRule="auto"/>
        <w:ind w:left="721" w:right="148"/>
      </w:pPr>
      <w:r>
        <w:t>ЭТО – эпителиоидная трофобластическая опухоль</w:t>
      </w:r>
    </w:p>
    <w:p w:rsidR="00547FE3" w:rsidRDefault="005F4898">
      <w:pPr>
        <w:spacing w:after="114" w:line="259" w:lineRule="auto"/>
        <w:ind w:left="721" w:right="148"/>
      </w:pPr>
      <w:r>
        <w:t>ХК - хориокарцинома</w:t>
      </w:r>
    </w:p>
    <w:p w:rsidR="00547FE3" w:rsidRDefault="005F4898">
      <w:pPr>
        <w:spacing w:after="114" w:line="259" w:lineRule="auto"/>
        <w:ind w:left="721" w:right="148"/>
      </w:pPr>
      <w:r>
        <w:t>УЗИ – ультразвуковое исследование</w:t>
      </w:r>
    </w:p>
    <w:p w:rsidR="00547FE3" w:rsidRDefault="005F4898">
      <w:pPr>
        <w:spacing w:after="114" w:line="259" w:lineRule="auto"/>
        <w:ind w:left="721" w:right="148"/>
      </w:pPr>
      <w:r>
        <w:t xml:space="preserve">МРТ – магнитно-резонансная томография </w:t>
      </w:r>
    </w:p>
    <w:p w:rsidR="00547FE3" w:rsidRDefault="005F4898">
      <w:pPr>
        <w:spacing w:after="114" w:line="259" w:lineRule="auto"/>
        <w:ind w:left="721" w:right="148"/>
      </w:pPr>
      <w:r>
        <w:t>ХГЧ – хорионически</w:t>
      </w:r>
      <w:r>
        <w:t xml:space="preserve">й гонадотропин человека (хорионический гонадотропин </w:t>
      </w:r>
    </w:p>
    <w:p w:rsidR="00547FE3" w:rsidRDefault="005F4898">
      <w:pPr>
        <w:ind w:left="721" w:right="2837"/>
      </w:pPr>
      <w:r>
        <w:t>(общий, бета-субъединица ХГЧ) в сыворотке крови b-ХГЧ - бета-субъединица ХГЧ</w:t>
      </w:r>
    </w:p>
    <w:p w:rsidR="00547FE3" w:rsidRDefault="005F4898">
      <w:pPr>
        <w:spacing w:after="114" w:line="259" w:lineRule="auto"/>
        <w:ind w:left="721" w:right="148"/>
      </w:pPr>
      <w:r>
        <w:t>КТ – компьютерная</w:t>
      </w:r>
      <w:r>
        <w:rPr>
          <w:u w:val="single" w:color="000000"/>
        </w:rPr>
        <w:t xml:space="preserve"> томография </w:t>
      </w:r>
    </w:p>
    <w:p w:rsidR="00547FE3" w:rsidRDefault="005F4898">
      <w:pPr>
        <w:ind w:left="721" w:right="148"/>
      </w:pPr>
      <w:r>
        <w:t>ПЭТ-КТ – позитронная эмиссионная томография, совмещенная с компьютерной томографией с туморотроп</w:t>
      </w:r>
      <w:r>
        <w:t>ными РФП ЭКГ – регистрация электрокардиограммы</w:t>
      </w:r>
    </w:p>
    <w:p w:rsidR="00547FE3" w:rsidRDefault="005F4898">
      <w:pPr>
        <w:spacing w:after="114" w:line="259" w:lineRule="auto"/>
        <w:ind w:left="721" w:right="148"/>
      </w:pPr>
      <w:r>
        <w:t>ЛФК – лечебная физическая культура</w:t>
      </w:r>
    </w:p>
    <w:p w:rsidR="00547FE3" w:rsidRDefault="005F4898">
      <w:pPr>
        <w:spacing w:line="259" w:lineRule="auto"/>
        <w:ind w:left="721" w:right="148"/>
      </w:pPr>
      <w:r>
        <w:t>МКБ-10 – Международная классификация 10-го пересмотра</w:t>
      </w:r>
    </w:p>
    <w:p w:rsidR="00547FE3" w:rsidRDefault="005F4898">
      <w:pPr>
        <w:pStyle w:val="Heading1"/>
        <w:spacing w:after="455" w:line="259" w:lineRule="auto"/>
        <w:ind w:right="149"/>
      </w:pPr>
      <w:r>
        <w:t>Термины и определения</w:t>
      </w:r>
    </w:p>
    <w:p w:rsidR="00547FE3" w:rsidRDefault="005F4898">
      <w:pPr>
        <w:ind w:left="-13" w:right="148" w:firstLine="709"/>
      </w:pPr>
      <w:r>
        <w:rPr>
          <w:b/>
        </w:rPr>
        <w:t>Трофобластическая болезнь</w:t>
      </w:r>
      <w:r>
        <w:t xml:space="preserve"> (синонимы: трофобластические опухоли, трофобластические неоплазии, геста</w:t>
      </w:r>
      <w:r>
        <w:t>ционная трофобластическая болезнь) — это различные по гистологической структуре формы патологического состояния трофобласта: простой пузырный занос, инвазивный пузырный занос, хориокарцинома, опухоль плацентарного ложа и эпителиоидная трофобластическая опу</w:t>
      </w:r>
      <w:r>
        <w:t>холь, которые всегда ассоциированы с нормальной или патологической предшествующей беременностью.</w:t>
      </w:r>
    </w:p>
    <w:p w:rsidR="00547FE3" w:rsidRDefault="005F4898">
      <w:pPr>
        <w:ind w:left="-13" w:right="148" w:firstLine="709"/>
      </w:pPr>
      <w:r>
        <w:rPr>
          <w:b/>
        </w:rPr>
        <w:t>Персистирующие трофобластические опухоли</w:t>
      </w:r>
      <w:r>
        <w:t xml:space="preserve"> – результат циркуляции в организме женщины элементов трофобласта и их малигнизации после перенесенного пузырного занос</w:t>
      </w:r>
      <w:r>
        <w:t xml:space="preserve">а. </w:t>
      </w:r>
    </w:p>
    <w:p w:rsidR="00547FE3" w:rsidRDefault="005F4898">
      <w:pPr>
        <w:ind w:left="-13" w:right="148" w:firstLine="709"/>
      </w:pPr>
      <w:r>
        <w:rPr>
          <w:b/>
        </w:rPr>
        <w:t>Резистентность ЗТО</w:t>
      </w:r>
      <w:r>
        <w:t xml:space="preserve"> – лекарственная устойчивость опухоли к стандартной химиотерапии 1-й линии. </w:t>
      </w:r>
    </w:p>
    <w:p w:rsidR="00547FE3" w:rsidRDefault="005F4898">
      <w:pPr>
        <w:ind w:left="-13" w:right="148" w:firstLine="709"/>
      </w:pPr>
      <w:r>
        <w:rPr>
          <w:b/>
        </w:rPr>
        <w:t>Предреабилитация (prehabilitation)</w:t>
      </w:r>
      <w:r>
        <w:t xml:space="preserve"> – это реабилитация с момента постановки диагноза до начала лечения (хирургического лечения/химиотерапии/лучевой терапии).</w:t>
      </w:r>
    </w:p>
    <w:p w:rsidR="00547FE3" w:rsidRDefault="005F4898">
      <w:pPr>
        <w:numPr>
          <w:ilvl w:val="0"/>
          <w:numId w:val="5"/>
        </w:numPr>
        <w:ind w:right="148" w:firstLine="709"/>
      </w:pPr>
      <w:r>
        <w:rPr>
          <w:b/>
        </w:rPr>
        <w:t>этап реабилитации</w:t>
      </w:r>
      <w:r>
        <w:t xml:space="preserve"> – это реабилитация в период специализированного лечения основного заболевания (включая хирургическое лечение/химиотерапию/лучевую терапию) в отделениях медицинских организаций по профилю основного заболевания.</w:t>
      </w:r>
    </w:p>
    <w:p w:rsidR="00547FE3" w:rsidRDefault="005F4898">
      <w:pPr>
        <w:numPr>
          <w:ilvl w:val="0"/>
          <w:numId w:val="5"/>
        </w:numPr>
        <w:ind w:right="148" w:firstLine="709"/>
      </w:pPr>
      <w:r>
        <w:rPr>
          <w:b/>
        </w:rPr>
        <w:t>этап реабилитации</w:t>
      </w:r>
      <w:r>
        <w:t xml:space="preserve"> – это реабилитация в стационарных условиях медицинских организаций (реабилитационных центров, отделений реабилитации), в ранний восстановительный период течения заболевания, поздний реабилитационный период, период остаточных явлений течения заболевания.</w:t>
      </w:r>
    </w:p>
    <w:p w:rsidR="00547FE3" w:rsidRDefault="005F4898">
      <w:pPr>
        <w:numPr>
          <w:ilvl w:val="0"/>
          <w:numId w:val="5"/>
        </w:numPr>
        <w:ind w:right="148" w:firstLine="709"/>
      </w:pPr>
      <w:r>
        <w:rPr>
          <w:b/>
        </w:rPr>
        <w:t>э</w:t>
      </w:r>
      <w:r>
        <w:rPr>
          <w:b/>
        </w:rPr>
        <w:t>тап реабилитации</w:t>
      </w:r>
      <w:r>
        <w:t xml:space="preserve"> – это реабилитация в ранний и поздний реабилитационный периоды, период остаточных явлений течения заболевания в отделениях (кабинетах) реабилитации, физиотерапии, лечебной физкультуры, рефлексотерапии, мануальной терапии, психотерапии, мед</w:t>
      </w:r>
      <w:r>
        <w:t>ицинской психологии, кабинетах логопеда (учителядефектолога), оказывающих медицинскую помощь в амбулаторных условиях, дневных стационарах, а также выездными бригадами на дому (в том числе в условиях санаторнокурортных организаций).</w:t>
      </w:r>
    </w:p>
    <w:p w:rsidR="00547FE3" w:rsidRDefault="005F4898">
      <w:pPr>
        <w:pStyle w:val="Heading1"/>
        <w:ind w:left="1384" w:right="1524"/>
      </w:pPr>
      <w:r>
        <w:t>1. Краткая информация по</w:t>
      </w:r>
      <w:r>
        <w:t xml:space="preserve"> заболеванию или состоянию (группе заболеваний или состояний)</w:t>
      </w:r>
    </w:p>
    <w:p w:rsidR="00547FE3" w:rsidRDefault="005F4898">
      <w:pPr>
        <w:spacing w:after="0" w:line="357" w:lineRule="auto"/>
        <w:ind w:left="2" w:right="131" w:firstLine="707"/>
      </w:pPr>
      <w:r>
        <w:rPr>
          <w:b/>
          <w:u w:val="single" w:color="000000"/>
        </w:rPr>
        <w:t xml:space="preserve"> 1.1 Определение  заболевания или состояния (группы заболеваний или </w:t>
      </w:r>
      <w:r>
        <w:rPr>
          <w:b/>
        </w:rPr>
        <w:t xml:space="preserve"> </w:t>
      </w:r>
    </w:p>
    <w:p w:rsidR="00547FE3" w:rsidRDefault="005F4898">
      <w:pPr>
        <w:pStyle w:val="Heading2"/>
        <w:spacing w:after="0" w:line="357" w:lineRule="auto"/>
        <w:ind w:left="2" w:right="131" w:firstLine="707"/>
      </w:pPr>
      <w:r>
        <w:t>состояний)</w:t>
      </w:r>
    </w:p>
    <w:p w:rsidR="00547FE3" w:rsidRDefault="005F4898">
      <w:pPr>
        <w:ind w:left="-13" w:right="148" w:firstLine="709"/>
      </w:pPr>
      <w:r>
        <w:t>Понятие «трофобластическая болезнь» (далее – ТБ) (синонимы: трофобластические опухоли (далее – ТО), трофобластиче</w:t>
      </w:r>
      <w:r>
        <w:t>ские неоплазии (далее – ТН), гестационная трофобластическая болезнь (далее – ГТБ)) включает этиологически связанные между собой различные по морфологической структуре формы патологического состояния трофобласта: простой пузырный занос (ПЗ), инвазивный пузы</w:t>
      </w:r>
      <w:r>
        <w:t xml:space="preserve">рный занос (далее – ИПЗ), хориокарциному (далее – ХК), трофобластическую опухоль плацентарного ложа (ТОПЛ) и эпителиоидную трофобластическую опухоль (ЭТО). Источником гестационной трофобластической болезни являются компоненты хориона человека [1, 2]. </w:t>
      </w:r>
    </w:p>
    <w:p w:rsidR="00547FE3" w:rsidRDefault="005F4898">
      <w:pPr>
        <w:spacing w:after="198"/>
        <w:ind w:left="-13" w:right="148" w:firstLine="709"/>
      </w:pPr>
      <w:r>
        <w:t xml:space="preserve">ЗТО </w:t>
      </w:r>
      <w:r>
        <w:t>составляют 1 % от всех онкогинекологических опухолей и поражают женщин преимущественно репродуктивного возраста. ЗТО характеризуются высокой агрессивностью, быстрым отдаленным метастазированием и при этом высокой частотой излечения только с помощью химиоте</w:t>
      </w:r>
      <w:r>
        <w:t>рапии даже при наличии отдаленных метастазов. Репродуктивная функция после лечения сохраняется у большинства женщин, в том числе после проведения многокомпонентной химиотерапии, хотя проведение противоопухолевого лечения может вызывать преждевременное разв</w:t>
      </w:r>
      <w:r>
        <w:t>итие менопаузы [3-6].</w:t>
      </w:r>
    </w:p>
    <w:p w:rsidR="00547FE3" w:rsidRDefault="005F4898">
      <w:pPr>
        <w:spacing w:after="0" w:line="357" w:lineRule="auto"/>
        <w:ind w:left="-13" w:firstLine="697"/>
        <w:jc w:val="left"/>
      </w:pPr>
      <w:r>
        <w:rPr>
          <w:b/>
          <w:u w:val="single" w:color="000000"/>
        </w:rPr>
        <w:t xml:space="preserve"> 1.2 Этиология и патогенез </w:t>
      </w:r>
      <w:r>
        <w:rPr>
          <w:b/>
          <w:u w:val="single" w:color="000000"/>
          <w:shd w:val="clear" w:color="auto" w:fill="FFFFFF"/>
        </w:rPr>
        <w:t xml:space="preserve"> заболевания или состояния (группы заболеваний или </w:t>
      </w:r>
      <w:r>
        <w:rPr>
          <w:b/>
          <w:shd w:val="clear" w:color="auto" w:fill="FFFFFF"/>
        </w:rPr>
        <w:t xml:space="preserve"> </w:t>
      </w:r>
    </w:p>
    <w:p w:rsidR="00547FE3" w:rsidRDefault="005F4898">
      <w:pPr>
        <w:pStyle w:val="Heading2"/>
        <w:spacing w:after="0" w:line="357" w:lineRule="auto"/>
        <w:ind w:left="-13" w:firstLine="697"/>
        <w:jc w:val="left"/>
      </w:pPr>
      <w:r>
        <w:t>состояний)</w:t>
      </w:r>
    </w:p>
    <w:p w:rsidR="00547FE3" w:rsidRDefault="005F4898">
      <w:pPr>
        <w:ind w:left="-13" w:right="148" w:firstLine="709"/>
      </w:pPr>
      <w:r>
        <w:t xml:space="preserve">Развитие ТО всегда ассоциировано с предшествующей нормальной или патологической беременностью. Наиболее часто предшественником злокачественных </w:t>
      </w:r>
      <w:r>
        <w:t>ТО (ЗТО) является пузырный занос (ПЗ), полный или частичный. ПЗ - аномальная беременность с патологией эмбрионального развития в результате генетических нарушений, чаще встречается среди женщин моложе 16 и старше 45 лет. После перенесённого пузырного занос</w:t>
      </w:r>
      <w:r>
        <w:t>а риск повтора ПЗ составляет 1%, после двух ПЗ – 15-20%, риск не снижается при смене партнера. ЗТО могут возникать спустя месяцы и годы после перенесенной беременности. Выделяют два вида ПЗ: полный пузырный занос (далее – ППЗ) и частичный пузырный занос (д</w:t>
      </w:r>
      <w:r>
        <w:t>алее – ЧПЗ). ППЗ целиком несет отцовский геном, чаще всего является диплоидным и содержит 46ХХ кариотип (результат дупликации гаплоидного генома одного сперматозоида), в 5 % случаев может иметь кариотип 46 ХY (результат диспермического оплодотворения яйцек</w:t>
      </w:r>
      <w:r>
        <w:t>летки). Ядерная материнская ДНК утрачена, однако сохраняется митохондриальная материнская ДНК. При ППЗ отсутствуют элементы плода. ППЗ характеризуется диффузным отеком ворсин, различной степенью пролиферации трофобласта (от незначительной до выраженной). П</w:t>
      </w:r>
      <w:r>
        <w:t>осле эвакуации ППЗ в 15-20 % наблюдений происходит персистенция в организме матери и опухолевая трансформация элементов трофобласта с развитием персистирующих ТО [7-11].</w:t>
      </w:r>
    </w:p>
    <w:p w:rsidR="00547FE3" w:rsidRDefault="005F4898">
      <w:pPr>
        <w:ind w:left="-13" w:right="148" w:firstLine="709"/>
      </w:pPr>
      <w:r>
        <w:t>У некоторых пациенток могут встречаться рецидивирующие пузырные заносы с диплоидным на</w:t>
      </w:r>
      <w:r>
        <w:t>бором двуродительских хромосом, что обусловлено наличием специфических генетических нарушений, в т.ч. мутациями в генах NLRP7 и KHDC3L. Описаны случаи наследственной предрасположенности к развитию ТО, связанные с данными генетическими нарушениями [12]. Дос</w:t>
      </w:r>
      <w:r>
        <w:t>тижение нормальной беременности у этих женщин без использования вспомогательных репродуктивных технологий невозможно [13, 14]. Нередко самопроизвольный выкидыш малого срока беременности с хромосомной аномалией следует дифференцировать с пузырным заносом пу</w:t>
      </w:r>
      <w:r>
        <w:t>тем определения в тканях ядерного материнского белка Р57 с помощью молекулярного генотипирования, либо проточной цитометрии (исследование клеточного цикла и плоидности клеток биологического материала методом проточной цитофлуориметрии (ДНК-цитометрия), либ</w:t>
      </w:r>
      <w:r>
        <w:t>о методом гибридизации in situ (патолого-анатомическое исследование биопсийного (операционного) материала с применением метода флюоресцентной гибридизации in situ (FISH) [15]. Генотипирование полезно и при подозрении на наличие мутаций у женщин с рецидивир</w:t>
      </w:r>
      <w:r>
        <w:t>ующими ПЗ [13, 14].</w:t>
      </w:r>
    </w:p>
    <w:p w:rsidR="00547FE3" w:rsidRDefault="005F4898">
      <w:pPr>
        <w:ind w:left="-13" w:right="148" w:firstLine="709"/>
      </w:pPr>
      <w:r>
        <w:t>ЧПЗ встречается значительно реже. ЧПЗ включает как материнский, так и отцовский генетический материал, поэтому ЧПЗ почти всегда триплоидны. Чаще возникает кариотип 69ХХХ, редко – 69ХХY. При ЧПЗ обязательно присутствуют элементы плода ил</w:t>
      </w:r>
      <w:r>
        <w:t xml:space="preserve">и фетальные эритроциты. На ранних сроках беременности установить диагноз сложно. В отличие от ППЗ локальная пролиферация трофобласта выражена слабо. Частота малигнизации при ЧПЗ – 3–7 % [2, 16]. </w:t>
      </w:r>
    </w:p>
    <w:p w:rsidR="00547FE3" w:rsidRDefault="005F4898">
      <w:pPr>
        <w:ind w:left="-13" w:right="148" w:firstLine="709"/>
      </w:pPr>
      <w:r>
        <w:t>Частичный пузырный занос может сосуществовать с нормально ра</w:t>
      </w:r>
      <w:r>
        <w:t>звивающимся плодом. Полный пузырный занос может иметь место при многоплодной беременности и сосуществовать с нормально развивающимся вторым плодом. Существует возможность доносить такую беременность до рождения жизнеспособного ребенка, не подвергаясь риску</w:t>
      </w:r>
      <w:r>
        <w:t xml:space="preserve"> малигнизации. Пролонгирование таких беременностей требуют мультидисциплинарного подхода [17-19].</w:t>
      </w:r>
    </w:p>
    <w:p w:rsidR="00547FE3" w:rsidRDefault="005F4898">
      <w:pPr>
        <w:ind w:left="-13" w:right="148" w:firstLine="709"/>
      </w:pPr>
      <w:r>
        <w:t>Самой частой формой ЗТО является персистирующая ТБ, которая развивается после ПЗ и характеризуется сохранением пролиферативной активности элементов трофобласт</w:t>
      </w:r>
      <w:r>
        <w:t xml:space="preserve">а, </w:t>
      </w:r>
      <w:r>
        <w:rPr>
          <w:b/>
        </w:rPr>
        <w:t>что сопровождается повышенным или растущим уровнем бета-хорионического гонадотропина (b-ХГЧ).</w:t>
      </w:r>
      <w:r>
        <w:t xml:space="preserve"> Проявления болезни в матке, влагалище, легких и других локализациях обнаруживаются не всегда. Морфологически персистирующие ТО могут быть представлены ИПЗ, хор</w:t>
      </w:r>
      <w:r>
        <w:t>иокарциномой, ЭТО или ТОПЛ [2].</w:t>
      </w:r>
    </w:p>
    <w:p w:rsidR="00547FE3" w:rsidRDefault="005F4898">
      <w:pPr>
        <w:spacing w:after="205"/>
        <w:ind w:left="-13" w:right="148" w:firstLine="709"/>
      </w:pPr>
      <w:r>
        <w:t>ГТБ, являясь результатом генетических нарушений развития эмбриона, характеризуется двумя различными биологическими процессами: персистенцией в организме матери трофобластических клеток после завершения беременности (феномен,</w:t>
      </w:r>
      <w:r>
        <w:t xml:space="preserve"> наиболее часто встречается после ЧПЗ или ППЗ) и трофобластической малигнизацией (ИПЗ, хориокарцинома, опухоль плацентарного ложа, эпителиоидная опухоль). Заболевание может сопровождаться специфическими паранеопластическими нарушениями, возникающими в резу</w:t>
      </w:r>
      <w:r>
        <w:t>льтате гиперэкспрессии и секреции гормонов беременности, в частности хорионического гонадотропина человека (далее – ХГЧ). Этиология ГТБ включает не только хромосомные аномалии в развитии эмбриона, но и нарушения дифференцировки и пронуклеарного расщепления</w:t>
      </w:r>
      <w:r>
        <w:t>, децидуальной имплантации и инвазии миометрия, а также иммунной толерантности организма матери Злокачественная трансформация элементов трофобласта (цито-, синцитиотрофобласта, промежуточных клеток) может встречаться как во время беременности (нормальной и</w:t>
      </w:r>
      <w:r>
        <w:t xml:space="preserve"> эктопической), так и после ее завершения (роды, аборт), но наиболее часто развивается после полного пузырного заноса [7, 11, 15]. </w:t>
      </w:r>
    </w:p>
    <w:p w:rsidR="00547FE3" w:rsidRDefault="005F4898">
      <w:pPr>
        <w:spacing w:after="0" w:line="357" w:lineRule="auto"/>
        <w:ind w:left="2" w:right="131" w:firstLine="707"/>
      </w:pPr>
      <w:r>
        <w:rPr>
          <w:b/>
          <w:u w:val="single" w:color="000000"/>
        </w:rPr>
        <w:t xml:space="preserve"> 1.3 Эпидемиология  заболевания или состояния (группы заболеваний или </w:t>
      </w:r>
      <w:r>
        <w:rPr>
          <w:b/>
        </w:rPr>
        <w:t xml:space="preserve"> </w:t>
      </w:r>
    </w:p>
    <w:p w:rsidR="00547FE3" w:rsidRDefault="005F4898">
      <w:pPr>
        <w:pStyle w:val="Heading3"/>
        <w:spacing w:after="0" w:line="357" w:lineRule="auto"/>
        <w:ind w:left="2" w:right="131" w:firstLine="707"/>
      </w:pPr>
      <w:r>
        <w:t>состояний)</w:t>
      </w:r>
    </w:p>
    <w:p w:rsidR="00547FE3" w:rsidRDefault="005F4898">
      <w:pPr>
        <w:spacing w:after="412"/>
        <w:ind w:left="-13" w:right="148" w:firstLine="709"/>
      </w:pPr>
      <w:r>
        <w:t>Простой пузырный занос (полный и частичны</w:t>
      </w:r>
      <w:r>
        <w:t>й) относится к «предраковым» состояниям трофобласта, встречается в 1-3 случаях на 1000 беременностей в странах Европы, в Азиатских странах заболеваемость выше, однако в настоящее время наблюдается тенденция к росту заболеваемости в европейской популяции [1</w:t>
      </w:r>
      <w:r>
        <w:t>, 20]. В 15-20% после полного пузырного заноса и в 3-7% после частичного пузырного заноса происходит малигнизация и развитие персистирующих трофобластических опухолей, требующих проведения химиотерапии [17]. Частота встречается «редких» форм ЗТО неизвестна</w:t>
      </w:r>
      <w:r>
        <w:t>.</w:t>
      </w:r>
    </w:p>
    <w:p w:rsidR="00547FE3" w:rsidRDefault="005F4898">
      <w:pPr>
        <w:pStyle w:val="Heading3"/>
        <w:spacing w:after="0" w:line="357" w:lineRule="auto"/>
        <w:ind w:left="0" w:right="131" w:firstLine="709"/>
      </w:pPr>
      <w:r>
        <w:t xml:space="preserve"> 1.4  Особенности кодирования заболевания или состояния (группы заболеваний </w:t>
      </w:r>
      <w:r>
        <w:rPr>
          <w:u w:val="none"/>
        </w:rPr>
        <w:t xml:space="preserve"> </w:t>
      </w:r>
      <w:r>
        <w:t>или состояний) по Международной статистической классификации болезней и</w:t>
      </w:r>
      <w:r>
        <w:rPr>
          <w:u w:val="none"/>
        </w:rPr>
        <w:t xml:space="preserve"> </w:t>
      </w:r>
      <w:r>
        <w:t xml:space="preserve"> проблем, связанных со  здоровь </w:t>
      </w:r>
      <w:r>
        <w:rPr>
          <w:shd w:val="clear" w:color="auto" w:fill="FFFFFF"/>
        </w:rPr>
        <w:t xml:space="preserve">  ем</w:t>
      </w:r>
    </w:p>
    <w:p w:rsidR="00547FE3" w:rsidRDefault="005F4898">
      <w:pPr>
        <w:ind w:left="-13" w:right="148" w:firstLine="709"/>
      </w:pPr>
      <w:r>
        <w:t>Все эти состояния трофобласта являются патологическими и предшествую</w:t>
      </w:r>
      <w:r>
        <w:t xml:space="preserve">т злокачественным новообразованиям плаценты, поэтому их все в целом зачастую объединяют в группу «гестационная трофобластическая болезнь», что соответствует коду С58 по международной классификации болезней (злокачественное новообразование плаценты). </w:t>
      </w:r>
    </w:p>
    <w:p w:rsidR="00547FE3" w:rsidRDefault="005F4898">
      <w:pPr>
        <w:pStyle w:val="Heading3"/>
        <w:spacing w:after="0" w:line="357" w:lineRule="auto"/>
        <w:ind w:left="2" w:right="131" w:firstLine="707"/>
      </w:pPr>
      <w:r>
        <w:t xml:space="preserve"> 1.5 </w:t>
      </w:r>
      <w:r>
        <w:t xml:space="preserve">Классификация  заболевания или состояния (группы заболеваний или </w:t>
      </w:r>
      <w:r>
        <w:rPr>
          <w:u w:val="none"/>
        </w:rPr>
        <w:t xml:space="preserve"> </w:t>
      </w:r>
      <w:r>
        <w:t>состояний)</w:t>
      </w:r>
    </w:p>
    <w:p w:rsidR="00547FE3" w:rsidRDefault="005F4898">
      <w:pPr>
        <w:spacing w:after="245"/>
        <w:ind w:left="-13" w:right="148" w:firstLine="709"/>
      </w:pPr>
      <w:r>
        <w:t>Морфологическая классификация проводится с использованием Международной морфологической классификации ВОЗ (IARC, 5-е издание, Лион, 2020), представленной в Таблице 1 [21], подходы</w:t>
      </w:r>
      <w:r>
        <w:t xml:space="preserve"> к стадированию и определению риска развития резистентности к противоопухолевой лекарственной терапии – в Таблице 2 [22, 23]. </w:t>
      </w:r>
    </w:p>
    <w:p w:rsidR="00547FE3" w:rsidRDefault="005F4898">
      <w:pPr>
        <w:spacing w:line="259" w:lineRule="auto"/>
        <w:ind w:left="120" w:right="148"/>
      </w:pPr>
      <w:r>
        <w:rPr>
          <w:b/>
        </w:rPr>
        <w:t>Таблица 1.</w:t>
      </w:r>
      <w:r>
        <w:t xml:space="preserve"> Морфологическая классификация трофобластических опухолей</w:t>
      </w:r>
    </w:p>
    <w:tbl>
      <w:tblPr>
        <w:tblStyle w:val="TableGrid"/>
        <w:tblW w:w="9354" w:type="dxa"/>
        <w:tblInd w:w="1" w:type="dxa"/>
        <w:tblCellMar>
          <w:top w:w="14" w:type="dxa"/>
          <w:left w:w="109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2358"/>
        <w:gridCol w:w="2506"/>
        <w:gridCol w:w="2250"/>
        <w:gridCol w:w="2240"/>
      </w:tblGrid>
      <w:tr w:rsidR="00547FE3">
        <w:trPr>
          <w:trHeight w:val="836"/>
        </w:trPr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Источник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Гистологический тип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Морфологический код (МКБ-О)*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>МКБ-10</w:t>
            </w:r>
          </w:p>
        </w:tc>
      </w:tr>
      <w:tr w:rsidR="00547FE3">
        <w:trPr>
          <w:trHeight w:val="838"/>
        </w:trPr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Ворсины хориона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114" w:line="259" w:lineRule="auto"/>
              <w:ind w:left="1" w:firstLine="0"/>
            </w:pPr>
            <w:r>
              <w:t xml:space="preserve">Полный пузырный </w:t>
            </w:r>
          </w:p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>занос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9100/0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>O01</w:t>
            </w:r>
          </w:p>
        </w:tc>
      </w:tr>
      <w:tr w:rsidR="00547FE3">
        <w:trPr>
          <w:trHeight w:val="836"/>
        </w:trPr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>Частичный пузырный занос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9103/0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>O01</w:t>
            </w:r>
          </w:p>
        </w:tc>
      </w:tr>
      <w:tr w:rsidR="00547FE3">
        <w:trPr>
          <w:trHeight w:val="1252"/>
        </w:trPr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tabs>
                <w:tab w:val="center" w:pos="1719"/>
                <w:tab w:val="right" w:pos="2351"/>
              </w:tabs>
              <w:spacing w:after="120" w:line="259" w:lineRule="auto"/>
              <w:ind w:left="0" w:firstLine="0"/>
              <w:jc w:val="left"/>
            </w:pPr>
            <w:r>
              <w:t>Инвазивный</w:t>
            </w:r>
            <w:r>
              <w:tab/>
              <w:t xml:space="preserve"> </w:t>
            </w:r>
            <w:r>
              <w:tab/>
              <w:t xml:space="preserve">/ </w:t>
            </w:r>
          </w:p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>метастатический пузырный занос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9100/1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>D39</w:t>
            </w:r>
          </w:p>
        </w:tc>
      </w:tr>
      <w:tr w:rsidR="00547FE3">
        <w:trPr>
          <w:trHeight w:val="836"/>
        </w:trPr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>Атипичный ворсинчатый хорион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</w:tr>
      <w:tr w:rsidR="00547FE3">
        <w:trPr>
          <w:trHeight w:val="838"/>
        </w:trPr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Промежуточный трофобласт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>Хориокарцинома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9100/3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>C58</w:t>
            </w:r>
          </w:p>
        </w:tc>
      </w:tr>
      <w:tr w:rsidR="00547FE3">
        <w:trPr>
          <w:trHeight w:val="1250"/>
        </w:trPr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>Трофобластическая опухоль плацентарного ложа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9104/1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>D39</w:t>
            </w:r>
          </w:p>
        </w:tc>
      </w:tr>
      <w:tr w:rsidR="00547FE3">
        <w:trPr>
          <w:trHeight w:val="1252"/>
        </w:trPr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>Гиперэргическая реакция плацентарного ложа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>-</w:t>
            </w:r>
          </w:p>
        </w:tc>
      </w:tr>
      <w:tr w:rsidR="00547FE3">
        <w:trPr>
          <w:trHeight w:val="1250"/>
        </w:trPr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>Эпителиоидная трофобластическая опухоль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9105/3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>C58</w:t>
            </w:r>
          </w:p>
        </w:tc>
      </w:tr>
      <w:tr w:rsidR="00547FE3">
        <w:trPr>
          <w:trHeight w:val="1666"/>
        </w:trPr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right="61" w:firstLine="0"/>
            </w:pPr>
            <w:r>
              <w:t>Узел плацентарного ложа/ атипический узел плацентарного ложа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>-</w:t>
            </w:r>
          </w:p>
        </w:tc>
      </w:tr>
      <w:tr w:rsidR="00547FE3">
        <w:trPr>
          <w:trHeight w:val="422"/>
        </w:trPr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 xml:space="preserve">Смешанные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" w:firstLine="0"/>
              <w:jc w:val="left"/>
            </w:pPr>
            <w:r>
              <w:t>-</w:t>
            </w:r>
          </w:p>
        </w:tc>
      </w:tr>
      <w:tr w:rsidR="00547FE3">
        <w:trPr>
          <w:trHeight w:val="838"/>
        </w:trPr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трофобластические опухоли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547FE3" w:rsidRDefault="005F4898">
      <w:pPr>
        <w:ind w:left="120" w:right="148"/>
      </w:pPr>
      <w:r>
        <w:t>*Цифра под дробью“/” означает: 0 — доброкачественная (опухоль), 1 — пограничная (опухоль), 3 — злокачественная (опухоль).</w:t>
      </w:r>
    </w:p>
    <w:p w:rsidR="00547FE3" w:rsidRDefault="005F4898">
      <w:pPr>
        <w:spacing w:after="299" w:line="351" w:lineRule="auto"/>
        <w:ind w:left="110" w:right="288" w:firstLine="0"/>
      </w:pPr>
      <w:r>
        <w:rPr>
          <w:i/>
        </w:rPr>
        <w:t xml:space="preserve">Примечание: для уточняющей диагностики, в т.ч. уточнения диагноза ЧПЗ, </w:t>
      </w:r>
      <w:r>
        <w:rPr>
          <w:i/>
        </w:rPr>
        <w:t xml:space="preserve">дифференциальной диагностики гестационных и негестационных хориокарцином может потребоваться генотипирование </w:t>
      </w:r>
      <w:r>
        <w:rPr>
          <w:sz w:val="22"/>
          <w:vertAlign w:val="superscript"/>
        </w:rPr>
        <w:t>24</w:t>
      </w:r>
    </w:p>
    <w:p w:rsidR="00547FE3" w:rsidRDefault="005F4898">
      <w:pPr>
        <w:tabs>
          <w:tab w:val="center" w:pos="4712"/>
          <w:tab w:val="center" w:pos="8260"/>
          <w:tab w:val="right" w:pos="9506"/>
        </w:tabs>
        <w:spacing w:after="120" w:line="259" w:lineRule="auto"/>
        <w:ind w:left="-13" w:firstLine="0"/>
        <w:jc w:val="left"/>
      </w:pPr>
      <w:r>
        <w:rPr>
          <w:b/>
        </w:rPr>
        <w:t>Таблица 2.</w:t>
      </w:r>
      <w:r>
        <w:t xml:space="preserve"> </w:t>
      </w:r>
      <w:r>
        <w:tab/>
        <w:t>Классификация трофобластических новообразований</w:t>
      </w:r>
      <w:r>
        <w:tab/>
        <w:t xml:space="preserve"> FIGO </w:t>
      </w:r>
      <w:r>
        <w:tab/>
        <w:t xml:space="preserve">2000 </w:t>
      </w:r>
    </w:p>
    <w:p w:rsidR="00547FE3" w:rsidRDefault="005F4898">
      <w:pPr>
        <w:spacing w:line="259" w:lineRule="auto"/>
        <w:ind w:left="-3" w:right="148"/>
      </w:pPr>
      <w:r>
        <w:t>(объединенная классификация FIGO и WHO, 2000 г.)</w:t>
      </w:r>
    </w:p>
    <w:tbl>
      <w:tblPr>
        <w:tblStyle w:val="TableGrid"/>
        <w:tblW w:w="9350" w:type="dxa"/>
        <w:tblInd w:w="5" w:type="dxa"/>
        <w:tblCellMar>
          <w:top w:w="15" w:type="dxa"/>
          <w:left w:w="110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2704"/>
        <w:gridCol w:w="1552"/>
        <w:gridCol w:w="1586"/>
        <w:gridCol w:w="1908"/>
        <w:gridCol w:w="1600"/>
      </w:tblGrid>
      <w:tr w:rsidR="00547FE3">
        <w:trPr>
          <w:trHeight w:val="286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Стадия</w:t>
            </w:r>
          </w:p>
        </w:tc>
        <w:tc>
          <w:tcPr>
            <w:tcW w:w="6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>Локализация новообразования</w:t>
            </w:r>
          </w:p>
        </w:tc>
      </w:tr>
      <w:tr w:rsidR="00547FE3">
        <w:trPr>
          <w:trHeight w:val="286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I</w:t>
            </w:r>
          </w:p>
        </w:tc>
        <w:tc>
          <w:tcPr>
            <w:tcW w:w="6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Опухоль локализована в матке</w:t>
            </w:r>
          </w:p>
        </w:tc>
      </w:tr>
      <w:tr w:rsidR="00547FE3">
        <w:trPr>
          <w:trHeight w:val="83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II</w:t>
            </w:r>
          </w:p>
        </w:tc>
        <w:tc>
          <w:tcPr>
            <w:tcW w:w="6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9" w:firstLine="0"/>
            </w:pPr>
            <w:r>
              <w:t>Опухоль распространяется за пределы матки, но ограничена половыми органами (придатки, широкая связка матки, влагалище)</w:t>
            </w:r>
          </w:p>
        </w:tc>
      </w:tr>
      <w:tr w:rsidR="00547FE3">
        <w:trPr>
          <w:trHeight w:val="562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III</w:t>
            </w:r>
          </w:p>
        </w:tc>
        <w:tc>
          <w:tcPr>
            <w:tcW w:w="6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</w:pPr>
            <w:r>
              <w:t xml:space="preserve">Метастазы в легких с поражением половых органов или без него </w:t>
            </w:r>
          </w:p>
        </w:tc>
      </w:tr>
      <w:tr w:rsidR="00547FE3">
        <w:trPr>
          <w:trHeight w:val="286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IV</w:t>
            </w:r>
          </w:p>
        </w:tc>
        <w:tc>
          <w:tcPr>
            <w:tcW w:w="6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Другие отдаленные метастазы</w:t>
            </w:r>
          </w:p>
        </w:tc>
      </w:tr>
      <w:tr w:rsidR="00547FE3">
        <w:trPr>
          <w:trHeight w:val="286"/>
        </w:trPr>
        <w:tc>
          <w:tcPr>
            <w:tcW w:w="9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>Количество баллов</w:t>
            </w:r>
          </w:p>
        </w:tc>
      </w:tr>
      <w:tr w:rsidR="00547FE3">
        <w:trPr>
          <w:trHeight w:val="286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Показатель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>0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2" w:firstLine="0"/>
              <w:jc w:val="center"/>
            </w:pPr>
            <w:r>
              <w:t>1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>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>4</w:t>
            </w:r>
          </w:p>
        </w:tc>
      </w:tr>
      <w:tr w:rsidR="00547FE3">
        <w:trPr>
          <w:trHeight w:val="286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Возраст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>&lt;40 лет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2" w:firstLine="0"/>
              <w:jc w:val="center"/>
            </w:pPr>
            <w:r>
              <w:rPr>
                <w:u w:val="single" w:color="000000"/>
              </w:rPr>
              <w:t>&gt;</w:t>
            </w:r>
            <w:r>
              <w:t>40 лет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>–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>–</w:t>
            </w:r>
          </w:p>
        </w:tc>
      </w:tr>
      <w:tr w:rsidR="00547FE3">
        <w:trPr>
          <w:trHeight w:val="83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36" w:firstLine="0"/>
              <w:jc w:val="left"/>
            </w:pPr>
            <w:r>
              <w:t>Исход предшествующей беременности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firstLine="0"/>
              <w:jc w:val="center"/>
            </w:pPr>
            <w:r>
              <w:t>Пузырный занос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2" w:firstLine="0"/>
              <w:jc w:val="center"/>
            </w:pPr>
            <w:r>
              <w:t>Аборт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2" w:firstLine="0"/>
              <w:jc w:val="center"/>
            </w:pPr>
            <w:r>
              <w:t>Роды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>–</w:t>
            </w:r>
          </w:p>
        </w:tc>
      </w:tr>
      <w:tr w:rsidR="00547FE3">
        <w:trPr>
          <w:trHeight w:val="286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Интервал*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&lt;4 мес.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2" w:firstLine="0"/>
              <w:jc w:val="center"/>
            </w:pPr>
            <w:r>
              <w:t>4–6 мес.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2" w:firstLine="0"/>
              <w:jc w:val="center"/>
            </w:pPr>
            <w:r>
              <w:t>7–12 мес.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&gt;12 мес.</w:t>
            </w:r>
          </w:p>
        </w:tc>
      </w:tr>
      <w:tr w:rsidR="00547FE3">
        <w:trPr>
          <w:trHeight w:val="562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Уровень b-ХГЧ (мЕд/мл)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&lt;10</w:t>
            </w:r>
            <w:r>
              <w:rPr>
                <w:sz w:val="22"/>
                <w:vertAlign w:val="superscript"/>
              </w:rPr>
              <w:t>3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2" w:firstLine="0"/>
              <w:jc w:val="center"/>
            </w:pPr>
            <w:r>
              <w:t>10</w:t>
            </w:r>
            <w:r>
              <w:rPr>
                <w:sz w:val="22"/>
                <w:vertAlign w:val="superscript"/>
              </w:rPr>
              <w:t>3</w:t>
            </w:r>
            <w:r>
              <w:t xml:space="preserve">–10 </w:t>
            </w:r>
            <w:r>
              <w:rPr>
                <w:sz w:val="22"/>
                <w:vertAlign w:val="superscript"/>
              </w:rP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>10</w:t>
            </w:r>
            <w:r>
              <w:rPr>
                <w:sz w:val="22"/>
                <w:vertAlign w:val="superscript"/>
              </w:rPr>
              <w:t>4</w:t>
            </w:r>
            <w:r>
              <w:t>–10</w:t>
            </w:r>
            <w:r>
              <w:rPr>
                <w:sz w:val="22"/>
                <w:vertAlign w:val="superscript"/>
              </w:rPr>
              <w:t>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rPr>
                <w:u w:val="single" w:color="000000"/>
              </w:rPr>
              <w:t>&gt;</w:t>
            </w:r>
            <w:r>
              <w:t xml:space="preserve"> 10</w:t>
            </w:r>
            <w:r>
              <w:rPr>
                <w:sz w:val="22"/>
                <w:vertAlign w:val="superscript"/>
              </w:rPr>
              <w:t>5</w:t>
            </w:r>
          </w:p>
        </w:tc>
      </w:tr>
      <w:tr w:rsidR="00547FE3">
        <w:trPr>
          <w:trHeight w:val="83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Размер наибольшей опухоли, включая опухоль матки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&lt;3 см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2" w:firstLine="0"/>
              <w:jc w:val="center"/>
            </w:pPr>
            <w:r>
              <w:t>3–5 см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&gt;5 см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>–</w:t>
            </w:r>
          </w:p>
        </w:tc>
      </w:tr>
      <w:tr w:rsidR="00547FE3">
        <w:trPr>
          <w:trHeight w:val="838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52" w:firstLine="0"/>
              <w:jc w:val="left"/>
            </w:pPr>
            <w:r>
              <w:t>Локализация метастазов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Легкие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firstLine="0"/>
              <w:jc w:val="center"/>
            </w:pPr>
            <w:r>
              <w:t>Селезенка, почки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firstLine="0"/>
              <w:jc w:val="center"/>
            </w:pPr>
            <w:r>
              <w:t>Желудочнокишечный тракт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center"/>
            </w:pPr>
            <w:r>
              <w:t>Печень, головной мозг</w:t>
            </w:r>
          </w:p>
        </w:tc>
      </w:tr>
      <w:tr w:rsidR="00547FE3">
        <w:trPr>
          <w:trHeight w:val="286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Количество метастазов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>0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2" w:firstLine="0"/>
              <w:jc w:val="center"/>
            </w:pPr>
            <w:r>
              <w:t>1–4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>5–8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&gt; 8</w:t>
            </w:r>
          </w:p>
        </w:tc>
      </w:tr>
      <w:tr w:rsidR="00547FE3">
        <w:trPr>
          <w:trHeight w:val="1114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18" w:firstLine="0"/>
              <w:jc w:val="left"/>
            </w:pPr>
            <w:r>
              <w:t>Предыдущая химиотерапия (количество препаратов)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>–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2" w:firstLine="0"/>
              <w:jc w:val="center"/>
            </w:pPr>
            <w:r>
              <w:t>–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rPr>
                <w:u w:val="single" w:color="000000"/>
              </w:rPr>
              <w:t>&gt;</w:t>
            </w:r>
            <w:r>
              <w:t>2</w:t>
            </w:r>
          </w:p>
        </w:tc>
      </w:tr>
    </w:tbl>
    <w:p w:rsidR="00547FE3" w:rsidRDefault="005F4898">
      <w:pPr>
        <w:spacing w:after="215" w:line="351" w:lineRule="auto"/>
        <w:ind w:left="-13" w:right="165" w:firstLine="701"/>
      </w:pPr>
      <w:r>
        <w:rPr>
          <w:b/>
          <w:i/>
        </w:rPr>
        <w:t>Примечания.</w:t>
      </w:r>
      <w:r>
        <w:rPr>
          <w:i/>
        </w:rPr>
        <w:t xml:space="preserve"> * – Интервал между окончанием предыдущей беременности и началом химиотерапии – низкий уровень ХГЧ может быть при трофобластической опухоли на месте плаценты;</w:t>
      </w:r>
      <w:r>
        <w:rPr>
          <w:i/>
          <w:sz w:val="22"/>
          <w:vertAlign w:val="superscript"/>
        </w:rPr>
        <w:t xml:space="preserve"> </w:t>
      </w:r>
      <w:r>
        <w:rPr>
          <w:i/>
        </w:rPr>
        <w:t>нормальный уровень b-ХГЧ в сыворотке крови – 5 мЕд/мл.</w:t>
      </w:r>
    </w:p>
    <w:p w:rsidR="00547FE3" w:rsidRDefault="005F4898">
      <w:pPr>
        <w:ind w:left="-13" w:right="148" w:firstLine="709"/>
      </w:pPr>
      <w:r>
        <w:t>При сумме баллов ≤6 – низкий риск развития резистентности опухоли; ≥7 баллов – высокий [22].</w:t>
      </w:r>
    </w:p>
    <w:p w:rsidR="00547FE3" w:rsidRDefault="005F4898">
      <w:pPr>
        <w:spacing w:after="0" w:line="357" w:lineRule="auto"/>
        <w:ind w:left="-13" w:firstLine="697"/>
        <w:jc w:val="left"/>
      </w:pPr>
      <w:r>
        <w:rPr>
          <w:b/>
          <w:u w:val="single" w:color="000000"/>
        </w:rPr>
        <w:t xml:space="preserve"> 1.6 Клиническая картина </w:t>
      </w:r>
      <w:r>
        <w:rPr>
          <w:b/>
          <w:u w:val="single" w:color="000000"/>
          <w:shd w:val="clear" w:color="auto" w:fill="FFFFFF"/>
        </w:rPr>
        <w:t xml:space="preserve"> заболевания или состояния (группы заболеваний или </w:t>
      </w:r>
      <w:r>
        <w:rPr>
          <w:b/>
        </w:rPr>
        <w:t xml:space="preserve"> </w:t>
      </w:r>
    </w:p>
    <w:p w:rsidR="00547FE3" w:rsidRDefault="005F4898">
      <w:pPr>
        <w:pStyle w:val="Heading2"/>
        <w:spacing w:after="0" w:line="357" w:lineRule="auto"/>
        <w:ind w:left="-13" w:firstLine="697"/>
        <w:jc w:val="left"/>
      </w:pPr>
      <w:r>
        <w:t>состояний)</w:t>
      </w:r>
    </w:p>
    <w:p w:rsidR="00547FE3" w:rsidRDefault="005F4898">
      <w:pPr>
        <w:spacing w:after="403"/>
        <w:ind w:left="-13" w:right="148" w:firstLine="709"/>
      </w:pPr>
      <w:r>
        <w:t xml:space="preserve">К основным клиническим симптомам полного пузырного заноса, которые чаще </w:t>
      </w:r>
      <w:r>
        <w:t>выявляются в сроке 10-18 недель, относятся: влагалищное кровотечение (более 90%), несоответствие размеров матки сроку гестации: размеры матки больше срока беременности, двухсторонние тека-лютеиновые кисты, в т.ч. крупных размеров, явления токсикоза, тошнот</w:t>
      </w:r>
      <w:r>
        <w:t>а, рвота, головокружения, явления гипертиреоза. Возможно развитие осложнений опухолевого процесса: артериальная гипертензия, преэклампсия, разрыв текалютеиновых кист, перекрут ножки кисты, инфекционные осложнения, трофобластическая эмболизация с острыми ды</w:t>
      </w:r>
      <w:r>
        <w:t>хательными нарушениями, маточное кровотечение, ДВСсиндром. При частичном пузырном заносе размеры матки могут быть меньше срока гестации, возможны кровянистые выделения из половых путей в I триместре беременности, явления спонтанного аборта, сердцебиение пл</w:t>
      </w:r>
      <w:r>
        <w:t>ода отсутствует [23, 25, 26]. Возможно обнаружение УЗ-признаков пузырного заноса (многокамерные кистозные образования в проекции плаценты, тека-лютеиновые кисты яичников) при нормально развивающейся беременности. Инвазивный пузырный занос может встречаться</w:t>
      </w:r>
      <w:r>
        <w:t xml:space="preserve"> одновременно с простым (полостным) пузырным заносом. Морфологическое подтверждение возможно лишь в удаленной матке или метастатическом очаге (признаки инвазии ворсинок в миометрий и др. ткани). ИПЗ характеризуется наличием отечных ворсинок хориона, отсутс</w:t>
      </w:r>
      <w:r>
        <w:t xml:space="preserve">твием эмбриональных сосудов и вторжением пролиферирующих элементов цито- и синцитиотрофобласта в миометрий [2]. Опухоль обладает способностью к быстрой и глубокой инвазии в миометрий и может вызывать массивное внутрибрюшное кровотечение. Возможны симптомы </w:t>
      </w:r>
      <w:r>
        <w:t xml:space="preserve">беременности: тошнота, головокружение, вкусовые нарушения [2]. Спектр других возможных симптомов опухолевого процесса, связан с метастатическим поражением различных органов и систем. </w:t>
      </w:r>
    </w:p>
    <w:p w:rsidR="00547FE3" w:rsidRDefault="005F4898">
      <w:pPr>
        <w:pStyle w:val="Heading1"/>
        <w:ind w:right="149"/>
      </w:pPr>
      <w:r>
        <w:t>2. Диагностика заболевания или состояния (группы заболеваний или состоян</w:t>
      </w:r>
      <w:r>
        <w:t>ий), медицинские показания и противопоказания к применению методов диагностики</w:t>
      </w:r>
    </w:p>
    <w:p w:rsidR="00547FE3" w:rsidRDefault="005F4898">
      <w:pPr>
        <w:spacing w:after="114" w:line="259" w:lineRule="auto"/>
        <w:ind w:left="711" w:firstLine="0"/>
        <w:jc w:val="left"/>
      </w:pPr>
      <w:r>
        <w:rPr>
          <w:b/>
          <w:i/>
        </w:rPr>
        <w:t xml:space="preserve">Критерии установления диагноза/состояния: </w:t>
      </w:r>
    </w:p>
    <w:p w:rsidR="00547FE3" w:rsidRDefault="005F4898">
      <w:pPr>
        <w:spacing w:after="114" w:line="259" w:lineRule="auto"/>
        <w:ind w:left="10" w:right="159"/>
        <w:jc w:val="right"/>
      </w:pPr>
      <w:r>
        <w:t xml:space="preserve">Для постановки диагноза ЗТО достаточно наличия двух составляющих: </w:t>
      </w:r>
    </w:p>
    <w:p w:rsidR="00547FE3" w:rsidRDefault="005F4898">
      <w:pPr>
        <w:ind w:left="-3" w:right="148"/>
      </w:pPr>
      <w:r>
        <w:t>беременность (нормальная или патологическая) в анамнезе и динамичес</w:t>
      </w:r>
      <w:r>
        <w:t xml:space="preserve">кое увеличение сывороточного уровня b-ХГЧ (уровень хорионического гонадотропина (общего бета-ХГЧ в крови). Обязательная морфологическая верификация опухолевого процесса не требуется. </w:t>
      </w:r>
    </w:p>
    <w:p w:rsidR="00547FE3" w:rsidRDefault="005F4898">
      <w:pPr>
        <w:spacing w:after="49"/>
        <w:ind w:left="-13" w:right="148" w:firstLine="709"/>
      </w:pPr>
      <w:r>
        <w:t>Критерии диагноза ЗТО, необходимые для начала специфического противоопух</w:t>
      </w:r>
      <w:r>
        <w:t>олевого лечения (достаточно одного из признаков) [23, 27]:</w:t>
      </w:r>
    </w:p>
    <w:p w:rsidR="00547FE3" w:rsidRDefault="005F4898">
      <w:pPr>
        <w:spacing w:after="48"/>
        <w:ind w:left="1431" w:right="148" w:hanging="360"/>
      </w:pPr>
      <w:r>
        <w:rPr>
          <w:rFonts w:ascii="Segoe UI Symbol" w:eastAsia="Segoe UI Symbol" w:hAnsi="Segoe UI Symbol" w:cs="Segoe UI Symbol"/>
        </w:rPr>
        <w:t xml:space="preserve">· </w:t>
      </w:r>
      <w:r>
        <w:t>Плато уровня β-ХГЧ в 4 последовательных пробах в течение 3 недель после эвакуации пузырного заноса (например, 1-й, 7-й, 14-й и 21-й дни);</w:t>
      </w:r>
    </w:p>
    <w:p w:rsidR="00547FE3" w:rsidRDefault="005F4898">
      <w:pPr>
        <w:spacing w:after="48"/>
        <w:ind w:left="1431" w:hanging="360"/>
      </w:pPr>
      <w:r>
        <w:rPr>
          <w:rFonts w:ascii="Segoe UI Symbol" w:eastAsia="Segoe UI Symbol" w:hAnsi="Segoe UI Symbol" w:cs="Segoe UI Symbol"/>
        </w:rPr>
        <w:t xml:space="preserve">· </w:t>
      </w:r>
      <w:r>
        <w:t>Увеличение концентрации β-ХГЧ в 3 пробах в течение 2 не</w:t>
      </w:r>
      <w:r>
        <w:t>дель (например, 1й, 7-й, 14-й дни) после эвакуации пузырного заноса;</w:t>
      </w:r>
    </w:p>
    <w:p w:rsidR="00547FE3" w:rsidRDefault="005F4898">
      <w:pPr>
        <w:spacing w:after="48"/>
        <w:ind w:left="1431" w:hanging="360"/>
      </w:pPr>
      <w:r>
        <w:rPr>
          <w:rFonts w:ascii="Segoe UI Symbol" w:eastAsia="Segoe UI Symbol" w:hAnsi="Segoe UI Symbol" w:cs="Segoe UI Symbol"/>
        </w:rPr>
        <w:t xml:space="preserve">· </w:t>
      </w:r>
      <w:r>
        <w:t>Персистенция повышенной концентрации β-ХГЧ в течение более 6 мес. после эвакуации пузырного заноса;</w:t>
      </w:r>
    </w:p>
    <w:p w:rsidR="00547FE3" w:rsidRDefault="005F4898">
      <w:pPr>
        <w:spacing w:after="49"/>
        <w:ind w:left="1431" w:right="148" w:hanging="360"/>
      </w:pPr>
      <w:r>
        <w:rPr>
          <w:rFonts w:ascii="Segoe UI Symbol" w:eastAsia="Segoe UI Symbol" w:hAnsi="Segoe UI Symbol" w:cs="Segoe UI Symbol"/>
        </w:rPr>
        <w:t xml:space="preserve">· </w:t>
      </w:r>
      <w:r>
        <w:t xml:space="preserve">Повышенный уровень β-ХГЧ и наличие отдаленных метастазов (например, в </w:t>
      </w:r>
      <w:r>
        <w:t>легких, печени, головном мозге) при выявлении связи с предшествующей беременностью;</w:t>
      </w:r>
    </w:p>
    <w:p w:rsidR="00547FE3" w:rsidRDefault="005F4898">
      <w:pPr>
        <w:spacing w:after="326" w:line="259" w:lineRule="auto"/>
        <w:ind w:left="1081" w:right="148"/>
      </w:pPr>
      <w:r>
        <w:rPr>
          <w:rFonts w:ascii="Segoe UI Symbol" w:eastAsia="Segoe UI Symbol" w:hAnsi="Segoe UI Symbol" w:cs="Segoe UI Symbol"/>
        </w:rPr>
        <w:t xml:space="preserve">· </w:t>
      </w:r>
      <w:r>
        <w:t xml:space="preserve">Гистологически верифицированная ЗТО (хориокарцинома, ТОПЛ или ЭТО). </w:t>
      </w:r>
    </w:p>
    <w:p w:rsidR="00547FE3" w:rsidRDefault="005F4898">
      <w:pPr>
        <w:pStyle w:val="Heading2"/>
        <w:ind w:left="706" w:right="131"/>
      </w:pPr>
      <w:r>
        <w:t>2.1. Жалобы и анамнез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сбор жалоб и анамнеза у всех пациенток, обращая внимание на нарушение менструального цикла (аменорея, ациклические кровяные выделения, олигоменорея, маточные кровотечения различной интенсивности и продолжительности, выделения из влагалища пузырчатой ткани</w:t>
      </w:r>
      <w:r>
        <w:t>, боли внизу живота, одышка, тошнота, учащенное сердцебиение), возраст и др. для установления диагноза [2].</w:t>
      </w:r>
    </w:p>
    <w:p w:rsidR="00547FE3" w:rsidRDefault="005F4898">
      <w:pPr>
        <w:spacing w:after="108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5).</w:t>
      </w:r>
    </w:p>
    <w:p w:rsidR="00547FE3" w:rsidRDefault="005F4898">
      <w:pPr>
        <w:spacing w:after="286" w:line="351" w:lineRule="auto"/>
        <w:ind w:left="-13" w:right="165" w:firstLine="701"/>
      </w:pPr>
      <w:r>
        <w:rPr>
          <w:b/>
        </w:rPr>
        <w:t>Комментарий:</w:t>
      </w:r>
      <w:r>
        <w:t xml:space="preserve"> </w:t>
      </w:r>
      <w:r>
        <w:rPr>
          <w:i/>
        </w:rPr>
        <w:t>возможны жалобы на боли внизу живота, в грудной клет</w:t>
      </w:r>
      <w:r>
        <w:rPr>
          <w:i/>
        </w:rPr>
        <w:t>ке, кашель, кровохарканье, головную боль, различные проявления токсикоза беременных, явления тиреотоксикоза. В отдельных случаях пациентки самостоятельно обнаруживают метастазы во влагалище или опухоль в малом тазу, пальпируемую через переднюю брюшную стен</w:t>
      </w:r>
      <w:r>
        <w:rPr>
          <w:i/>
        </w:rPr>
        <w:t>ку. Учитывается</w:t>
      </w:r>
      <w:r>
        <w:t xml:space="preserve"> </w:t>
      </w:r>
      <w:r>
        <w:rPr>
          <w:i/>
        </w:rPr>
        <w:t>возраст пациентки, так как наиболее часто болезнь возникает у женщин репродуктивного возраста, хотя и может развиться у пациенток в перименопаузе. Обращается внимание на наличие беременности, завершенной родами, абортом (искусственным или с</w:t>
      </w:r>
      <w:r>
        <w:rPr>
          <w:i/>
        </w:rPr>
        <w:t>амопроизвольным), в том числе и эктопическим. Опухоль может возникнуть и в период развивающейся беременности. Пациенткам, ранее перенесшим ПЗ, при любых нарушениях менструального цикла следует определить сывороточный уровень b-ХГЧ.</w:t>
      </w:r>
    </w:p>
    <w:p w:rsidR="00547FE3" w:rsidRDefault="005F4898">
      <w:pPr>
        <w:spacing w:after="285"/>
        <w:ind w:left="722" w:right="148" w:hanging="360"/>
      </w:pPr>
      <w:r>
        <w:rPr>
          <w:rFonts w:ascii="Segoe UI Symbol" w:eastAsia="Segoe UI Symbol" w:hAnsi="Segoe UI Symbol" w:cs="Segoe UI Symbol"/>
          <w:sz w:val="20"/>
        </w:rPr>
        <w:t xml:space="preserve">· </w:t>
      </w:r>
      <w:r>
        <w:t>В период развивающейся</w:t>
      </w:r>
      <w:r>
        <w:t xml:space="preserve"> беременности </w:t>
      </w:r>
      <w:r>
        <w:rPr>
          <w:b/>
        </w:rPr>
        <w:t>рекомендуется</w:t>
      </w:r>
      <w:r>
        <w:t xml:space="preserve"> изучить жалобы, обратив внимание на влагалищные кровотечения различной интенсивности на фоне беременности, выделения из влагалища пузырчатой ткани, боли внизу живота, одышка, тошнота, учащенное сердцебиение, тремор рук, быстрое </w:t>
      </w:r>
      <w:r>
        <w:t xml:space="preserve">увеличение живота в объеме во время беременности, головные боли, раннюю артериальную гипертензию, оценить акушерский анамнез (наличие в анамнезе бесплодия, беременности, завершенной спонтанным абортом, неразвивающейся беременности, необъяснимые осложнения </w:t>
      </w:r>
      <w:r>
        <w:t>беременности). Пузырный занос может обнаруживаться и в период развивающейся беременности [17].</w:t>
      </w:r>
    </w:p>
    <w:p w:rsidR="00547FE3" w:rsidRDefault="005F4898">
      <w:pPr>
        <w:spacing w:after="114" w:line="259" w:lineRule="auto"/>
        <w:ind w:left="10" w:right="141"/>
        <w:jc w:val="right"/>
      </w:pPr>
      <w:r>
        <w:rPr>
          <w:b/>
        </w:rPr>
        <w:t xml:space="preserve">Уровень убедительности рекомендаций – С (уровень достоверности </w:t>
      </w:r>
    </w:p>
    <w:p w:rsidR="00547FE3" w:rsidRDefault="005F4898">
      <w:pPr>
        <w:spacing w:after="388" w:line="265" w:lineRule="auto"/>
        <w:ind w:left="-3"/>
        <w:jc w:val="left"/>
      </w:pPr>
      <w:r>
        <w:rPr>
          <w:b/>
        </w:rPr>
        <w:t>доказательств – 5)</w:t>
      </w:r>
    </w:p>
    <w:p w:rsidR="00547FE3" w:rsidRDefault="005F4898">
      <w:pPr>
        <w:pStyle w:val="Heading2"/>
        <w:spacing w:after="214"/>
        <w:ind w:left="706" w:right="131"/>
      </w:pPr>
      <w:r>
        <w:t>2.2. Физикальное обследование</w:t>
      </w:r>
    </w:p>
    <w:p w:rsidR="00547FE3" w:rsidRDefault="005F4898">
      <w:pPr>
        <w:spacing w:after="105"/>
        <w:ind w:left="722" w:right="148" w:hanging="360"/>
      </w:pPr>
      <w:r>
        <w:rPr>
          <w:rFonts w:ascii="Segoe UI Symbol" w:eastAsia="Segoe UI Symbol" w:hAnsi="Segoe UI Symbol" w:cs="Segoe UI Symbol"/>
          <w:sz w:val="20"/>
        </w:rPr>
        <w:t xml:space="preserve">· </w:t>
      </w:r>
      <w:r>
        <w:t>Рекомендуется в процессе первичного осмотра (п</w:t>
      </w:r>
      <w:r>
        <w:t>риема, консультации) врачаонколога и/или врача акушера-гинеколога провести тщательное физикальное обследование пациентки, включая, в т. ч. визуальный осмотр наружных половых органов, вагинальный осмотр шейки матки и стенок влагалища в зеркалах, бимануально</w:t>
      </w:r>
      <w:r>
        <w:t xml:space="preserve">е влагалищное исследование, выполнить забор цитологического материала с экто- и эндоцервикса (получение влагалищного мазка) [17]. </w:t>
      </w:r>
    </w:p>
    <w:p w:rsidR="00547FE3" w:rsidRDefault="005F4898">
      <w:pPr>
        <w:spacing w:after="374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5).</w:t>
      </w:r>
    </w:p>
    <w:p w:rsidR="00547FE3" w:rsidRDefault="005F4898">
      <w:pPr>
        <w:spacing w:after="274" w:line="351" w:lineRule="auto"/>
        <w:ind w:left="722" w:right="165" w:hanging="375"/>
      </w:pPr>
      <w:r>
        <w:rPr>
          <w:rFonts w:ascii="Segoe UI Symbol" w:eastAsia="Segoe UI Symbol" w:hAnsi="Segoe UI Symbol" w:cs="Segoe UI Symbol"/>
          <w:sz w:val="21"/>
        </w:rPr>
        <w:t xml:space="preserve">· </w:t>
      </w:r>
      <w:r>
        <w:t xml:space="preserve">Комментарий: </w:t>
      </w:r>
      <w:r>
        <w:rPr>
          <w:i/>
        </w:rPr>
        <w:t>часто можно обнаружить увеличение размеров матки, несоответствие сроку беременности, дню после родов, размягчение шейки матки, синюшный цвет слизистой влагалища, шейки матки, специфическую пузырьковую опухолевую ткань во влагалище, наличие характерной сосу</w:t>
      </w:r>
      <w:r>
        <w:rPr>
          <w:i/>
        </w:rPr>
        <w:t>дистой опухоли в стенке или в куполе влагалища, в шейке матке, могут пальпироваться опухолевые образования. Осмотр органов малого таза при подозрении на трофобластическую опухоль должен быть очень бережным, чтобы не спровоцировать травматизацию опухоли и к</w:t>
      </w:r>
      <w:r>
        <w:rPr>
          <w:i/>
        </w:rPr>
        <w:t>ровотечение. Патогномоничным признаком развития ТБ является наличие у пациентки тека-лютеиновых кист, часто больших размеров, что может привести к перекруту яичника, нарушению целостности стенки кисты с развитием клиники «острого живота [17].</w:t>
      </w:r>
    </w:p>
    <w:p w:rsidR="00547FE3" w:rsidRDefault="005F4898">
      <w:pPr>
        <w:pStyle w:val="Heading2"/>
        <w:ind w:left="706" w:right="131"/>
      </w:pPr>
      <w:r>
        <w:t>2.3 Лаборатор</w:t>
      </w:r>
      <w:r>
        <w:t>ные диагностические исследования</w:t>
      </w:r>
    </w:p>
    <w:p w:rsidR="00547FE3" w:rsidRDefault="005F4898">
      <w:pPr>
        <w:spacing w:after="3" w:line="351" w:lineRule="auto"/>
        <w:ind w:left="-13" w:right="165" w:firstLine="0"/>
      </w:pPr>
      <w:r>
        <w:rPr>
          <w:b/>
        </w:rPr>
        <w:t>Рекомендуется</w:t>
      </w:r>
      <w:r>
        <w:t xml:space="preserve"> </w:t>
      </w:r>
      <w:r>
        <w:rPr>
          <w:i/>
        </w:rPr>
        <w:t>определить уровень хорионического гонадотропина (общего бета – субъединицы-ХГЧ) в сыворотке крови</w:t>
      </w:r>
      <w:r>
        <w:t xml:space="preserve"> (Бета-ХГЧ) у всех пациенток для установления диагноза [17, 23, 28].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С (ур</w:t>
      </w:r>
      <w:r>
        <w:rPr>
          <w:b/>
        </w:rPr>
        <w:t>овень достоверности доказательств – 5).</w:t>
      </w:r>
    </w:p>
    <w:p w:rsidR="00547FE3" w:rsidRDefault="005F4898">
      <w:pPr>
        <w:spacing w:after="394" w:line="351" w:lineRule="auto"/>
        <w:ind w:left="-13" w:right="165" w:firstLine="0"/>
      </w:pPr>
      <w:r>
        <w:rPr>
          <w:b/>
        </w:rPr>
        <w:t>Комментарий:</w:t>
      </w:r>
      <w:r>
        <w:t xml:space="preserve"> </w:t>
      </w:r>
      <w:r>
        <w:rPr>
          <w:i/>
        </w:rPr>
        <w:t>в норме ХГЧ образуется в синцитиотрофобластических клетках плаценты, что обусловливает его высокий уровень у беременных. При этом первый триместр – период формирования, развития и прикрепления плаценты –</w:t>
      </w:r>
      <w:r>
        <w:rPr>
          <w:i/>
        </w:rPr>
        <w:t xml:space="preserve"> характеризуется прогрессивным ростом уровня ХГЧ, а к концу первого триместра (11–12 недель) отмечается постепенное его снижение. Любое повышение уровня ХГЧ, не связанное с развивающейся беременностью, может свидетельствовать о возникновении ТО. Диагностич</w:t>
      </w:r>
      <w:r>
        <w:rPr>
          <w:i/>
        </w:rPr>
        <w:t>еская чувствительность ХГЧ при трофобластической болезни близка к 100 %. Наличие у пациенток репродуктивного возраста нарушений менструального цикла и беременности в анамнезе требует исключения ТБ путем исследования уровня b-ХГЧ в сыворотке крови [17, 28].</w:t>
      </w:r>
      <w:r>
        <w:rPr>
          <w:i/>
        </w:rPr>
        <w:t xml:space="preserve"> </w:t>
      </w:r>
    </w:p>
    <w:p w:rsidR="00547FE3" w:rsidRDefault="005F4898">
      <w:pPr>
        <w:spacing w:after="273"/>
        <w:ind w:left="-13" w:right="148" w:firstLine="709"/>
      </w:pPr>
      <w:r>
        <w:rPr>
          <w:b/>
        </w:rPr>
        <w:t xml:space="preserve">Рекомендуется </w:t>
      </w:r>
      <w:r>
        <w:t xml:space="preserve">после эвакуации пузырного заноса выполнить патологоанатомическое исследование удаленных из полости матки тканей, биопсийного (операционного) материала с применением иммуногистохимических методов [2]. </w:t>
      </w:r>
    </w:p>
    <w:p w:rsidR="00547FE3" w:rsidRDefault="005F4898">
      <w:pPr>
        <w:spacing w:after="388" w:line="265" w:lineRule="auto"/>
        <w:ind w:left="721"/>
        <w:jc w:val="left"/>
      </w:pPr>
      <w:r>
        <w:rPr>
          <w:b/>
        </w:rPr>
        <w:t>Уровень убедительности рекомендаций – С</w:t>
      </w:r>
      <w:r>
        <w:rPr>
          <w:b/>
        </w:rPr>
        <w:t xml:space="preserve"> (уровень достоверности 5). </w:t>
      </w:r>
    </w:p>
    <w:p w:rsidR="00547FE3" w:rsidRDefault="005F4898">
      <w:pPr>
        <w:spacing w:after="38" w:line="351" w:lineRule="auto"/>
        <w:ind w:left="-13" w:right="165" w:firstLine="701"/>
      </w:pPr>
      <w:r>
        <w:rPr>
          <w:b/>
        </w:rPr>
        <w:t>Комментарий:</w:t>
      </w:r>
      <w:r>
        <w:t xml:space="preserve"> </w:t>
      </w:r>
      <w:r>
        <w:rPr>
          <w:i/>
        </w:rPr>
        <w:t>при патолого-анатомическом исследовании возможна верификация ЗТО, что позволяет определить тактику лечения, однако следует помнить, что морфологическая верификация для подтверждения диагноза ЗТО не является обязате</w:t>
      </w:r>
      <w:r>
        <w:rPr>
          <w:i/>
        </w:rPr>
        <w:t>льной. При наличии других критериев диагноза ЗТО следует воздержаться от морфологической верификации с целью снижения риска кровотечения и своевременного начала химиотерапии.</w:t>
      </w:r>
    </w:p>
    <w:p w:rsidR="00547FE3" w:rsidRDefault="005F4898">
      <w:pPr>
        <w:spacing w:line="275" w:lineRule="auto"/>
        <w:ind w:left="722" w:right="148" w:hanging="360"/>
      </w:pPr>
      <w:r>
        <w:rPr>
          <w:rFonts w:ascii="Segoe UI Symbol" w:eastAsia="Segoe UI Symbol" w:hAnsi="Segoe UI Symbol" w:cs="Segoe UI Symbol"/>
        </w:rPr>
        <w:t xml:space="preserve">· </w:t>
      </w:r>
      <w:r>
        <w:t>При выявлении ПЗ и развивающейся беременности (живого плода) рекомендуется: ген</w:t>
      </w:r>
      <w:r>
        <w:t>етическое консультирование (прием (осмотр, консультация) врача-генетика первичный), пренатальная диагностика нарушений развития плода (комплексное исследование для пренатальной диагностики нарушений развития ребенка (внутриутробно), а при подозрении на хро</w:t>
      </w:r>
      <w:r>
        <w:t>мосомные нарушения у плода рекомендуется определение кариотипа плода (исследование клеток крови для определения кариотипа методом дифференциальной окраски хромосом при различных генетических нарушениях [10, 15].</w:t>
      </w:r>
    </w:p>
    <w:p w:rsidR="00547FE3" w:rsidRDefault="005F4898">
      <w:pPr>
        <w:spacing w:after="251" w:line="265" w:lineRule="auto"/>
        <w:ind w:left="-3"/>
        <w:jc w:val="left"/>
      </w:pPr>
      <w:r>
        <w:rPr>
          <w:b/>
        </w:rPr>
        <w:t>Уровень убедительности рекомендаций – С (уро</w:t>
      </w:r>
      <w:r>
        <w:rPr>
          <w:b/>
        </w:rPr>
        <w:t xml:space="preserve">вень достоверности доказательств – 5) </w:t>
      </w:r>
    </w:p>
    <w:p w:rsidR="00547FE3" w:rsidRDefault="005F4898">
      <w:pPr>
        <w:spacing w:after="205"/>
        <w:ind w:left="-3" w:right="148"/>
      </w:pPr>
      <w:r>
        <w:t xml:space="preserve">Комментарий: </w:t>
      </w:r>
      <w:r>
        <w:rPr>
          <w:i/>
        </w:rPr>
        <w:t>при</w:t>
      </w:r>
      <w:r>
        <w:t xml:space="preserve"> выявлении ЧПЗ и жизнеспособного плода, настойчивом желании женщины пролонгировать беременность необходимо подтвердить нормальный кариотип </w:t>
      </w:r>
      <w:r>
        <w:t xml:space="preserve">плода, отсутствие пороков развития, оценить риск генетических нарушений плода. </w:t>
      </w:r>
      <w:r>
        <w:rPr>
          <w:i/>
        </w:rPr>
        <w:t>Оценивать</w:t>
      </w:r>
      <w:r>
        <w:t xml:space="preserve"> акушерские риски вынашивания беременности, ассоциированной с ПЗ,</w:t>
      </w:r>
      <w:r>
        <w:rPr>
          <w:i/>
        </w:rPr>
        <w:t xml:space="preserve"> следует </w:t>
      </w:r>
      <w:r>
        <w:t xml:space="preserve"> с учетом данных акушерско-гинекологического анамнеза, сопутствующих заболеваний пациентки, кл</w:t>
      </w:r>
      <w:r>
        <w:t>инических данных в динамике беременности</w:t>
      </w:r>
      <w:r>
        <w:rPr>
          <w:i/>
        </w:rPr>
        <w:t xml:space="preserve"> с привлечением специалистов профильных медицинских организаций третьего уровня или выше для</w:t>
      </w:r>
      <w:r>
        <w:t xml:space="preserve"> выработки общей тактики ведения беременности.</w:t>
      </w:r>
    </w:p>
    <w:p w:rsidR="00547FE3" w:rsidRDefault="005F4898">
      <w:pPr>
        <w:pStyle w:val="Heading2"/>
        <w:ind w:left="706" w:right="131"/>
      </w:pPr>
      <w:r>
        <w:t>2.4 Инструментальные диагностические исследования</w:t>
      </w:r>
    </w:p>
    <w:p w:rsidR="00547FE3" w:rsidRDefault="005F4898">
      <w:pPr>
        <w:spacing w:after="245"/>
        <w:ind w:left="-3" w:right="148"/>
      </w:pPr>
      <w:r>
        <w:t>Рекомендуется всем пациентк</w:t>
      </w:r>
      <w:r>
        <w:t>ам ультразвуковое исследование (УЗИ) органов брюшной полости (комплексное) и забрюшинного пространства, органов малого таза комплексное (трансвагинальное и трансабдоминальное) [29]</w:t>
      </w:r>
      <w:r>
        <w:rPr>
          <w:i/>
        </w:rPr>
        <w:t>.</w:t>
      </w:r>
    </w:p>
    <w:p w:rsidR="00547FE3" w:rsidRDefault="005F4898">
      <w:pPr>
        <w:spacing w:after="240" w:line="345" w:lineRule="auto"/>
        <w:ind w:left="-13" w:firstLine="709"/>
        <w:jc w:val="left"/>
      </w:pPr>
      <w:r>
        <w:rPr>
          <w:b/>
        </w:rPr>
        <w:t xml:space="preserve">Уровень убедительности рекомендаций – С (уровень достоверности </w:t>
      </w:r>
      <w:r>
        <w:rPr>
          <w:b/>
        </w:rPr>
        <w:t>доказательств – 4).</w:t>
      </w:r>
    </w:p>
    <w:p w:rsidR="00547FE3" w:rsidRDefault="005F4898">
      <w:pPr>
        <w:spacing w:after="234" w:line="351" w:lineRule="auto"/>
        <w:ind w:left="-13" w:right="165" w:firstLine="0"/>
      </w:pPr>
      <w:r>
        <w:rPr>
          <w:b/>
        </w:rPr>
        <w:t>Комментарий:</w:t>
      </w:r>
      <w:r>
        <w:t xml:space="preserve"> </w:t>
      </w:r>
      <w:r>
        <w:rPr>
          <w:i/>
        </w:rPr>
        <w:t>УЗИ следует выполнять в день обращения пациентки.</w:t>
      </w:r>
      <w:r>
        <w:t xml:space="preserve"> </w:t>
      </w:r>
      <w:r>
        <w:rPr>
          <w:i/>
        </w:rPr>
        <w:t xml:space="preserve">Метод позволяет обнаружить полный или частичный пузырный занос, наличие тека-лютеиновых кист. УЗИ, позволяет обнаружить как первичную трофобластическую опухоль матки, так и </w:t>
      </w:r>
      <w:r>
        <w:rPr>
          <w:i/>
        </w:rPr>
        <w:t>наличие метастазов. Первичная опухоль в матке может отсутствовать [29].</w:t>
      </w:r>
    </w:p>
    <w:p w:rsidR="00547FE3" w:rsidRDefault="005F4898">
      <w:pPr>
        <w:ind w:left="-3" w:right="148"/>
      </w:pPr>
      <w:r>
        <w:rPr>
          <w:b/>
        </w:rPr>
        <w:t xml:space="preserve">Рекомендуется всем пациенткам </w:t>
      </w:r>
      <w:r>
        <w:t>рентгенологическое исследование органов грудной полости с целью выявления метастазов. Оптимальным методом диагностики метастазов в легких является компьют</w:t>
      </w:r>
      <w:r>
        <w:t>ерная томография органов грудной полости с внутривенным болюсным контрастированием [17, 22, 28].</w:t>
      </w:r>
    </w:p>
    <w:p w:rsidR="00547FE3" w:rsidRDefault="005F4898">
      <w:pPr>
        <w:spacing w:after="378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5).</w:t>
      </w:r>
    </w:p>
    <w:p w:rsidR="00547FE3" w:rsidRDefault="005F4898">
      <w:pPr>
        <w:ind w:left="722" w:right="148" w:hanging="360"/>
      </w:pPr>
      <w:r>
        <w:rPr>
          <w:rFonts w:ascii="Segoe UI Symbol" w:eastAsia="Segoe UI Symbol" w:hAnsi="Segoe UI Symbol" w:cs="Segoe UI Symbol"/>
        </w:rPr>
        <w:t xml:space="preserve">· </w:t>
      </w:r>
      <w:r>
        <w:rPr>
          <w:b/>
        </w:rPr>
        <w:t xml:space="preserve">Рекомендуется </w:t>
      </w:r>
      <w:r>
        <w:t>проводить магнитно-резонансную томографию (МРТ) головного мо</w:t>
      </w:r>
      <w:r>
        <w:t>зга с контрастированием пациенткам с выявленными метастазами в легких в целях определения распространенности опухолевого процесса и планирования лечения [22, 30, 31].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5).</w:t>
      </w:r>
    </w:p>
    <w:p w:rsidR="00547FE3" w:rsidRDefault="005F4898">
      <w:pPr>
        <w:ind w:left="-3" w:right="148"/>
      </w:pPr>
      <w:r>
        <w:t>При ре</w:t>
      </w:r>
      <w:r>
        <w:t xml:space="preserve">цидивах опухоли при планировании локального лечения </w:t>
      </w:r>
      <w:r>
        <w:rPr>
          <w:b/>
        </w:rPr>
        <w:t xml:space="preserve">рекомендуется </w:t>
      </w:r>
      <w:r>
        <w:t>позитронная эмиссионная томография, совмещенная с компьютерной томографией с туморотропными РФП (ПЭТ-КТ с 18-ФДГ) для топической диагностики резистентной опухоли и выбора тактики лечения [32</w:t>
      </w:r>
      <w:r>
        <w:t>-34].</w:t>
      </w:r>
    </w:p>
    <w:p w:rsidR="00547FE3" w:rsidRDefault="005F4898">
      <w:pPr>
        <w:spacing w:after="506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4).</w:t>
      </w:r>
    </w:p>
    <w:p w:rsidR="00547FE3" w:rsidRDefault="005F4898">
      <w:pPr>
        <w:pStyle w:val="Heading1"/>
        <w:ind w:left="71" w:right="0" w:hanging="71"/>
      </w:pPr>
      <w:r>
        <w:t>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</w:t>
      </w:r>
    </w:p>
    <w:p w:rsidR="00547FE3" w:rsidRDefault="005F4898">
      <w:pPr>
        <w:spacing w:after="205"/>
        <w:ind w:left="-13" w:right="148" w:firstLine="709"/>
      </w:pPr>
      <w:r>
        <w:t>Назначение и применение лекарственных препаратов, указанных в клинической рекомендации, направлено на обеспечение пациента клинически эффективной и безопасной медицинской помощью, в связи с чем их назначение и применение в конкретной клинической ситуации о</w:t>
      </w:r>
      <w:r>
        <w:t>пределяется в соответствии с инструкциями по применению конкретных лекарственных препаратов с реализацией представленных в инструкции мер предосторожности при их применении, также возможна коррекция доз с учетом состояния пациента.</w:t>
      </w:r>
    </w:p>
    <w:p w:rsidR="00547FE3" w:rsidRDefault="005F4898">
      <w:pPr>
        <w:pStyle w:val="Heading2"/>
        <w:ind w:left="706" w:right="131"/>
      </w:pPr>
      <w:r>
        <w:t xml:space="preserve"> 3.1. Лечение полного и </w:t>
      </w:r>
      <w:r>
        <w:t xml:space="preserve">частичного ПЗ  при нежизнеспособном плоде </w:t>
      </w:r>
    </w:p>
    <w:p w:rsidR="00547FE3" w:rsidRDefault="005F4898">
      <w:pPr>
        <w:spacing w:after="245"/>
        <w:ind w:left="-3" w:right="148"/>
      </w:pPr>
      <w:r>
        <w:rPr>
          <w:b/>
        </w:rPr>
        <w:t xml:space="preserve">Рекомендуется </w:t>
      </w:r>
      <w:r>
        <w:t>вакуум-эвакуация пузырного заноса (вакуум-аспирация эндометрия) с контрольным бережным кюретажем полости матки (раздельное диагностическое выскабливание полости матки) под УЗ-визуализацией (ультразву</w:t>
      </w:r>
      <w:r>
        <w:t>ковое исследование матки и придатков трансабдоминальное) в условиях акушерско-гинекологического стационара с последующим патолого-анатомическим исследованием материала (A08.20.002.002 Патолого-анатомическое исследование биопсийного (операционного) материал</w:t>
      </w:r>
      <w:r>
        <w:t xml:space="preserve">а матки, придатков, стенки кишки с применением гистохимических методов) [23]. Пациенткам с резус-отрицательной кровью пузырным заносом необходимо ввести </w:t>
      </w:r>
      <w:r>
        <w:rPr>
          <w:b/>
        </w:rPr>
        <w:t>иммуноглобулин человека антирезус Rho[D]** [35]</w:t>
      </w:r>
      <w:r>
        <w:t>.</w:t>
      </w:r>
    </w:p>
    <w:p w:rsidR="00547FE3" w:rsidRDefault="005F4898">
      <w:pPr>
        <w:spacing w:after="240" w:line="357" w:lineRule="auto"/>
        <w:ind w:left="-13" w:firstLine="709"/>
        <w:jc w:val="left"/>
      </w:pPr>
      <w:r>
        <w:rPr>
          <w:b/>
        </w:rPr>
        <w:t>Уровень убедительности рекомендаций – С (уровень досто</w:t>
      </w:r>
      <w:r>
        <w:rPr>
          <w:b/>
        </w:rPr>
        <w:t>верности доказательств – 5).</w:t>
      </w:r>
    </w:p>
    <w:p w:rsidR="00547FE3" w:rsidRDefault="005F4898">
      <w:pPr>
        <w:spacing w:after="246" w:line="351" w:lineRule="auto"/>
        <w:ind w:left="-13" w:right="165" w:firstLine="0"/>
      </w:pPr>
      <w:r>
        <w:rPr>
          <w:b/>
        </w:rPr>
        <w:t>Комментарий:</w:t>
      </w:r>
      <w:r>
        <w:rPr>
          <w:i/>
        </w:rPr>
        <w:t xml:space="preserve"> Эвакуация пузырного заноса острым путем (кроме случаев ПЗ с большим сроком беременности, требующих выполнения плодоразрушающей операции), путем гистеротомии, либо гистерэктомии (тотальная гистерэктомия (экстирпация</w:t>
      </w:r>
      <w:r>
        <w:rPr>
          <w:i/>
        </w:rPr>
        <w:t xml:space="preserve"> матки) лапаротомическая, тотальная гистерэктомия (экстирпация матки) с использованием видеоэндоскопических технологий) увеличивает риск метастазирования. </w:t>
      </w:r>
    </w:p>
    <w:p w:rsidR="00547FE3" w:rsidRDefault="005F4898">
      <w:pPr>
        <w:spacing w:after="245"/>
        <w:ind w:left="-3" w:right="148"/>
      </w:pPr>
      <w:r>
        <w:t>После эвакуации пузырного заноса необходимо дальнейшее тщательное наблюдение врачом- акушером-гинеко</w:t>
      </w:r>
      <w:r>
        <w:t>логом в течение 1 года:</w:t>
      </w:r>
    </w:p>
    <w:p w:rsidR="00547FE3" w:rsidRDefault="005F4898">
      <w:pPr>
        <w:numPr>
          <w:ilvl w:val="0"/>
          <w:numId w:val="6"/>
        </w:numPr>
        <w:ind w:right="148" w:hanging="360"/>
      </w:pPr>
      <w:r>
        <w:t>Еженедельное исследование уровня хорионического гонадотропина (свободная бета-субъединица) в сыворотке крови до получения 3-х последовательных отрицательных результатов, затем – ежемесячно – до 1 года.</w:t>
      </w:r>
    </w:p>
    <w:p w:rsidR="00547FE3" w:rsidRDefault="005F4898">
      <w:pPr>
        <w:numPr>
          <w:ilvl w:val="0"/>
          <w:numId w:val="6"/>
        </w:numPr>
        <w:spacing w:after="245"/>
        <w:ind w:right="148" w:hanging="360"/>
      </w:pPr>
      <w:r>
        <w:t>УЗИ органов малого таза компле</w:t>
      </w:r>
      <w:r>
        <w:t>ксное (трансвагинальное и трансабдоминальное) – после эвакуации ПЗ, затем – через 2-4 недели, далее – в зависимости от динамики уровня b-ХГЧ и клинических симптомов.</w:t>
      </w:r>
    </w:p>
    <w:p w:rsidR="00547FE3" w:rsidRDefault="005F4898">
      <w:pPr>
        <w:numPr>
          <w:ilvl w:val="0"/>
          <w:numId w:val="6"/>
        </w:numPr>
        <w:spacing w:after="245"/>
        <w:ind w:right="148" w:hanging="360"/>
      </w:pPr>
      <w:r>
        <w:t>Рентгенография (или компьютерная томография органов грудной полости) легких в течение перв</w:t>
      </w:r>
      <w:r>
        <w:t xml:space="preserve">ых 2 суток после эвакуации ПЗ. </w:t>
      </w:r>
    </w:p>
    <w:p w:rsidR="00547FE3" w:rsidRDefault="005F4898">
      <w:pPr>
        <w:numPr>
          <w:ilvl w:val="0"/>
          <w:numId w:val="6"/>
        </w:numPr>
        <w:spacing w:after="245"/>
        <w:ind w:right="148" w:hanging="360"/>
      </w:pPr>
      <w:r>
        <w:t>Рекомендации пациентке соблюдать контрацепцию не менее 1 года от момента нормализации уровня b-ХГЧ (гормональные контрацептивы системного действия и контрацептивы для местного применения можно назначать только после нормализ</w:t>
      </w:r>
      <w:r>
        <w:t>ации b-ХГЧ и восстановления менструального цикла).</w:t>
      </w:r>
    </w:p>
    <w:p w:rsidR="00547FE3" w:rsidRDefault="005F4898">
      <w:pPr>
        <w:numPr>
          <w:ilvl w:val="0"/>
          <w:numId w:val="6"/>
        </w:numPr>
        <w:ind w:right="148" w:hanging="360"/>
      </w:pPr>
      <w:r>
        <w:t>Рекомендации пациентке вести менограмму (менструальный календарь) не менее 3 лет, оптимально – весь репродуктивный период. При нарушениях менструального цикла – исследование уровня хорионического гонадотро</w:t>
      </w:r>
      <w:r>
        <w:t xml:space="preserve">пина (свободная бетасубъединица) в сыворотке крови. </w:t>
      </w:r>
    </w:p>
    <w:p w:rsidR="00547FE3" w:rsidRDefault="005F4898">
      <w:pPr>
        <w:spacing w:after="420" w:line="351" w:lineRule="auto"/>
        <w:ind w:left="-13" w:right="165" w:firstLine="701"/>
      </w:pPr>
      <w:r>
        <w:rPr>
          <w:b/>
        </w:rPr>
        <w:t>Комментарий.</w:t>
      </w:r>
      <w:r>
        <w:rPr>
          <w:i/>
        </w:rPr>
        <w:t xml:space="preserve"> В норме уровень b-ХГЧ после эвакуации пузырного заноса нормализуется через 6-8 недель. При динамическом снижении уровня ХГЧ допустимо наблюдение до 24 недель. Повышенный уровень ХГЧ более 16</w:t>
      </w:r>
      <w:r>
        <w:rPr>
          <w:i/>
        </w:rPr>
        <w:t xml:space="preserve"> недель требует повторного тщательного обследования пациентки в соответствии с алгоритмом в условиях медицинских организаций третьего уровня [36-38].</w:t>
      </w:r>
    </w:p>
    <w:p w:rsidR="00547FE3" w:rsidRDefault="005F4898">
      <w:pPr>
        <w:spacing w:after="158" w:line="259" w:lineRule="auto"/>
        <w:ind w:left="706" w:right="131"/>
      </w:pPr>
      <w:r>
        <w:rPr>
          <w:b/>
          <w:u w:val="single" w:color="000000"/>
        </w:rPr>
        <w:t>Показания к хирургическому лечению при ПЗ:</w:t>
      </w:r>
    </w:p>
    <w:p w:rsidR="00547FE3" w:rsidRDefault="005F4898">
      <w:pPr>
        <w:spacing w:after="130" w:line="259" w:lineRule="auto"/>
        <w:ind w:left="369" w:right="148"/>
      </w:pPr>
      <w:r>
        <w:rPr>
          <w:rFonts w:ascii="Segoe UI Symbol" w:eastAsia="Segoe UI Symbol" w:hAnsi="Segoe UI Symbol" w:cs="Segoe UI Symbol"/>
        </w:rPr>
        <w:t xml:space="preserve">· </w:t>
      </w:r>
      <w:r>
        <w:t>кровотечение из первичной опухоли или метастаза, угрожающее жизни пациентки;</w:t>
      </w:r>
    </w:p>
    <w:p w:rsidR="00547FE3" w:rsidRDefault="005F4898">
      <w:pPr>
        <w:spacing w:after="130" w:line="259" w:lineRule="auto"/>
        <w:ind w:left="369" w:right="148"/>
      </w:pPr>
      <w:r>
        <w:rPr>
          <w:rFonts w:ascii="Segoe UI Symbol" w:eastAsia="Segoe UI Symbol" w:hAnsi="Segoe UI Symbol" w:cs="Segoe UI Symbol"/>
        </w:rPr>
        <w:t xml:space="preserve">· </w:t>
      </w:r>
      <w:r>
        <w:t>нарушение целостности матки (перфорация опухолью);</w:t>
      </w:r>
    </w:p>
    <w:p w:rsidR="00547FE3" w:rsidRDefault="005F4898">
      <w:pPr>
        <w:spacing w:after="407"/>
        <w:ind w:left="369" w:right="148"/>
      </w:pPr>
      <w:r>
        <w:rPr>
          <w:rFonts w:ascii="Segoe UI Symbol" w:eastAsia="Segoe UI Symbol" w:hAnsi="Segoe UI Symbol" w:cs="Segoe UI Symbol"/>
        </w:rPr>
        <w:t xml:space="preserve">· </w:t>
      </w:r>
      <w:r>
        <w:t>перекрут яичника при наличии тека-лютеиновой кисты.</w:t>
      </w:r>
    </w:p>
    <w:p w:rsidR="00547FE3" w:rsidRDefault="005F4898">
      <w:pPr>
        <w:ind w:left="-13" w:right="148" w:firstLine="709"/>
      </w:pPr>
      <w:r>
        <w:rPr>
          <w:b/>
        </w:rPr>
        <w:t>Оптимальный объем вмешательства:</w:t>
      </w:r>
      <w:r>
        <w:t xml:space="preserve"> перевязка маточных артерий (подвздошной</w:t>
      </w:r>
      <w:r>
        <w:t xml:space="preserve"> артерии), селективная эмболизация (эндоваскулярная эмболизация сосудов при новообразованиях матки), ушивание повреждения стенки матки при перфорации, лапаротомическое, удаление кисты яичника/яичника. Необходимо максимально избегать выполнения радикальных </w:t>
      </w:r>
      <w:r>
        <w:t xml:space="preserve">хирургических вмешательств (гистерэктомия), особенно у пациенток репродуктивного возраста.  </w:t>
      </w:r>
    </w:p>
    <w:p w:rsidR="00547FE3" w:rsidRDefault="005F4898">
      <w:pPr>
        <w:pStyle w:val="Heading2"/>
        <w:spacing w:after="114"/>
        <w:ind w:left="706" w:right="131"/>
      </w:pPr>
      <w:r>
        <w:t>3.2. Тактика при ПЗ и развивающейся беременности</w:t>
      </w:r>
    </w:p>
    <w:p w:rsidR="00547FE3" w:rsidRDefault="005F4898">
      <w:pPr>
        <w:spacing w:after="50" w:line="351" w:lineRule="auto"/>
        <w:ind w:left="-13" w:right="165" w:firstLine="701"/>
      </w:pPr>
      <w:r>
        <w:rPr>
          <w:i/>
        </w:rPr>
        <w:t>Сочетание ПЗ с развивающейся беременностью (бихориальная беременность, патология плаценты и др.) встречается крайн</w:t>
      </w:r>
      <w:r>
        <w:rPr>
          <w:i/>
        </w:rPr>
        <w:t>е редко и требует совместного ведения пациентки врачом-онкологом и врачом-акушером-гинекологом.</w:t>
      </w:r>
    </w:p>
    <w:p w:rsidR="00547FE3" w:rsidRDefault="005F4898">
      <w:pPr>
        <w:ind w:left="-13" w:right="148" w:firstLine="339"/>
      </w:pPr>
      <w:r>
        <w:rPr>
          <w:rFonts w:ascii="Segoe UI Symbol" w:eastAsia="Segoe UI Symbol" w:hAnsi="Segoe UI Symbol" w:cs="Segoe UI Symbol"/>
          <w:sz w:val="25"/>
        </w:rPr>
        <w:t xml:space="preserve">· </w:t>
      </w:r>
      <w:r>
        <w:rPr>
          <w:b/>
        </w:rPr>
        <w:t>Рекомендуется</w:t>
      </w:r>
      <w:r>
        <w:t xml:space="preserve"> мульдисциплинарный подход к ведению пациенток при ПЗ и развивающейся беременности с участием врача-акушера-гинеколога и врача-онколога, </w:t>
      </w:r>
      <w:r>
        <w:t>имеющего опыт в лечении трофобластической болезни [39].</w:t>
      </w:r>
    </w:p>
    <w:p w:rsidR="00547FE3" w:rsidRDefault="005F4898">
      <w:pPr>
        <w:spacing w:after="152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5).</w:t>
      </w:r>
    </w:p>
    <w:p w:rsidR="00547FE3" w:rsidRDefault="005F4898">
      <w:pPr>
        <w:ind w:left="-13" w:right="148" w:firstLine="709"/>
      </w:pPr>
      <w:r>
        <w:rPr>
          <w:rFonts w:ascii="Segoe UI Symbol" w:eastAsia="Segoe UI Symbol" w:hAnsi="Segoe UI Symbol" w:cs="Segoe UI Symbol"/>
        </w:rPr>
        <w:t xml:space="preserve">· </w:t>
      </w:r>
      <w:r>
        <w:t xml:space="preserve">Принятие решения о пролонгировании беременности, ассоциированной с пузырным заносом, возможно только консилиумом с </w:t>
      </w:r>
      <w:r>
        <w:t>привлечением специалистов медицинских организаций третьего уровня на основании результатов первого и второго акушерских скринингов, консультации врача-генетика, динамического контроля показателей опухолевых маркеров (ХГЧ, АФП, ПЛ), данных пренатальной неин</w:t>
      </w:r>
      <w:r>
        <w:t>вазивной диагностики (неинвазивное пренатальное тестирование (определение внеклеточной ДНК плода по крови матери)) и исключения признаков малигнизации.</w:t>
      </w:r>
    </w:p>
    <w:p w:rsidR="00547FE3" w:rsidRDefault="005F4898">
      <w:pPr>
        <w:spacing w:after="422" w:line="351" w:lineRule="auto"/>
        <w:ind w:left="-13" w:right="165" w:firstLine="701"/>
      </w:pPr>
      <w:r>
        <w:rPr>
          <w:b/>
        </w:rPr>
        <w:t>Комментарий:</w:t>
      </w:r>
      <w:r>
        <w:t xml:space="preserve"> </w:t>
      </w:r>
      <w:r>
        <w:rPr>
          <w:i/>
        </w:rPr>
        <w:t>пролонгирование беременности, ассоциированной с пузырным заносом, возможно при исключении п</w:t>
      </w:r>
      <w:r>
        <w:rPr>
          <w:i/>
        </w:rPr>
        <w:t>ороков развития плода, его нормальном кариотипе, умеренных акушерских рисках, отсутствия признаков малигнизации, согласия пациентки. Риск малигнизации ПЗ одинаков как после родов, так и после прерывания беременности и ПЗ. При несоответствии срока беременно</w:t>
      </w:r>
      <w:r>
        <w:rPr>
          <w:i/>
        </w:rPr>
        <w:t>сти показателям мониторинга, развитии осложнений дальнейшая тактика определяется консилиумом специалистов. Родоразрешение целесообразно выполнять в клинике, имеющей соответствующий опыт. В послеродовом периоде необходимо патолого-анатомическое исследование</w:t>
      </w:r>
      <w:r>
        <w:rPr>
          <w:i/>
        </w:rPr>
        <w:t xml:space="preserve"> плаценты и удаленных из полости матки тканей, еженедельный контроль концентрации β-ХГЧ, в первые 2 суток после родов выполнить ультразвуковое исследование органов малого таза комплексное (трансвагинальное и трансабдоминальное) и рентгенографию легких для </w:t>
      </w:r>
      <w:r>
        <w:rPr>
          <w:i/>
        </w:rPr>
        <w:t>оценки клинической ситуации и определения последующей тактики лечения [40].</w:t>
      </w:r>
    </w:p>
    <w:p w:rsidR="00547FE3" w:rsidRDefault="005F4898">
      <w:pPr>
        <w:ind w:left="154" w:right="148"/>
      </w:pPr>
      <w:r>
        <w:rPr>
          <w:rFonts w:ascii="Wingdings" w:eastAsia="Wingdings" w:hAnsi="Wingdings" w:cs="Wingdings"/>
        </w:rPr>
        <w:t></w:t>
      </w:r>
      <w:r>
        <w:rPr>
          <w:rFonts w:ascii="Wingdings" w:eastAsia="Wingdings" w:hAnsi="Wingdings" w:cs="Wingdings"/>
        </w:rPr>
        <w:t></w:t>
      </w:r>
      <w:r>
        <w:rPr>
          <w:b/>
        </w:rPr>
        <w:t>Не рекомендуется</w:t>
      </w:r>
      <w:r>
        <w:t xml:space="preserve"> выполнять повторные раздельные диагностические выскабливания матки при наличии метроррагии в позднем послеродовом периоде без предварительного исследования уровн</w:t>
      </w:r>
      <w:r>
        <w:t>я хорионического гонадотропина (общего бетаХГЧ) в крови [17].</w:t>
      </w:r>
    </w:p>
    <w:p w:rsidR="00547FE3" w:rsidRDefault="005F4898">
      <w:pPr>
        <w:spacing w:after="348" w:line="357" w:lineRule="auto"/>
        <w:ind w:left="-13" w:firstLine="709"/>
        <w:jc w:val="left"/>
      </w:pPr>
      <w:r>
        <w:rPr>
          <w:b/>
        </w:rPr>
        <w:t>Уровень убедительности рекомендаций - С (уровень достоверности доказательств –5).</w:t>
      </w:r>
    </w:p>
    <w:p w:rsidR="00547FE3" w:rsidRDefault="005F4898">
      <w:pPr>
        <w:pStyle w:val="Heading2"/>
        <w:spacing w:after="114"/>
        <w:ind w:left="706" w:right="131"/>
      </w:pPr>
      <w:r>
        <w:t>3.3 Лечение злокачественных ТО</w:t>
      </w:r>
    </w:p>
    <w:p w:rsidR="00547FE3" w:rsidRDefault="005F4898">
      <w:pPr>
        <w:spacing w:after="245"/>
        <w:ind w:left="-13" w:right="148" w:firstLine="709"/>
      </w:pPr>
      <w:r>
        <w:t xml:space="preserve">У пациенток со злокачественными трофобластическими опухолями целесообразно </w:t>
      </w:r>
      <w:r>
        <w:t>проведение противоопухолевой лекарственной терапии в соответствие с общими принципами, изложенными в «Практических рекомендациях по общим вопросам проведения противоопухолевой лекарственной терапии» Российского общества клинической онкологии (</w:t>
      </w:r>
      <w:hyperlink r:id="rId7">
        <w:r>
          <w:rPr>
            <w:color w:val="0000FF"/>
            <w:u w:val="single" w:color="0000FF"/>
          </w:rPr>
          <w:t xml:space="preserve"> </w:t>
        </w:r>
      </w:hyperlink>
      <w:hyperlink r:id="rId8">
        <w:r>
          <w:rPr>
            <w:color w:val="0000FF"/>
            <w:u w:val="single" w:color="0000FF"/>
          </w:rPr>
          <w:t>https://rosoncoweb.ru/standarts/RUSSCO/2024/2024-1_1-01.pdf</w:t>
        </w:r>
      </w:hyperlink>
      <w:hyperlink r:id="rId9">
        <w:r>
          <w:rPr>
            <w:color w:val="0000FF"/>
            <w:u w:val="single" w:color="0000FF"/>
          </w:rPr>
          <w:t xml:space="preserve"> </w:t>
        </w:r>
      </w:hyperlink>
      <w:r>
        <w:rPr>
          <w:color w:val="0000FF"/>
          <w:u w:val="single" w:color="0000FF"/>
        </w:rPr>
        <w:t xml:space="preserve">) 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[41].</w:t>
      </w:r>
    </w:p>
    <w:p w:rsidR="00547FE3" w:rsidRDefault="005F4898">
      <w:pPr>
        <w:pStyle w:val="Heading3"/>
        <w:spacing w:after="114"/>
        <w:ind w:left="706" w:right="131"/>
      </w:pPr>
      <w:r>
        <w:t>3.3.1. Консервативное лечение</w:t>
      </w:r>
    </w:p>
    <w:p w:rsidR="00547FE3" w:rsidRDefault="005F4898">
      <w:pPr>
        <w:spacing w:after="3" w:line="351" w:lineRule="auto"/>
        <w:ind w:left="-13" w:right="165" w:firstLine="701"/>
      </w:pPr>
      <w:r>
        <w:rPr>
          <w:i/>
        </w:rPr>
        <w:t>Основным методом лечения пациенток с ЗТО считается противоопухолевая лекарственная терапия. Химиотерапия позволяет достичь полного выздоровления большинства больных без применения дополнит</w:t>
      </w:r>
      <w:r>
        <w:rPr>
          <w:i/>
        </w:rPr>
        <w:t xml:space="preserve">ельных методов лечения. </w:t>
      </w:r>
    </w:p>
    <w:p w:rsidR="00547FE3" w:rsidRDefault="005F4898">
      <w:pPr>
        <w:ind w:left="-13" w:right="148" w:firstLine="709"/>
      </w:pPr>
      <w:r>
        <w:t>Рекомендуется планирование химиотерапии 1-й линии для пациенток с ЗТО по результатам подсчета суммы баллов по шкале FIGO-WHO, 2000 (Приложение Г) с последующим определением принадлежности пациентки к группе риска резистентности – п</w:t>
      </w:r>
      <w:r>
        <w:t>ри сумме баллов ≤6 – низкий риск, 7-12 баллов – высокий риск, ≥13 баллов – сверхвысокий риск [31, 42].</w:t>
      </w:r>
    </w:p>
    <w:p w:rsidR="00547FE3" w:rsidRDefault="005F4898">
      <w:pPr>
        <w:ind w:left="-13" w:right="148" w:firstLine="709"/>
      </w:pPr>
      <w:r>
        <w:t xml:space="preserve">Выбор режима химиотерапии в соответствии с группой риска формирования лекарственной резистентности (табл. 2) [17, 23, 28, 51]. </w:t>
      </w:r>
    </w:p>
    <w:p w:rsidR="00547FE3" w:rsidRDefault="005F4898">
      <w:pPr>
        <w:spacing w:after="114" w:line="259" w:lineRule="auto"/>
        <w:ind w:left="10" w:right="141"/>
        <w:jc w:val="right"/>
      </w:pPr>
      <w:r>
        <w:rPr>
          <w:b/>
        </w:rPr>
        <w:t>Уровень убедительности ре</w:t>
      </w:r>
      <w:r>
        <w:rPr>
          <w:b/>
        </w:rPr>
        <w:t xml:space="preserve">комендаций – С (уровень достоверности доказательств – </w:t>
      </w:r>
    </w:p>
    <w:p w:rsidR="00547FE3" w:rsidRDefault="005F4898">
      <w:pPr>
        <w:spacing w:after="108" w:line="265" w:lineRule="auto"/>
        <w:ind w:left="372"/>
        <w:jc w:val="left"/>
      </w:pPr>
      <w:r>
        <w:rPr>
          <w:b/>
        </w:rPr>
        <w:t>5).</w:t>
      </w:r>
    </w:p>
    <w:p w:rsidR="00547FE3" w:rsidRDefault="005F4898">
      <w:pPr>
        <w:spacing w:after="246" w:line="351" w:lineRule="auto"/>
        <w:ind w:left="-13" w:right="165" w:firstLine="701"/>
      </w:pPr>
      <w:r>
        <w:rPr>
          <w:b/>
        </w:rPr>
        <w:t>Комментарий</w:t>
      </w:r>
      <w:r>
        <w:rPr>
          <w:i/>
        </w:rPr>
        <w:t>: пациентки с 5 или 6 баллами по шкале FIGO-ВОЗ могут характеризоваться повышенным риском формирования лекарственной резистентности, особенно при наличии отдаленных метастазов и/или гист</w:t>
      </w:r>
      <w:r>
        <w:rPr>
          <w:i/>
        </w:rPr>
        <w:t>ологическом подтипе, представленной хориокарциномой. При лечении таких пациенток возможно использование многокомпонентной химиотерапии [43]. Пациентки с ≥13 баллами могут быть отнесены к группе сверхвысокого риска лекарственной резистентности, в данной поп</w:t>
      </w:r>
      <w:r>
        <w:rPr>
          <w:i/>
        </w:rPr>
        <w:t xml:space="preserve">уляции пациенток наравне с режимом EMA-CO возможно использование платиносодержащих режимов химиотерапии (EMA-EP, EP-EMA, BEP) в качестве первоначального лечения [17, 44-46]. 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проведение стандартной химиотерапии первой линии (табл. 2), режим к</w:t>
      </w:r>
      <w:r>
        <w:t>оторой определяется принадлежностью пациентки к группе риска резистентности опухоли по шкале FIGO для достижения излечения [17, 23, 28, 42, 51].</w:t>
      </w:r>
    </w:p>
    <w:p w:rsidR="00547FE3" w:rsidRDefault="005F4898">
      <w:pPr>
        <w:spacing w:after="0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5).</w:t>
      </w:r>
    </w:p>
    <w:p w:rsidR="00547FE3" w:rsidRDefault="005F4898">
      <w:pPr>
        <w:spacing w:after="50" w:line="351" w:lineRule="auto"/>
        <w:ind w:left="-13" w:right="165" w:firstLine="701"/>
      </w:pPr>
      <w:r>
        <w:rPr>
          <w:b/>
        </w:rPr>
        <w:t>Комментарий:</w:t>
      </w:r>
      <w:r>
        <w:t xml:space="preserve"> </w:t>
      </w:r>
      <w:r>
        <w:rPr>
          <w:i/>
        </w:rPr>
        <w:t>кровотечение из опухоли не является противопоказанием к началу химиотерапии, которую необходимо проводить одновременно с интенсивной гемостатической терапией. Неконтролируемое маточное кровотечение возможно купировать путем тугой тампонады влагалища (тампо</w:t>
      </w:r>
      <w:r>
        <w:rPr>
          <w:i/>
        </w:rPr>
        <w:t>нирование лечебное влагалища), селективной эмболизации ветвей маточных артерий (эндоваскулярная эмболизация сосудов при новообразованиях женских половых органов), либо перевязки маточных (подвздошных) артерий [47, 48].</w:t>
      </w:r>
    </w:p>
    <w:p w:rsidR="00547FE3" w:rsidRDefault="005F4898">
      <w:pPr>
        <w:spacing w:after="125"/>
        <w:ind w:left="722" w:right="148" w:hanging="360"/>
      </w:pPr>
      <w:r>
        <w:rPr>
          <w:rFonts w:ascii="Segoe UI Symbol" w:eastAsia="Segoe UI Symbol" w:hAnsi="Segoe UI Symbol" w:cs="Segoe UI Symbol"/>
        </w:rPr>
        <w:t xml:space="preserve">· </w:t>
      </w:r>
      <w:r>
        <w:rPr>
          <w:b/>
        </w:rPr>
        <w:t>Рекомендуется</w:t>
      </w:r>
      <w:r>
        <w:t xml:space="preserve"> при значительном расп</w:t>
      </w:r>
      <w:r>
        <w:t>ространении ЗТО с вовлечением паренхиматозных органов, головного мозга, при высоком риске профузного кровотечения из распадающейся опухоли, риске перфорации органа опухолью и других неотложных состояний, обусловленных массивным опухолевым поражением провод</w:t>
      </w:r>
      <w:r>
        <w:t xml:space="preserve">ить индукционную низкодозную  химиотерапию в режиме:# </w:t>
      </w:r>
      <w:r>
        <w:rPr>
          <w:b/>
        </w:rPr>
        <w:t>цисплатин** 20 мг/м</w:t>
      </w:r>
      <w:r>
        <w:rPr>
          <w:b/>
          <w:sz w:val="22"/>
          <w:vertAlign w:val="superscript"/>
        </w:rPr>
        <w:t>2</w:t>
      </w:r>
      <w:r>
        <w:rPr>
          <w:b/>
        </w:rPr>
        <w:t xml:space="preserve"> в 1,2 дни + этопозид** 100 мг/м</w:t>
      </w:r>
      <w:r>
        <w:rPr>
          <w:b/>
          <w:sz w:val="22"/>
          <w:vertAlign w:val="superscript"/>
        </w:rPr>
        <w:t>2</w:t>
      </w:r>
      <w:r>
        <w:t xml:space="preserve"> внутривенно капельно в 1, 2 дни, повторение цикла с 8 дня, всего рекомендуется 1-3 цикла с последующим переходом на </w:t>
      </w:r>
      <w:r>
        <w:t>стандартный режим химиотерапии для высокого риска резистентности (например, EMA-CO или EMA-EP) [28, 31, 46, 49, 50].</w:t>
      </w:r>
    </w:p>
    <w:p w:rsidR="00547FE3" w:rsidRDefault="005F4898">
      <w:pPr>
        <w:spacing w:after="522" w:line="265" w:lineRule="auto"/>
        <w:ind w:left="-3"/>
        <w:jc w:val="left"/>
      </w:pPr>
      <w:r>
        <w:rPr>
          <w:b/>
        </w:rPr>
        <w:t>Уровень убедительности рекомендаций – C (уровень достоверности доказательств – 4).</w:t>
      </w:r>
    </w:p>
    <w:p w:rsidR="00547FE3" w:rsidRDefault="005F4898">
      <w:pPr>
        <w:spacing w:line="259" w:lineRule="auto"/>
        <w:ind w:left="154" w:right="148"/>
      </w:pPr>
      <w:r>
        <w:rPr>
          <w:b/>
        </w:rPr>
        <w:t>Таблица 3.</w:t>
      </w:r>
      <w:r>
        <w:t xml:space="preserve"> Стандарты химиотерапии 1-й линии для пациенто</w:t>
      </w:r>
      <w:r>
        <w:t>к ЗТО</w:t>
      </w:r>
    </w:p>
    <w:tbl>
      <w:tblPr>
        <w:tblStyle w:val="TableGrid"/>
        <w:tblW w:w="9388" w:type="dxa"/>
        <w:tblInd w:w="5" w:type="dxa"/>
        <w:tblCellMar>
          <w:top w:w="14" w:type="dxa"/>
          <w:left w:w="110" w:type="dxa"/>
          <w:bottom w:w="0" w:type="dxa"/>
          <w:right w:w="87" w:type="dxa"/>
        </w:tblCellMar>
        <w:tblLook w:val="04A0" w:firstRow="1" w:lastRow="0" w:firstColumn="1" w:lastColumn="0" w:noHBand="0" w:noVBand="1"/>
      </w:tblPr>
      <w:tblGrid>
        <w:gridCol w:w="3822"/>
        <w:gridCol w:w="5566"/>
      </w:tblGrid>
      <w:tr w:rsidR="00547FE3">
        <w:trPr>
          <w:trHeight w:val="424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9" w:firstLine="0"/>
              <w:jc w:val="center"/>
            </w:pPr>
            <w:r>
              <w:rPr>
                <w:b/>
              </w:rPr>
              <w:t>Низкий риск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10" w:firstLine="0"/>
              <w:jc w:val="center"/>
            </w:pPr>
            <w:r>
              <w:rPr>
                <w:b/>
              </w:rPr>
              <w:t>Высокий риск</w:t>
            </w:r>
          </w:p>
        </w:tc>
      </w:tr>
      <w:tr w:rsidR="00547FE3">
        <w:trPr>
          <w:trHeight w:val="5668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114" w:line="259" w:lineRule="auto"/>
              <w:ind w:left="9" w:firstLine="0"/>
              <w:jc w:val="center"/>
            </w:pPr>
            <w:r>
              <w:t>Mtx/FA [17,51]</w:t>
            </w:r>
          </w:p>
          <w:p w:rsidR="00547FE3" w:rsidRDefault="005F4898">
            <w:pPr>
              <w:spacing w:after="0" w:line="357" w:lineRule="auto"/>
              <w:ind w:left="0" w:firstLine="0"/>
              <w:jc w:val="left"/>
            </w:pPr>
            <w:r>
              <w:t>Метотрексат** 1 мг/кг в/м в 1, 3, 5, 7-й дни.</w:t>
            </w:r>
          </w:p>
          <w:p w:rsidR="00547FE3" w:rsidRDefault="005F4898">
            <w:pPr>
              <w:spacing w:after="414" w:line="357" w:lineRule="auto"/>
              <w:ind w:left="0" w:firstLine="0"/>
              <w:jc w:val="left"/>
            </w:pPr>
            <w:r>
              <w:t>Кальция фолинат** 0,1 мг/кг в/м во 2, 4, 6, 8-й дни, через 30 часов от введения метотрексата** (округление до 5 мг) или 15 мг внутрь во 2, 4, 6, 8-й дни. Повторение курсов с 15-го дня химиотерапии</w:t>
            </w:r>
          </w:p>
          <w:p w:rsidR="00547FE3" w:rsidRDefault="005F4898">
            <w:pPr>
              <w:spacing w:after="528" w:line="259" w:lineRule="auto"/>
              <w:ind w:left="0" w:firstLine="0"/>
              <w:jc w:val="left"/>
            </w:pPr>
            <w:r>
              <w:t>ИЛИ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 xml:space="preserve">Метотрексат** 0,4 мг/кг в/в в 1-5 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87" w:line="259" w:lineRule="auto"/>
              <w:ind w:left="9" w:firstLine="0"/>
              <w:jc w:val="center"/>
            </w:pPr>
            <w:r>
              <w:t>EMA-CO [17,49,52]</w:t>
            </w:r>
          </w:p>
          <w:p w:rsidR="00547FE3" w:rsidRDefault="005F4898">
            <w:pPr>
              <w:spacing w:after="147" w:line="259" w:lineRule="auto"/>
              <w:ind w:left="0" w:firstLine="0"/>
              <w:jc w:val="left"/>
            </w:pPr>
            <w:r>
              <w:t>Эт</w:t>
            </w:r>
            <w:r>
              <w:t>опозид** 100 мг/м</w:t>
            </w:r>
            <w:r>
              <w:rPr>
                <w:sz w:val="22"/>
                <w:vertAlign w:val="superscript"/>
              </w:rPr>
              <w:t>2</w:t>
            </w:r>
            <w:r>
              <w:t xml:space="preserve"> в/в кап. в 1-й, 2-й дни.</w:t>
            </w:r>
          </w:p>
          <w:p w:rsidR="00547FE3" w:rsidRDefault="005F4898">
            <w:pPr>
              <w:spacing w:after="57" w:line="351" w:lineRule="auto"/>
              <w:ind w:left="0" w:firstLine="0"/>
              <w:jc w:val="left"/>
            </w:pPr>
            <w:r>
              <w:t>Дактиномицин 500 мкг в/в в 1-й, 2-й дни. Метотрексат** 100 мг/м</w:t>
            </w:r>
            <w:r>
              <w:rPr>
                <w:sz w:val="22"/>
                <w:vertAlign w:val="superscript"/>
              </w:rPr>
              <w:t>2</w:t>
            </w:r>
            <w:r>
              <w:t xml:space="preserve"> в/в струйно с последующей 12-часовой инфузией в дозе 200 мг/м</w:t>
            </w:r>
            <w:r>
              <w:rPr>
                <w:sz w:val="22"/>
                <w:vertAlign w:val="superscript"/>
              </w:rPr>
              <w:t>2</w:t>
            </w:r>
            <w:r>
              <w:t xml:space="preserve"> в 1-й день (или 300 мг/м2 в течение 12часовой инфузии в 1-й день)</w:t>
            </w:r>
            <w:r>
              <w:rPr>
                <w:sz w:val="22"/>
                <w:vertAlign w:val="superscript"/>
              </w:rPr>
              <w:t>1</w:t>
            </w:r>
          </w:p>
          <w:p w:rsidR="00547FE3" w:rsidRDefault="005F4898">
            <w:pPr>
              <w:spacing w:after="0" w:line="357" w:lineRule="auto"/>
              <w:ind w:left="0" w:firstLine="0"/>
              <w:jc w:val="left"/>
            </w:pPr>
            <w:r>
              <w:t>Кальция фолинат**</w:t>
            </w:r>
            <w:r>
              <w:rPr>
                <w:b/>
              </w:rPr>
              <w:t xml:space="preserve"> </w:t>
            </w:r>
            <w:r>
              <w:t>15 мг в/м через 24 часа от введения метотрексата**, затем – каждые 12 часов, всего 4 дозы.</w:t>
            </w:r>
          </w:p>
          <w:p w:rsidR="00547FE3" w:rsidRDefault="005F4898">
            <w:pPr>
              <w:spacing w:after="0" w:line="374" w:lineRule="auto"/>
              <w:ind w:left="0" w:firstLine="0"/>
              <w:jc w:val="left"/>
            </w:pPr>
            <w:r>
              <w:t>#Циклофосфамид** 600 мг/м</w:t>
            </w:r>
            <w:r>
              <w:rPr>
                <w:sz w:val="22"/>
                <w:vertAlign w:val="superscript"/>
              </w:rPr>
              <w:t>2</w:t>
            </w:r>
            <w:r>
              <w:t xml:space="preserve"> в/в в 8-й день. Винкристин** 1 мг/м</w:t>
            </w:r>
            <w:r>
              <w:rPr>
                <w:sz w:val="22"/>
                <w:vertAlign w:val="superscript"/>
              </w:rPr>
              <w:t>2</w:t>
            </w:r>
            <w:r>
              <w:t xml:space="preserve"> (максимум 2 мг) в/в струйно в 8-й день.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 xml:space="preserve">Повторение курсов с 15-го дня химиотерапии </w:t>
            </w:r>
          </w:p>
        </w:tc>
      </w:tr>
      <w:tr w:rsidR="00547FE3">
        <w:trPr>
          <w:trHeight w:val="5392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114" w:line="259" w:lineRule="auto"/>
              <w:ind w:left="0" w:firstLine="0"/>
              <w:jc w:val="left"/>
            </w:pPr>
            <w:r>
              <w:t>дни каждые 14 д</w:t>
            </w:r>
            <w:r>
              <w:t xml:space="preserve">ней </w:t>
            </w:r>
          </w:p>
          <w:p w:rsidR="00547FE3" w:rsidRDefault="005F4898">
            <w:pPr>
              <w:spacing w:after="414" w:line="357" w:lineRule="auto"/>
              <w:ind w:left="0" w:firstLine="0"/>
              <w:jc w:val="left"/>
            </w:pPr>
            <w:r>
              <w:t xml:space="preserve">(максимальная суточная доза 25 мг) </w:t>
            </w:r>
          </w:p>
          <w:p w:rsidR="00547FE3" w:rsidRDefault="005F4898">
            <w:pPr>
              <w:spacing w:after="528" w:line="259" w:lineRule="auto"/>
              <w:ind w:left="0" w:firstLine="0"/>
              <w:jc w:val="left"/>
            </w:pPr>
            <w:r>
              <w:t>ИЛИ</w:t>
            </w:r>
          </w:p>
          <w:p w:rsidR="00547FE3" w:rsidRDefault="005F4898">
            <w:pPr>
              <w:spacing w:after="0" w:line="259" w:lineRule="auto"/>
              <w:ind w:left="0" w:right="4" w:firstLine="0"/>
              <w:jc w:val="left"/>
            </w:pPr>
            <w:r>
              <w:t xml:space="preserve">Метотрексат** 50 мг в/м в 1-й, 3й, 5-й, 7-й дни, кальция фолинат 15 мг внутрь во 2-й, 4-й, 6-й, 8-й дни через 24 часов после введения метотрексата**; повторение курсов — с 15-го дня, считая от 1го дня предыдущего курса 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(от 1-го дня химиотерапии)</w:t>
            </w:r>
          </w:p>
        </w:tc>
      </w:tr>
      <w:tr w:rsidR="00547FE3">
        <w:trPr>
          <w:trHeight w:val="3734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357" w:lineRule="auto"/>
              <w:ind w:left="0" w:firstLine="197"/>
              <w:jc w:val="left"/>
            </w:pPr>
            <w:r>
              <w:t xml:space="preserve">Монотерапия дактиномицином Дактиномицин 0,5 мг (500 мкг) в/в в 1-5-й дни. Повторение курсов с </w:t>
            </w:r>
          </w:p>
          <w:p w:rsidR="00547FE3" w:rsidRDefault="005F4898">
            <w:pPr>
              <w:spacing w:after="114" w:line="259" w:lineRule="auto"/>
              <w:ind w:left="0" w:firstLine="0"/>
              <w:jc w:val="left"/>
            </w:pPr>
            <w:r>
              <w:t>15-го дня химиотерапии [53, 54]</w:t>
            </w:r>
          </w:p>
          <w:p w:rsidR="00547FE3" w:rsidRDefault="005F4898">
            <w:pPr>
              <w:spacing w:after="114" w:line="259" w:lineRule="auto"/>
              <w:ind w:left="0" w:firstLine="0"/>
              <w:jc w:val="left"/>
            </w:pPr>
            <w:r>
              <w:t>ИЛИ</w:t>
            </w:r>
          </w:p>
          <w:p w:rsidR="00547FE3" w:rsidRDefault="005F4898">
            <w:pPr>
              <w:spacing w:after="114" w:line="259" w:lineRule="auto"/>
              <w:ind w:left="0" w:firstLine="0"/>
              <w:jc w:val="left"/>
            </w:pPr>
            <w:r>
              <w:t xml:space="preserve">Дактиномицин 1,25 мг/м2 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(максимум 2 мг) в/в в 1-й день. Повторение курсов с 15-го дня химиотерапии [51, 55]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357" w:lineRule="auto"/>
              <w:ind w:left="0" w:firstLine="0"/>
              <w:jc w:val="left"/>
            </w:pPr>
            <w:r>
              <w:t>Монотерапия дакт</w:t>
            </w:r>
            <w:r>
              <w:t>иномицином, как правило, используется при индивидуальной непереносимости метотрексата**.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Не следует использовать в качестве опции лечения при резистентности к метотрексату**, а также при верифицированных хориокарциномах [43]</w:t>
            </w:r>
          </w:p>
        </w:tc>
      </w:tr>
    </w:tbl>
    <w:p w:rsidR="00547FE3" w:rsidRDefault="005F4898">
      <w:pPr>
        <w:spacing w:after="234" w:line="291" w:lineRule="auto"/>
        <w:ind w:left="125" w:right="229"/>
      </w:pPr>
      <w:r>
        <w:rPr>
          <w:sz w:val="22"/>
          <w:vertAlign w:val="superscript"/>
        </w:rPr>
        <w:t>1</w:t>
      </w:r>
      <w:r>
        <w:t>Длительность инфузии метотрексата** не должна превышать 12 часов в силу меньшей эффективности более длительной инфузии. При метастазах в головном мозге рекомендуется увеличить дозу метотрексата** до 1000 мг/м2, увеличить продолжительность инфузии с 12 до 2</w:t>
      </w:r>
      <w:r>
        <w:t>4 часов, дополнительно использовать кальция фолинат 15 мг внутрь каждые 6 часов, всего 12 доз, начиная через 32 часа после начала инфузии метотрексата** [17, 28].</w:t>
      </w:r>
    </w:p>
    <w:p w:rsidR="00547FE3" w:rsidRDefault="005F4898">
      <w:pPr>
        <w:spacing w:after="245"/>
        <w:ind w:left="-3" w:right="148"/>
      </w:pPr>
      <w:r>
        <w:rPr>
          <w:b/>
        </w:rPr>
        <w:t>Рекомендуется</w:t>
      </w:r>
      <w:r>
        <w:t xml:space="preserve"> оценка концентрации β-ХГЧ в плазме крови для клинической оценки эффективности п</w:t>
      </w:r>
      <w:r>
        <w:t>роведения противоопухолевой химиотерапии [17, 28]:</w:t>
      </w:r>
    </w:p>
    <w:p w:rsidR="00547FE3" w:rsidRDefault="005F4898">
      <w:pPr>
        <w:numPr>
          <w:ilvl w:val="0"/>
          <w:numId w:val="7"/>
        </w:numPr>
        <w:spacing w:after="245"/>
        <w:ind w:right="148" w:hanging="360"/>
      </w:pPr>
      <w:r>
        <w:t>для группы низкого риска контроль ХГЧ в 0, 14, 28-й дни и т. д. (</w:t>
      </w:r>
      <w:r>
        <w:rPr>
          <w:u w:val="single" w:color="000000"/>
        </w:rPr>
        <w:t>перед</w:t>
      </w:r>
      <w:r>
        <w:t xml:space="preserve"> </w:t>
      </w:r>
      <w:r>
        <w:rPr>
          <w:u w:val="single" w:color="000000"/>
        </w:rPr>
        <w:t>началом каждого курса химиотерапии</w:t>
      </w:r>
      <w:r>
        <w:t xml:space="preserve">), </w:t>
      </w:r>
    </w:p>
    <w:p w:rsidR="00547FE3" w:rsidRDefault="005F4898">
      <w:pPr>
        <w:numPr>
          <w:ilvl w:val="0"/>
          <w:numId w:val="7"/>
        </w:numPr>
        <w:ind w:right="148" w:hanging="360"/>
      </w:pPr>
      <w:r>
        <w:t>для группы высокого и ультравысокого риска контроль ХГЧ в 0, 7, 14, 22-й дни и т. д. (еженедельн</w:t>
      </w:r>
      <w:r>
        <w:t>о).</w:t>
      </w:r>
    </w:p>
    <w:p w:rsidR="00547FE3" w:rsidRDefault="005F4898">
      <w:pPr>
        <w:spacing w:after="108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5).</w:t>
      </w:r>
    </w:p>
    <w:p w:rsidR="00547FE3" w:rsidRDefault="005F4898">
      <w:pPr>
        <w:spacing w:after="246" w:line="351" w:lineRule="auto"/>
        <w:ind w:left="-13" w:right="165" w:firstLine="701"/>
      </w:pPr>
      <w:r>
        <w:rPr>
          <w:b/>
        </w:rPr>
        <w:t>Комментарий:</w:t>
      </w:r>
      <w:r>
        <w:t xml:space="preserve"> </w:t>
      </w:r>
      <w:r>
        <w:rPr>
          <w:i/>
        </w:rPr>
        <w:t>эффективное лечение соответствует динамическому прогрессивному снижению сывороточного уровня ХГЧ.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проводить химиотерапию до нормализации уровня ХГЧ с последующими 3-4 консолидирующими курсами в аналогичном режиме либо до появления признаков резистентности опухоли [56]. При низком риске развития лекарственной резистентности с 0-2 баллами возможно огран</w:t>
      </w:r>
      <w:r>
        <w:t xml:space="preserve">ичиться 2 консолидирующими курсами химиотерапии [57]. </w:t>
      </w:r>
    </w:p>
    <w:p w:rsidR="00547FE3" w:rsidRDefault="005F4898">
      <w:pPr>
        <w:spacing w:after="108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4).</w:t>
      </w:r>
    </w:p>
    <w:p w:rsidR="00547FE3" w:rsidRDefault="005F4898">
      <w:pPr>
        <w:spacing w:after="246" w:line="351" w:lineRule="auto"/>
        <w:ind w:left="-13" w:right="165" w:firstLine="701"/>
      </w:pPr>
      <w:r>
        <w:rPr>
          <w:b/>
        </w:rPr>
        <w:t>Комментарий:</w:t>
      </w:r>
      <w:r>
        <w:t xml:space="preserve"> </w:t>
      </w:r>
      <w:r>
        <w:rPr>
          <w:i/>
        </w:rPr>
        <w:t>основным критерием излеченности от ЗТО является постоянный нормальный уровень b-ХГЧ. Критерии резистентно</w:t>
      </w:r>
      <w:r>
        <w:rPr>
          <w:i/>
        </w:rPr>
        <w:t>сти ЗТО включают: плато или снижение уровня ХГ менее 10 %, зафиксированное при 3 последовательных исследованиях в течение дней, увеличение уровня ХГЧ в период или по окончании химиотерапии, зафиксированное при 3-х последовательных исследованиях в течение 1</w:t>
      </w:r>
      <w:r>
        <w:rPr>
          <w:i/>
        </w:rPr>
        <w:t xml:space="preserve">0 дней; </w:t>
      </w:r>
    </w:p>
    <w:p w:rsidR="00547FE3" w:rsidRDefault="005F4898">
      <w:pPr>
        <w:spacing w:after="245"/>
        <w:ind w:left="-3" w:right="148"/>
      </w:pPr>
      <w:r>
        <w:rPr>
          <w:b/>
        </w:rPr>
        <w:t xml:space="preserve">Рекомендуется </w:t>
      </w:r>
      <w:r>
        <w:t>при формировании резистентности ЗТО выполнить дополнительное обследование пациенток в соответствии с алгоритмом для планирования лечения, направленного на достижение ремиссии.</w:t>
      </w:r>
    </w:p>
    <w:p w:rsidR="00547FE3" w:rsidRDefault="005F4898">
      <w:pPr>
        <w:ind w:left="-3" w:right="148"/>
      </w:pPr>
      <w:r>
        <w:rPr>
          <w:b/>
        </w:rPr>
        <w:t>Для пациенток группы исходно низкого риска</w:t>
      </w:r>
      <w:r>
        <w:t xml:space="preserve"> при развитии р</w:t>
      </w:r>
      <w:r>
        <w:t>езистентности к монохимиотерапии следует произвести повторный подсчет суммы баллов по шкале FIGO (2000 г.) с учетом результатов обследования (см. табл. 2):</w:t>
      </w:r>
    </w:p>
    <w:p w:rsidR="00547FE3" w:rsidRDefault="005F4898">
      <w:pPr>
        <w:numPr>
          <w:ilvl w:val="0"/>
          <w:numId w:val="8"/>
        </w:numPr>
        <w:ind w:right="148" w:hanging="360"/>
      </w:pPr>
      <w:r>
        <w:t xml:space="preserve">≤6 баллов соответствует низкому риску; в этой группе </w:t>
      </w:r>
      <w:r>
        <w:rPr>
          <w:b/>
        </w:rPr>
        <w:t xml:space="preserve">рекомендуется </w:t>
      </w:r>
      <w:r>
        <w:t xml:space="preserve">проводить химиотерапию 2-й линии </w:t>
      </w:r>
      <w:r>
        <w:t>дактиномицином (табл. 3) или проведение химиотерапии в режиме EMA-CO [17, 54, 58, 59];</w:t>
      </w:r>
    </w:p>
    <w:p w:rsidR="00547FE3" w:rsidRDefault="005F4898">
      <w:pPr>
        <w:numPr>
          <w:ilvl w:val="0"/>
          <w:numId w:val="8"/>
        </w:numPr>
        <w:ind w:right="148" w:hanging="360"/>
      </w:pPr>
      <w:r>
        <w:t xml:space="preserve">≥7 баллов соответствует высокому риску; в этой группе в качестве химиотерапии 2-й линии </w:t>
      </w:r>
      <w:r>
        <w:rPr>
          <w:b/>
        </w:rPr>
        <w:t>рекомендуется</w:t>
      </w:r>
      <w:r>
        <w:t xml:space="preserve"> режим ЕМА-CO (табл. 3), при сверхвысоком риске возможно проведение </w:t>
      </w:r>
      <w:r>
        <w:t>терапии в режиме EMA-CO или EMA-EP, EP-EMA [45, 49, 52].</w:t>
      </w:r>
    </w:p>
    <w:p w:rsidR="00547FE3" w:rsidRDefault="005F4898">
      <w:pPr>
        <w:ind w:left="-3" w:right="148"/>
      </w:pPr>
      <w:r>
        <w:rPr>
          <w:b/>
        </w:rPr>
        <w:t xml:space="preserve">Для пациенток группы исходно высокого риска повторный пересчет баллов не производится. </w:t>
      </w:r>
      <w:r>
        <w:t xml:space="preserve">В этой группе </w:t>
      </w:r>
      <w:r>
        <w:rPr>
          <w:b/>
        </w:rPr>
        <w:t>рекомендуется</w:t>
      </w:r>
      <w:r>
        <w:t xml:space="preserve"> проведение 2-й линии химиотерапии в режиме ЕМА-ЕР или использование других платиносо</w:t>
      </w:r>
      <w:r>
        <w:t>держащих режимов химиотерапии (табл. 3) [60-</w:t>
      </w:r>
    </w:p>
    <w:p w:rsidR="00547FE3" w:rsidRDefault="005F4898">
      <w:pPr>
        <w:spacing w:after="114" w:line="259" w:lineRule="auto"/>
        <w:ind w:left="-3" w:right="148"/>
      </w:pPr>
      <w:r>
        <w:t xml:space="preserve">63]. </w:t>
      </w:r>
    </w:p>
    <w:p w:rsidR="00547FE3" w:rsidRDefault="005F4898">
      <w:pPr>
        <w:spacing w:after="108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4).</w:t>
      </w:r>
    </w:p>
    <w:p w:rsidR="00547FE3" w:rsidRDefault="005F4898">
      <w:pPr>
        <w:spacing w:after="3" w:line="351" w:lineRule="auto"/>
        <w:ind w:left="-13" w:right="165" w:firstLine="701"/>
      </w:pPr>
      <w:r>
        <w:rPr>
          <w:b/>
          <w:i/>
        </w:rPr>
        <w:t xml:space="preserve">Комментарий: </w:t>
      </w:r>
      <w:r>
        <w:rPr>
          <w:i/>
        </w:rPr>
        <w:t xml:space="preserve">доказательства превосходства какого-либо режима </w:t>
      </w:r>
      <w:r>
        <w:rPr>
          <w:i/>
        </w:rPr>
        <w:t xml:space="preserve">платиносодержащей химиотерапии отсутствуют. Наиболее часто применяется режим EMA-EP или EP-EMA, в качестве альтернативы во второй линии терапии возможно использование режима BEP. </w:t>
      </w:r>
    </w:p>
    <w:p w:rsidR="00547FE3" w:rsidRDefault="005F4898">
      <w:pPr>
        <w:ind w:left="-3" w:right="148"/>
      </w:pPr>
      <w:r>
        <w:rPr>
          <w:b/>
        </w:rPr>
        <w:t xml:space="preserve">Рекомендуется </w:t>
      </w:r>
      <w:r>
        <w:t>проводить оценку эффективности химиотерапии 2-й линии у пациен</w:t>
      </w:r>
      <w:r>
        <w:t xml:space="preserve">ток аналогично таковой для 1-й линии (по динамическому снижению уровня ХГЧ) [126]. </w:t>
      </w:r>
      <w:r>
        <w:rPr>
          <w:b/>
        </w:rPr>
        <w:t xml:space="preserve">Уровень убедительности рекомендаций – С (уровень достоверности доказательств – </w:t>
      </w:r>
    </w:p>
    <w:p w:rsidR="00547FE3" w:rsidRDefault="005F4898">
      <w:pPr>
        <w:spacing w:after="108" w:line="265" w:lineRule="auto"/>
        <w:ind w:left="-3"/>
        <w:jc w:val="left"/>
      </w:pPr>
      <w:r>
        <w:rPr>
          <w:b/>
        </w:rPr>
        <w:t>5).</w:t>
      </w:r>
    </w:p>
    <w:p w:rsidR="00547FE3" w:rsidRDefault="005F4898">
      <w:pPr>
        <w:spacing w:after="3" w:line="351" w:lineRule="auto"/>
        <w:ind w:left="-13" w:right="165" w:firstLine="701"/>
      </w:pPr>
      <w:r>
        <w:rPr>
          <w:b/>
        </w:rPr>
        <w:t>Комментарии:</w:t>
      </w:r>
      <w:r>
        <w:t xml:space="preserve"> </w:t>
      </w:r>
      <w:r>
        <w:rPr>
          <w:i/>
        </w:rPr>
        <w:t>возникновение плато или увеличение уровня ХГЧ во время проведения химиотерап</w:t>
      </w:r>
      <w:r>
        <w:rPr>
          <w:i/>
        </w:rPr>
        <w:t xml:space="preserve">ии 2-й линии свидетельствует о развитии множественной лекарственной резистентности опухоли и неблагоприятном прогнозе. </w:t>
      </w:r>
    </w:p>
    <w:p w:rsidR="00547FE3" w:rsidRDefault="005F4898">
      <w:pPr>
        <w:spacing w:after="0" w:line="265" w:lineRule="auto"/>
        <w:ind w:left="-3"/>
        <w:jc w:val="left"/>
      </w:pPr>
      <w:r>
        <w:rPr>
          <w:b/>
        </w:rPr>
        <w:t xml:space="preserve">Таблица 3. </w:t>
      </w:r>
      <w:r>
        <w:t xml:space="preserve">Рекомендуемые </w:t>
      </w:r>
      <w:r>
        <w:rPr>
          <w:b/>
        </w:rPr>
        <w:t>режимы химиотерапии 2-й линии при резистентности</w:t>
      </w:r>
      <w:r>
        <w:t xml:space="preserve"> злокачественных трофобластических опухолей</w:t>
      </w:r>
    </w:p>
    <w:tbl>
      <w:tblPr>
        <w:tblStyle w:val="TableGrid"/>
        <w:tblW w:w="9496" w:type="dxa"/>
        <w:tblInd w:w="285" w:type="dxa"/>
        <w:tblCellMar>
          <w:top w:w="15" w:type="dxa"/>
          <w:left w:w="109" w:type="dxa"/>
          <w:bottom w:w="5" w:type="dxa"/>
          <w:right w:w="0" w:type="dxa"/>
        </w:tblCellMar>
        <w:tblLook w:val="04A0" w:firstRow="1" w:lastRow="0" w:firstColumn="1" w:lastColumn="0" w:noHBand="0" w:noVBand="1"/>
      </w:tblPr>
      <w:tblGrid>
        <w:gridCol w:w="2224"/>
        <w:gridCol w:w="7272"/>
      </w:tblGrid>
      <w:tr w:rsidR="00547FE3">
        <w:trPr>
          <w:trHeight w:val="838"/>
        </w:trPr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38" w:lineRule="auto"/>
              <w:ind w:left="0" w:firstLine="0"/>
              <w:jc w:val="center"/>
            </w:pPr>
            <w:r>
              <w:rPr>
                <w:b/>
              </w:rPr>
              <w:t>Исходно низкий риск</w:t>
            </w:r>
            <w:r>
              <w:rPr>
                <w:b/>
              </w:rPr>
              <w:t xml:space="preserve"> </w:t>
            </w:r>
          </w:p>
          <w:p w:rsidR="00547FE3" w:rsidRDefault="005F4898">
            <w:pPr>
              <w:spacing w:after="0" w:line="259" w:lineRule="auto"/>
              <w:ind w:left="0" w:right="108" w:firstLine="0"/>
              <w:jc w:val="center"/>
            </w:pPr>
            <w:r>
              <w:rPr>
                <w:b/>
              </w:rPr>
              <w:t>резистентности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108" w:firstLine="0"/>
              <w:jc w:val="center"/>
            </w:pPr>
            <w:r>
              <w:rPr>
                <w:b/>
              </w:rPr>
              <w:t>Исходно высокий риск резистентности</w:t>
            </w:r>
          </w:p>
        </w:tc>
      </w:tr>
      <w:tr w:rsidR="00547FE3">
        <w:trPr>
          <w:trHeight w:val="8290"/>
        </w:trPr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Дактиномицин</w:t>
            </w:r>
            <w:r>
              <w:t xml:space="preserve"> </w:t>
            </w:r>
          </w:p>
          <w:p w:rsidR="00547FE3" w:rsidRDefault="005F4898">
            <w:pPr>
              <w:spacing w:after="0" w:line="238" w:lineRule="auto"/>
              <w:ind w:left="0" w:right="87" w:firstLine="0"/>
              <w:jc w:val="left"/>
            </w:pPr>
            <w:r>
              <w:t xml:space="preserve">500 мкг в/в струйно </w:t>
            </w:r>
            <w:r>
              <w:rPr>
                <w:b/>
              </w:rPr>
              <w:t xml:space="preserve">с 1-го по 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5-й день</w:t>
            </w:r>
          </w:p>
          <w:p w:rsidR="00547FE3" w:rsidRDefault="005F4898">
            <w:pPr>
              <w:spacing w:after="0" w:line="238" w:lineRule="auto"/>
              <w:ind w:left="0" w:firstLine="0"/>
            </w:pPr>
            <w:r>
              <w:t xml:space="preserve">Повторные курсы – с 15-го дня от 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 xml:space="preserve">начала </w:t>
            </w:r>
          </w:p>
          <w:p w:rsidR="00547FE3" w:rsidRDefault="005F4898">
            <w:pPr>
              <w:spacing w:after="366" w:line="216" w:lineRule="auto"/>
              <w:ind w:left="0" w:firstLine="0"/>
              <w:jc w:val="left"/>
            </w:pPr>
            <w:r>
              <w:t>предыдущего курса [53]</w:t>
            </w:r>
            <w:r>
              <w:rPr>
                <w:sz w:val="22"/>
                <w:vertAlign w:val="superscript"/>
              </w:rPr>
              <w:t>1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ИЛИ</w:t>
            </w:r>
          </w:p>
          <w:p w:rsidR="00547FE3" w:rsidRDefault="005F4898">
            <w:pPr>
              <w:spacing w:after="0" w:line="238" w:lineRule="auto"/>
              <w:ind w:left="0" w:right="107" w:firstLine="0"/>
            </w:pPr>
            <w:r>
              <w:t xml:space="preserve">Дактиномицин 1,25 мг/м2 (максимум 2 мг) в/в в 1-й день. Повторение курсов </w:t>
            </w:r>
            <w:r>
              <w:t xml:space="preserve">с 15-го дня </w:t>
            </w:r>
          </w:p>
          <w:p w:rsidR="00547FE3" w:rsidRDefault="005F4898">
            <w:pPr>
              <w:spacing w:after="252" w:line="259" w:lineRule="auto"/>
              <w:ind w:left="0" w:firstLine="0"/>
              <w:jc w:val="left"/>
            </w:pPr>
            <w:r>
              <w:t>химиотерапии [55]</w:t>
            </w:r>
          </w:p>
          <w:p w:rsidR="00547FE3" w:rsidRDefault="005F4898">
            <w:pPr>
              <w:tabs>
                <w:tab w:val="center" w:pos="1524"/>
                <w:tab w:val="right" w:pos="2115"/>
              </w:tabs>
              <w:spacing w:after="0" w:line="259" w:lineRule="auto"/>
              <w:ind w:left="0" w:firstLine="0"/>
              <w:jc w:val="left"/>
            </w:pPr>
            <w:r>
              <w:t>Примечание:</w:t>
            </w:r>
            <w:r>
              <w:tab/>
              <w:t xml:space="preserve"> </w:t>
            </w:r>
            <w:r>
              <w:tab/>
              <w:t xml:space="preserve">не 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 xml:space="preserve">следует </w:t>
            </w:r>
          </w:p>
          <w:p w:rsidR="00547FE3" w:rsidRDefault="005F4898">
            <w:pPr>
              <w:spacing w:after="0" w:line="238" w:lineRule="auto"/>
              <w:ind w:left="0" w:right="107" w:firstLine="0"/>
            </w:pPr>
            <w:r>
              <w:t xml:space="preserve">использовать в качестве опции лечения при 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первичной резистентности к метотрексату**, а также</w:t>
            </w:r>
            <w:r>
              <w:tab/>
              <w:t xml:space="preserve"> </w:t>
            </w:r>
            <w:r>
              <w:tab/>
              <w:t>при верифицированных хориокарциномах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29" w:line="242" w:lineRule="auto"/>
              <w:ind w:left="0" w:right="1284" w:firstLine="2395"/>
              <w:jc w:val="left"/>
            </w:pPr>
            <w:r>
              <w:rPr>
                <w:b/>
              </w:rPr>
              <w:t xml:space="preserve">EMA-EP </w:t>
            </w:r>
            <w:r>
              <w:rPr>
                <w:vertAlign w:val="superscript"/>
              </w:rPr>
              <w:t>3</w:t>
            </w:r>
            <w:r>
              <w:rPr>
                <w:b/>
              </w:rPr>
              <w:t xml:space="preserve"> [31, 61, 64] </w:t>
            </w:r>
            <w:r>
              <w:t>Этопозид** 100 мг/м</w:t>
            </w:r>
            <w:r>
              <w:rPr>
                <w:sz w:val="22"/>
                <w:vertAlign w:val="superscript"/>
              </w:rPr>
              <w:t>2</w:t>
            </w:r>
            <w:r>
              <w:t xml:space="preserve"> в/в в 1 и 8-й дни.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Дактиномицин 500 мкг в/в в 1-й день.</w:t>
            </w:r>
          </w:p>
          <w:p w:rsidR="00547FE3" w:rsidRDefault="005F4898">
            <w:pPr>
              <w:spacing w:after="0" w:line="249" w:lineRule="auto"/>
              <w:ind w:left="0" w:right="19" w:firstLine="0"/>
              <w:jc w:val="left"/>
            </w:pPr>
            <w:r>
              <w:t>Метотрексат** 100 мг/м</w:t>
            </w:r>
            <w:r>
              <w:rPr>
                <w:sz w:val="22"/>
                <w:vertAlign w:val="superscript"/>
              </w:rPr>
              <w:t>2</w:t>
            </w:r>
            <w:r>
              <w:t xml:space="preserve"> в/в струйно с последующей 12-часовой инфузией в дозе 200  мг/м</w:t>
            </w:r>
            <w:r>
              <w:rPr>
                <w:sz w:val="22"/>
                <w:vertAlign w:val="superscript"/>
              </w:rPr>
              <w:t xml:space="preserve">2 </w:t>
            </w:r>
            <w:r>
              <w:t xml:space="preserve">в 1-й день или 300 мг/м2 в/в в течение 12-часовой инфузии (1000 мг/м2 </w:t>
            </w:r>
            <w:r>
              <w:t>в/в инфузия в течение 24 часов– при метастазах в центральной нервной системе).</w:t>
            </w:r>
          </w:p>
          <w:p w:rsidR="00547FE3" w:rsidRDefault="005F4898">
            <w:pPr>
              <w:spacing w:after="0" w:line="238" w:lineRule="auto"/>
              <w:ind w:left="0" w:firstLine="0"/>
              <w:jc w:val="left"/>
            </w:pPr>
            <w:r>
              <w:t>Кальция фолинат** 15 мг в/м через 24 ч после начала введения метотрексата**, затем каждые 12 ч, всего 4 дозы (всего 12 доз, начиная через 32 ч после начала введения метотрексата</w:t>
            </w:r>
            <w:r>
              <w:t>** – при использовании дозы метотрексата** 1000 мг/м2).</w:t>
            </w:r>
          </w:p>
          <w:p w:rsidR="00547FE3" w:rsidRDefault="005F4898">
            <w:pPr>
              <w:spacing w:after="9" w:line="259" w:lineRule="auto"/>
              <w:ind w:left="0" w:firstLine="0"/>
              <w:jc w:val="left"/>
            </w:pPr>
            <w:r>
              <w:t>#Цисплатин** 75 мг/м</w:t>
            </w:r>
            <w:r>
              <w:rPr>
                <w:sz w:val="22"/>
                <w:vertAlign w:val="superscript"/>
              </w:rPr>
              <w:t>2</w:t>
            </w:r>
            <w:r>
              <w:t xml:space="preserve"> в/в в 8-й день.</w:t>
            </w:r>
          </w:p>
          <w:p w:rsidR="00547FE3" w:rsidRDefault="005F4898">
            <w:pPr>
              <w:spacing w:after="0" w:line="357" w:lineRule="auto"/>
              <w:ind w:left="0" w:right="-42" w:firstLine="0"/>
            </w:pPr>
            <w:r>
              <w:t>Г-КСФ (короткого действия) 5 мкг/кг п/к с 3-го по 6-й и с 10-го по 13й дни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Повторные курсы – с 15-го дня от начала предыдущего курса</w:t>
            </w:r>
            <w:r>
              <w:rPr>
                <w:sz w:val="22"/>
                <w:vertAlign w:val="superscript"/>
              </w:rPr>
              <w:t>1</w:t>
            </w:r>
          </w:p>
        </w:tc>
      </w:tr>
      <w:tr w:rsidR="00547FE3">
        <w:trPr>
          <w:trHeight w:val="838"/>
        </w:trPr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ЕМА-CO [17, 45, 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49]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(см. табл. 2)</w:t>
            </w:r>
            <w:r>
              <w:rPr>
                <w:b/>
                <w:sz w:val="22"/>
                <w:vertAlign w:val="superscript"/>
              </w:rPr>
              <w:t>2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436" w:firstLine="0"/>
              <w:jc w:val="left"/>
            </w:pPr>
            <w:r>
              <w:rPr>
                <w:b/>
              </w:rPr>
              <w:t>ТР/ТЕ (режим используется при прогрессировании, EMA-EP, его непереносимости или невозможности проведения) [65]</w:t>
            </w:r>
            <w:r>
              <w:rPr>
                <w:b/>
                <w:sz w:val="22"/>
                <w:vertAlign w:val="superscript"/>
              </w:rPr>
              <w:t xml:space="preserve">1 </w:t>
            </w:r>
            <w:r>
              <w:rPr>
                <w:i/>
              </w:rPr>
              <w:t>1-й день:</w:t>
            </w:r>
          </w:p>
        </w:tc>
      </w:tr>
    </w:tbl>
    <w:p w:rsidR="00547FE3" w:rsidRDefault="00547FE3">
      <w:pPr>
        <w:spacing w:after="0" w:line="259" w:lineRule="auto"/>
        <w:ind w:left="-1701" w:right="11207" w:firstLine="0"/>
        <w:jc w:val="left"/>
      </w:pPr>
    </w:p>
    <w:tbl>
      <w:tblPr>
        <w:tblStyle w:val="TableGrid"/>
        <w:tblW w:w="9496" w:type="dxa"/>
        <w:tblInd w:w="285" w:type="dxa"/>
        <w:tblCellMar>
          <w:top w:w="14" w:type="dxa"/>
          <w:left w:w="109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2224"/>
        <w:gridCol w:w="7272"/>
      </w:tblGrid>
      <w:tr w:rsidR="00547FE3">
        <w:trPr>
          <w:trHeight w:val="1666"/>
        </w:trPr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5" w:lineRule="auto"/>
              <w:ind w:left="0" w:right="1858" w:firstLine="0"/>
              <w:jc w:val="left"/>
            </w:pPr>
            <w:r>
              <w:t>#Паклитаксел** 135 мг/м</w:t>
            </w:r>
            <w:r>
              <w:rPr>
                <w:sz w:val="22"/>
                <w:vertAlign w:val="superscript"/>
              </w:rPr>
              <w:t>2</w:t>
            </w:r>
            <w:r>
              <w:t xml:space="preserve"> в/в капельно #Цисплатин** 60 мг/м</w:t>
            </w:r>
            <w:r>
              <w:rPr>
                <w:sz w:val="22"/>
                <w:vertAlign w:val="superscript"/>
              </w:rPr>
              <w:t>2</w:t>
            </w:r>
            <w:r>
              <w:t xml:space="preserve"> в/в капельно в 1-й день </w:t>
            </w:r>
            <w:r>
              <w:rPr>
                <w:i/>
              </w:rPr>
              <w:t>15-й день</w:t>
            </w:r>
            <w:r>
              <w:t>: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#Паклитаксел** 135 мг/м</w:t>
            </w:r>
            <w:r>
              <w:rPr>
                <w:sz w:val="22"/>
                <w:vertAlign w:val="superscript"/>
              </w:rPr>
              <w:t>2</w:t>
            </w:r>
            <w:r>
              <w:t xml:space="preserve"> в/в капельно в 1-й день</w:t>
            </w:r>
          </w:p>
          <w:p w:rsidR="00547FE3" w:rsidRDefault="005F4898">
            <w:pPr>
              <w:spacing w:after="9" w:line="259" w:lineRule="auto"/>
              <w:ind w:left="0" w:firstLine="0"/>
              <w:jc w:val="left"/>
            </w:pPr>
            <w:r>
              <w:t>Этопозид** 150 мг/м</w:t>
            </w:r>
            <w:r>
              <w:rPr>
                <w:sz w:val="22"/>
                <w:vertAlign w:val="superscript"/>
              </w:rPr>
              <w:t>2</w:t>
            </w:r>
            <w:r>
              <w:t xml:space="preserve"> в 1-й день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Повторные курсы – с 29-го дня от начала предыдущего курса</w:t>
            </w:r>
          </w:p>
        </w:tc>
      </w:tr>
      <w:tr w:rsidR="00547FE3">
        <w:trPr>
          <w:trHeight w:val="3598"/>
        </w:trPr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BEP [17,63]</w:t>
            </w:r>
          </w:p>
          <w:p w:rsidR="00547FE3" w:rsidRDefault="005F4898">
            <w:pPr>
              <w:spacing w:after="0" w:line="357" w:lineRule="auto"/>
              <w:ind w:left="0" w:right="245" w:firstLine="0"/>
              <w:jc w:val="left"/>
            </w:pPr>
            <w:r>
              <w:t>#блеомицин** 30 мг в/в в 1-й, 3-й, 5-й дни или в 1-й, 8-й, 15-й дни; этопозид** 100 мг/м2 в/в в 1–5-й дни; #цисплатин** 20 мг/м2 в/в в 1–5-й дни;</w:t>
            </w:r>
          </w:p>
          <w:p w:rsidR="00547FE3" w:rsidRDefault="005F4898">
            <w:pPr>
              <w:spacing w:after="0" w:line="357" w:lineRule="auto"/>
              <w:ind w:left="0" w:firstLine="0"/>
            </w:pPr>
            <w:r>
              <w:t>Г-КСФ (пролонгированного действия) 6 мг в 8-й день или Г-КСФ (короткого действия) 5 мкг/кг п/к в 6–14-й дни.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П</w:t>
            </w:r>
            <w:r>
              <w:t xml:space="preserve">овторение курсов каждые 3 нед., считая от первого дня предыдущего курса. Проводится не более 4 курсов химиотерапии с включением #блеомицина**. </w:t>
            </w:r>
          </w:p>
        </w:tc>
      </w:tr>
      <w:tr w:rsidR="00547FE3">
        <w:trPr>
          <w:trHeight w:val="4424"/>
        </w:trPr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VIP [66]</w:t>
            </w:r>
          </w:p>
          <w:p w:rsidR="00547FE3" w:rsidRDefault="005F4898">
            <w:pPr>
              <w:spacing w:after="114" w:line="259" w:lineRule="auto"/>
              <w:ind w:left="0" w:firstLine="0"/>
              <w:jc w:val="left"/>
            </w:pPr>
            <w:r>
              <w:t>этопозид** 75 мг/м2 в/в в 1–5-й дни;</w:t>
            </w:r>
          </w:p>
          <w:p w:rsidR="00547FE3" w:rsidRDefault="005F4898">
            <w:pPr>
              <w:spacing w:after="0" w:line="357" w:lineRule="auto"/>
              <w:ind w:left="0" w:right="61" w:firstLine="0"/>
            </w:pPr>
            <w:r>
              <w:t xml:space="preserve">#ифосфамид** 1200 мг/м2 в/в в 1–5-й дни + месна** 100% от дозы </w:t>
            </w:r>
            <w:r>
              <w:t>#ифосфамида** в/в болюсно за 15 мин. до введения #ифосфамида**, затем — через 4 и 8 часов после введения #ифосфамида** в 1–5-й дни;</w:t>
            </w:r>
          </w:p>
          <w:p w:rsidR="00547FE3" w:rsidRDefault="005F4898">
            <w:pPr>
              <w:spacing w:after="114" w:line="259" w:lineRule="auto"/>
              <w:ind w:left="0" w:firstLine="0"/>
              <w:jc w:val="left"/>
            </w:pPr>
            <w:r>
              <w:t>#цисплатин** 20 мг/м2 в/в в 1–5-й дни;</w:t>
            </w:r>
          </w:p>
          <w:p w:rsidR="00547FE3" w:rsidRDefault="005F4898">
            <w:pPr>
              <w:spacing w:after="0" w:line="357" w:lineRule="auto"/>
              <w:ind w:left="0" w:firstLine="0"/>
            </w:pPr>
            <w:r>
              <w:t xml:space="preserve">Г-КСФ (пролонгированного действия) 6 мг в 8-й день или Г-КСФ </w:t>
            </w:r>
            <w:r>
              <w:t>(короткого действия) 5 мкг/кг п/к в 6–14-й дни.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Повторение курсов каждые 3 нед., считая от первого дня предыдущего курса</w:t>
            </w:r>
          </w:p>
        </w:tc>
      </w:tr>
      <w:tr w:rsidR="00547FE3">
        <w:trPr>
          <w:trHeight w:val="3598"/>
        </w:trPr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177" w:line="259" w:lineRule="auto"/>
              <w:ind w:left="0" w:firstLine="0"/>
              <w:jc w:val="left"/>
            </w:pPr>
            <w:r>
              <w:rPr>
                <w:b/>
              </w:rPr>
              <w:t xml:space="preserve">TIP [126] </w:t>
            </w:r>
            <w:r>
              <w:rPr>
                <w:strike/>
                <w:sz w:val="22"/>
                <w:vertAlign w:val="superscript"/>
              </w:rPr>
              <w:t xml:space="preserve">66 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#Паклитаксел** 250 мг/м2 в/в в 1-й день.</w:t>
            </w:r>
          </w:p>
          <w:p w:rsidR="00547FE3" w:rsidRDefault="005F4898">
            <w:pPr>
              <w:spacing w:after="0" w:line="357" w:lineRule="auto"/>
              <w:ind w:left="0" w:right="61" w:firstLine="0"/>
            </w:pPr>
            <w:r>
              <w:t xml:space="preserve">#Ифосфамид** 1500 мг/м2 в/в во 2–5-й дни + Месна** 100% от дозы </w:t>
            </w:r>
            <w:r>
              <w:t>#ифосфамида** в/в болюсно за 15 мин. до введения #ифосфамида**, затем — через 4 и 8 часов после введения #ифосфамида** во 2–5-й дни;</w:t>
            </w:r>
          </w:p>
          <w:p w:rsidR="00547FE3" w:rsidRDefault="005F4898">
            <w:pPr>
              <w:spacing w:after="114" w:line="259" w:lineRule="auto"/>
              <w:ind w:left="0" w:firstLine="0"/>
              <w:jc w:val="left"/>
            </w:pPr>
            <w:r>
              <w:t>#Цисплатин** 25 мг/м2 в/в в 2–5-й дни;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Повторение курсов каждые 3 нед., считая от первого дня предыдущего курса.</w:t>
            </w:r>
          </w:p>
        </w:tc>
      </w:tr>
      <w:tr w:rsidR="00547FE3">
        <w:trPr>
          <w:trHeight w:val="1250"/>
        </w:trPr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114" w:line="259" w:lineRule="auto"/>
              <w:ind w:left="0" w:firstLine="0"/>
              <w:jc w:val="left"/>
            </w:pPr>
            <w:r>
              <w:rPr>
                <w:b/>
              </w:rPr>
              <w:t>Иммуноте</w:t>
            </w:r>
            <w:r>
              <w:rPr>
                <w:b/>
              </w:rPr>
              <w:t>рапия [28, 126]</w:t>
            </w:r>
          </w:p>
          <w:p w:rsidR="00547FE3" w:rsidRDefault="005F4898">
            <w:pPr>
              <w:spacing w:after="114" w:line="259" w:lineRule="auto"/>
              <w:ind w:left="0" w:firstLine="0"/>
              <w:jc w:val="left"/>
            </w:pPr>
            <w:r>
              <w:rPr>
                <w:b/>
              </w:rPr>
              <w:t>#Пембролизумаб** 200 мг /в капельно каждые 3 нед.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#Авелумаб** 800 мг в/в капельно каждые 2 нед.</w:t>
            </w:r>
          </w:p>
        </w:tc>
      </w:tr>
      <w:tr w:rsidR="00547FE3">
        <w:trPr>
          <w:trHeight w:val="424"/>
        </w:trPr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#Ниволумаб** 240 мг в/в капельно каждые 2 нед.</w:t>
            </w:r>
          </w:p>
        </w:tc>
      </w:tr>
      <w:tr w:rsidR="00547FE3">
        <w:trPr>
          <w:trHeight w:val="1390"/>
        </w:trPr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\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38" w:lineRule="auto"/>
              <w:ind w:left="0" w:firstLine="0"/>
              <w:jc w:val="left"/>
            </w:pPr>
            <w:r>
              <w:t>Дополнительные режимы для пациенток с резистентностью к полихимиотерапии и/или иммунотерапии [28, 67]: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#Капецитабин** по 1250 мг/м</w:t>
            </w:r>
            <w:r>
              <w:rPr>
                <w:sz w:val="22"/>
                <w:vertAlign w:val="superscript"/>
              </w:rPr>
              <w:t>2</w:t>
            </w:r>
            <w:r>
              <w:t xml:space="preserve"> 2 раза в день внутрь в 1–14-й дни. Повторение курсов каждые 3 нед., считая от первого дня предыдущего курса;</w:t>
            </w:r>
          </w:p>
        </w:tc>
      </w:tr>
    </w:tbl>
    <w:p w:rsidR="00547FE3" w:rsidRDefault="005F4898">
      <w:pPr>
        <w:numPr>
          <w:ilvl w:val="0"/>
          <w:numId w:val="9"/>
        </w:numPr>
        <w:spacing w:after="3" w:line="259" w:lineRule="auto"/>
        <w:ind w:right="165" w:firstLine="701"/>
      </w:pPr>
      <w:r>
        <w:rPr>
          <w:i/>
        </w:rPr>
        <w:t>Лечение провод</w:t>
      </w:r>
      <w:r>
        <w:rPr>
          <w:i/>
        </w:rPr>
        <w:t xml:space="preserve">ится до нормализации уровня ХГЧ, затем дополнительно проводятся 3 консолидирующих курса в аналогичном режиме (для </w:t>
      </w:r>
      <w:r>
        <w:t>пациенток</w:t>
      </w:r>
      <w:r>
        <w:rPr>
          <w:i/>
        </w:rPr>
        <w:t xml:space="preserve"> с IV стадией – 4 курса).</w:t>
      </w:r>
    </w:p>
    <w:p w:rsidR="00547FE3" w:rsidRDefault="005F4898">
      <w:pPr>
        <w:numPr>
          <w:ilvl w:val="0"/>
          <w:numId w:val="9"/>
        </w:numPr>
        <w:spacing w:after="3" w:line="266" w:lineRule="auto"/>
        <w:ind w:right="165" w:firstLine="701"/>
      </w:pPr>
      <w:r>
        <w:rPr>
          <w:i/>
        </w:rPr>
        <w:t>Лечение в 1-й и 2-й дни проводится с обязательной гидратацией (не менее 2 л раствора натрия хлорида**), и п</w:t>
      </w:r>
      <w:r>
        <w:rPr>
          <w:i/>
        </w:rPr>
        <w:t>ротиворвотной терапией.</w:t>
      </w:r>
    </w:p>
    <w:p w:rsidR="00547FE3" w:rsidRDefault="005F4898">
      <w:pPr>
        <w:numPr>
          <w:ilvl w:val="0"/>
          <w:numId w:val="9"/>
        </w:numPr>
        <w:spacing w:after="268" w:line="245" w:lineRule="auto"/>
        <w:ind w:right="165" w:firstLine="701"/>
      </w:pPr>
      <w:r>
        <w:rPr>
          <w:i/>
        </w:rPr>
        <w:t>Лечение в 1, 2 и 8-й дни проводится с обязательной гидратацией (не менее 2 л раствора натрия хлорида**), и противорвотной терапией. Для профилактики нейтропении возможно назначение Г-КСФ короткого действия (филграстим**) в дозе 5 мк</w:t>
      </w:r>
      <w:r>
        <w:rPr>
          <w:i/>
        </w:rPr>
        <w:t>г/кг подкожно в дни 3 - 6, 9 -12 в каждом цикле химиотерапии. Г-КСФ пролонгированного действия – пэгфилграстим.</w:t>
      </w:r>
    </w:p>
    <w:p w:rsidR="00547FE3" w:rsidRDefault="005F4898">
      <w:pPr>
        <w:spacing w:after="240" w:line="238" w:lineRule="auto"/>
        <w:ind w:left="2" w:firstLine="709"/>
        <w:jc w:val="left"/>
      </w:pPr>
      <w:r>
        <w:rPr>
          <w:b/>
        </w:rPr>
        <w:t>Комментарий</w:t>
      </w:r>
      <w:r>
        <w:rPr>
          <w:b/>
          <w:i/>
        </w:rPr>
        <w:t>.</w:t>
      </w:r>
      <w:r>
        <w:rPr>
          <w:i/>
        </w:rPr>
        <w:t xml:space="preserve"> </w:t>
      </w:r>
      <w:r>
        <w:rPr>
          <w:i/>
          <w:u w:val="single" w:color="000000"/>
        </w:rPr>
        <w:t>Резистентность ЗТО к 2-м линиям стандартной химиотерапии у</w:t>
      </w:r>
      <w:r>
        <w:rPr>
          <w:i/>
        </w:rPr>
        <w:t xml:space="preserve"> </w:t>
      </w:r>
      <w:r>
        <w:rPr>
          <w:i/>
          <w:u w:val="single" w:color="000000"/>
        </w:rPr>
        <w:t>больных с исходно высоким риском является крайне неблагоприятным факторо</w:t>
      </w:r>
      <w:r>
        <w:rPr>
          <w:i/>
          <w:u w:val="single" w:color="000000"/>
        </w:rPr>
        <w:t>м прогноза.</w:t>
      </w:r>
      <w:r>
        <w:rPr>
          <w:i/>
        </w:rPr>
        <w:t xml:space="preserve"> </w:t>
      </w:r>
    </w:p>
    <w:p w:rsidR="00547FE3" w:rsidRDefault="005F4898">
      <w:pPr>
        <w:pStyle w:val="Heading2"/>
        <w:ind w:left="706" w:right="131"/>
      </w:pPr>
      <w:r>
        <w:t>3.4. Лечение больных с редкими формами ЗТО</w:t>
      </w:r>
      <w:r>
        <w:rPr>
          <w:u w:val="none"/>
        </w:rPr>
        <w:t xml:space="preserve"> </w:t>
      </w:r>
    </w:p>
    <w:p w:rsidR="00547FE3" w:rsidRDefault="005F4898">
      <w:pPr>
        <w:ind w:left="-13" w:right="148" w:firstLine="709"/>
      </w:pPr>
      <w:r>
        <w:t xml:space="preserve">Лечение больных с редкими формами ГТБ (эпителиоидная опухоль, опухоль плацентарного ложа) </w:t>
      </w:r>
      <w:r>
        <w:rPr>
          <w:b/>
        </w:rPr>
        <w:t>рекомендует</w:t>
      </w:r>
      <w:r>
        <w:t xml:space="preserve">ся проводить с проведением дистанционных </w:t>
      </w:r>
      <w:r>
        <w:t xml:space="preserve">телемедицинских консультаций со специалистами профильных медицинских центров. Все пациентки с редкими формами ЗТО относятся к высокому риску лекарственной резистентности [31]. </w:t>
      </w:r>
    </w:p>
    <w:p w:rsidR="00547FE3" w:rsidRDefault="005F4898">
      <w:pPr>
        <w:spacing w:after="213" w:line="265" w:lineRule="auto"/>
        <w:ind w:left="-13" w:firstLine="709"/>
        <w:jc w:val="left"/>
      </w:pPr>
      <w:r>
        <w:rPr>
          <w:b/>
        </w:rPr>
        <w:t xml:space="preserve">Уровень убедительности рекомендаций – С (уровень достоверности доказательств – </w:t>
      </w:r>
      <w:r>
        <w:rPr>
          <w:b/>
        </w:rPr>
        <w:t>5).</w:t>
      </w:r>
    </w:p>
    <w:p w:rsidR="00547FE3" w:rsidRDefault="005F4898">
      <w:pPr>
        <w:spacing w:after="3" w:line="351" w:lineRule="auto"/>
        <w:ind w:left="-13" w:right="165" w:firstLine="0"/>
      </w:pPr>
      <w:r>
        <w:rPr>
          <w:b/>
        </w:rPr>
        <w:t>Комментарии.</w:t>
      </w:r>
      <w:r>
        <w:t xml:space="preserve"> </w:t>
      </w:r>
      <w:r>
        <w:rPr>
          <w:i/>
        </w:rPr>
        <w:t>Несмотря на относительно благоприятное течение ТОПЛ, прогноз может оказаться непредсказуемым, поскольку опухоль характеризуется невысокой чувствительностью к химиотерапии. Еще более сложным является прогноз при ЭТО. К наиболее важным факто</w:t>
      </w:r>
      <w:r>
        <w:rPr>
          <w:i/>
        </w:rPr>
        <w:t xml:space="preserve">рам неблагоприятного прогноза относятся: возраст старше 40 лет, исход предшествующей беременности, стадия болезни (FIGO), длительность латентного периода (время от завершения предшествующей беременности до манифестации болезни), уровень ХГЧ и митотический </w:t>
      </w:r>
      <w:r>
        <w:rPr>
          <w:i/>
        </w:rPr>
        <w:t>индекс [68, 69].</w:t>
      </w:r>
    </w:p>
    <w:p w:rsidR="00547FE3" w:rsidRDefault="005F4898">
      <w:pPr>
        <w:spacing w:after="354" w:line="259" w:lineRule="auto"/>
        <w:ind w:left="0" w:firstLine="0"/>
        <w:jc w:val="left"/>
      </w:pPr>
      <w:r>
        <w:rPr>
          <w:u w:val="single" w:color="000000"/>
        </w:rPr>
        <w:t xml:space="preserve"> </w:t>
      </w:r>
      <w:r>
        <w:rPr>
          <w:b/>
          <w:u w:val="single" w:color="000000"/>
        </w:rPr>
        <w:t>Тактика лечения</w:t>
      </w:r>
      <w:r>
        <w:rPr>
          <w:u w:val="single" w:color="000000"/>
        </w:rPr>
        <w:t xml:space="preserve">  определяется с учетом факторов прогноза и опыта клиники. </w:t>
      </w:r>
    </w:p>
    <w:p w:rsidR="00547FE3" w:rsidRDefault="005F4898">
      <w:pPr>
        <w:ind w:left="-3" w:right="148"/>
      </w:pPr>
      <w:r>
        <w:t xml:space="preserve">При наличии факторов неблагоприятного прогноза, диссеминированной болезни целесообразно начинать лечение с проведения химиотерапии в режиме ЕМА-ЕР (табл. 3) </w:t>
      </w:r>
    </w:p>
    <w:p w:rsidR="00547FE3" w:rsidRDefault="005F4898">
      <w:pPr>
        <w:spacing w:line="259" w:lineRule="auto"/>
        <w:ind w:left="-3" w:right="148"/>
      </w:pPr>
      <w:r>
        <w:t xml:space="preserve">[17, </w:t>
      </w:r>
      <w:r>
        <w:t>31].</w:t>
      </w:r>
    </w:p>
    <w:p w:rsidR="00547FE3" w:rsidRDefault="005F4898">
      <w:pPr>
        <w:spacing w:after="233"/>
        <w:ind w:left="-3" w:right="148"/>
      </w:pPr>
      <w:r>
        <w:rPr>
          <w:b/>
        </w:rPr>
        <w:t>Рекомендуется</w:t>
      </w:r>
      <w:r>
        <w:t xml:space="preserve"> рассмотреть возможность хирургического лечения на первом этапе, особенно у пациенток с локализованными формами болезни и не заинтересованных в сохранении фертильности. Альтернативное хирургическое лечение (гистерорезектоскопия, тотальная</w:t>
      </w:r>
      <w:r>
        <w:t xml:space="preserve"> гистерэктомия) </w:t>
      </w:r>
      <w:r>
        <w:rPr>
          <w:b/>
        </w:rPr>
        <w:t>рекомендуется</w:t>
      </w:r>
      <w:r>
        <w:t xml:space="preserve"> рассматривать только при I стадии болезни и отсутствии факторов негативного прогноза. Принятие решения о хирургическом лечении и объеме операции должно осуществляться с обязательным участием специалистов медицинских центров тр</w:t>
      </w:r>
      <w:r>
        <w:t>етьего уровня [127].</w:t>
      </w:r>
    </w:p>
    <w:p w:rsidR="00547FE3" w:rsidRDefault="005F4898">
      <w:pPr>
        <w:spacing w:after="94" w:line="265" w:lineRule="auto"/>
        <w:ind w:left="-3"/>
        <w:jc w:val="left"/>
      </w:pPr>
      <w:r>
        <w:rPr>
          <w:b/>
        </w:rPr>
        <w:t xml:space="preserve">Уровень убедительности рекомендаций – С (уровень достоверности доказательств – 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5).</w:t>
      </w:r>
    </w:p>
    <w:p w:rsidR="00547FE3" w:rsidRDefault="005F4898">
      <w:pPr>
        <w:spacing w:after="234" w:line="351" w:lineRule="auto"/>
        <w:ind w:left="-13" w:right="165" w:firstLine="0"/>
      </w:pPr>
      <w:r>
        <w:rPr>
          <w:b/>
        </w:rPr>
        <w:t>Комментарии:</w:t>
      </w:r>
      <w:r>
        <w:t xml:space="preserve"> </w:t>
      </w:r>
      <w:r>
        <w:rPr>
          <w:i/>
        </w:rPr>
        <w:t xml:space="preserve">у пациенток, заинтересованных в сохранении фертильности, возможна попытка органосохраняющего лечения. Лечение начинают с неоадъювантной </w:t>
      </w:r>
      <w:r>
        <w:rPr>
          <w:i/>
        </w:rPr>
        <w:t>платиносодержащей химиотерапии. При развитии резистентности и возможности хирургического лечения проводится органосохраняющая операция с последующей адъювантной химиотерапией. Лечение следует проводить в центрах, обладающих опытом лечения таких пациенток [</w:t>
      </w:r>
      <w:r>
        <w:rPr>
          <w:i/>
        </w:rPr>
        <w:t xml:space="preserve">70, 71]. </w:t>
      </w:r>
    </w:p>
    <w:p w:rsidR="00547FE3" w:rsidRDefault="005F4898">
      <w:pPr>
        <w:spacing w:after="277"/>
        <w:ind w:left="-3" w:right="148"/>
      </w:pPr>
      <w:r>
        <w:t>При I стадии заболевания после выполнения гистерэктомии и в случае нормализации сывороточного уровня b-ХГЧ возможно отказаться от проведения адъювантной терапии при следующих условиях:</w:t>
      </w:r>
    </w:p>
    <w:p w:rsidR="00547FE3" w:rsidRDefault="005F4898">
      <w:pPr>
        <w:spacing w:after="354" w:line="259" w:lineRule="auto"/>
        <w:ind w:left="372" w:right="148"/>
      </w:pPr>
      <w:r>
        <w:rPr>
          <w:rFonts w:ascii="Segoe UI Symbol" w:eastAsia="Segoe UI Symbol" w:hAnsi="Segoe UI Symbol" w:cs="Segoe UI Symbol"/>
        </w:rPr>
        <w:t xml:space="preserve">· </w:t>
      </w:r>
      <w:r>
        <w:t>возможность строгого динамического контроля (b-ХГЧ, КТ/МРТ)</w:t>
      </w:r>
    </w:p>
    <w:p w:rsidR="00547FE3" w:rsidRDefault="005F4898">
      <w:pPr>
        <w:spacing w:after="354" w:line="259" w:lineRule="auto"/>
        <w:ind w:left="372" w:right="148"/>
      </w:pPr>
      <w:r>
        <w:rPr>
          <w:rFonts w:ascii="Segoe UI Symbol" w:eastAsia="Segoe UI Symbol" w:hAnsi="Segoe UI Symbol" w:cs="Segoe UI Symbol"/>
        </w:rPr>
        <w:t xml:space="preserve">· </w:t>
      </w:r>
      <w:r>
        <w:t>интервал от последней беременности менее 2 лет</w:t>
      </w:r>
    </w:p>
    <w:p w:rsidR="00547FE3" w:rsidRDefault="005F4898">
      <w:pPr>
        <w:spacing w:after="354" w:line="259" w:lineRule="auto"/>
        <w:ind w:left="372" w:right="148"/>
      </w:pPr>
      <w:r>
        <w:rPr>
          <w:rFonts w:ascii="Segoe UI Symbol" w:eastAsia="Segoe UI Symbol" w:hAnsi="Segoe UI Symbol" w:cs="Segoe UI Symbol"/>
        </w:rPr>
        <w:t xml:space="preserve">· </w:t>
      </w:r>
      <w:r>
        <w:t>поверхностная инвазия опухоли в стенку матки</w:t>
      </w:r>
    </w:p>
    <w:p w:rsidR="00547FE3" w:rsidRDefault="005F4898">
      <w:pPr>
        <w:spacing w:after="354" w:line="259" w:lineRule="auto"/>
        <w:ind w:left="372" w:right="148"/>
      </w:pPr>
      <w:r>
        <w:rPr>
          <w:rFonts w:ascii="Segoe UI Symbol" w:eastAsia="Segoe UI Symbol" w:hAnsi="Segoe UI Symbol" w:cs="Segoe UI Symbol"/>
        </w:rPr>
        <w:t xml:space="preserve">· </w:t>
      </w:r>
      <w:r>
        <w:t>отсутствие некрозов в ткани опухоли</w:t>
      </w:r>
    </w:p>
    <w:p w:rsidR="00547FE3" w:rsidRDefault="005F4898">
      <w:pPr>
        <w:spacing w:after="311" w:line="259" w:lineRule="auto"/>
        <w:ind w:left="372" w:right="148"/>
      </w:pPr>
      <w:r>
        <w:rPr>
          <w:rFonts w:ascii="Segoe UI Symbol" w:eastAsia="Segoe UI Symbol" w:hAnsi="Segoe UI Symbol" w:cs="Segoe UI Symbol"/>
        </w:rPr>
        <w:t xml:space="preserve">· </w:t>
      </w:r>
      <w:r>
        <w:t xml:space="preserve">количество митозов менее 5/10 </w:t>
      </w:r>
    </w:p>
    <w:p w:rsidR="00547FE3" w:rsidRDefault="005F4898">
      <w:pPr>
        <w:spacing w:after="340" w:line="259" w:lineRule="auto"/>
        <w:ind w:left="-3" w:right="148"/>
      </w:pPr>
      <w:r>
        <w:t xml:space="preserve">Во всех остальных случаях показано проведение адъювантной химиотерапии. </w:t>
      </w:r>
    </w:p>
    <w:p w:rsidR="00547FE3" w:rsidRDefault="005F4898">
      <w:pPr>
        <w:pStyle w:val="Heading2"/>
        <w:ind w:left="706" w:right="131"/>
      </w:pPr>
      <w:r>
        <w:t>3.5. Лечение па</w:t>
      </w:r>
      <w:r>
        <w:t>циенток с церебральными метастазами</w:t>
      </w:r>
      <w:r>
        <w:rPr>
          <w:u w:val="none"/>
        </w:rPr>
        <w:t xml:space="preserve"> 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противоопухолевое лечение пациенткам начинать в 1-е сутки от момента установления диагноза. При отсутствии неврологических нарушений рекомендуется интенсивная химиотерапия в режиме ЕМА-ЕР (см. табл. 3) с у</w:t>
      </w:r>
      <w:r>
        <w:t>четом рекомендаций врачаневролога или врача-нейрохирурга. Возможно, начало терапии со «стабилизирующих курсов» химиотерапии - индукционная низкодозная химиотерапия в режиме: #</w:t>
      </w:r>
      <w:r>
        <w:rPr>
          <w:b/>
        </w:rPr>
        <w:t>цисплатин** 20 мг/м</w:t>
      </w:r>
      <w:r>
        <w:rPr>
          <w:b/>
          <w:sz w:val="22"/>
          <w:vertAlign w:val="superscript"/>
        </w:rPr>
        <w:t>2</w:t>
      </w:r>
      <w:r>
        <w:rPr>
          <w:b/>
        </w:rPr>
        <w:t xml:space="preserve"> в 1,2 дни + этопозид** 100 мг/м</w:t>
      </w:r>
      <w:r>
        <w:rPr>
          <w:b/>
          <w:sz w:val="22"/>
          <w:vertAlign w:val="superscript"/>
        </w:rPr>
        <w:t>2</w:t>
      </w:r>
      <w:r>
        <w:t xml:space="preserve"> внутривенно капельно в 1, 2</w:t>
      </w:r>
      <w:r>
        <w:t xml:space="preserve"> дни . Повторение цикла с 8 дня. Всего рекомендуется до 3-х циклов с последующим переходом на стандартный режим химиотерапии [31, 49]</w:t>
      </w:r>
      <w:r>
        <w:rPr>
          <w:i/>
        </w:rPr>
        <w:t>.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4).</w:t>
      </w:r>
    </w:p>
    <w:p w:rsidR="00547FE3" w:rsidRDefault="005F4898">
      <w:pPr>
        <w:spacing w:after="234" w:line="351" w:lineRule="auto"/>
        <w:ind w:left="-13" w:right="165" w:firstLine="0"/>
      </w:pPr>
      <w:r>
        <w:rPr>
          <w:b/>
        </w:rPr>
        <w:t>Комментарии:</w:t>
      </w:r>
      <w:r>
        <w:t xml:space="preserve"> </w:t>
      </w:r>
      <w:r>
        <w:rPr>
          <w:i/>
        </w:rPr>
        <w:t>до начала лечения необход</w:t>
      </w:r>
      <w:r>
        <w:rPr>
          <w:i/>
        </w:rPr>
        <w:t xml:space="preserve">имо провести совместный консилиум с врачомневрологом или врачом-нейрохирургом для оценки неврологического статуса пациентки и коррекции нарушений с помощью симптоматической терапии. </w:t>
      </w:r>
    </w:p>
    <w:p w:rsidR="00547FE3" w:rsidRDefault="005F4898">
      <w:pPr>
        <w:spacing w:after="233"/>
        <w:ind w:left="-3" w:right="148"/>
      </w:pPr>
      <w:r>
        <w:rPr>
          <w:b/>
        </w:rPr>
        <w:t>Рекомендуется</w:t>
      </w:r>
      <w:r>
        <w:t xml:space="preserve"> рассмотреть возможность проведения стереотаксического облуч</w:t>
      </w:r>
      <w:r>
        <w:t>ения резистентных метастазов в головном мозге (A07.23.001.004 Дистанционная лучевая терапия при поражении центральной нервной системы и головного мозга стереотаксическим методом пучками нейтронов, протонов и тяжелых ионов) [128].</w:t>
      </w:r>
    </w:p>
    <w:p w:rsidR="00547FE3" w:rsidRDefault="005F4898">
      <w:pPr>
        <w:spacing w:after="94" w:line="265" w:lineRule="auto"/>
        <w:ind w:left="-3"/>
        <w:jc w:val="left"/>
      </w:pPr>
      <w:r>
        <w:rPr>
          <w:b/>
        </w:rPr>
        <w:t xml:space="preserve">Уровень убедительности рекомендаций – С (уровень достоверности доказательств – 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5).</w:t>
      </w:r>
    </w:p>
    <w:p w:rsidR="00547FE3" w:rsidRDefault="005F4898">
      <w:pPr>
        <w:pStyle w:val="Heading2"/>
        <w:ind w:left="706" w:right="131"/>
      </w:pPr>
      <w:r>
        <w:t>3.6. Хирургическое лечение</w:t>
      </w:r>
    </w:p>
    <w:p w:rsidR="00547FE3" w:rsidRDefault="005F4898">
      <w:pPr>
        <w:spacing w:after="100" w:line="259" w:lineRule="auto"/>
        <w:ind w:left="-13" w:right="165" w:firstLine="0"/>
      </w:pPr>
      <w:r>
        <w:rPr>
          <w:i/>
        </w:rPr>
        <w:t>Показания к хирургическому лечению:</w:t>
      </w:r>
    </w:p>
    <w:p w:rsidR="00547FE3" w:rsidRDefault="005F4898">
      <w:pPr>
        <w:numPr>
          <w:ilvl w:val="0"/>
          <w:numId w:val="10"/>
        </w:numPr>
        <w:spacing w:after="3" w:line="351" w:lineRule="auto"/>
        <w:ind w:right="165" w:hanging="360"/>
      </w:pPr>
      <w:r>
        <w:rPr>
          <w:i/>
        </w:rPr>
        <w:t>кровотечение из первичной опухоли или метастаза, угрожающее жизни пациентки;</w:t>
      </w:r>
    </w:p>
    <w:p w:rsidR="00547FE3" w:rsidRDefault="005F4898">
      <w:pPr>
        <w:numPr>
          <w:ilvl w:val="0"/>
          <w:numId w:val="10"/>
        </w:numPr>
        <w:spacing w:after="106" w:line="259" w:lineRule="auto"/>
        <w:ind w:right="165" w:hanging="360"/>
      </w:pPr>
      <w:r>
        <w:rPr>
          <w:i/>
        </w:rPr>
        <w:t>перфорация опухолью стенки матки</w:t>
      </w:r>
      <w:r>
        <w:rPr>
          <w:i/>
        </w:rPr>
        <w:t>;</w:t>
      </w:r>
    </w:p>
    <w:p w:rsidR="00547FE3" w:rsidRDefault="005F4898">
      <w:pPr>
        <w:numPr>
          <w:ilvl w:val="0"/>
          <w:numId w:val="10"/>
        </w:numPr>
        <w:spacing w:after="3" w:line="351" w:lineRule="auto"/>
        <w:ind w:right="165" w:hanging="360"/>
      </w:pPr>
      <w:r>
        <w:rPr>
          <w:i/>
        </w:rPr>
        <w:t>резистентность первичной опухоли (при неэффективности стандартной химиотерапии 1-й и 2-й линий и отсутствии отдаленных метастазов);</w:t>
      </w:r>
    </w:p>
    <w:p w:rsidR="00547FE3" w:rsidRDefault="005F4898">
      <w:pPr>
        <w:numPr>
          <w:ilvl w:val="0"/>
          <w:numId w:val="10"/>
        </w:numPr>
        <w:spacing w:after="3" w:line="351" w:lineRule="auto"/>
        <w:ind w:right="165" w:hanging="360"/>
      </w:pPr>
      <w:r>
        <w:rPr>
          <w:i/>
        </w:rPr>
        <w:t>резистентность солитарных метастазов опухоли (при отсутствии первичной опухоли и метастазов в других органах, наличии усло</w:t>
      </w:r>
      <w:r>
        <w:rPr>
          <w:i/>
        </w:rPr>
        <w:t>вий для одномоментного удаления всех резистентных очагов и возможности проведения химиотерапии после операции;</w:t>
      </w:r>
    </w:p>
    <w:p w:rsidR="00547FE3" w:rsidRDefault="005F4898">
      <w:pPr>
        <w:numPr>
          <w:ilvl w:val="0"/>
          <w:numId w:val="10"/>
        </w:numPr>
        <w:spacing w:after="234" w:line="351" w:lineRule="auto"/>
        <w:ind w:right="165" w:hanging="360"/>
      </w:pPr>
      <w:r>
        <w:rPr>
          <w:i/>
        </w:rPr>
        <w:t>локальный рецидив опухоли (после подтверждения с помощью ПЭТ-КТ (позитронная эмиссионная томография, совмещенная с компьютерной томографией с тум</w:t>
      </w:r>
      <w:r>
        <w:rPr>
          <w:i/>
        </w:rPr>
        <w:t>оротропными РФП) [32, 33].</w:t>
      </w:r>
    </w:p>
    <w:p w:rsidR="00547FE3" w:rsidRDefault="005F4898">
      <w:pPr>
        <w:ind w:left="-3" w:right="148"/>
      </w:pPr>
      <w:r>
        <w:rPr>
          <w:b/>
        </w:rPr>
        <w:t xml:space="preserve">Рекомендуется </w:t>
      </w:r>
      <w:r>
        <w:t>проводить пациенткам хирургическое лечение для достижения излечения (при ограниченном метастатическом поражении, в случае возможности радикального удаления всех очагов опухолевого роста) [31, 68]:</w:t>
      </w:r>
    </w:p>
    <w:p w:rsidR="00547FE3" w:rsidRDefault="005F4898">
      <w:pPr>
        <w:numPr>
          <w:ilvl w:val="0"/>
          <w:numId w:val="10"/>
        </w:numPr>
        <w:spacing w:line="259" w:lineRule="auto"/>
        <w:ind w:right="165" w:hanging="360"/>
      </w:pPr>
      <w:r>
        <w:t xml:space="preserve">органосохраняющую </w:t>
      </w:r>
      <w:r>
        <w:t>гистерорезекцию</w:t>
      </w:r>
    </w:p>
    <w:p w:rsidR="00547FE3" w:rsidRDefault="005F4898">
      <w:pPr>
        <w:numPr>
          <w:ilvl w:val="0"/>
          <w:numId w:val="10"/>
        </w:numPr>
        <w:ind w:right="165" w:hanging="360"/>
      </w:pPr>
      <w:r>
        <w:t>(гистерорезектоскопия, атипичная резекция матки, удаление новообразования) сиссечением опухоли в пределах здоровых тканей у пациенток репродуктивного возраста при множественной лекарственной резистентности;</w:t>
      </w:r>
    </w:p>
    <w:p w:rsidR="00547FE3" w:rsidRDefault="005F4898">
      <w:pPr>
        <w:numPr>
          <w:ilvl w:val="0"/>
          <w:numId w:val="10"/>
        </w:numPr>
        <w:ind w:right="165" w:hanging="360"/>
      </w:pPr>
      <w:r>
        <w:t>органосохраняющую гистеротомию с иссечением опухоли в пределах здоровых тканей у больных репродуктивного возраста при резистентности при невозможности адекватной гистероскопической резекции</w:t>
      </w:r>
    </w:p>
    <w:p w:rsidR="00547FE3" w:rsidRDefault="005F4898">
      <w:pPr>
        <w:numPr>
          <w:ilvl w:val="0"/>
          <w:numId w:val="10"/>
        </w:numPr>
        <w:ind w:right="165" w:hanging="360"/>
      </w:pPr>
      <w:r>
        <w:t>резекцию пораженного органа (удаление новообразования легкого (ати</w:t>
      </w:r>
      <w:r>
        <w:t>пичная резекция, удаление новообразования легкого (атипичная резекция) видеоторакоскопическое, резекция печени атипичная, лапароскопическая краевая (атипичная) резекция печени и др.) с резистентным метастазом в пределах здоровых тканей (возможно, эндоскопи</w:t>
      </w:r>
      <w:r>
        <w:t>ческим путем).</w:t>
      </w:r>
    </w:p>
    <w:p w:rsidR="00547FE3" w:rsidRDefault="005F4898">
      <w:pPr>
        <w:spacing w:after="94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4).</w:t>
      </w:r>
    </w:p>
    <w:p w:rsidR="00547FE3" w:rsidRDefault="005F4898">
      <w:pPr>
        <w:spacing w:after="394" w:line="351" w:lineRule="auto"/>
        <w:ind w:left="-13" w:right="165" w:firstLine="701"/>
      </w:pPr>
      <w:r>
        <w:rPr>
          <w:b/>
        </w:rPr>
        <w:t>Комментарии:</w:t>
      </w:r>
      <w:r>
        <w:t xml:space="preserve"> </w:t>
      </w:r>
      <w:r>
        <w:rPr>
          <w:i/>
        </w:rPr>
        <w:t xml:space="preserve">хирургические вмешательства на матке следует выполнять лапаротомным доступом в целях сохранения абластичности вмешательства и </w:t>
      </w:r>
      <w:r>
        <w:rPr>
          <w:i/>
        </w:rPr>
        <w:t>предупреждения метастазирования высоко агрессивной опухоли. В отдельных ситуациях возможно выполнение операции лапароскопическим доступом (опухоли небольших размеров, локализация в верхнем сегменте матки, выполнение операции без маточного манипулятора). Им</w:t>
      </w:r>
      <w:r>
        <w:rPr>
          <w:i/>
        </w:rPr>
        <w:t xml:space="preserve">еющиеся данные ретроспективного исследования из крупного мирового центра по лечению трофобластических опухолей не показали ухудшения 5-летней выживаемости у пациенток, оперированных лапаросокпически по поводу ТО в сравнении с лапаротомным доступом [72]. У </w:t>
      </w:r>
      <w:r>
        <w:rPr>
          <w:i/>
        </w:rPr>
        <w:t xml:space="preserve">пациенток репродуктивного возраста </w:t>
      </w:r>
      <w:r>
        <w:rPr>
          <w:i/>
          <w:strike/>
        </w:rPr>
        <w:t>о</w:t>
      </w:r>
      <w:r>
        <w:rPr>
          <w:i/>
        </w:rPr>
        <w:t xml:space="preserve"> целесообразно сохранение яичников при любых морфологических формах ЗТО. Наличие тека-лютеиновых кист не является показанием к овариэктомии. </w:t>
      </w:r>
    </w:p>
    <w:p w:rsidR="00547FE3" w:rsidRDefault="005F4898">
      <w:pPr>
        <w:pStyle w:val="Heading2"/>
        <w:spacing w:after="100"/>
        <w:ind w:left="1505" w:right="131"/>
      </w:pPr>
      <w:r>
        <w:t>3.7. Лечение рецидивирующей ЗТО</w:t>
      </w:r>
    </w:p>
    <w:p w:rsidR="00547FE3" w:rsidRDefault="005F4898">
      <w:pPr>
        <w:ind w:left="-13" w:right="148" w:firstLine="709"/>
      </w:pPr>
      <w:r>
        <w:t>При рецидивирующем течении и/или  формировании</w:t>
      </w:r>
      <w:r>
        <w:t xml:space="preserve"> множественной лекарственной резистентности ЗТО к стандартным режимам </w:t>
      </w:r>
      <w:r>
        <w:rPr>
          <w:b/>
        </w:rPr>
        <w:t>рекомендуется</w:t>
      </w:r>
      <w:r>
        <w:t xml:space="preserve"> назначение иммунотерапии: #пембролизумаб** 200 мг в/в капельно в течение 30 минут каждые 3 недели ИЛИ #авелумаб 800 мг в/в капельно каждые 14 дней ИЛИ #ниволумаб** 240 мг в</w:t>
      </w:r>
      <w:r>
        <w:t>/в капельльно каждые 14 дней. Лечение проводится до нормализации уровня хорионического гонадотропина (общего бета- ХГЧ) в крови с последующими консолидирующими циклами (не менее 4-5) [73-75, 126]. Для пациенток сверхвысокого риска лекарственной резистентно</w:t>
      </w:r>
      <w:r>
        <w:t xml:space="preserve">сти возможно тальнпроведение химиоиммуннотерапии с добавлением #пембролизумаба** к стандартным схемам химиотерапии, например, EMA-CO, EMA-EP или TP-TE [31, 76, 126]. </w:t>
      </w:r>
      <w:r>
        <w:rPr>
          <w:b/>
        </w:rPr>
        <w:t xml:space="preserve">Уровень убедительности рекомендаций – С (уровень достоверности доказательств – 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5).</w:t>
      </w:r>
    </w:p>
    <w:p w:rsidR="00547FE3" w:rsidRDefault="005F4898">
      <w:pPr>
        <w:spacing w:after="233"/>
        <w:ind w:left="-3" w:right="148"/>
      </w:pPr>
      <w:r>
        <w:t xml:space="preserve">   Пац</w:t>
      </w:r>
      <w:r>
        <w:t xml:space="preserve">иенткам с наличием остаточных проявлений болезни после завершения химиотерапии рекомендуется проводить динамическое наблюдение при условии нормализации сывороточного уровня В-ХГЧ [77]. </w:t>
      </w:r>
    </w:p>
    <w:p w:rsidR="00547FE3" w:rsidRDefault="005F4898">
      <w:pPr>
        <w:spacing w:after="340" w:line="259" w:lineRule="auto"/>
        <w:ind w:left="-3" w:right="148"/>
      </w:pPr>
      <w:r>
        <w:t>Уровень убедительности рекомендаций – С (уровень достоверности доказат</w:t>
      </w:r>
      <w:r>
        <w:t>ельств – 3).</w:t>
      </w:r>
    </w:p>
    <w:p w:rsidR="00547FE3" w:rsidRDefault="005F4898">
      <w:pPr>
        <w:spacing w:after="234" w:line="351" w:lineRule="auto"/>
        <w:ind w:left="-13" w:right="165" w:firstLine="0"/>
      </w:pPr>
      <w:r>
        <w:rPr>
          <w:b/>
        </w:rPr>
        <w:t>Комментарии:</w:t>
      </w:r>
      <w:r>
        <w:t xml:space="preserve"> </w:t>
      </w:r>
      <w:r>
        <w:rPr>
          <w:i/>
        </w:rPr>
        <w:t xml:space="preserve">на момент завершения консолидирующих курсов химиотерапии могут сохраняться остаточные «опухолевые узлы» в матке и других органах. Нормальный сывороточный уровень b-ХГЧ свидетельствует об отсутствии в них «живой» опухолевой ткани. </w:t>
      </w:r>
      <w:r>
        <w:rPr>
          <w:i/>
        </w:rPr>
        <w:t>У большинства пациенток они редуцируются через 6-12 месяцев и не требуют лечения. У ряда пациенток на месте редуцированной опухоли формируются сосудистые мальформации, которые при отсутствии жалоб со стороны пациентки также не требуют лечения. При локализа</w:t>
      </w:r>
      <w:r>
        <w:rPr>
          <w:i/>
        </w:rPr>
        <w:t>ции такой патологии в стенке матки у женщин репродуктивного возраста возможно развитие гиперполименореи, которая может быть купирована назначением комбинированных пероральных контрацептивов, (G03AA Гестагены и эстрогены фиксированные комбинации) а в случае</w:t>
      </w:r>
      <w:r>
        <w:rPr>
          <w:i/>
        </w:rPr>
        <w:t xml:space="preserve"> их неэффективности возможно проведение селективной эмболизации [77]. </w:t>
      </w:r>
    </w:p>
    <w:p w:rsidR="00547FE3" w:rsidRDefault="005F4898">
      <w:pPr>
        <w:spacing w:after="240" w:line="357" w:lineRule="auto"/>
        <w:ind w:left="10" w:right="131"/>
      </w:pPr>
      <w:r>
        <w:rPr>
          <w:b/>
          <w:u w:val="single" w:color="000000"/>
        </w:rPr>
        <w:t>3.8. Сопроводительная терапия у пациенток со злокачественными</w:t>
      </w:r>
      <w:r>
        <w:rPr>
          <w:b/>
        </w:rPr>
        <w:t xml:space="preserve"> </w:t>
      </w:r>
    </w:p>
    <w:p w:rsidR="00547FE3" w:rsidRDefault="005F4898">
      <w:pPr>
        <w:pStyle w:val="Heading2"/>
        <w:spacing w:after="240" w:line="357" w:lineRule="auto"/>
        <w:ind w:left="10" w:right="131"/>
      </w:pPr>
      <w:r>
        <w:t>трофобластическими опухолями</w:t>
      </w:r>
    </w:p>
    <w:p w:rsidR="00547FE3" w:rsidRDefault="005F4898">
      <w:pPr>
        <w:ind w:left="-3" w:right="148"/>
      </w:pPr>
      <w:r>
        <w:t xml:space="preserve">Пациентам рекомендуется профилактика и лечение венозных тромбоэмболических </w:t>
      </w:r>
      <w:r>
        <w:t>осложнений при наличии показаний к её проведению [78].</w:t>
      </w:r>
    </w:p>
    <w:p w:rsidR="00547FE3" w:rsidRDefault="005F4898">
      <w:pPr>
        <w:spacing w:after="354" w:line="259" w:lineRule="auto"/>
        <w:ind w:left="-3" w:right="148"/>
      </w:pPr>
      <w:r>
        <w:t>Уровень убедительности рекомендаций – С (уровень достоверности доказательств – 5).</w:t>
      </w:r>
    </w:p>
    <w:p w:rsidR="00547FE3" w:rsidRDefault="005F4898">
      <w:pPr>
        <w:spacing w:after="246" w:line="351" w:lineRule="auto"/>
        <w:ind w:left="-11" w:right="165" w:hanging="2"/>
      </w:pPr>
      <w:r>
        <w:rPr>
          <w:b/>
        </w:rPr>
        <w:t>Комментарии</w:t>
      </w:r>
      <w:r>
        <w:t xml:space="preserve">: </w:t>
      </w:r>
      <w:r>
        <w:rPr>
          <w:i/>
        </w:rPr>
        <w:t>при проведении медикаментозной профилактики венозных тромбоэмболических осложнений следует учитывать высо</w:t>
      </w:r>
      <w:r>
        <w:rPr>
          <w:i/>
        </w:rPr>
        <w:t>кие риски геморрагических осложнений на фоне реализации эффекта противоопухолевой терапии, в первую очередь. Предпочтительным может быть использование препаратов группы гепарина (низкомолекулярных гепаринов). Принципы диагностики, профилактики и лечения ве</w:t>
      </w:r>
      <w:r>
        <w:rPr>
          <w:i/>
        </w:rPr>
        <w:t xml:space="preserve">нозных тромбоэмболических осложнений изложены в Практических Рекомендациях Российского общества клинической онкологии по профилактике и лечению осложнений злокачественных опухолей и противоопухолевой лекарственной терапии: </w:t>
      </w:r>
    </w:p>
    <w:p w:rsidR="00547FE3" w:rsidRDefault="005F4898">
      <w:pPr>
        <w:spacing w:after="114" w:line="259" w:lineRule="auto"/>
        <w:ind w:left="-13" w:right="165" w:firstLine="0"/>
      </w:pPr>
      <w:r>
        <w:rPr>
          <w:i/>
        </w:rPr>
        <w:t>Сомонова О. В. и соавт. Тромбоэм</w:t>
      </w:r>
      <w:r>
        <w:rPr>
          <w:i/>
        </w:rPr>
        <w:t xml:space="preserve">болические осложнения. </w:t>
      </w:r>
    </w:p>
    <w:p w:rsidR="00547FE3" w:rsidRDefault="005F4898">
      <w:pPr>
        <w:spacing w:after="0" w:line="265" w:lineRule="auto"/>
        <w:ind w:left="-3"/>
        <w:jc w:val="left"/>
      </w:pPr>
      <w:hyperlink r:id="rId10">
        <w:r>
          <w:rPr>
            <w:i/>
            <w:color w:val="0000FF"/>
            <w:u w:val="single" w:color="0000FF"/>
          </w:rPr>
          <w:t xml:space="preserve"> </w:t>
        </w:r>
      </w:hyperlink>
      <w:hyperlink r:id="rId11">
        <w:r>
          <w:rPr>
            <w:i/>
            <w:color w:val="0000FF"/>
            <w:u w:val="single" w:color="0000FF"/>
          </w:rPr>
          <w:t>https</w:t>
        </w:r>
      </w:hyperlink>
      <w:hyperlink r:id="rId12">
        <w:r>
          <w:rPr>
            <w:i/>
            <w:color w:val="0000FF"/>
            <w:u w:val="single" w:color="0000FF"/>
          </w:rPr>
          <w:t xml:space="preserve">  </w:t>
        </w:r>
      </w:hyperlink>
      <w:hyperlink r:id="rId13">
        <w:r>
          <w:rPr>
            <w:i/>
            <w:color w:val="0000FF"/>
            <w:u w:val="single" w:color="0000FF"/>
          </w:rPr>
          <w:t>://</w:t>
        </w:r>
      </w:hyperlink>
      <w:hyperlink r:id="rId14">
        <w:r>
          <w:rPr>
            <w:i/>
            <w:color w:val="0000FF"/>
            <w:u w:val="single" w:color="0000FF"/>
          </w:rPr>
          <w:t xml:space="preserve">  </w:t>
        </w:r>
      </w:hyperlink>
      <w:hyperlink r:id="rId15">
        <w:r>
          <w:rPr>
            <w:i/>
            <w:color w:val="0000FF"/>
            <w:u w:val="single" w:color="0000FF"/>
          </w:rPr>
          <w:t>rosoncoweb</w:t>
        </w:r>
      </w:hyperlink>
      <w:hyperlink r:id="rId16">
        <w:r>
          <w:rPr>
            <w:i/>
            <w:color w:val="0000FF"/>
            <w:u w:val="single" w:color="0000FF"/>
          </w:rPr>
          <w:t xml:space="preserve">  </w:t>
        </w:r>
      </w:hyperlink>
      <w:hyperlink r:id="rId17">
        <w:r>
          <w:rPr>
            <w:i/>
            <w:color w:val="0000FF"/>
            <w:u w:val="single" w:color="0000FF"/>
          </w:rPr>
          <w:t>.</w:t>
        </w:r>
      </w:hyperlink>
      <w:hyperlink r:id="rId18">
        <w:r>
          <w:rPr>
            <w:i/>
            <w:color w:val="0000FF"/>
            <w:u w:val="single" w:color="0000FF"/>
          </w:rPr>
          <w:t xml:space="preserve"> </w:t>
        </w:r>
      </w:hyperlink>
      <w:hyperlink r:id="rId19">
        <w:r>
          <w:rPr>
            <w:i/>
            <w:color w:val="0000FF"/>
            <w:u w:val="single" w:color="0000FF"/>
          </w:rPr>
          <w:t>ru</w:t>
        </w:r>
      </w:hyperlink>
      <w:hyperlink r:id="rId20">
        <w:r>
          <w:rPr>
            <w:i/>
            <w:color w:val="0000FF"/>
            <w:u w:val="single" w:color="0000FF"/>
          </w:rPr>
          <w:t xml:space="preserve"> </w:t>
        </w:r>
      </w:hyperlink>
      <w:hyperlink r:id="rId21">
        <w:r>
          <w:rPr>
            <w:i/>
            <w:color w:val="0000FF"/>
            <w:u w:val="single" w:color="0000FF"/>
          </w:rPr>
          <w:t>/</w:t>
        </w:r>
      </w:hyperlink>
      <w:hyperlink r:id="rId22">
        <w:r>
          <w:rPr>
            <w:i/>
            <w:color w:val="0000FF"/>
            <w:u w:val="single" w:color="0000FF"/>
          </w:rPr>
          <w:t xml:space="preserve">  </w:t>
        </w:r>
      </w:hyperlink>
      <w:hyperlink r:id="rId23">
        <w:r>
          <w:rPr>
            <w:i/>
            <w:color w:val="0000FF"/>
            <w:u w:val="single" w:color="0000FF"/>
          </w:rPr>
          <w:t>standarts</w:t>
        </w:r>
      </w:hyperlink>
      <w:hyperlink r:id="rId24">
        <w:r>
          <w:rPr>
            <w:i/>
            <w:color w:val="0000FF"/>
            <w:u w:val="single" w:color="0000FF"/>
          </w:rPr>
          <w:t xml:space="preserve">  </w:t>
        </w:r>
      </w:hyperlink>
      <w:hyperlink r:id="rId25">
        <w:r>
          <w:rPr>
            <w:i/>
            <w:color w:val="0000FF"/>
            <w:u w:val="single" w:color="0000FF"/>
          </w:rPr>
          <w:t>/?</w:t>
        </w:r>
      </w:hyperlink>
      <w:hyperlink r:id="rId26">
        <w:r>
          <w:rPr>
            <w:i/>
            <w:color w:val="0000FF"/>
            <w:u w:val="single" w:color="0000FF"/>
          </w:rPr>
          <w:t xml:space="preserve">  </w:t>
        </w:r>
      </w:hyperlink>
      <w:hyperlink r:id="rId27">
        <w:r>
          <w:rPr>
            <w:i/>
            <w:color w:val="0000FF"/>
            <w:u w:val="single" w:color="0000FF"/>
          </w:rPr>
          <w:t>chapter</w:t>
        </w:r>
      </w:hyperlink>
      <w:hyperlink r:id="rId28">
        <w:r>
          <w:rPr>
            <w:i/>
            <w:color w:val="0000FF"/>
            <w:u w:val="single" w:color="0000FF"/>
          </w:rPr>
          <w:t xml:space="preserve">  =  </w:t>
        </w:r>
      </w:hyperlink>
      <w:hyperlink r:id="rId29">
        <w:r>
          <w:rPr>
            <w:i/>
            <w:color w:val="0000FF"/>
            <w:u w:val="single" w:color="0000FF"/>
          </w:rPr>
          <w:t>thromboembolism</w:t>
        </w:r>
      </w:hyperlink>
      <w:hyperlink r:id="rId30">
        <w:r>
          <w:rPr>
            <w:i/>
            <w:color w:val="0000FF"/>
            <w:u w:val="single" w:color="0000FF"/>
          </w:rPr>
          <w:t xml:space="preserve"> </w:t>
        </w:r>
      </w:hyperlink>
      <w:r>
        <w:rPr>
          <w:i/>
          <w:color w:val="0000FF"/>
        </w:rPr>
        <w:t xml:space="preserve"> </w:t>
      </w:r>
    </w:p>
    <w:p w:rsidR="00547FE3" w:rsidRDefault="005F4898">
      <w:pPr>
        <w:numPr>
          <w:ilvl w:val="0"/>
          <w:numId w:val="11"/>
        </w:numPr>
        <w:ind w:right="148" w:firstLine="709"/>
      </w:pPr>
      <w:r>
        <w:t>При проведении противоопухолевой лекарственной терапии препарат</w:t>
      </w:r>
      <w:r>
        <w:t>ами с эметогенным побочным действием пациентам рекомендуется проведение профилактики и лечения тошноты и рвоты [79].</w:t>
      </w:r>
    </w:p>
    <w:p w:rsidR="00547FE3" w:rsidRDefault="005F4898">
      <w:pPr>
        <w:spacing w:after="0" w:line="357" w:lineRule="auto"/>
        <w:ind w:left="-13" w:firstLine="709"/>
        <w:jc w:val="left"/>
      </w:pPr>
      <w:r>
        <w:rPr>
          <w:b/>
        </w:rPr>
        <w:t>Уровень убедительности рекомендаций — С (уровень достоверности доказательств — 5).</w:t>
      </w:r>
    </w:p>
    <w:p w:rsidR="00547FE3" w:rsidRDefault="005F4898">
      <w:pPr>
        <w:spacing w:after="3" w:line="351" w:lineRule="auto"/>
        <w:ind w:left="-13" w:right="165" w:firstLine="701"/>
      </w:pPr>
      <w:r>
        <w:rPr>
          <w:b/>
        </w:rPr>
        <w:t>Комментарии:</w:t>
      </w:r>
      <w:r>
        <w:rPr>
          <w:i/>
        </w:rPr>
        <w:t xml:space="preserve"> Принципы диагностики, профилактики и лечени</w:t>
      </w:r>
      <w:r>
        <w:rPr>
          <w:i/>
        </w:rPr>
        <w:t>я тошноты и рвоты при проведении противоопухолевой лекарственной терапии изложены в Практических Рекомендациях Российского общества клинической онкологии по профилактике и лечению осложнений злокачественных опухолей и противоопухолевой лекарственной терапи</w:t>
      </w:r>
      <w:r>
        <w:rPr>
          <w:i/>
        </w:rPr>
        <w:t xml:space="preserve">и: Владимирова Л. Ю. и соавт. Тошнота и рвота. </w:t>
      </w:r>
      <w:hyperlink r:id="rId31">
        <w:r>
          <w:rPr>
            <w:i/>
            <w:color w:val="0000FF"/>
            <w:u w:val="single" w:color="0000FF"/>
          </w:rPr>
          <w:t xml:space="preserve"> </w:t>
        </w:r>
      </w:hyperlink>
      <w:hyperlink r:id="rId32">
        <w:r>
          <w:rPr>
            <w:i/>
            <w:color w:val="0000FF"/>
            <w:u w:val="single" w:color="0000FF"/>
          </w:rPr>
          <w:t>https</w:t>
        </w:r>
      </w:hyperlink>
      <w:hyperlink r:id="rId33">
        <w:r>
          <w:rPr>
            <w:i/>
            <w:color w:val="0000FF"/>
            <w:u w:val="single" w:color="0000FF"/>
          </w:rPr>
          <w:t xml:space="preserve">  </w:t>
        </w:r>
      </w:hyperlink>
      <w:hyperlink r:id="rId34">
        <w:r>
          <w:rPr>
            <w:i/>
            <w:color w:val="0000FF"/>
            <w:u w:val="single" w:color="0000FF"/>
          </w:rPr>
          <w:t>://</w:t>
        </w:r>
      </w:hyperlink>
      <w:hyperlink r:id="rId35">
        <w:r>
          <w:rPr>
            <w:i/>
            <w:color w:val="0000FF"/>
            <w:u w:val="single" w:color="0000FF"/>
          </w:rPr>
          <w:t xml:space="preserve">  </w:t>
        </w:r>
      </w:hyperlink>
      <w:hyperlink r:id="rId36">
        <w:r>
          <w:rPr>
            <w:i/>
            <w:color w:val="0000FF"/>
            <w:u w:val="single" w:color="0000FF"/>
          </w:rPr>
          <w:t>rosoncoweb</w:t>
        </w:r>
      </w:hyperlink>
      <w:hyperlink r:id="rId37">
        <w:r>
          <w:rPr>
            <w:i/>
            <w:color w:val="0000FF"/>
            <w:u w:val="single" w:color="0000FF"/>
          </w:rPr>
          <w:t xml:space="preserve"> </w:t>
        </w:r>
      </w:hyperlink>
    </w:p>
    <w:p w:rsidR="00547FE3" w:rsidRDefault="005F4898">
      <w:pPr>
        <w:spacing w:after="522" w:line="265" w:lineRule="auto"/>
        <w:ind w:left="-3"/>
        <w:jc w:val="left"/>
      </w:pPr>
      <w:hyperlink r:id="rId38">
        <w:r>
          <w:rPr>
            <w:i/>
            <w:color w:val="0000FF"/>
            <w:u w:val="single" w:color="0000FF"/>
          </w:rPr>
          <w:t xml:space="preserve"> </w:t>
        </w:r>
      </w:hyperlink>
      <w:hyperlink r:id="rId39">
        <w:r>
          <w:rPr>
            <w:i/>
            <w:color w:val="0000FF"/>
            <w:u w:val="single" w:color="0000FF"/>
          </w:rPr>
          <w:t>.</w:t>
        </w:r>
      </w:hyperlink>
      <w:hyperlink r:id="rId40">
        <w:r>
          <w:rPr>
            <w:i/>
            <w:color w:val="0000FF"/>
            <w:u w:val="single" w:color="0000FF"/>
          </w:rPr>
          <w:t xml:space="preserve"> </w:t>
        </w:r>
      </w:hyperlink>
      <w:hyperlink r:id="rId41">
        <w:r>
          <w:rPr>
            <w:i/>
            <w:color w:val="0000FF"/>
            <w:u w:val="single" w:color="0000FF"/>
          </w:rPr>
          <w:t>ru</w:t>
        </w:r>
      </w:hyperlink>
      <w:hyperlink r:id="rId42">
        <w:r>
          <w:rPr>
            <w:i/>
            <w:color w:val="0000FF"/>
            <w:u w:val="single" w:color="0000FF"/>
          </w:rPr>
          <w:t xml:space="preserve"> </w:t>
        </w:r>
      </w:hyperlink>
      <w:hyperlink r:id="rId43">
        <w:r>
          <w:rPr>
            <w:i/>
            <w:color w:val="0000FF"/>
            <w:u w:val="single" w:color="0000FF"/>
          </w:rPr>
          <w:t>/</w:t>
        </w:r>
      </w:hyperlink>
      <w:hyperlink r:id="rId44">
        <w:r>
          <w:rPr>
            <w:i/>
            <w:color w:val="0000FF"/>
            <w:u w:val="single" w:color="0000FF"/>
          </w:rPr>
          <w:t xml:space="preserve">  </w:t>
        </w:r>
      </w:hyperlink>
      <w:hyperlink r:id="rId45">
        <w:r>
          <w:rPr>
            <w:i/>
            <w:color w:val="0000FF"/>
            <w:u w:val="single" w:color="0000FF"/>
          </w:rPr>
          <w:t>standarts</w:t>
        </w:r>
      </w:hyperlink>
      <w:hyperlink r:id="rId46">
        <w:r>
          <w:rPr>
            <w:i/>
            <w:color w:val="0000FF"/>
            <w:u w:val="single" w:color="0000FF"/>
          </w:rPr>
          <w:t xml:space="preserve">  </w:t>
        </w:r>
      </w:hyperlink>
      <w:hyperlink r:id="rId47">
        <w:r>
          <w:rPr>
            <w:i/>
            <w:color w:val="0000FF"/>
            <w:u w:val="single" w:color="0000FF"/>
          </w:rPr>
          <w:t>/?</w:t>
        </w:r>
      </w:hyperlink>
      <w:hyperlink r:id="rId48">
        <w:r>
          <w:rPr>
            <w:i/>
            <w:color w:val="0000FF"/>
            <w:u w:val="single" w:color="0000FF"/>
          </w:rPr>
          <w:t xml:space="preserve">  </w:t>
        </w:r>
      </w:hyperlink>
      <w:hyperlink r:id="rId49">
        <w:r>
          <w:rPr>
            <w:i/>
            <w:color w:val="0000FF"/>
            <w:u w:val="single" w:color="0000FF"/>
          </w:rPr>
          <w:t>chapter</w:t>
        </w:r>
      </w:hyperlink>
      <w:hyperlink r:id="rId50">
        <w:r>
          <w:rPr>
            <w:i/>
            <w:color w:val="0000FF"/>
            <w:u w:val="single" w:color="0000FF"/>
          </w:rPr>
          <w:t xml:space="preserve">  =  </w:t>
        </w:r>
      </w:hyperlink>
      <w:hyperlink r:id="rId51">
        <w:r>
          <w:rPr>
            <w:i/>
            <w:color w:val="0000FF"/>
            <w:u w:val="single" w:color="0000FF"/>
          </w:rPr>
          <w:t>nausea</w:t>
        </w:r>
      </w:hyperlink>
      <w:hyperlink r:id="rId52">
        <w:r>
          <w:rPr>
            <w:i/>
            <w:color w:val="0000FF"/>
            <w:u w:val="single" w:color="0000FF"/>
          </w:rPr>
          <w:t xml:space="preserve">  _  </w:t>
        </w:r>
      </w:hyperlink>
      <w:hyperlink r:id="rId53">
        <w:r>
          <w:rPr>
            <w:i/>
            <w:color w:val="0000FF"/>
            <w:u w:val="single" w:color="0000FF"/>
          </w:rPr>
          <w:t>vomiting</w:t>
        </w:r>
      </w:hyperlink>
      <w:hyperlink r:id="rId54">
        <w:r>
          <w:rPr>
            <w:i/>
            <w:color w:val="0000FF"/>
            <w:u w:val="single" w:color="0000FF"/>
          </w:rPr>
          <w:t xml:space="preserve"> </w:t>
        </w:r>
      </w:hyperlink>
      <w:r>
        <w:rPr>
          <w:i/>
        </w:rPr>
        <w:t xml:space="preserve">  </w:t>
      </w:r>
    </w:p>
    <w:p w:rsidR="00547FE3" w:rsidRDefault="005F4898">
      <w:pPr>
        <w:numPr>
          <w:ilvl w:val="0"/>
          <w:numId w:val="11"/>
        </w:numPr>
        <w:ind w:right="148" w:firstLine="709"/>
      </w:pPr>
      <w:r>
        <w:t>При проведении противоо</w:t>
      </w:r>
      <w:r>
        <w:t>пухолевой лекарственной терапии пациентам рекомендуется профилактика и лечение фебрильной нейтропении и инфекционных осложнений [80].</w:t>
      </w:r>
    </w:p>
    <w:p w:rsidR="00547FE3" w:rsidRDefault="005F4898">
      <w:pPr>
        <w:spacing w:after="0" w:line="357" w:lineRule="auto"/>
        <w:ind w:left="-13" w:firstLine="709"/>
        <w:jc w:val="left"/>
      </w:pPr>
      <w:r>
        <w:rPr>
          <w:b/>
        </w:rPr>
        <w:t>Уровень убедительности рекомендаций — С (уровень достоверности доказательств — 5).</w:t>
      </w:r>
    </w:p>
    <w:p w:rsidR="00547FE3" w:rsidRDefault="005F4898">
      <w:pPr>
        <w:spacing w:after="3" w:line="351" w:lineRule="auto"/>
        <w:ind w:left="-13" w:right="165" w:firstLine="701"/>
      </w:pPr>
      <w:r>
        <w:t>Комментарии.</w:t>
      </w:r>
      <w:r>
        <w:rPr>
          <w:i/>
        </w:rPr>
        <w:t xml:space="preserve"> </w:t>
      </w:r>
      <w:r>
        <w:rPr>
          <w:i/>
        </w:rPr>
        <w:t>Детальный алгоритм диагностики, профилактики и лечения фебрильной нейтропении и инфекционных осложнений, принципы антибактериальной терапии изложены в Практических Рекомендациях Российского общества клинической онкологии по профилактике и лечению осложнени</w:t>
      </w:r>
      <w:r>
        <w:rPr>
          <w:i/>
        </w:rPr>
        <w:t xml:space="preserve">й злокачественных опухолей и противоопухолевой лекарственной терапии: Сакаева Д. Д. и соавт. Практические рекомендации по диагностике и лечению фебрильной нейтропении. </w:t>
      </w:r>
    </w:p>
    <w:p w:rsidR="00547FE3" w:rsidRDefault="005F4898">
      <w:pPr>
        <w:spacing w:after="522" w:line="265" w:lineRule="auto"/>
        <w:ind w:left="-3"/>
        <w:jc w:val="left"/>
      </w:pPr>
      <w:hyperlink r:id="rId55">
        <w:r>
          <w:rPr>
            <w:i/>
            <w:color w:val="0000FF"/>
            <w:u w:val="single" w:color="0000FF"/>
          </w:rPr>
          <w:t xml:space="preserve"> </w:t>
        </w:r>
      </w:hyperlink>
      <w:hyperlink r:id="rId56">
        <w:r>
          <w:rPr>
            <w:i/>
            <w:color w:val="0000FF"/>
            <w:u w:val="single" w:color="0000FF"/>
          </w:rPr>
          <w:t>https</w:t>
        </w:r>
      </w:hyperlink>
      <w:hyperlink r:id="rId57">
        <w:r>
          <w:rPr>
            <w:i/>
            <w:color w:val="0000FF"/>
            <w:u w:val="single" w:color="0000FF"/>
          </w:rPr>
          <w:t xml:space="preserve">  </w:t>
        </w:r>
      </w:hyperlink>
      <w:hyperlink r:id="rId58">
        <w:r>
          <w:rPr>
            <w:i/>
            <w:color w:val="0000FF"/>
            <w:u w:val="single" w:color="0000FF"/>
          </w:rPr>
          <w:t>://</w:t>
        </w:r>
      </w:hyperlink>
      <w:hyperlink r:id="rId59">
        <w:r>
          <w:rPr>
            <w:i/>
            <w:color w:val="0000FF"/>
            <w:u w:val="single" w:color="0000FF"/>
          </w:rPr>
          <w:t xml:space="preserve">  </w:t>
        </w:r>
      </w:hyperlink>
      <w:hyperlink r:id="rId60">
        <w:r>
          <w:rPr>
            <w:i/>
            <w:color w:val="0000FF"/>
            <w:u w:val="single" w:color="0000FF"/>
          </w:rPr>
          <w:t>rosoncoweb</w:t>
        </w:r>
      </w:hyperlink>
      <w:hyperlink r:id="rId61">
        <w:r>
          <w:rPr>
            <w:i/>
            <w:color w:val="0000FF"/>
            <w:u w:val="single" w:color="0000FF"/>
          </w:rPr>
          <w:t xml:space="preserve">  </w:t>
        </w:r>
      </w:hyperlink>
      <w:hyperlink r:id="rId62">
        <w:r>
          <w:rPr>
            <w:i/>
            <w:color w:val="0000FF"/>
            <w:u w:val="single" w:color="0000FF"/>
          </w:rPr>
          <w:t>.</w:t>
        </w:r>
      </w:hyperlink>
      <w:hyperlink r:id="rId63">
        <w:r>
          <w:rPr>
            <w:i/>
            <w:color w:val="0000FF"/>
            <w:u w:val="single" w:color="0000FF"/>
          </w:rPr>
          <w:t xml:space="preserve"> </w:t>
        </w:r>
      </w:hyperlink>
      <w:hyperlink r:id="rId64">
        <w:r>
          <w:rPr>
            <w:i/>
            <w:color w:val="0000FF"/>
            <w:u w:val="single" w:color="0000FF"/>
          </w:rPr>
          <w:t>ru</w:t>
        </w:r>
      </w:hyperlink>
      <w:hyperlink r:id="rId65">
        <w:r>
          <w:rPr>
            <w:i/>
            <w:color w:val="0000FF"/>
            <w:u w:val="single" w:color="0000FF"/>
          </w:rPr>
          <w:t xml:space="preserve"> </w:t>
        </w:r>
      </w:hyperlink>
      <w:hyperlink r:id="rId66">
        <w:r>
          <w:rPr>
            <w:i/>
            <w:color w:val="0000FF"/>
            <w:u w:val="single" w:color="0000FF"/>
          </w:rPr>
          <w:t>/</w:t>
        </w:r>
      </w:hyperlink>
      <w:hyperlink r:id="rId67">
        <w:r>
          <w:rPr>
            <w:i/>
            <w:color w:val="0000FF"/>
            <w:u w:val="single" w:color="0000FF"/>
          </w:rPr>
          <w:t xml:space="preserve">  </w:t>
        </w:r>
      </w:hyperlink>
      <w:hyperlink r:id="rId68">
        <w:r>
          <w:rPr>
            <w:i/>
            <w:color w:val="0000FF"/>
            <w:u w:val="single" w:color="0000FF"/>
          </w:rPr>
          <w:t>standarts</w:t>
        </w:r>
      </w:hyperlink>
      <w:hyperlink r:id="rId69">
        <w:r>
          <w:rPr>
            <w:i/>
            <w:color w:val="0000FF"/>
            <w:u w:val="single" w:color="0000FF"/>
          </w:rPr>
          <w:t xml:space="preserve">  </w:t>
        </w:r>
      </w:hyperlink>
      <w:hyperlink r:id="rId70">
        <w:r>
          <w:rPr>
            <w:i/>
            <w:color w:val="0000FF"/>
            <w:u w:val="single" w:color="0000FF"/>
          </w:rPr>
          <w:t>/?</w:t>
        </w:r>
      </w:hyperlink>
      <w:hyperlink r:id="rId71">
        <w:r>
          <w:rPr>
            <w:i/>
            <w:color w:val="0000FF"/>
            <w:u w:val="single" w:color="0000FF"/>
          </w:rPr>
          <w:t xml:space="preserve">  </w:t>
        </w:r>
      </w:hyperlink>
      <w:hyperlink r:id="rId72">
        <w:r>
          <w:rPr>
            <w:i/>
            <w:color w:val="0000FF"/>
            <w:u w:val="single" w:color="0000FF"/>
          </w:rPr>
          <w:t>chapter</w:t>
        </w:r>
      </w:hyperlink>
      <w:hyperlink r:id="rId73">
        <w:r>
          <w:rPr>
            <w:i/>
            <w:color w:val="0000FF"/>
            <w:u w:val="single" w:color="0000FF"/>
          </w:rPr>
          <w:t xml:space="preserve">  =  </w:t>
        </w:r>
      </w:hyperlink>
      <w:hyperlink r:id="rId74">
        <w:r>
          <w:rPr>
            <w:i/>
            <w:color w:val="0000FF"/>
            <w:u w:val="single" w:color="0000FF"/>
          </w:rPr>
          <w:t>febrile</w:t>
        </w:r>
      </w:hyperlink>
      <w:hyperlink r:id="rId75">
        <w:r>
          <w:rPr>
            <w:i/>
            <w:color w:val="0000FF"/>
            <w:u w:val="single" w:color="0000FF"/>
          </w:rPr>
          <w:t xml:space="preserve">  _  </w:t>
        </w:r>
      </w:hyperlink>
      <w:hyperlink r:id="rId76">
        <w:r>
          <w:rPr>
            <w:i/>
            <w:color w:val="0000FF"/>
            <w:u w:val="single" w:color="0000FF"/>
          </w:rPr>
          <w:t>neutropenia</w:t>
        </w:r>
      </w:hyperlink>
      <w:hyperlink r:id="rId77">
        <w:r>
          <w:rPr>
            <w:i/>
            <w:color w:val="0000FF"/>
            <w:u w:val="single" w:color="0000FF"/>
          </w:rPr>
          <w:t xml:space="preserve"> </w:t>
        </w:r>
      </w:hyperlink>
      <w:r>
        <w:rPr>
          <w:i/>
        </w:rPr>
        <w:t xml:space="preserve"> </w:t>
      </w:r>
    </w:p>
    <w:p w:rsidR="00547FE3" w:rsidRDefault="005F4898">
      <w:pPr>
        <w:numPr>
          <w:ilvl w:val="0"/>
          <w:numId w:val="11"/>
        </w:numPr>
        <w:ind w:right="148" w:firstLine="709"/>
      </w:pPr>
      <w:r>
        <w:t>При проведении противоопухолевого лечения пациентам рекомендуется лечение хронического болевого синдрома [81].</w:t>
      </w:r>
    </w:p>
    <w:p w:rsidR="00547FE3" w:rsidRDefault="005F4898">
      <w:pPr>
        <w:spacing w:after="0" w:line="357" w:lineRule="auto"/>
        <w:ind w:left="-13" w:firstLine="709"/>
        <w:jc w:val="left"/>
      </w:pPr>
      <w:r>
        <w:rPr>
          <w:b/>
        </w:rPr>
        <w:t>Уровень убедительности рекомендаций — С (уровень достоверности д</w:t>
      </w:r>
      <w:r>
        <w:rPr>
          <w:b/>
        </w:rPr>
        <w:t>оказательств — 5).</w:t>
      </w:r>
    </w:p>
    <w:p w:rsidR="00547FE3" w:rsidRDefault="005F4898">
      <w:pPr>
        <w:spacing w:after="3" w:line="351" w:lineRule="auto"/>
        <w:ind w:left="-13" w:right="165" w:firstLine="701"/>
      </w:pPr>
      <w:r>
        <w:t xml:space="preserve">Комментарии: </w:t>
      </w:r>
      <w:r>
        <w:rPr>
          <w:i/>
        </w:rPr>
        <w:t>Алгоритмы диагностики и лечения хронического болевого синдрома у онкологических больных изложены в Практических Рекомендациях Российского общества клинической онкологии по профилактике и лечению осложнений злокачественных оп</w:t>
      </w:r>
      <w:r>
        <w:rPr>
          <w:i/>
        </w:rPr>
        <w:t xml:space="preserve">ухолей и противоопухолевой лекарственной терапии: Когония Л.М. и соавт. Хронический болевой </w:t>
      </w:r>
    </w:p>
    <w:p w:rsidR="00547FE3" w:rsidRDefault="005F4898">
      <w:pPr>
        <w:spacing w:after="522" w:line="265" w:lineRule="auto"/>
        <w:ind w:left="-3"/>
        <w:jc w:val="left"/>
      </w:pPr>
      <w:r>
        <w:rPr>
          <w:i/>
        </w:rPr>
        <w:t xml:space="preserve">синдром. </w:t>
      </w:r>
      <w:hyperlink r:id="rId78">
        <w:r>
          <w:rPr>
            <w:i/>
            <w:color w:val="0000FF"/>
            <w:u w:val="single" w:color="0000FF"/>
          </w:rPr>
          <w:t xml:space="preserve"> </w:t>
        </w:r>
      </w:hyperlink>
      <w:hyperlink r:id="rId79">
        <w:r>
          <w:rPr>
            <w:i/>
            <w:color w:val="0000FF"/>
            <w:u w:val="single" w:color="0000FF"/>
          </w:rPr>
          <w:t>https</w:t>
        </w:r>
      </w:hyperlink>
      <w:hyperlink r:id="rId80">
        <w:r>
          <w:rPr>
            <w:i/>
            <w:color w:val="0000FF"/>
            <w:u w:val="single" w:color="0000FF"/>
          </w:rPr>
          <w:t xml:space="preserve">  </w:t>
        </w:r>
      </w:hyperlink>
      <w:hyperlink r:id="rId81">
        <w:r>
          <w:rPr>
            <w:i/>
            <w:color w:val="0000FF"/>
            <w:u w:val="single" w:color="0000FF"/>
          </w:rPr>
          <w:t>://</w:t>
        </w:r>
      </w:hyperlink>
      <w:hyperlink r:id="rId82">
        <w:r>
          <w:rPr>
            <w:i/>
            <w:color w:val="0000FF"/>
            <w:u w:val="single" w:color="0000FF"/>
          </w:rPr>
          <w:t xml:space="preserve">  </w:t>
        </w:r>
      </w:hyperlink>
      <w:hyperlink r:id="rId83">
        <w:r>
          <w:rPr>
            <w:i/>
            <w:color w:val="0000FF"/>
            <w:u w:val="single" w:color="0000FF"/>
          </w:rPr>
          <w:t>rosoncoweb</w:t>
        </w:r>
      </w:hyperlink>
      <w:hyperlink r:id="rId84">
        <w:r>
          <w:rPr>
            <w:i/>
            <w:color w:val="0000FF"/>
            <w:u w:val="single" w:color="0000FF"/>
          </w:rPr>
          <w:t xml:space="preserve">  </w:t>
        </w:r>
      </w:hyperlink>
      <w:hyperlink r:id="rId85">
        <w:r>
          <w:rPr>
            <w:i/>
            <w:color w:val="0000FF"/>
            <w:u w:val="single" w:color="0000FF"/>
          </w:rPr>
          <w:t>.</w:t>
        </w:r>
      </w:hyperlink>
      <w:hyperlink r:id="rId86">
        <w:r>
          <w:rPr>
            <w:i/>
            <w:color w:val="0000FF"/>
            <w:u w:val="single" w:color="0000FF"/>
          </w:rPr>
          <w:t xml:space="preserve"> </w:t>
        </w:r>
      </w:hyperlink>
      <w:hyperlink r:id="rId87">
        <w:r>
          <w:rPr>
            <w:i/>
            <w:color w:val="0000FF"/>
            <w:u w:val="single" w:color="0000FF"/>
          </w:rPr>
          <w:t>ru</w:t>
        </w:r>
      </w:hyperlink>
      <w:hyperlink r:id="rId88">
        <w:r>
          <w:rPr>
            <w:i/>
            <w:color w:val="0000FF"/>
            <w:u w:val="single" w:color="0000FF"/>
          </w:rPr>
          <w:t xml:space="preserve"> </w:t>
        </w:r>
      </w:hyperlink>
      <w:hyperlink r:id="rId89">
        <w:r>
          <w:rPr>
            <w:i/>
            <w:color w:val="0000FF"/>
            <w:u w:val="single" w:color="0000FF"/>
          </w:rPr>
          <w:t>/</w:t>
        </w:r>
      </w:hyperlink>
      <w:hyperlink r:id="rId90">
        <w:r>
          <w:rPr>
            <w:i/>
            <w:color w:val="0000FF"/>
            <w:u w:val="single" w:color="0000FF"/>
          </w:rPr>
          <w:t xml:space="preserve">  </w:t>
        </w:r>
      </w:hyperlink>
      <w:hyperlink r:id="rId91">
        <w:r>
          <w:rPr>
            <w:i/>
            <w:color w:val="0000FF"/>
            <w:u w:val="single" w:color="0000FF"/>
          </w:rPr>
          <w:t>standarts</w:t>
        </w:r>
      </w:hyperlink>
      <w:hyperlink r:id="rId92">
        <w:r>
          <w:rPr>
            <w:i/>
            <w:color w:val="0000FF"/>
            <w:u w:val="single" w:color="0000FF"/>
          </w:rPr>
          <w:t xml:space="preserve">  </w:t>
        </w:r>
      </w:hyperlink>
      <w:hyperlink r:id="rId93">
        <w:r>
          <w:rPr>
            <w:i/>
            <w:color w:val="0000FF"/>
            <w:u w:val="single" w:color="0000FF"/>
          </w:rPr>
          <w:t>/?</w:t>
        </w:r>
      </w:hyperlink>
      <w:hyperlink r:id="rId94">
        <w:r>
          <w:rPr>
            <w:i/>
            <w:color w:val="0000FF"/>
            <w:u w:val="single" w:color="0000FF"/>
          </w:rPr>
          <w:t xml:space="preserve">  </w:t>
        </w:r>
      </w:hyperlink>
      <w:hyperlink r:id="rId95">
        <w:r>
          <w:rPr>
            <w:i/>
            <w:color w:val="0000FF"/>
            <w:u w:val="single" w:color="0000FF"/>
          </w:rPr>
          <w:t>chapter</w:t>
        </w:r>
      </w:hyperlink>
      <w:hyperlink r:id="rId96">
        <w:r>
          <w:rPr>
            <w:i/>
            <w:color w:val="0000FF"/>
            <w:u w:val="single" w:color="0000FF"/>
          </w:rPr>
          <w:t xml:space="preserve">  =</w:t>
        </w:r>
        <w:r>
          <w:rPr>
            <w:i/>
            <w:color w:val="0000FF"/>
            <w:u w:val="single" w:color="0000FF"/>
          </w:rPr>
          <w:t xml:space="preserve">  </w:t>
        </w:r>
      </w:hyperlink>
      <w:hyperlink r:id="rId97">
        <w:r>
          <w:rPr>
            <w:i/>
            <w:color w:val="0000FF"/>
            <w:u w:val="single" w:color="0000FF"/>
          </w:rPr>
          <w:t>chronic</w:t>
        </w:r>
      </w:hyperlink>
      <w:hyperlink r:id="rId98">
        <w:r>
          <w:rPr>
            <w:i/>
            <w:color w:val="0000FF"/>
            <w:u w:val="single" w:color="0000FF"/>
          </w:rPr>
          <w:t xml:space="preserve">  _  </w:t>
        </w:r>
      </w:hyperlink>
      <w:hyperlink r:id="rId99">
        <w:r>
          <w:rPr>
            <w:i/>
            <w:color w:val="0000FF"/>
            <w:u w:val="single" w:color="0000FF"/>
          </w:rPr>
          <w:t>pain</w:t>
        </w:r>
      </w:hyperlink>
      <w:hyperlink r:id="rId100">
        <w:r>
          <w:rPr>
            <w:i/>
            <w:color w:val="0000FF"/>
            <w:u w:val="single" w:color="0000FF"/>
          </w:rPr>
          <w:t xml:space="preserve">  _  </w:t>
        </w:r>
      </w:hyperlink>
      <w:hyperlink r:id="rId101">
        <w:r>
          <w:rPr>
            <w:i/>
            <w:color w:val="0000FF"/>
            <w:u w:val="single" w:color="0000FF"/>
          </w:rPr>
          <w:t>syndrome</w:t>
        </w:r>
      </w:hyperlink>
      <w:hyperlink r:id="rId102">
        <w:r>
          <w:rPr>
            <w:i/>
            <w:color w:val="0000FF"/>
            <w:u w:val="single" w:color="0000FF"/>
          </w:rPr>
          <w:t xml:space="preserve"> </w:t>
        </w:r>
      </w:hyperlink>
      <w:r>
        <w:rPr>
          <w:i/>
          <w:color w:val="0000FF"/>
        </w:rPr>
        <w:t xml:space="preserve"> </w:t>
      </w:r>
    </w:p>
    <w:p w:rsidR="00547FE3" w:rsidRDefault="005F4898">
      <w:pPr>
        <w:numPr>
          <w:ilvl w:val="0"/>
          <w:numId w:val="11"/>
        </w:numPr>
        <w:ind w:right="148" w:firstLine="709"/>
      </w:pPr>
      <w:r>
        <w:t>При проведении противоопухолевой лекарственной терапии пациентам рекомендуется профилактика и лечение инфузионных реакций [82].</w:t>
      </w:r>
    </w:p>
    <w:p w:rsidR="00547FE3" w:rsidRDefault="005F4898">
      <w:pPr>
        <w:spacing w:after="0" w:line="357" w:lineRule="auto"/>
        <w:ind w:left="-13" w:firstLine="709"/>
        <w:jc w:val="left"/>
      </w:pPr>
      <w:r>
        <w:rPr>
          <w:b/>
        </w:rPr>
        <w:t>Уровень убедительности рекомендаций — С (уровень достоверности доказательств — 5</w:t>
      </w:r>
      <w:r>
        <w:t>).</w:t>
      </w:r>
    </w:p>
    <w:p w:rsidR="00547FE3" w:rsidRDefault="005F4898">
      <w:pPr>
        <w:spacing w:after="3" w:line="351" w:lineRule="auto"/>
        <w:ind w:left="-13" w:right="165" w:firstLine="701"/>
      </w:pPr>
      <w:r>
        <w:rPr>
          <w:b/>
        </w:rPr>
        <w:t>Комментарии.</w:t>
      </w:r>
      <w:r>
        <w:rPr>
          <w:i/>
        </w:rPr>
        <w:t xml:space="preserve"> Алгоритмы профилак</w:t>
      </w:r>
      <w:r>
        <w:rPr>
          <w:i/>
        </w:rPr>
        <w:t>тики, диагностики и лечения инфузионных реакций изложены в Практических Рекомендациях Российского общества клинической онкологии по профилактике и лечению осложнений злокачественных опухолей и противоопухолевой лекарственной терапии: Орлова Р.В. и соавт. И</w:t>
      </w:r>
      <w:r>
        <w:rPr>
          <w:i/>
        </w:rPr>
        <w:t xml:space="preserve">нфузионные реакции. </w:t>
      </w:r>
      <w:hyperlink r:id="rId103">
        <w:r>
          <w:rPr>
            <w:i/>
            <w:color w:val="0000FF"/>
            <w:u w:val="single" w:color="0000FF"/>
          </w:rPr>
          <w:t xml:space="preserve"> </w:t>
        </w:r>
      </w:hyperlink>
      <w:hyperlink r:id="rId104">
        <w:r>
          <w:rPr>
            <w:i/>
            <w:color w:val="0000FF"/>
            <w:u w:val="single" w:color="0000FF"/>
          </w:rPr>
          <w:t>https</w:t>
        </w:r>
      </w:hyperlink>
      <w:hyperlink r:id="rId105">
        <w:r>
          <w:rPr>
            <w:i/>
            <w:color w:val="0000FF"/>
            <w:u w:val="single" w:color="0000FF"/>
          </w:rPr>
          <w:t xml:space="preserve">  </w:t>
        </w:r>
      </w:hyperlink>
      <w:hyperlink r:id="rId106">
        <w:r>
          <w:rPr>
            <w:i/>
            <w:color w:val="0000FF"/>
            <w:u w:val="single" w:color="0000FF"/>
          </w:rPr>
          <w:t>://</w:t>
        </w:r>
      </w:hyperlink>
      <w:hyperlink r:id="rId107">
        <w:r>
          <w:rPr>
            <w:i/>
            <w:color w:val="0000FF"/>
            <w:u w:val="single" w:color="0000FF"/>
          </w:rPr>
          <w:t xml:space="preserve">  </w:t>
        </w:r>
      </w:hyperlink>
      <w:hyperlink r:id="rId108">
        <w:r>
          <w:rPr>
            <w:i/>
            <w:color w:val="0000FF"/>
            <w:u w:val="single" w:color="0000FF"/>
          </w:rPr>
          <w:t>roson</w:t>
        </w:r>
        <w:r>
          <w:rPr>
            <w:i/>
            <w:color w:val="0000FF"/>
            <w:u w:val="single" w:color="0000FF"/>
          </w:rPr>
          <w:t>coweb</w:t>
        </w:r>
      </w:hyperlink>
      <w:hyperlink r:id="rId109">
        <w:r>
          <w:rPr>
            <w:i/>
            <w:color w:val="0000FF"/>
            <w:u w:val="single" w:color="0000FF"/>
          </w:rPr>
          <w:t xml:space="preserve">  </w:t>
        </w:r>
      </w:hyperlink>
      <w:hyperlink r:id="rId110">
        <w:r>
          <w:rPr>
            <w:i/>
            <w:color w:val="0000FF"/>
            <w:u w:val="single" w:color="0000FF"/>
          </w:rPr>
          <w:t>.</w:t>
        </w:r>
      </w:hyperlink>
      <w:hyperlink r:id="rId111">
        <w:r>
          <w:rPr>
            <w:i/>
            <w:color w:val="0000FF"/>
            <w:u w:val="single" w:color="0000FF"/>
          </w:rPr>
          <w:t xml:space="preserve"> </w:t>
        </w:r>
      </w:hyperlink>
      <w:hyperlink r:id="rId112">
        <w:r>
          <w:rPr>
            <w:i/>
            <w:color w:val="0000FF"/>
            <w:u w:val="single" w:color="0000FF"/>
          </w:rPr>
          <w:t>ru</w:t>
        </w:r>
      </w:hyperlink>
      <w:hyperlink r:id="rId113">
        <w:r>
          <w:rPr>
            <w:i/>
            <w:color w:val="0000FF"/>
            <w:u w:val="single" w:color="0000FF"/>
          </w:rPr>
          <w:t xml:space="preserve"> </w:t>
        </w:r>
      </w:hyperlink>
      <w:hyperlink r:id="rId114">
        <w:r>
          <w:rPr>
            <w:i/>
            <w:color w:val="0000FF"/>
            <w:u w:val="single" w:color="0000FF"/>
          </w:rPr>
          <w:t>/</w:t>
        </w:r>
      </w:hyperlink>
      <w:hyperlink r:id="rId115">
        <w:r>
          <w:rPr>
            <w:i/>
            <w:color w:val="0000FF"/>
            <w:u w:val="single" w:color="0000FF"/>
          </w:rPr>
          <w:t xml:space="preserve">  </w:t>
        </w:r>
      </w:hyperlink>
      <w:hyperlink r:id="rId116">
        <w:r>
          <w:rPr>
            <w:i/>
            <w:color w:val="0000FF"/>
            <w:u w:val="single" w:color="0000FF"/>
          </w:rPr>
          <w:t>standarts</w:t>
        </w:r>
      </w:hyperlink>
      <w:hyperlink r:id="rId117">
        <w:r>
          <w:rPr>
            <w:i/>
            <w:color w:val="0000FF"/>
            <w:u w:val="single" w:color="0000FF"/>
          </w:rPr>
          <w:t xml:space="preserve">  </w:t>
        </w:r>
      </w:hyperlink>
      <w:hyperlink r:id="rId118">
        <w:r>
          <w:rPr>
            <w:i/>
            <w:color w:val="0000FF"/>
            <w:u w:val="single" w:color="0000FF"/>
          </w:rPr>
          <w:t>/?</w:t>
        </w:r>
      </w:hyperlink>
      <w:hyperlink r:id="rId119">
        <w:r>
          <w:rPr>
            <w:i/>
            <w:color w:val="0000FF"/>
            <w:u w:val="single" w:color="0000FF"/>
          </w:rPr>
          <w:t xml:space="preserve">  </w:t>
        </w:r>
      </w:hyperlink>
      <w:hyperlink r:id="rId120">
        <w:r>
          <w:rPr>
            <w:i/>
            <w:color w:val="0000FF"/>
            <w:u w:val="single" w:color="0000FF"/>
          </w:rPr>
          <w:t>chapter</w:t>
        </w:r>
      </w:hyperlink>
      <w:hyperlink r:id="rId121">
        <w:r>
          <w:rPr>
            <w:i/>
            <w:color w:val="0000FF"/>
            <w:u w:val="single" w:color="0000FF"/>
          </w:rPr>
          <w:t xml:space="preserve">  =  </w:t>
        </w:r>
      </w:hyperlink>
      <w:hyperlink r:id="rId122">
        <w:r>
          <w:rPr>
            <w:i/>
            <w:color w:val="0000FF"/>
            <w:u w:val="single" w:color="0000FF"/>
          </w:rPr>
          <w:t>infusion</w:t>
        </w:r>
      </w:hyperlink>
      <w:hyperlink r:id="rId123">
        <w:r>
          <w:rPr>
            <w:i/>
            <w:color w:val="0000FF"/>
            <w:u w:val="single" w:color="0000FF"/>
          </w:rPr>
          <w:t xml:space="preserve">  _  </w:t>
        </w:r>
      </w:hyperlink>
      <w:hyperlink r:id="rId124">
        <w:r>
          <w:rPr>
            <w:i/>
            <w:color w:val="0000FF"/>
            <w:u w:val="single" w:color="0000FF"/>
          </w:rPr>
          <w:t>reactions</w:t>
        </w:r>
      </w:hyperlink>
      <w:hyperlink r:id="rId125">
        <w:r>
          <w:rPr>
            <w:i/>
            <w:color w:val="0000FF"/>
            <w:u w:val="single" w:color="0000FF"/>
          </w:rPr>
          <w:t xml:space="preserve">  </w:t>
        </w:r>
      </w:hyperlink>
      <w:r>
        <w:rPr>
          <w:i/>
          <w:color w:val="0000FF"/>
        </w:rPr>
        <w:t xml:space="preserve"> </w:t>
      </w:r>
    </w:p>
    <w:p w:rsidR="00547FE3" w:rsidRDefault="005F4898">
      <w:pPr>
        <w:numPr>
          <w:ilvl w:val="0"/>
          <w:numId w:val="11"/>
        </w:numPr>
        <w:ind w:right="148" w:firstLine="709"/>
      </w:pPr>
      <w:r>
        <w:t>При проведении терапии пациентам рекомендуется мониторинг и лечение реактивации/обострения хронических вирусных гепат</w:t>
      </w:r>
      <w:r>
        <w:t>итов [83].</w:t>
      </w:r>
    </w:p>
    <w:p w:rsidR="00547FE3" w:rsidRDefault="005F4898">
      <w:pPr>
        <w:spacing w:after="0" w:line="357" w:lineRule="auto"/>
        <w:ind w:left="-13" w:firstLine="709"/>
        <w:jc w:val="left"/>
      </w:pPr>
      <w:r>
        <w:rPr>
          <w:b/>
        </w:rPr>
        <w:t>Уровень убедительности рекомендаций — С (уровень достоверности доказательств — 5</w:t>
      </w:r>
      <w:r>
        <w:t>).</w:t>
      </w:r>
    </w:p>
    <w:p w:rsidR="00547FE3" w:rsidRDefault="005F4898">
      <w:pPr>
        <w:spacing w:after="3" w:line="351" w:lineRule="auto"/>
        <w:ind w:left="-13" w:right="165" w:firstLine="701"/>
      </w:pPr>
      <w:r>
        <w:t>Комментарии</w:t>
      </w:r>
      <w:r>
        <w:rPr>
          <w:i/>
        </w:rPr>
        <w:t>. Принципы мониторинга и лечебной тактики у онкологических пациентов с хроническим вирусным гепатитом изложены в Практических Рекомендациях Российского</w:t>
      </w:r>
      <w:r>
        <w:rPr>
          <w:i/>
        </w:rPr>
        <w:t xml:space="preserve"> общества клинической онкологии по профилактике и лечению осложнений злокачественных опухолей и противоопухолевой лекарственной терапии: Феоктистова П.С. и соавт. Хронические вирусные гепатиты.  </w:t>
      </w:r>
      <w:hyperlink r:id="rId126">
        <w:r>
          <w:rPr>
            <w:i/>
            <w:color w:val="0000FF"/>
            <w:u w:val="single" w:color="0000FF"/>
          </w:rPr>
          <w:t xml:space="preserve"> </w:t>
        </w:r>
      </w:hyperlink>
      <w:hyperlink r:id="rId127">
        <w:r>
          <w:rPr>
            <w:i/>
            <w:color w:val="0000FF"/>
            <w:u w:val="single" w:color="0000FF"/>
          </w:rPr>
          <w:t>https</w:t>
        </w:r>
      </w:hyperlink>
      <w:hyperlink r:id="rId128">
        <w:r>
          <w:rPr>
            <w:i/>
            <w:color w:val="0000FF"/>
            <w:u w:val="single" w:color="0000FF"/>
          </w:rPr>
          <w:t xml:space="preserve">  </w:t>
        </w:r>
      </w:hyperlink>
      <w:hyperlink r:id="rId129">
        <w:r>
          <w:rPr>
            <w:i/>
            <w:color w:val="0000FF"/>
            <w:u w:val="single" w:color="0000FF"/>
          </w:rPr>
          <w:t>://</w:t>
        </w:r>
      </w:hyperlink>
      <w:hyperlink r:id="rId130">
        <w:r>
          <w:rPr>
            <w:i/>
            <w:color w:val="0000FF"/>
            <w:u w:val="single" w:color="0000FF"/>
          </w:rPr>
          <w:t xml:space="preserve">  </w:t>
        </w:r>
      </w:hyperlink>
      <w:hyperlink r:id="rId131">
        <w:r>
          <w:rPr>
            <w:i/>
            <w:color w:val="0000FF"/>
            <w:u w:val="single" w:color="0000FF"/>
          </w:rPr>
          <w:t>rosoncoweb</w:t>
        </w:r>
      </w:hyperlink>
      <w:hyperlink r:id="rId132">
        <w:r>
          <w:rPr>
            <w:i/>
            <w:color w:val="0000FF"/>
            <w:u w:val="single" w:color="0000FF"/>
          </w:rPr>
          <w:t xml:space="preserve">  </w:t>
        </w:r>
      </w:hyperlink>
      <w:hyperlink r:id="rId133">
        <w:r>
          <w:rPr>
            <w:i/>
            <w:color w:val="0000FF"/>
            <w:u w:val="single" w:color="0000FF"/>
          </w:rPr>
          <w:t>.</w:t>
        </w:r>
      </w:hyperlink>
      <w:hyperlink r:id="rId134">
        <w:r>
          <w:rPr>
            <w:i/>
            <w:color w:val="0000FF"/>
            <w:u w:val="single" w:color="0000FF"/>
          </w:rPr>
          <w:t xml:space="preserve"> </w:t>
        </w:r>
      </w:hyperlink>
      <w:hyperlink r:id="rId135">
        <w:r>
          <w:rPr>
            <w:i/>
            <w:color w:val="0000FF"/>
            <w:u w:val="single" w:color="0000FF"/>
          </w:rPr>
          <w:t>ru</w:t>
        </w:r>
      </w:hyperlink>
      <w:hyperlink r:id="rId136">
        <w:r>
          <w:rPr>
            <w:i/>
            <w:color w:val="0000FF"/>
            <w:u w:val="single" w:color="0000FF"/>
          </w:rPr>
          <w:t xml:space="preserve"> </w:t>
        </w:r>
      </w:hyperlink>
      <w:hyperlink r:id="rId137">
        <w:r>
          <w:rPr>
            <w:i/>
            <w:color w:val="0000FF"/>
            <w:u w:val="single" w:color="0000FF"/>
          </w:rPr>
          <w:t>/</w:t>
        </w:r>
      </w:hyperlink>
      <w:hyperlink r:id="rId138">
        <w:r>
          <w:rPr>
            <w:i/>
            <w:color w:val="0000FF"/>
            <w:u w:val="single" w:color="0000FF"/>
          </w:rPr>
          <w:t xml:space="preserve">  </w:t>
        </w:r>
      </w:hyperlink>
      <w:hyperlink r:id="rId139">
        <w:r>
          <w:rPr>
            <w:i/>
            <w:color w:val="0000FF"/>
            <w:u w:val="single" w:color="0000FF"/>
          </w:rPr>
          <w:t>standarts</w:t>
        </w:r>
      </w:hyperlink>
      <w:hyperlink r:id="rId140">
        <w:r>
          <w:rPr>
            <w:i/>
            <w:color w:val="0000FF"/>
            <w:u w:val="single" w:color="0000FF"/>
          </w:rPr>
          <w:t xml:space="preserve">  </w:t>
        </w:r>
      </w:hyperlink>
      <w:hyperlink r:id="rId141">
        <w:r>
          <w:rPr>
            <w:i/>
            <w:color w:val="0000FF"/>
            <w:u w:val="single" w:color="0000FF"/>
          </w:rPr>
          <w:t>/?</w:t>
        </w:r>
      </w:hyperlink>
      <w:hyperlink r:id="rId142">
        <w:r>
          <w:rPr>
            <w:i/>
            <w:color w:val="0000FF"/>
            <w:u w:val="single" w:color="0000FF"/>
          </w:rPr>
          <w:t xml:space="preserve"> </w:t>
        </w:r>
      </w:hyperlink>
    </w:p>
    <w:p w:rsidR="00547FE3" w:rsidRDefault="005F4898">
      <w:pPr>
        <w:spacing w:after="522" w:line="265" w:lineRule="auto"/>
        <w:ind w:left="-3"/>
        <w:jc w:val="left"/>
      </w:pPr>
      <w:hyperlink r:id="rId143">
        <w:r>
          <w:rPr>
            <w:i/>
            <w:color w:val="0000FF"/>
            <w:u w:val="single" w:color="0000FF"/>
          </w:rPr>
          <w:t xml:space="preserve"> </w:t>
        </w:r>
      </w:hyperlink>
      <w:hyperlink r:id="rId144">
        <w:r>
          <w:rPr>
            <w:i/>
            <w:color w:val="0000FF"/>
            <w:u w:val="single" w:color="0000FF"/>
          </w:rPr>
          <w:t>chapter</w:t>
        </w:r>
      </w:hyperlink>
      <w:hyperlink r:id="rId145">
        <w:r>
          <w:rPr>
            <w:i/>
            <w:color w:val="0000FF"/>
            <w:u w:val="single" w:color="0000FF"/>
          </w:rPr>
          <w:t xml:space="preserve">  =  </w:t>
        </w:r>
      </w:hyperlink>
      <w:hyperlink r:id="rId146">
        <w:r>
          <w:rPr>
            <w:i/>
            <w:color w:val="0000FF"/>
            <w:u w:val="single" w:color="0000FF"/>
          </w:rPr>
          <w:t>chronic</w:t>
        </w:r>
      </w:hyperlink>
      <w:hyperlink r:id="rId147">
        <w:r>
          <w:rPr>
            <w:i/>
            <w:color w:val="0000FF"/>
            <w:u w:val="single" w:color="0000FF"/>
          </w:rPr>
          <w:t xml:space="preserve">  _  </w:t>
        </w:r>
      </w:hyperlink>
      <w:hyperlink r:id="rId148">
        <w:r>
          <w:rPr>
            <w:i/>
            <w:color w:val="0000FF"/>
            <w:u w:val="single" w:color="0000FF"/>
          </w:rPr>
          <w:t>viral</w:t>
        </w:r>
      </w:hyperlink>
      <w:hyperlink r:id="rId149">
        <w:r>
          <w:rPr>
            <w:i/>
            <w:color w:val="0000FF"/>
            <w:u w:val="single" w:color="0000FF"/>
          </w:rPr>
          <w:t xml:space="preserve">  _  </w:t>
        </w:r>
      </w:hyperlink>
      <w:hyperlink r:id="rId150">
        <w:r>
          <w:rPr>
            <w:i/>
            <w:color w:val="0000FF"/>
            <w:u w:val="single" w:color="0000FF"/>
          </w:rPr>
          <w:t>hepatitis</w:t>
        </w:r>
      </w:hyperlink>
      <w:hyperlink r:id="rId151">
        <w:r>
          <w:rPr>
            <w:i/>
            <w:color w:val="0000FF"/>
            <w:u w:val="single" w:color="0000FF"/>
          </w:rPr>
          <w:t xml:space="preserve"> </w:t>
        </w:r>
      </w:hyperlink>
    </w:p>
    <w:p w:rsidR="00547FE3" w:rsidRDefault="005F4898">
      <w:pPr>
        <w:pStyle w:val="Heading1"/>
        <w:ind w:right="0"/>
      </w:pPr>
      <w:r>
        <w:t>4.</w:t>
      </w:r>
      <w:r>
        <w:rPr>
          <w:b w:val="0"/>
        </w:rPr>
        <w:t xml:space="preserve"> </w:t>
      </w:r>
      <w:r>
        <w:t>Медицинская реабилитация и санаторно-курортное лечение, медицинские показания и противопоказания к применению методов реабилитации, в том числе основанных на использовании природных лечебных факторов</w:t>
      </w:r>
    </w:p>
    <w:p w:rsidR="00547FE3" w:rsidRDefault="005F4898">
      <w:pPr>
        <w:spacing w:after="234" w:line="351" w:lineRule="auto"/>
        <w:ind w:left="-13" w:right="165" w:firstLine="701"/>
      </w:pPr>
      <w:r>
        <w:rPr>
          <w:i/>
        </w:rPr>
        <w:t>Каких-либо методов специальной реабилитации</w:t>
      </w:r>
      <w:r>
        <w:rPr>
          <w:i/>
        </w:rPr>
        <w:t xml:space="preserve"> для пациентов ТО не существует. Реабилитационные мероприятия осуществляются в соответствии с общими рекомендациями.</w:t>
      </w:r>
    </w:p>
    <w:p w:rsidR="00547FE3" w:rsidRDefault="005F4898">
      <w:pPr>
        <w:pStyle w:val="Heading2"/>
        <w:spacing w:after="394"/>
        <w:ind w:left="706" w:right="131"/>
      </w:pPr>
      <w:r>
        <w:t xml:space="preserve">  4.1 Реабилитация после хирургического лечения </w:t>
      </w:r>
    </w:p>
    <w:p w:rsidR="00547FE3" w:rsidRDefault="005F4898">
      <w:pPr>
        <w:spacing w:after="374" w:line="265" w:lineRule="auto"/>
        <w:ind w:left="721"/>
        <w:jc w:val="left"/>
      </w:pPr>
      <w:r>
        <w:rPr>
          <w:b/>
        </w:rPr>
        <w:t>1-й этап реабилитации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всем пациентам тактика fast track rehabilitation («быстрый путь») и ERAS (early rehabilitation after surgery – ранняя реабилитация после операции), включающая в себя комплексное обезболивание, раннее энтеральное питание, отказ от рутинного применения зонд</w:t>
      </w:r>
      <w:r>
        <w:t>ов и дренажей, ранняя мобилизация пациенток уже с 1–2-х суток после операции не увеличивает риски ранних послеоперационных осложнений, частоту повторных госпитализаций. Тактика fast track rehabilitation уменьшает длительность пребывания в стационаре и част</w:t>
      </w:r>
      <w:r>
        <w:t xml:space="preserve">оту послеоперационных осложнений [84, 85]. 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5).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всем пациентам раннее начало выполнения комплекса лечебной физической культуры (далее – ЛФК) с включением в програм</w:t>
      </w:r>
      <w:r>
        <w:t xml:space="preserve">му аэробной, силовой нагрузок и упражнений на растяжку, не увеличивающих частоту послеоперационных осложнений, улучшающих качество жизни [86]. 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А (уровень достоверности доказательств – 2).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всем пациентам </w:t>
      </w:r>
      <w:r>
        <w:t>применение побудительной спирометрии, подъем головного конца кровати, раннее начало дыхательной гимнастики и ранняя активизация пациенток, способствующие профилактике застойных явлений в легких в послеоперационном периоде [85-87].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</w:t>
      </w:r>
      <w:r>
        <w:rPr>
          <w:b/>
        </w:rPr>
        <w:t>комендаций – С (уровень достоверности доказательств – 5).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всем пациентам ранняя активизация, назначение антикоагулянтов с профилактической целью и ношение компрессионного трикотажа, способствующие профилактике тромботических осложнений в посл</w:t>
      </w:r>
      <w:r>
        <w:t>еоперационном периоде у онкогинекологических пациентов [88, 89].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4).</w:t>
      </w:r>
    </w:p>
    <w:p w:rsidR="00547FE3" w:rsidRDefault="005F4898">
      <w:pPr>
        <w:spacing w:after="245"/>
        <w:ind w:left="-3" w:right="148"/>
      </w:pPr>
      <w:r>
        <w:rPr>
          <w:b/>
        </w:rPr>
        <w:t>Рекомендуется</w:t>
      </w:r>
      <w:r>
        <w:t xml:space="preserve"> всем пациентам лечение болевого синдрома в послеоперационном периоде, который имеет междисципл</w:t>
      </w:r>
      <w:r>
        <w:t xml:space="preserve">инарный характер и, помимо медикаментозной коррекции, включает в себя физическую реабилитацию (ЛФК), лечение положением, психологические методы коррекции боли (релаксация), чрескожную электростимуляцию, акупунктуру [90]. </w:t>
      </w:r>
      <w:r>
        <w:rPr>
          <w:b/>
        </w:rPr>
        <w:t>Уровень убедительности рекомендаций</w:t>
      </w:r>
      <w:r>
        <w:rPr>
          <w:b/>
        </w:rPr>
        <w:t xml:space="preserve"> – С (уровень достоверности доказательств – 5). 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всем пациентам проведение сеансов общего массажа медицинского начиная со 2-х суток после операции, уменьшающих интенсивность болевого синдрома, беспокойство, напряжение, улучшая качество жизни </w:t>
      </w:r>
      <w:r>
        <w:t xml:space="preserve">[91]. 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5).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всем пациентам проведение психологической коррекции и методик релаксации в послеоперационном периоде, позволяющих снизить кратность обезболивания и улуч</w:t>
      </w:r>
      <w:r>
        <w:t xml:space="preserve">шающих качество жизни у онкогинекологических пациентов [92]. </w:t>
      </w:r>
    </w:p>
    <w:p w:rsidR="00547FE3" w:rsidRDefault="005F4898">
      <w:pPr>
        <w:spacing w:after="388" w:line="265" w:lineRule="auto"/>
        <w:ind w:left="-3"/>
        <w:jc w:val="left"/>
      </w:pPr>
      <w:r>
        <w:rPr>
          <w:b/>
        </w:rPr>
        <w:t>Уровень убедительности рекомендаций – В (уровень достоверности доказательств – 2).</w:t>
      </w:r>
    </w:p>
    <w:p w:rsidR="00547FE3" w:rsidRDefault="005F4898">
      <w:pPr>
        <w:spacing w:after="348" w:line="265" w:lineRule="auto"/>
        <w:ind w:left="721"/>
        <w:jc w:val="left"/>
      </w:pPr>
      <w:r>
        <w:rPr>
          <w:b/>
        </w:rPr>
        <w:t>2-й этап реабилитации</w:t>
      </w:r>
    </w:p>
    <w:p w:rsidR="00547FE3" w:rsidRDefault="005F4898">
      <w:pPr>
        <w:spacing w:after="288"/>
        <w:ind w:left="-3" w:right="148"/>
      </w:pPr>
      <w:r>
        <w:rPr>
          <w:b/>
        </w:rPr>
        <w:t>Рекомендуется</w:t>
      </w:r>
      <w:r>
        <w:t xml:space="preserve"> пациенткам с ожирением и ведущим малоподвижный образ жизни после комплексно</w:t>
      </w:r>
      <w:r>
        <w:t>го лечения опухолей матки проведение ЛФК и снижение веса, являющиеся самостоятельными факторами, ухудшающими качество жизни пациенток, приводя к дистрессу [93]. Сочетание силовых нагрузок, аэробных, упражнений на растяжку значительно улучшает качество жизн</w:t>
      </w:r>
      <w:r>
        <w:t xml:space="preserve">и пациенток, позволяет контролировать вес [94]. </w:t>
      </w:r>
      <w:r>
        <w:rPr>
          <w:b/>
        </w:rPr>
        <w:t>Уровень убедительности рекомендаций – С (уровень достоверности доказательств – 5). Комментарии:</w:t>
      </w:r>
      <w:r>
        <w:t xml:space="preserve"> </w:t>
      </w:r>
      <w:r>
        <w:rPr>
          <w:i/>
        </w:rPr>
        <w:t>Повышенный уровень физической активности значительно улучшает качество жизни и выживаемость пациенток</w:t>
      </w:r>
      <w:r>
        <w:t xml:space="preserve"> </w:t>
      </w:r>
      <w:r>
        <w:rPr>
          <w:i/>
        </w:rPr>
        <w:t xml:space="preserve">[95]. </w:t>
      </w:r>
    </w:p>
    <w:p w:rsidR="00547FE3" w:rsidRDefault="005F4898">
      <w:pPr>
        <w:spacing w:after="348" w:line="265" w:lineRule="auto"/>
        <w:ind w:left="721"/>
        <w:jc w:val="left"/>
      </w:pPr>
      <w:r>
        <w:rPr>
          <w:b/>
        </w:rPr>
        <w:t>3-й</w:t>
      </w:r>
      <w:r>
        <w:rPr>
          <w:b/>
        </w:rPr>
        <w:t xml:space="preserve"> этап реабилитации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всем пациенткам здоровый образ жизни, ежедневная физическая нагрузка позволяющие контролировать такие клинические проявления болезни, как депрессия, слабость, а также проводить профилактику сердечно-сосудистых осложнений и </w:t>
      </w:r>
      <w:r>
        <w:t xml:space="preserve">осложнений, связанных с остеопорозом, у пациенток после комбинированного лечения злокачественных новообразований [96]. 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4).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работа с медицинским психологом, методики релаксации, гипнотерапия, информирование пациентов о болезни, улучшающие качество жизни пациенток после комбинированного лечения опухолей женской репродуктивной системы [97]. 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</w:t>
      </w:r>
      <w:r>
        <w:rPr>
          <w:b/>
        </w:rPr>
        <w:t xml:space="preserve"> B (уровень достоверности доказательств – 2). </w:t>
      </w:r>
    </w:p>
    <w:p w:rsidR="00547FE3" w:rsidRDefault="005F4898">
      <w:pPr>
        <w:spacing w:after="228"/>
        <w:ind w:left="-3" w:right="148"/>
      </w:pPr>
      <w:r>
        <w:rPr>
          <w:b/>
        </w:rPr>
        <w:t>Рекомендуется</w:t>
      </w:r>
      <w:r>
        <w:t xml:space="preserve"> всем пациентам (при отсутствии противопоказаний) проведение периодических курсов общего массажа медицинского, значительно улучшающих качество жизни у онкогинекологических пациенток, уменьшая слаб</w:t>
      </w:r>
      <w:r>
        <w:t xml:space="preserve">ость, депрессию [91]. </w:t>
      </w:r>
      <w:r>
        <w:rPr>
          <w:b/>
        </w:rPr>
        <w:t>Уровень убедительности рекомендаций – С (уровень достоверности доказательств – 5).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всем пациентам при нарушении мочеиспускания упражнения для укрепления мышц тазового дна, Biofeedback-терапия, тибиальная нейромодуляция, </w:t>
      </w:r>
      <w:r>
        <w:t xml:space="preserve">электростимуляция мышц тазового дна и промежности, направленные на коррекцию функциональных нарушений органов малого таза, профилактику физической и психической инвалидизации [98]. 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А (уровень достоверности доказательс</w:t>
      </w:r>
      <w:r>
        <w:rPr>
          <w:b/>
        </w:rPr>
        <w:t>тв – 1).</w:t>
      </w:r>
    </w:p>
    <w:p w:rsidR="00547FE3" w:rsidRDefault="005F4898">
      <w:pPr>
        <w:pStyle w:val="Heading2"/>
        <w:ind w:left="706" w:right="131"/>
      </w:pPr>
      <w:r>
        <w:t xml:space="preserve">  4.2 Реабилитация при химиотерапии 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всем пациентам ежедневное выполнение комплекса ЛФК в процессе комбинированного лечения и после его окончания, приводящий к увеличению мышечной силы, улучшающий работу сердечно-сосудистой системы, </w:t>
      </w:r>
      <w:r>
        <w:t>уменьшающий опасность развития тревоги и депрессии, слабости, тошноты, рвоты, болевого синдрома, улучшающий настроение. Повышение уровня физической активности положительно влияет на сексуальную функцию [96].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С (уровень</w:t>
      </w:r>
      <w:r>
        <w:rPr>
          <w:b/>
        </w:rPr>
        <w:t xml:space="preserve"> достоверности доказательств – 4).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всем пациентам дозированная, постепенно нарастающая физическая нагрузка улучшающая переносимость химиотерапии у пациенток с онкогинекологическими заболеваниями [99, 100]. </w:t>
      </w:r>
    </w:p>
    <w:p w:rsidR="00547FE3" w:rsidRDefault="005F4898">
      <w:pPr>
        <w:spacing w:after="247" w:line="351" w:lineRule="auto"/>
        <w:ind w:left="-13" w:right="165" w:firstLine="0"/>
      </w:pPr>
      <w:r>
        <w:rPr>
          <w:b/>
        </w:rPr>
        <w:t>Уровень убедительности рекомендаций</w:t>
      </w:r>
      <w:r>
        <w:rPr>
          <w:b/>
        </w:rPr>
        <w:t xml:space="preserve"> – B (уровень достоверности доказательств – 3). Комментарии:</w:t>
      </w:r>
      <w:r>
        <w:t xml:space="preserve"> </w:t>
      </w:r>
      <w:r>
        <w:rPr>
          <w:i/>
        </w:rPr>
        <w:t xml:space="preserve">Применение аэробной нагрузки на фоне высокодозной химиотерапии повышает уровень гемоглобина и эритроцитов и снижает длительность лейко- и тромбоцитопении [100]. </w:t>
      </w:r>
    </w:p>
    <w:p w:rsidR="00547FE3" w:rsidRDefault="005F4898">
      <w:pPr>
        <w:spacing w:after="231"/>
        <w:ind w:left="-3" w:right="148"/>
      </w:pPr>
      <w:r>
        <w:t>Для уменьшения слабости и депресс</w:t>
      </w:r>
      <w:r>
        <w:t xml:space="preserve">ии на фоне химиотерапии </w:t>
      </w:r>
      <w:r>
        <w:rPr>
          <w:b/>
        </w:rPr>
        <w:t xml:space="preserve">рекомендуется </w:t>
      </w:r>
      <w:r>
        <w:t>всем пациенткам</w:t>
      </w:r>
      <w:r>
        <w:rPr>
          <w:b/>
        </w:rPr>
        <w:t xml:space="preserve"> </w:t>
      </w:r>
      <w:r>
        <w:t xml:space="preserve">проведение ЛФК. Сочетание ЛФК с психологической поддержкой (нейропсихологическая реабилитация) в лечении слабости и депрессии на фоне химиотерапии более эффективно, чем только медикаментозная коррекция </w:t>
      </w:r>
      <w:r>
        <w:t xml:space="preserve">[101]. </w:t>
      </w:r>
      <w:r>
        <w:rPr>
          <w:b/>
        </w:rPr>
        <w:t>Уровень убедительности рекомендаций – B (уровень достоверности доказательств – 1).</w:t>
      </w:r>
    </w:p>
    <w:p w:rsidR="00547FE3" w:rsidRDefault="005F4898">
      <w:pPr>
        <w:ind w:left="-3" w:right="148"/>
      </w:pPr>
      <w:r>
        <w:rPr>
          <w:b/>
        </w:rPr>
        <w:t xml:space="preserve">Рекомендуется </w:t>
      </w:r>
      <w:r>
        <w:t>всем</w:t>
      </w:r>
      <w:r>
        <w:rPr>
          <w:b/>
        </w:rPr>
        <w:t xml:space="preserve"> </w:t>
      </w:r>
      <w:r>
        <w:t>пациенткам проведение курса шведского лечебного массажа (при отсутствии противопоказаний) в течение 6 недель для уменьшения слабости на фоне комбин</w:t>
      </w:r>
      <w:r>
        <w:t xml:space="preserve">ированного лечения [102]. 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В (уровень достоверности доказательств – 2).</w:t>
      </w:r>
    </w:p>
    <w:p w:rsidR="00547FE3" w:rsidRDefault="005F4898">
      <w:pPr>
        <w:spacing w:after="231"/>
        <w:ind w:left="-3" w:right="148"/>
      </w:pPr>
      <w:r>
        <w:rPr>
          <w:b/>
        </w:rPr>
        <w:t xml:space="preserve">Рекомендуется </w:t>
      </w:r>
      <w:r>
        <w:t>всем</w:t>
      </w:r>
      <w:r>
        <w:rPr>
          <w:b/>
        </w:rPr>
        <w:t xml:space="preserve"> </w:t>
      </w:r>
      <w:r>
        <w:t>пациенткам упражнения на тренировку баланса, выносливость и силовые упражнения, активная ходьба для коррекции полинейропатии [1</w:t>
      </w:r>
      <w:r>
        <w:t xml:space="preserve">03, 104]. </w:t>
      </w:r>
      <w:r>
        <w:rPr>
          <w:b/>
        </w:rPr>
        <w:t>Уровень убедительности рекомендаций – В (уровень достоверности доказательств – 3).</w:t>
      </w:r>
    </w:p>
    <w:p w:rsidR="00547FE3" w:rsidRDefault="005F4898">
      <w:pPr>
        <w:ind w:left="-3" w:right="148"/>
      </w:pPr>
      <w:r>
        <w:rPr>
          <w:b/>
        </w:rPr>
        <w:t xml:space="preserve">Рекомендуется </w:t>
      </w:r>
      <w:r>
        <w:t>пациенткам применение физиотерапевтических методов для лечения периферической полинейропатии: низкоинтенсивной лазеротерапии и\или низкочастотной маг</w:t>
      </w:r>
      <w:r>
        <w:t>нитотерапия и\или чрескожной электростимуляция (20 минут в день 4 недели) [105, 106, 107].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B (уровень достоверности доказательств –3).</w:t>
      </w:r>
    </w:p>
    <w:p w:rsidR="00547FE3" w:rsidRDefault="005F4898">
      <w:pPr>
        <w:ind w:left="-3" w:right="148"/>
      </w:pPr>
      <w:r>
        <w:rPr>
          <w:b/>
        </w:rPr>
        <w:t xml:space="preserve">Рекомендуется </w:t>
      </w:r>
      <w:r>
        <w:t>всем пациенткам</w:t>
      </w:r>
      <w:r>
        <w:rPr>
          <w:b/>
        </w:rPr>
        <w:t xml:space="preserve"> </w:t>
      </w:r>
      <w:r>
        <w:t>низкоинтенсивная лазеротерапия для профилактики мукоз</w:t>
      </w:r>
      <w:r>
        <w:t xml:space="preserve">ита полости рта на фоне химиотерапии [108]. 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А (уровень достоверности доказательств – 1).</w:t>
      </w:r>
    </w:p>
    <w:p w:rsidR="00547FE3" w:rsidRDefault="005F4898">
      <w:pPr>
        <w:ind w:left="-3" w:right="148"/>
      </w:pPr>
      <w:r>
        <w:rPr>
          <w:b/>
        </w:rPr>
        <w:t xml:space="preserve">Рекомендуется </w:t>
      </w:r>
      <w:r>
        <w:t>пациенткам</w:t>
      </w:r>
      <w:r>
        <w:rPr>
          <w:b/>
        </w:rPr>
        <w:t xml:space="preserve"> </w:t>
      </w:r>
      <w:r>
        <w:t>применение криотерапии кожи головы, позволяющей проводить профилактику алопеции на фоне химиотерапии [1</w:t>
      </w:r>
      <w:r>
        <w:t xml:space="preserve">09]. 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3).</w:t>
      </w:r>
    </w:p>
    <w:p w:rsidR="00547FE3" w:rsidRDefault="005F4898">
      <w:pPr>
        <w:ind w:left="-3" w:right="148"/>
      </w:pPr>
      <w:r>
        <w:rPr>
          <w:b/>
        </w:rPr>
        <w:t xml:space="preserve">Рекомендуется </w:t>
      </w:r>
      <w:r>
        <w:t>всем</w:t>
      </w:r>
      <w:r>
        <w:rPr>
          <w:b/>
        </w:rPr>
        <w:t xml:space="preserve"> </w:t>
      </w:r>
      <w:r>
        <w:t>пациенткам</w:t>
      </w:r>
      <w:r>
        <w:rPr>
          <w:b/>
        </w:rPr>
        <w:t xml:space="preserve"> </w:t>
      </w:r>
      <w:r>
        <w:t>выполнение комплекса ЛФК, для снижения частоты развития кардиальных осложнений на фоне химиотерапии [110].</w:t>
      </w:r>
    </w:p>
    <w:p w:rsidR="00547FE3" w:rsidRDefault="005F4898">
      <w:pPr>
        <w:spacing w:after="560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3).</w:t>
      </w:r>
    </w:p>
    <w:p w:rsidR="00547FE3" w:rsidRDefault="005F4898">
      <w:pPr>
        <w:spacing w:after="209" w:line="351" w:lineRule="auto"/>
        <w:ind w:left="10"/>
        <w:jc w:val="center"/>
      </w:pPr>
      <w:r>
        <w:rPr>
          <w:b/>
          <w:sz w:val="28"/>
        </w:rPr>
        <w:t xml:space="preserve">5. Профилактика и диспансерное наблюдение, медицинские показания и </w:t>
      </w:r>
    </w:p>
    <w:p w:rsidR="00547FE3" w:rsidRDefault="005F4898">
      <w:pPr>
        <w:pStyle w:val="Heading1"/>
        <w:spacing w:after="209"/>
        <w:ind w:right="0"/>
      </w:pPr>
      <w:r>
        <w:t>противопоказания к применению методов профилактики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в целях профилактики рецидивов ЗТО строг</w:t>
      </w:r>
      <w:r>
        <w:t>ое соблюдение дизайна стандартного лечения (выбор режима в соответствии с группой риска, соблюдение доз и интенсивности лечения) и мониторинга болезни с обязательным проведением консолидирующих курсов химиотерапии. Начало консолидации – при нормализации ур</w:t>
      </w:r>
      <w:r>
        <w:t>овня ХГЧ (5мМЕ/мл) [ 27, 28, 111, 113, 114, 116, 117, 119, 121, 123, 124, 125].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 xml:space="preserve">Уровень убедительности рекомендаций – C (уровень достоверности доказательств – 5). </w:t>
      </w:r>
    </w:p>
    <w:p w:rsidR="00547FE3" w:rsidRDefault="005F4898">
      <w:pPr>
        <w:ind w:left="-3" w:right="148"/>
      </w:pPr>
      <w:r>
        <w:rPr>
          <w:b/>
        </w:rPr>
        <w:t xml:space="preserve">Рекомендуется </w:t>
      </w:r>
      <w:r>
        <w:t xml:space="preserve">подвергать диспансерному наблюдению врачом- акушером-гинекологом </w:t>
      </w:r>
      <w:r>
        <w:t>(диспансерный прием (осмотр, консультация) врача-акушера-гинеколога) всех пациенток после удаления ПЗ: еженедельное исследование  уровня хорионического гонадотропина в крови (общего бета – ХГЧ) до получения 3 последовательных отрицательных результатов, зат</w:t>
      </w:r>
      <w:r>
        <w:t>ем 2 раза в месяц первые 3 мес, далее – ежемесячно до 1 года, второй год – 1 раз в 2 мес, третий год – 1 раз в 3–4 мес для профилактики рецидивов [115, 122].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5).</w:t>
      </w:r>
    </w:p>
    <w:p w:rsidR="00547FE3" w:rsidRDefault="005F4898">
      <w:pPr>
        <w:spacing w:after="3" w:line="351" w:lineRule="auto"/>
        <w:ind w:left="-13" w:right="165" w:firstLine="0"/>
      </w:pPr>
      <w:r>
        <w:rPr>
          <w:b/>
        </w:rPr>
        <w:t>Комментарии:</w:t>
      </w:r>
      <w:r>
        <w:t xml:space="preserve"> </w:t>
      </w:r>
      <w:r>
        <w:rPr>
          <w:i/>
        </w:rPr>
        <w:t>пр</w:t>
      </w:r>
      <w:r>
        <w:rPr>
          <w:i/>
        </w:rPr>
        <w:t>и возникновении плато, или увеличении уровня ХГЧ после ПЗ, или персистенции сывороточного ХГЧ более 16 недель необходима консультация врачаонколога, врача-акушера-гинеколога, врача-радиолога для определения тактики дальнейшего ведения пациентки [112, 113].</w:t>
      </w:r>
      <w:r>
        <w:rPr>
          <w:i/>
        </w:rPr>
        <w:t xml:space="preserve"> Пациенткам, ранее перенесшим ЗТО, в дальнейшем после родов необходимо исследовать уровень хорионического гонадотропина в крови (общий бета-ХГЧ)через 2, 4 и 6 недель (до нормализации) [112, 113, 114].</w:t>
      </w:r>
    </w:p>
    <w:p w:rsidR="00547FE3" w:rsidRDefault="005F4898">
      <w:pPr>
        <w:ind w:left="-3" w:right="148"/>
      </w:pPr>
      <w:r>
        <w:rPr>
          <w:b/>
        </w:rPr>
        <w:t xml:space="preserve">Рекомендуется </w:t>
      </w:r>
      <w:r>
        <w:t>выполнять УЗИ органов малого таза комплек</w:t>
      </w:r>
      <w:r>
        <w:t>сное (трансвагинальное и трансабдоминальное) через 2 недели после эвакуации ПЗ, и далее – в зависимости от динамики уровня ХГЧ для профилактики рецидивов [113, 114].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5).</w:t>
      </w:r>
    </w:p>
    <w:p w:rsidR="00547FE3" w:rsidRDefault="005F4898">
      <w:pPr>
        <w:ind w:left="-3" w:right="148"/>
      </w:pPr>
      <w:r>
        <w:rPr>
          <w:b/>
        </w:rPr>
        <w:t>Рекомен</w:t>
      </w:r>
      <w:r>
        <w:rPr>
          <w:b/>
        </w:rPr>
        <w:t>дуется</w:t>
      </w:r>
      <w:r>
        <w:t xml:space="preserve"> выполнять рентгенографию легких через 2 недели после эвакуации ПЗ, далее – в зависимости от динамики ХГЧ для определения тактики дальнейшего ведения пациентки [27, 113, 122].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</w:t>
      </w:r>
      <w:r>
        <w:rPr>
          <w:b/>
        </w:rPr>
        <w:t>тв – 4).</w:t>
      </w:r>
    </w:p>
    <w:p w:rsidR="00547FE3" w:rsidRDefault="005F4898">
      <w:pPr>
        <w:spacing w:after="245"/>
        <w:ind w:left="-3" w:right="148"/>
      </w:pPr>
      <w:r>
        <w:rPr>
          <w:b/>
        </w:rPr>
        <w:t>Рекомендуется</w:t>
      </w:r>
      <w:r>
        <w:t xml:space="preserve"> контрацепция в течение 1 года после нормализации уровня ХГЧ при ПЗ, предпочтительнее гормональные контрацептивы системного действия (перорального применения), которые следует назначать только после нормализации уровня ХГЧ и восстанов</w:t>
      </w:r>
      <w:r>
        <w:t xml:space="preserve">ления менструального цикла, для предотвращения беременности [113, 114]. </w:t>
      </w:r>
      <w:r>
        <w:rPr>
          <w:b/>
        </w:rPr>
        <w:t>Уровень убедительности рекомендаций – С (уровень достоверности доказательств – 4).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обязательная контрацепция после окончания лечения для пациенток с I–III стадией – не ме</w:t>
      </w:r>
      <w:r>
        <w:t>нее 1 года, с IV стадией – не менее 2-х лет для предотвращения беременности и отслеживания рецидива ЗТО [113].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3).</w:t>
      </w:r>
    </w:p>
    <w:p w:rsidR="00547FE3" w:rsidRDefault="005F4898">
      <w:pPr>
        <w:spacing w:after="245"/>
        <w:ind w:left="-3"/>
      </w:pPr>
      <w:r>
        <w:rPr>
          <w:b/>
        </w:rPr>
        <w:t>Рекомендуется</w:t>
      </w:r>
      <w:r>
        <w:t xml:space="preserve"> ведение менограммы (менструальный календарь) для</w:t>
      </w:r>
      <w:r>
        <w:t xml:space="preserve"> всех пациенток, перенесших ЗТО, не менее 3 лет после окончания лечения для профилактики рецидивов [1].</w:t>
      </w:r>
    </w:p>
    <w:p w:rsidR="00547FE3" w:rsidRDefault="005F4898">
      <w:pPr>
        <w:spacing w:after="108" w:line="265" w:lineRule="auto"/>
        <w:ind w:left="-3"/>
        <w:jc w:val="left"/>
      </w:pPr>
      <w:r>
        <w:rPr>
          <w:b/>
        </w:rPr>
        <w:t xml:space="preserve">Уровень убедительности рекомендаций – С (уровень достоверности доказательств – 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4).</w:t>
      </w:r>
    </w:p>
    <w:p w:rsidR="00547FE3" w:rsidRDefault="005F4898">
      <w:pPr>
        <w:spacing w:after="245"/>
        <w:ind w:left="-3" w:right="148"/>
      </w:pPr>
      <w:r>
        <w:rPr>
          <w:b/>
        </w:rPr>
        <w:t>Рекомендуется</w:t>
      </w:r>
      <w:r>
        <w:t xml:space="preserve"> </w:t>
      </w:r>
      <w:r>
        <w:rPr>
          <w:u w:val="single" w:color="000000"/>
        </w:rPr>
        <w:t>при метроррагии в послеродовом периоде</w:t>
      </w:r>
      <w:r>
        <w:t xml:space="preserve">  проводить исследование уровня хорионического гонадотропина в крови (общего бета-ХГЧ) и УЗИ органов малого таза комплексное (трансвагинальное и трансабдоминальное) до выполнения повторных раздельных диагностических выскабливаний матки [114, 116, 118, 120,</w:t>
      </w:r>
      <w:r>
        <w:t xml:space="preserve"> 121, 122].</w:t>
      </w:r>
    </w:p>
    <w:p w:rsidR="00547FE3" w:rsidRDefault="005F4898">
      <w:pPr>
        <w:spacing w:after="108" w:line="265" w:lineRule="auto"/>
        <w:ind w:left="-3"/>
        <w:jc w:val="left"/>
      </w:pPr>
      <w:r>
        <w:rPr>
          <w:b/>
        </w:rPr>
        <w:t xml:space="preserve">Уровень убедительности рекомендаций – С (уровень достоверности доказательств – 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4).</w:t>
      </w:r>
    </w:p>
    <w:p w:rsidR="00547FE3" w:rsidRDefault="005F4898">
      <w:pPr>
        <w:ind w:left="-3" w:right="148"/>
      </w:pPr>
      <w:r>
        <w:rPr>
          <w:b/>
        </w:rPr>
        <w:t>Рекомендуется</w:t>
      </w:r>
      <w:r>
        <w:t xml:space="preserve"> при любых длительных (более 2 месяцев) нарушениях менструального цикла (метроррагия, аменорея, гиперполименорея и др.) у женщин репродуктивного во</w:t>
      </w:r>
      <w:r>
        <w:t>зраста с беременностью в анамнезе определять сывороточный уровень общего ХГЧ (исследовать уровень хорионического гонадотропина в крови (общего бета-ХГЧ) наряду с выполнением УЗИ органов малого таза комплексное (трансвагинальное и трансабдоминальное) до вып</w:t>
      </w:r>
      <w:r>
        <w:t>олнения процедуры раздельного диагностического выскабливания полости матки [111, 114, 116, 118, 120, 121, 122, 129].</w:t>
      </w:r>
    </w:p>
    <w:p w:rsidR="00547FE3" w:rsidRDefault="005F4898">
      <w:pPr>
        <w:spacing w:after="698" w:line="265" w:lineRule="auto"/>
        <w:ind w:left="-3"/>
        <w:jc w:val="left"/>
      </w:pPr>
      <w:r>
        <w:rPr>
          <w:b/>
        </w:rPr>
        <w:t>Уровень убедительности рекомендаций – С (уровень достоверности доказательств – 4).</w:t>
      </w:r>
    </w:p>
    <w:p w:rsidR="00547FE3" w:rsidRDefault="005F4898">
      <w:pPr>
        <w:pStyle w:val="Heading1"/>
        <w:spacing w:after="502" w:line="265" w:lineRule="auto"/>
        <w:ind w:left="2011" w:right="0"/>
        <w:jc w:val="left"/>
      </w:pPr>
      <w:r>
        <w:t>6. Организация оказания медицинской помощи</w:t>
      </w:r>
    </w:p>
    <w:p w:rsidR="00547FE3" w:rsidRDefault="005F4898">
      <w:pPr>
        <w:ind w:left="-13" w:right="148" w:firstLine="567"/>
      </w:pPr>
      <w:r>
        <w:t>Медицинская п</w:t>
      </w:r>
      <w:r>
        <w:t>омощь, за исключением медицинской помощи в рамках клинической апробации, в соответствии с Федеральным законом от 21.11.2011 № 323-ФЗ «Об основах охраны здоровья граждан в Российской Федерации», организуется и оказывается:</w:t>
      </w:r>
    </w:p>
    <w:p w:rsidR="00547FE3" w:rsidRDefault="005F4898">
      <w:pPr>
        <w:numPr>
          <w:ilvl w:val="0"/>
          <w:numId w:val="12"/>
        </w:numPr>
        <w:ind w:right="148" w:firstLine="567"/>
      </w:pPr>
      <w:r>
        <w:t>в соответствии с положением об орг</w:t>
      </w:r>
      <w:r>
        <w:t>анизации оказания медицинской помощи по видам медицинской помощи, которое утверждается уполномоченным Федеральным органом исполнительной власти;</w:t>
      </w:r>
    </w:p>
    <w:p w:rsidR="00547FE3" w:rsidRDefault="005F4898">
      <w:pPr>
        <w:numPr>
          <w:ilvl w:val="0"/>
          <w:numId w:val="12"/>
        </w:numPr>
        <w:ind w:right="148" w:firstLine="567"/>
      </w:pPr>
      <w:r>
        <w:t>в соответствии с порядками оказания медицинской помощи, утверждаемыми уполномоченным федеральным органом исполн</w:t>
      </w:r>
      <w:r>
        <w:t>ительной власти и обязательными для исполнения на территории Российской Федерации всеми медицинскими организациями</w:t>
      </w:r>
    </w:p>
    <w:p w:rsidR="00547FE3" w:rsidRDefault="005F4898">
      <w:pPr>
        <w:numPr>
          <w:ilvl w:val="0"/>
          <w:numId w:val="12"/>
        </w:numPr>
        <w:spacing w:after="114" w:line="259" w:lineRule="auto"/>
        <w:ind w:right="148" w:firstLine="567"/>
      </w:pPr>
      <w:r>
        <w:t>на основе настоящих клинических рекомендаций;</w:t>
      </w:r>
    </w:p>
    <w:p w:rsidR="00547FE3" w:rsidRDefault="005F4898">
      <w:pPr>
        <w:numPr>
          <w:ilvl w:val="0"/>
          <w:numId w:val="12"/>
        </w:numPr>
        <w:ind w:right="148" w:firstLine="567"/>
      </w:pPr>
      <w:r>
        <w:t>с учетом стандартов медицинской помощи, утвержденных уполномоченным Федеральным органом исполни</w:t>
      </w:r>
      <w:r>
        <w:t>тельной власти.</w:t>
      </w:r>
    </w:p>
    <w:p w:rsidR="00547FE3" w:rsidRDefault="005F4898">
      <w:pPr>
        <w:ind w:left="-13" w:right="148" w:firstLine="567"/>
      </w:pPr>
      <w:r>
        <w:t>Первичная специализированная медико-санитарная помощь оказывается врачомонкологом и иными врачами-специалистами в центре амбулаторной онкологической помощи, а при его отсутствии в первичном онкологическом кабинете, поликлиническом отделении</w:t>
      </w:r>
      <w:r>
        <w:t xml:space="preserve"> онкологического диспансера (онкологической больницы). </w:t>
      </w:r>
    </w:p>
    <w:p w:rsidR="00547FE3" w:rsidRDefault="005F4898">
      <w:pPr>
        <w:ind w:left="-13" w:right="148" w:firstLine="567"/>
      </w:pPr>
      <w:r>
        <w:t>При подозрении или выявлении у пациента онкологического заболевания врачитерапевты, врачи-терапевты участковые, врачи общей практики (семейные врачи), врачиспециалисты, средние медицинские работники в установленном порядке направляют пациента на консультац</w:t>
      </w:r>
      <w:r>
        <w:t>ию в центр амбулаторной онкологической помощи, а при отсутствии в первичный онкологический кабинет, поликлиническое отделение онкологического диспансера (онкологической больницы) для оказания ему первичной специализированной медико-санитарной помощи.</w:t>
      </w:r>
    </w:p>
    <w:p w:rsidR="00547FE3" w:rsidRDefault="005F4898">
      <w:pPr>
        <w:ind w:left="-13" w:right="148" w:firstLine="567"/>
      </w:pPr>
      <w:r>
        <w:t>Консу</w:t>
      </w:r>
      <w:r>
        <w:t>льтация в центре амбулаторной онкологической помощи либо в первичном онкологическом кабинете, поликлиническом отделении онкологического диспансера (онкологической больницы) не должна превышать срока, установленного в программе государственных гарантий бесп</w:t>
      </w:r>
      <w:r>
        <w:t>латного оказания гражданам медицинской помощи, утверждаемой Правительством Российской Федерации. Врач-онколог центра амбулаторной онкологической помощи (в случае отсутствия центра амбулаторной онкологической помощи врач-онколог первичного онкологического к</w:t>
      </w:r>
      <w:r>
        <w:t>абинета или поликлинического отделения онкологического диспансера (онкологической больницы организует взятие биопсийного (операционного) материала, а также организует выполнение иных диагностических исследований, необходимых для установления диагноза, вклю</w:t>
      </w:r>
      <w:r>
        <w:t>чая распространенность онкологического процесса и стадию заболевания.</w:t>
      </w:r>
    </w:p>
    <w:p w:rsidR="00547FE3" w:rsidRDefault="005F4898">
      <w:pPr>
        <w:ind w:left="-13" w:right="148" w:firstLine="567"/>
      </w:pPr>
      <w:r>
        <w:t>В случае невозможности взятия в медицинской организации, в составе которой организован центр амбулаторной онкологической помощи (первичный онкологический кабинет) биопсийного (операционн</w:t>
      </w:r>
      <w:r>
        <w:t>ого) материала, иных диагностических исследований пациент направляется врачом-онкологом в онкологический диспансер (онкологическую больницу) или в медицинскую организацию, оказывающую медицинскую помощь пациентам с онкологическими заболеваниями.</w:t>
      </w:r>
    </w:p>
    <w:p w:rsidR="00547FE3" w:rsidRDefault="005F4898">
      <w:pPr>
        <w:ind w:left="-13" w:right="148" w:firstLine="567"/>
      </w:pPr>
      <w:r>
        <w:t>Срок выпол</w:t>
      </w:r>
      <w:r>
        <w:t>нения патолого-анатомических исследований, необходимых для гистологической верификации злокачественных новообразований не должен превышать срок, установленный в программе государственных гарантий бесплатного оказания гражданам медицинской помощи, утверждае</w:t>
      </w:r>
      <w:r>
        <w:t>мой Правительством Российской Федерации.</w:t>
      </w:r>
    </w:p>
    <w:p w:rsidR="00547FE3" w:rsidRDefault="005F4898">
      <w:pPr>
        <w:ind w:left="-13" w:right="148" w:firstLine="567"/>
      </w:pPr>
      <w:r>
        <w:t>Сроки проведения диагностических инструментальных и лабораторных исследований в случае подозрения на онкологическое заболевание не должны превышать сроков, установленных в программе государственных гарантий бесплатн</w:t>
      </w:r>
      <w:r>
        <w:t>ого оказания гражданам медицинской помощи, утверждаемой Правительством Российской Федерации.</w:t>
      </w:r>
    </w:p>
    <w:p w:rsidR="00547FE3" w:rsidRDefault="005F4898">
      <w:pPr>
        <w:ind w:left="-13" w:right="148" w:firstLine="567"/>
      </w:pPr>
      <w:r>
        <w:t>Диагноз онкологического заболевания устанавливается врачом-специалистом на основе результатов диагностических исследований, включающих в том числе проведение цитол</w:t>
      </w:r>
      <w:r>
        <w:t>огической и (или) гистологической верификации диагноза, за исключением случаев, когда взятие биопсийного и (или) пункционного материала не представляется возможным.</w:t>
      </w:r>
    </w:p>
    <w:p w:rsidR="00547FE3" w:rsidRDefault="005F4898">
      <w:pPr>
        <w:ind w:left="-13" w:right="148" w:firstLine="567"/>
      </w:pPr>
      <w:r>
        <w:t>Врач-онколог центра амбулаторной онкологической помощи (первичного онкологического кабинета</w:t>
      </w:r>
      <w:r>
        <w:t>) направляет пациента в онкологический диспансер (онкологическую больницу) или иную медицинскую организацию, оказывающую медицинскую помощь пациентам с онкологическими заболеваниями, в том числе подведомственную федеральному органу исполнительной власти (д</w:t>
      </w:r>
      <w:r>
        <w:t xml:space="preserve">алее – федеральная медицинская организация), для уточнения диагноза (в случае невозможности установления диагноза, включая распространенность онкологического процесса и стадию заболевания), определения тактики лечения, а также в случае наличия медицинских </w:t>
      </w:r>
      <w:r>
        <w:t>показаний для оказания специализированной, в том числе высокотехнологичной, медицинской помощи.</w:t>
      </w:r>
    </w:p>
    <w:p w:rsidR="00547FE3" w:rsidRDefault="005F4898">
      <w:pPr>
        <w:spacing w:after="0" w:line="259" w:lineRule="auto"/>
        <w:ind w:left="10" w:right="159"/>
        <w:jc w:val="right"/>
      </w:pPr>
      <w:r>
        <w:t xml:space="preserve">При онкологических заболеваниях, входящих в рубрики С37, C38, C40–C41, C45–C49, </w:t>
      </w:r>
    </w:p>
    <w:p w:rsidR="00547FE3" w:rsidRDefault="005F4898">
      <w:pPr>
        <w:ind w:left="-3" w:right="148"/>
      </w:pPr>
      <w:r>
        <w:t>С58, D39, C62, C69–C70, С72, C74 МКБ-10, а также соответствующих кодам междунар</w:t>
      </w:r>
      <w:r>
        <w:t>одной классификации болезней – онкология (МКБ-О), 3 издания 8936, 906-909,</w:t>
      </w:r>
    </w:p>
    <w:p w:rsidR="00547FE3" w:rsidRDefault="005F4898">
      <w:pPr>
        <w:ind w:left="-3" w:right="148"/>
      </w:pPr>
      <w:r>
        <w:t>8247/3, 8013/3, 8240/3, 8244/3, 8246/3, 8249/3 врач-онколог онкологического диспансера (онкологической больницы) или иной медицинской организации, оказывающей медицинскую помощь пац</w:t>
      </w:r>
      <w:r>
        <w:t>иентам с онкологическими заболеваниями, для определения лечебной тактики организует проведение консультации или консилиума врачей, в том числе с применением телемедицинских технологий, в федеральных государственных бюджетных учреждениях, подведомственных М</w:t>
      </w:r>
      <w:r>
        <w:t>инистерству здравоохранения Российской Федерации, оказывающих медицинскую помощь (далее в целях настоящего Порядка – национальные медицинские исследовательские центры).</w:t>
      </w:r>
    </w:p>
    <w:p w:rsidR="00547FE3" w:rsidRDefault="005F4898">
      <w:pPr>
        <w:ind w:left="-13" w:right="148" w:firstLine="567"/>
      </w:pPr>
      <w:r>
        <w:t>В сложных клинических случаях для уточнения диагноза (в случае невозможности установлен</w:t>
      </w:r>
      <w:r>
        <w:t>ия диагноза, включая распространенность онкологического процесса и стадию заболевания) в целях проведения оценки, интерпретации и описания результатов врачонколог организует направление:</w:t>
      </w:r>
    </w:p>
    <w:p w:rsidR="00547FE3" w:rsidRDefault="005F4898">
      <w:pPr>
        <w:spacing w:after="114" w:line="259" w:lineRule="auto"/>
        <w:ind w:left="10" w:right="159"/>
        <w:jc w:val="right"/>
      </w:pPr>
      <w:r>
        <w:t xml:space="preserve">цифровых изображений, полученных по результатам патоморфологических </w:t>
      </w:r>
    </w:p>
    <w:p w:rsidR="00547FE3" w:rsidRDefault="005F4898">
      <w:pPr>
        <w:ind w:left="-3" w:right="148"/>
      </w:pPr>
      <w:r>
        <w:t>исследований, в патолого-анатомическое бюро (отделение) четвертой группы (референсцентр) путем информационного взаимодействия, в том числе с применением телемедицинских технологий при дистанционном взаимодействии медицинских работников между собой; цифровы</w:t>
      </w:r>
      <w:r>
        <w:t>х изображений, полученных по результатам лучевых методов исследований, в дистанционный консультативный центр лучевой диагностики, путем информационного взаимодействия, в том числе с применением телемедицинских технологий при дистанционном взаимодействии ме</w:t>
      </w:r>
      <w:r>
        <w:t>дицинских работников между собой; биопсийного (операционного) материала для повторного проведения патоморфологических, иммуногистохимических, и молекулярно-генетических исследований: в патолого-анатомическое бюро (отделение) четвертой группы (референсцентр</w:t>
      </w:r>
      <w:r>
        <w:t>), а также в молекулярно-генетические лаборатории для проведения молекулярногенетических исследований.</w:t>
      </w:r>
    </w:p>
    <w:p w:rsidR="00547FE3" w:rsidRDefault="005F4898">
      <w:pPr>
        <w:ind w:left="-13" w:right="148" w:firstLine="567"/>
      </w:pPr>
      <w:r>
        <w:t xml:space="preserve">Тактика лечения устанавливается консилиумом врачей, включающим врачейонкологов, врача-радиотерапевта, врача-нейрохирурга (при опухолях нервной системы) </w:t>
      </w:r>
      <w:r>
        <w:t>медицинской организации, в составе которой имеются отделения хирургических методов лечения злокачественных новообразований, противоопухолевой лекарственной терапии, радиотерапии (далее – онкологический консилиум), в том числе онкологическим консилиумом, пр</w:t>
      </w:r>
      <w:r>
        <w:t>оведенным с применением телемедицинских технологий, с привлечением при необходимости других врачей-специалистов.</w:t>
      </w:r>
    </w:p>
    <w:p w:rsidR="00547FE3" w:rsidRDefault="005F4898">
      <w:pPr>
        <w:ind w:left="-13" w:right="148" w:firstLine="567"/>
      </w:pPr>
      <w:r>
        <w:t xml:space="preserve">Диспансерное наблюдение врача-онколога за пациентом с выявленным онкологическим заболеванием устанавливается и осуществляется в соответствии с </w:t>
      </w:r>
      <w:r>
        <w:t>порядком диспансерного наблюдения за взрослыми с онкологическими заболеваниями.</w:t>
      </w:r>
    </w:p>
    <w:p w:rsidR="00547FE3" w:rsidRDefault="005F4898">
      <w:pPr>
        <w:ind w:left="-13" w:right="148" w:firstLine="567"/>
      </w:pPr>
      <w:r>
        <w:t>С целью учета информация о впервые выявленном случае онкологического заболевания направляется в течение 3 рабочих дней врачом-онкологом медицинской организации, в которой устан</w:t>
      </w:r>
      <w:r>
        <w:t>овлен соответствующий диагноз, в онкологический диспансер или организацию субъекта Российской Федерации, исполняющую функцию регистрации пациентов с впервые выявленном злокачественным новообразованием, в том числе с применением единой государственной инфор</w:t>
      </w:r>
      <w:r>
        <w:t>мационной системы в сфере здравоохранения. В случае подтверждения у пациента наличия онкологического заболевания информация об уточненном диагнозе направляется из онкологического диспансера или организации субъекта Российской Федерации, исполняющей функции</w:t>
      </w:r>
      <w:r>
        <w:t xml:space="preserve"> регистрации пациентов с впервые выявленном злокачественным новообразованием, в медицинскую организацию, осуществляющую диспансерное наблюдение пациента.</w:t>
      </w:r>
    </w:p>
    <w:p w:rsidR="00547FE3" w:rsidRDefault="005F4898">
      <w:pPr>
        <w:ind w:left="-13" w:right="148" w:firstLine="567"/>
      </w:pPr>
      <w:r>
        <w:t>Специализированная, в том числе высокотехнологичная, медицинская помощь в медицинских организациях, ок</w:t>
      </w:r>
      <w:r>
        <w:t>азывающих медицинскую помощь взрослому населению при онкологических заболеваниях, оказывается по медицинским показаниям, предусмотренным положением об организации оказания специализированной, в том числе высокотехнологичной, медицинской помощи.</w:t>
      </w:r>
    </w:p>
    <w:p w:rsidR="00547FE3" w:rsidRDefault="005F4898">
      <w:pPr>
        <w:spacing w:after="119"/>
        <w:ind w:left="-13" w:right="148" w:firstLine="567"/>
      </w:pPr>
      <w:r>
        <w:t>Специализир</w:t>
      </w:r>
      <w:r>
        <w:t>ованная, за исключением высокотехнологичной, медицинская помощь в медицинских организациях, подведомственных федеральным органам исполнительной власти, оказывается по медицинским показаниям, предусмотренным порядком направления пациентов в медицинские орга</w:t>
      </w:r>
      <w:r>
        <w:t>низации и иные организации, подведомственные федеральным органам исполнительной власти, для оказания специализированной (за исключением высокотехнологичной) медицинской помощи, предусмотренного в приложении к положению об организации оказания специализиров</w:t>
      </w:r>
      <w:r>
        <w:t>анной, в том числе высокотехнологичной, медицинской помощи. В случае если в реализации Программы принимают участие несколько федеральных медицинских организаций, оказывающих специализированную медицинскую помощь при заболеваниях, состояниях (группе заболев</w:t>
      </w:r>
      <w:r>
        <w:t>аний, состояний), соответствующих заболеваниям, состояниям (группе заболеваний, состояний) пациента, лечащий врач обязан проинформировать пациента (законного представителя пациента) о возможности выбора федеральной медицинской организации, в том числе о во</w:t>
      </w:r>
      <w:r>
        <w:t>зможных сроках ожидания специализированной медицинской помощи, которые могут превышать сроки ожидания, установленные программой государственных гарантий бесплатного оказания гражданам медицинской помощи.</w:t>
      </w:r>
    </w:p>
    <w:p w:rsidR="00547FE3" w:rsidRDefault="005F4898">
      <w:pPr>
        <w:ind w:left="-13" w:right="148" w:firstLine="567"/>
      </w:pPr>
      <w:r>
        <w:t>Сроки ожидания оказания специализированной (за исклю</w:t>
      </w:r>
      <w:r>
        <w:t>чением высокотехнологичной) медицинской помощи не должны превышать сроков, установленных в программе государственных гарантий бесплатного оказания гражданам медицинской помощи, утверждаемой Правительством Российской Федерации.</w:t>
      </w:r>
    </w:p>
    <w:p w:rsidR="00547FE3" w:rsidRDefault="005F4898">
      <w:pPr>
        <w:ind w:left="-13" w:right="148" w:firstLine="567"/>
      </w:pPr>
      <w:r>
        <w:t>При наличии у пациента с онко</w:t>
      </w:r>
      <w:r>
        <w:t>логическим заболеванием медицинских показаний для проведения медицинской реабилитации врач-онколог организует ее проведение в соответствии с порядком организации медицинской реабилитации взрослых.</w:t>
      </w:r>
    </w:p>
    <w:p w:rsidR="00547FE3" w:rsidRDefault="005F4898">
      <w:pPr>
        <w:ind w:left="-13" w:right="148" w:firstLine="567"/>
      </w:pPr>
      <w:r>
        <w:t>При наличии у пациента с онкологическим заболеванием медицинских показаний к санаторно-курортному лечению врач-онколог организует его в соответствии порядком организации санаторно-курортного лечения.</w:t>
      </w:r>
    </w:p>
    <w:p w:rsidR="00547FE3" w:rsidRDefault="005F4898">
      <w:pPr>
        <w:ind w:left="-13" w:right="148" w:firstLine="567"/>
      </w:pPr>
      <w:r>
        <w:t>Паллиативная медицинская помощь пациенту с онкологически</w:t>
      </w:r>
      <w:r>
        <w:t>ми заболеваниями оказывается в соответствии с положением об организации оказания паллиативной медицинской помощи, включая порядок взаимодействия медицинских организаций, организаций социального обслуживания и общественных объединений, иных некоммерческих о</w:t>
      </w:r>
      <w:r>
        <w:t>рганизаций, осуществляющих свою деятельность в сфере охраны здоровья.</w:t>
      </w:r>
    </w:p>
    <w:p w:rsidR="00547FE3" w:rsidRDefault="005F4898">
      <w:pPr>
        <w:spacing w:after="419"/>
        <w:ind w:left="-13" w:right="148" w:firstLine="567"/>
      </w:pPr>
      <w:r>
        <w:t xml:space="preserve">При подозрении и (или) выявлении у пациента онкологического заболевания в ходе оказания ему скорой медицинской помощи его переводят или направляют в медицинские организации, оказывающие </w:t>
      </w:r>
      <w:r>
        <w:t>медицинскую помощь пациентам с онкологическими заболеваниями, для определения тактики ведения и необходимости применения дополнительно других методов специализированного противоопухолевого лечения.</w:t>
      </w:r>
    </w:p>
    <w:p w:rsidR="00547FE3" w:rsidRDefault="005F4898">
      <w:pPr>
        <w:spacing w:after="0" w:line="357" w:lineRule="auto"/>
        <w:ind w:left="-13" w:firstLine="567"/>
        <w:jc w:val="left"/>
      </w:pPr>
      <w:r>
        <w:rPr>
          <w:b/>
        </w:rPr>
        <w:t>Показаниями для госпитализации в медицинскую организацию в</w:t>
      </w:r>
      <w:r>
        <w:rPr>
          <w:b/>
        </w:rPr>
        <w:t xml:space="preserve"> экстренной или неотложной форме являются:</w:t>
      </w:r>
    </w:p>
    <w:p w:rsidR="00547FE3" w:rsidRDefault="005F4898">
      <w:pPr>
        <w:numPr>
          <w:ilvl w:val="0"/>
          <w:numId w:val="13"/>
        </w:numPr>
        <w:ind w:right="148" w:firstLine="567"/>
      </w:pPr>
      <w:r>
        <w:t>наличие осложнений онкологического заболевания, требующих оказания ему специализированной медицинской помощи в экстренной и неотложной форме;</w:t>
      </w:r>
    </w:p>
    <w:p w:rsidR="00547FE3" w:rsidRDefault="005F4898">
      <w:pPr>
        <w:numPr>
          <w:ilvl w:val="0"/>
          <w:numId w:val="13"/>
        </w:numPr>
        <w:ind w:right="148" w:firstLine="567"/>
      </w:pPr>
      <w:r>
        <w:t>наличие осложнений лечения онкологического заболевания (хирургическое в</w:t>
      </w:r>
      <w:r>
        <w:t>мешательство, ЛТ, лекарственная терапия и т.д.), требующих оказания ему специализированной медицинской помощи в экстренной и неотложной форме</w:t>
      </w:r>
    </w:p>
    <w:p w:rsidR="00547FE3" w:rsidRDefault="005F4898">
      <w:pPr>
        <w:spacing w:after="0" w:line="357" w:lineRule="auto"/>
        <w:ind w:left="-13" w:firstLine="567"/>
        <w:jc w:val="left"/>
      </w:pPr>
      <w:r>
        <w:rPr>
          <w:b/>
        </w:rPr>
        <w:t>Показаниями для госпитализации в медицинскую организацию в плановой форме являются:</w:t>
      </w:r>
    </w:p>
    <w:p w:rsidR="00547FE3" w:rsidRDefault="005F4898">
      <w:pPr>
        <w:numPr>
          <w:ilvl w:val="0"/>
          <w:numId w:val="14"/>
        </w:numPr>
        <w:ind w:right="148" w:firstLine="567"/>
      </w:pPr>
      <w:r>
        <w:t>необходимость выполнения сложн</w:t>
      </w:r>
      <w:r>
        <w:t>ых интервенционных диагностических медицинских вмешательств, а также проведение эндоскопических исследований при невозможности выполнить их амбулаторно, требуют последующего наблюдения в условиях круглосуточного или дневного стационара;</w:t>
      </w:r>
    </w:p>
    <w:p w:rsidR="00547FE3" w:rsidRDefault="005F4898">
      <w:pPr>
        <w:numPr>
          <w:ilvl w:val="0"/>
          <w:numId w:val="14"/>
        </w:numPr>
        <w:ind w:right="148" w:firstLine="567"/>
      </w:pPr>
      <w:r>
        <w:t>наличие показаний к</w:t>
      </w:r>
      <w:r>
        <w:t xml:space="preserve"> специализированному противоопухолевому лечению (хирургическое вмешательство, ЛТ, в том числе контактная, ДЛТ и другие виды ЛТ, лекарственная терапия и др.), требующему наблюдения в условиях круглосуточного или дневного стационара.</w:t>
      </w:r>
    </w:p>
    <w:p w:rsidR="00547FE3" w:rsidRDefault="005F4898">
      <w:pPr>
        <w:spacing w:after="114" w:line="259" w:lineRule="auto"/>
        <w:ind w:left="0" w:right="148" w:firstLine="0"/>
        <w:jc w:val="center"/>
      </w:pPr>
      <w:r>
        <w:rPr>
          <w:b/>
        </w:rPr>
        <w:t>Показаниями к выписке па</w:t>
      </w:r>
      <w:r>
        <w:rPr>
          <w:b/>
        </w:rPr>
        <w:t>циента из медицинской организации являются:</w:t>
      </w:r>
    </w:p>
    <w:p w:rsidR="00547FE3" w:rsidRDefault="005F4898">
      <w:pPr>
        <w:numPr>
          <w:ilvl w:val="0"/>
          <w:numId w:val="15"/>
        </w:numPr>
        <w:ind w:right="148" w:firstLine="567"/>
      </w:pPr>
      <w:r>
        <w:t xml:space="preserve">завершение курса лечения или одного из этапов оказания специализированной, в том числе высокотехнологичной, медицинской помощи в условиях круглосуточного или дневного стационара при условии отсутствия осложнений </w:t>
      </w:r>
      <w:r>
        <w:t>лечения, требующих медикаментозной коррекции и/или медицинских вмешательств в стационарных условиях;</w:t>
      </w:r>
    </w:p>
    <w:p w:rsidR="00547FE3" w:rsidRDefault="005F4898">
      <w:pPr>
        <w:numPr>
          <w:ilvl w:val="0"/>
          <w:numId w:val="15"/>
        </w:numPr>
        <w:ind w:right="148" w:firstLine="567"/>
      </w:pPr>
      <w:r>
        <w:t>отказ пациента или его законного представителя от специализированной, в том числе высокотехнологичной, медицинской помощи в условиях круглосуточного или дн</w:t>
      </w:r>
      <w:r>
        <w:t>евного стационара, установленной консилиумом медицинской организации, оказывающей онкологическую помощь</w:t>
      </w:r>
    </w:p>
    <w:p w:rsidR="00547FE3" w:rsidRDefault="005F4898">
      <w:pPr>
        <w:numPr>
          <w:ilvl w:val="0"/>
          <w:numId w:val="15"/>
        </w:numPr>
        <w:ind w:right="148" w:firstLine="567"/>
      </w:pPr>
      <w:r>
        <w:t>в случаях несоблюдения пациентом предписаний или правил внутреннего распорядка медицинской организации, если это не угрожает жизни пациента и здоровью о</w:t>
      </w:r>
      <w:r>
        <w:t>кружающих;</w:t>
      </w:r>
    </w:p>
    <w:p w:rsidR="00547FE3" w:rsidRDefault="005F4898">
      <w:pPr>
        <w:numPr>
          <w:ilvl w:val="0"/>
          <w:numId w:val="15"/>
        </w:numPr>
        <w:ind w:right="148" w:firstLine="567"/>
      </w:pPr>
      <w:r>
        <w:t>необходимость перевода пациента в другую медицинскую организацию по соответствующему профилю оказания медицинской помощи.</w:t>
      </w:r>
    </w:p>
    <w:p w:rsidR="00547FE3" w:rsidRDefault="005F4898">
      <w:pPr>
        <w:ind w:left="-13" w:right="148" w:firstLine="567"/>
      </w:pPr>
      <w:r>
        <w:t>Заключение о целесообразности перевода пациента в профильную медицинскую организацию осуществляется после предварительной к</w:t>
      </w:r>
      <w:r>
        <w:t>онсультации по предоставленным медицинским документам и/или предварительного осмотра пациента врачамиспециалистами медицинской организации, в которую планируется перевод.</w:t>
      </w:r>
    </w:p>
    <w:p w:rsidR="00547FE3" w:rsidRDefault="005F4898">
      <w:pPr>
        <w:pStyle w:val="Heading1"/>
        <w:spacing w:line="259" w:lineRule="auto"/>
        <w:ind w:right="150"/>
      </w:pPr>
      <w:r>
        <w:t>Критерии оценки качества медицинской помощи</w:t>
      </w:r>
    </w:p>
    <w:p w:rsidR="00547FE3" w:rsidRDefault="005F4898">
      <w:pPr>
        <w:spacing w:after="0" w:line="265" w:lineRule="auto"/>
        <w:ind w:left="-3"/>
        <w:jc w:val="left"/>
      </w:pPr>
      <w:r>
        <w:rPr>
          <w:b/>
        </w:rPr>
        <w:t>Критерии оценки качества медицинской помощи взрослым пациенткам с диагнозом трофобластическая болезнь (код по МКБ: С 58)</w:t>
      </w:r>
    </w:p>
    <w:tbl>
      <w:tblPr>
        <w:tblStyle w:val="TableGrid"/>
        <w:tblW w:w="9228" w:type="dxa"/>
        <w:tblInd w:w="5" w:type="dxa"/>
        <w:tblCellMar>
          <w:top w:w="14" w:type="dxa"/>
          <w:left w:w="110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932"/>
        <w:gridCol w:w="6718"/>
        <w:gridCol w:w="1578"/>
      </w:tblGrid>
      <w:tr w:rsidR="00547FE3">
        <w:trPr>
          <w:trHeight w:val="562"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238" w:firstLine="0"/>
              <w:jc w:val="left"/>
            </w:pPr>
            <w:r>
              <w:rPr>
                <w:b/>
              </w:rPr>
              <w:t>№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</w:rPr>
              <w:t>Критерии качества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Оценка выполнения</w:t>
            </w:r>
          </w:p>
        </w:tc>
      </w:tr>
      <w:tr w:rsidR="00547FE3">
        <w:trPr>
          <w:trHeight w:val="562"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1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</w:pPr>
            <w:r>
              <w:t xml:space="preserve">  Выполнено патолого-анатомическое исследование материала после эвакуации пузырного заноса.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Да/нет</w:t>
            </w:r>
          </w:p>
        </w:tc>
      </w:tr>
      <w:tr w:rsidR="00547FE3">
        <w:trPr>
          <w:trHeight w:val="1114"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2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38" w:lineRule="auto"/>
              <w:ind w:left="0" w:right="65" w:firstLine="0"/>
            </w:pPr>
            <w:r>
              <w:t xml:space="preserve">   Выполнено ультразвуковое исследование (УЗИ) органов брюшной полости (комплексное) и забрюшинного пространства, органов малого таза комплексное 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(трансвагинальное и трансабдоминальное)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Да/нет</w:t>
            </w:r>
          </w:p>
        </w:tc>
      </w:tr>
      <w:tr w:rsidR="00547FE3">
        <w:trPr>
          <w:trHeight w:val="562"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3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</w:pPr>
            <w:r>
              <w:rPr>
                <w:strike/>
              </w:rPr>
              <w:t>о</w:t>
            </w:r>
            <w:r>
              <w:t xml:space="preserve"> Выполнена компьютерная томография органов грудной полости с внутривенным болюсным контрастированием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Да/нет</w:t>
            </w:r>
          </w:p>
        </w:tc>
      </w:tr>
      <w:tr w:rsidR="00547FE3">
        <w:trPr>
          <w:trHeight w:val="838"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4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9" w:firstLine="0"/>
            </w:pPr>
            <w:r>
              <w:t>Произведена оценка группы риска резистентности по шкале FIGO при установлении диагноза и выбора химиотерапии 1-й линии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Да/нет</w:t>
            </w:r>
          </w:p>
        </w:tc>
      </w:tr>
      <w:tr w:rsidR="00547FE3">
        <w:trPr>
          <w:trHeight w:val="562"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5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</w:pPr>
            <w:r>
              <w:t>Проведена химиотерапия 1-й линии в соответствии с группой риска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Да/нет</w:t>
            </w:r>
          </w:p>
        </w:tc>
      </w:tr>
      <w:tr w:rsidR="00547FE3">
        <w:trPr>
          <w:trHeight w:val="562"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6</w:t>
            </w:r>
          </w:p>
        </w:tc>
        <w:tc>
          <w:tcPr>
            <w:tcW w:w="6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</w:pPr>
            <w:r>
              <w:t>Выполнено мониторирование эффективности лечения по уровню хорионического гонадотропина в крови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1" w:firstLine="0"/>
              <w:jc w:val="center"/>
            </w:pPr>
            <w:r>
              <w:t>Да/нет</w:t>
            </w:r>
          </w:p>
        </w:tc>
      </w:tr>
    </w:tbl>
    <w:p w:rsidR="00547FE3" w:rsidRDefault="005F4898">
      <w:pPr>
        <w:pStyle w:val="Heading1"/>
        <w:spacing w:after="322" w:line="265" w:lineRule="auto"/>
        <w:ind w:left="721" w:right="0"/>
        <w:jc w:val="left"/>
      </w:pPr>
      <w:r>
        <w:t>Список литературы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 xml:space="preserve">Steigrad SJ. Epidemiology of gestational trophoblastic diseases. </w:t>
      </w:r>
      <w:r>
        <w:rPr>
          <w:i/>
        </w:rPr>
        <w:t xml:space="preserve">Best Pract Res Clin </w:t>
      </w:r>
    </w:p>
    <w:p w:rsidR="00547FE3" w:rsidRDefault="005F4898">
      <w:pPr>
        <w:spacing w:after="114" w:line="259" w:lineRule="auto"/>
        <w:ind w:left="752" w:right="148"/>
      </w:pPr>
      <w:r>
        <w:rPr>
          <w:i/>
        </w:rPr>
        <w:t>Obstet Gynaecol</w:t>
      </w:r>
      <w:r>
        <w:t>. 2003;17(6):837-847. doi:10.1016/S1521-6934(03)00049-X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Lurain JR. Gestational trophoblastic disease I: epidemiology, pathology, clinical </w:t>
      </w:r>
      <w:r>
        <w:t xml:space="preserve">presentation and diagnosis of gestational trophoblastic disease, and management of hydatidiform mole. </w:t>
      </w:r>
      <w:r>
        <w:rPr>
          <w:i/>
        </w:rPr>
        <w:t>Am J Obstet Gynecol</w:t>
      </w:r>
      <w:r>
        <w:t>. 2010;203(6):531-539. doi:10.1016/j.ajog.2010.06.073</w:t>
      </w:r>
    </w:p>
    <w:p w:rsidR="00547FE3" w:rsidRDefault="005F4898">
      <w:pPr>
        <w:numPr>
          <w:ilvl w:val="0"/>
          <w:numId w:val="16"/>
        </w:numPr>
        <w:spacing w:after="1" w:line="359" w:lineRule="auto"/>
        <w:ind w:right="148" w:hanging="584"/>
      </w:pPr>
      <w:r>
        <w:t xml:space="preserve">Joneborg U, Coopmans L, Van Trommel N, Seckl M, Lok CAR. Fertility and pregnancy </w:t>
      </w:r>
      <w:r>
        <w:t xml:space="preserve">outcome in gestational trophoblastic disease. </w:t>
      </w:r>
      <w:r>
        <w:rPr>
          <w:i/>
        </w:rPr>
        <w:t>Int J Gynecol Cancer</w:t>
      </w:r>
      <w:r>
        <w:t>. 2021;31(3):399-411. doi:10.1136/ijgc-2020-001784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Bafna UD. Fertility Preservation in Gestational Trophoblastic Neoplasia (GTN). In: Nayak B, Singh U, eds. </w:t>
      </w:r>
      <w:r>
        <w:rPr>
          <w:i/>
        </w:rPr>
        <w:t>Gestational Trophoblastic Disease</w:t>
      </w:r>
      <w:r>
        <w:t>. Springer Singapore; 2021:141-145. doi:10.1007/978-981-33-4878-3_16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Brown J, Naumann RW, Seckl MJ, Schink J. 15years of progress in gestational trophoblastic disease: Scoring, standardization, and salvage. </w:t>
      </w:r>
      <w:r>
        <w:rPr>
          <w:i/>
        </w:rPr>
        <w:t>Gynecol Oncol</w:t>
      </w:r>
      <w:r>
        <w:t xml:space="preserve">. </w:t>
      </w:r>
    </w:p>
    <w:p w:rsidR="00547FE3" w:rsidRDefault="005F4898">
      <w:pPr>
        <w:spacing w:after="114" w:line="259" w:lineRule="auto"/>
        <w:ind w:left="752" w:right="148"/>
      </w:pPr>
      <w:r>
        <w:t>2017;144(1):200-207. doi:10.1016/</w:t>
      </w:r>
      <w:r>
        <w:t>j.ygyno.2016.08.330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Tranoulis A, Georgiou D, Sayasneh A, Tidy J. Gestational trophoblastic neoplasia: a metaanalysis evaluating reproductive and obstetrical outcomes after administration of chemotherapy. </w:t>
      </w:r>
      <w:r>
        <w:rPr>
          <w:i/>
        </w:rPr>
        <w:t>Int J Gynecol Cancer</w:t>
      </w:r>
      <w:r>
        <w:t>. 2019;29(6):1021-1031. doi:10.1</w:t>
      </w:r>
      <w:r>
        <w:t>136/ijgc-2019000604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Goto S, Yamada A, Ishizuka T, Tomoda Y. Development of Postmolar Trophoblastic Disease after Partial Molar Pregnancy. </w:t>
      </w:r>
      <w:r>
        <w:rPr>
          <w:i/>
        </w:rPr>
        <w:t>Gynecol Oncol</w:t>
      </w:r>
      <w:r>
        <w:t>. 1993;48(2):165-170. doi:10.1006/gyno.1993.1028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Wiesma S, Kerkmeijer L, Bekkers R, Pyman J, Tan J, Quinn</w:t>
      </w:r>
      <w:r>
        <w:t xml:space="preserve"> M. Persistent trophoblast disease following partial molar pregnancy. </w:t>
      </w:r>
      <w:r>
        <w:rPr>
          <w:i/>
        </w:rPr>
        <w:t>Aust N Z J Obstet Gynaecol</w:t>
      </w:r>
      <w:r>
        <w:t>. 2006;46(2):119123. doi:10.1111/j.1479-828X.2006.00539.x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Thapa B, Maharjan M, Tuladhar H. Persistent gestational trophoblastic disease following ovarian molar </w:t>
      </w:r>
      <w:r>
        <w:t xml:space="preserve">pregnancy: A case report of a rare entity with review of the literature. </w:t>
      </w:r>
      <w:r>
        <w:rPr>
          <w:i/>
        </w:rPr>
        <w:t>Clin Case Rep</w:t>
      </w:r>
      <w:r>
        <w:t>. 2021;9(9):e04738. doi:10.1002/ccr3.4738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Hoffner L, Surti U. The genetics of gestational trophoblastic disease: a rare complication of pregnancy. </w:t>
      </w:r>
      <w:r>
        <w:rPr>
          <w:i/>
        </w:rPr>
        <w:t>Cancer Genet</w:t>
      </w:r>
      <w:r>
        <w:t>. 2012;205(</w:t>
      </w:r>
      <w:r>
        <w:t>3):63-77. doi:10.1016/j.cancergen.2012.01.004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Shih IM. Gestational trophoblastic neoplasia—pathogenesis and potential therapeutic targets. </w:t>
      </w:r>
      <w:r>
        <w:rPr>
          <w:i/>
        </w:rPr>
        <w:t>Lancet Oncol</w:t>
      </w:r>
      <w:r>
        <w:t>. 2007;8(7):642-650. doi:10.1016/S1470-2045(07)70204-8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>Rath A, Sethi P, Jena SK, Mitra S. Familial recurr</w:t>
      </w:r>
      <w:r>
        <w:t xml:space="preserve">ent molar pregnancy: positive for </w:t>
      </w:r>
    </w:p>
    <w:p w:rsidR="00547FE3" w:rsidRDefault="005F4898">
      <w:pPr>
        <w:spacing w:after="117" w:line="259" w:lineRule="auto"/>
        <w:ind w:left="601"/>
        <w:jc w:val="center"/>
      </w:pPr>
      <w:r>
        <w:t xml:space="preserve">KHDC3L gene mutation. </w:t>
      </w:r>
      <w:r>
        <w:rPr>
          <w:i/>
        </w:rPr>
        <w:t>BMJ Case Rep</w:t>
      </w:r>
      <w:r>
        <w:t>. 2023;16(11):e254435. doi:10.1136/bcr-2022-</w:t>
      </w:r>
    </w:p>
    <w:p w:rsidR="00547FE3" w:rsidRDefault="005F4898">
      <w:pPr>
        <w:spacing w:line="259" w:lineRule="auto"/>
        <w:ind w:left="752" w:right="148"/>
      </w:pPr>
      <w:r>
        <w:t>254435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Kopelman ZA, Hope ER. High-Risk Gestational Trophoblastic Neoplasia from a Homozygous NLRP7 Mutation. </w:t>
      </w:r>
      <w:r>
        <w:rPr>
          <w:i/>
        </w:rPr>
        <w:t>Gynecol Oncol Rep</w:t>
      </w:r>
      <w:r>
        <w:t>. 2021;37:100803</w:t>
      </w:r>
      <w:r>
        <w:t>. doi:10.1016/j.gore.2021.100803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Bagga R, Katoch T, Srinivasan R, et al. Is gestational trophoblastic neoplasia more common among women with recurrent hydatidiform moles and biallelic NLRP7 mutations? a 17-years prospective study from India. </w:t>
      </w:r>
      <w:r>
        <w:rPr>
          <w:i/>
        </w:rPr>
        <w:t>Eur J Obstet G</w:t>
      </w:r>
      <w:r>
        <w:rPr>
          <w:i/>
        </w:rPr>
        <w:t>ynecol Reprod Biol</w:t>
      </w:r>
      <w:r>
        <w:t xml:space="preserve">. </w:t>
      </w:r>
    </w:p>
    <w:p w:rsidR="00547FE3" w:rsidRDefault="005F4898">
      <w:pPr>
        <w:spacing w:after="114" w:line="259" w:lineRule="auto"/>
        <w:ind w:left="752" w:right="148"/>
      </w:pPr>
      <w:r>
        <w:t>2025;311:114022. doi:10.1016/j.ejogrb.2025.114022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 xml:space="preserve">Fisher RA, Maher GJ. Genetics of gestational trophoblastic disease. </w:t>
      </w:r>
      <w:r>
        <w:rPr>
          <w:i/>
        </w:rPr>
        <w:t xml:space="preserve">Best Pract Res Clin </w:t>
      </w:r>
    </w:p>
    <w:p w:rsidR="00547FE3" w:rsidRDefault="005F4898">
      <w:pPr>
        <w:spacing w:after="114" w:line="259" w:lineRule="auto"/>
        <w:ind w:left="752" w:right="148"/>
      </w:pPr>
      <w:r>
        <w:rPr>
          <w:i/>
        </w:rPr>
        <w:t>Obstet Gynaecol</w:t>
      </w:r>
      <w:r>
        <w:t>. 2021;74:29-41. doi:10.1016/j.bpobgyn.2021.01.004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Paradinas FJ. The diagnosis and prognosis of molar pregnancy: The experience of the National Referral Centre in London. </w:t>
      </w:r>
      <w:r>
        <w:rPr>
          <w:i/>
        </w:rPr>
        <w:t>Int J Gynecol Obstet</w:t>
      </w:r>
      <w:r>
        <w:t>. 1998;60(S1). doi:10.1016/S0020-7292(98)80006-4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Ульрих Е.А., Румянцев А.А., Телетаева Г.М., Хохлова С.В., Урманчеев</w:t>
      </w:r>
      <w:r>
        <w:t xml:space="preserve">а А.Ф., Тюляндина А.С.. Злокачественные трофобластические опухоли. </w:t>
      </w:r>
      <w:r>
        <w:rPr>
          <w:i/>
        </w:rPr>
        <w:t>Malig Tumours</w:t>
      </w:r>
      <w:r>
        <w:t xml:space="preserve">. </w:t>
      </w:r>
    </w:p>
    <w:p w:rsidR="00547FE3" w:rsidRDefault="005F4898">
      <w:pPr>
        <w:spacing w:after="114" w:line="259" w:lineRule="auto"/>
        <w:ind w:left="752" w:right="148"/>
      </w:pPr>
      <w:r>
        <w:t>2024;14(3s2-2):189-206. doi:10.18027/2224-5057-2024-14-3s2-1.2-07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 xml:space="preserve">Ulrikh E, Dikareva E, Govorov I, et al. Gestational Trophoblastic Disease with Coexisting </w:t>
      </w:r>
    </w:p>
    <w:p w:rsidR="00547FE3" w:rsidRDefault="005F4898">
      <w:pPr>
        <w:ind w:left="752" w:right="148"/>
      </w:pPr>
      <w:r>
        <w:t>Progressing Preg</w:t>
      </w:r>
      <w:r>
        <w:t xml:space="preserve">nancy: Personalised Treatment Modalities. Ramalingam K, ed. </w:t>
      </w:r>
      <w:r>
        <w:rPr>
          <w:i/>
        </w:rPr>
        <w:t>Int J Clin Pract</w:t>
      </w:r>
      <w:r>
        <w:t>. 2023;2023:1-8. doi:10.1155/2023/5502317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Hemida R, Khashaba E, Zalata K. Molar pregnancy with a coexisting living fetus: a case series. </w:t>
      </w:r>
      <w:r>
        <w:rPr>
          <w:i/>
        </w:rPr>
        <w:t>BMC Pregnancy Childbirth</w:t>
      </w:r>
      <w:r>
        <w:t>. 2022;22(1):681. d</w:t>
      </w:r>
      <w:r>
        <w:t>oi:10.1186/s12884-022-05004-3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 xml:space="preserve">Joneborg U. Epidemiology of Gestational Trophoblastic Disease. </w:t>
      </w:r>
      <w:r>
        <w:rPr>
          <w:i/>
        </w:rPr>
        <w:t xml:space="preserve">Hematol Oncol Clin </w:t>
      </w:r>
    </w:p>
    <w:p w:rsidR="00547FE3" w:rsidRDefault="005F4898">
      <w:pPr>
        <w:spacing w:after="114" w:line="259" w:lineRule="auto"/>
        <w:ind w:left="752" w:right="148"/>
      </w:pPr>
      <w:r>
        <w:rPr>
          <w:i/>
        </w:rPr>
        <w:t>North Am</w:t>
      </w:r>
      <w:r>
        <w:t>. 2024;38(6):1173-1190. doi:10.1016/j.hoc.2024.07.003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 xml:space="preserve">Organisation mondiale de la santé, Centre international de recherche sur le cancer, eds. </w:t>
      </w:r>
    </w:p>
    <w:p w:rsidR="00547FE3" w:rsidRDefault="005F4898">
      <w:pPr>
        <w:spacing w:after="114" w:line="259" w:lineRule="auto"/>
        <w:ind w:left="752" w:right="148"/>
      </w:pPr>
      <w:r>
        <w:rPr>
          <w:i/>
        </w:rPr>
        <w:t>Female Genital Tumours</w:t>
      </w:r>
      <w:r>
        <w:t>. 5th ed. International agency for research on cancer; 2020.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FIGO Oncology Committee. FIGO staging for gestational trophoblastic neoplasia 2000:</w:t>
      </w:r>
      <w:r>
        <w:t xml:space="preserve"> FIGO Oncology Committee. </w:t>
      </w:r>
      <w:r>
        <w:rPr>
          <w:i/>
        </w:rPr>
        <w:t>Int J Gynecol Obstet</w:t>
      </w:r>
      <w:r>
        <w:t>. 2002;77(3):285-287. doi:10.1016/S0020-7292(02)00063-2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Seckl MJ, Sebire NJ, Fisher RA, Golfier F, Massuger L, Sessa C. Gestational trophoblastic disease: ESMO Clinical Practice Guidelines for diagnosis, treatm</w:t>
      </w:r>
      <w:r>
        <w:t xml:space="preserve">ent and follow-up. </w:t>
      </w:r>
      <w:r>
        <w:rPr>
          <w:i/>
        </w:rPr>
        <w:t xml:space="preserve">Ann </w:t>
      </w:r>
    </w:p>
    <w:p w:rsidR="00547FE3" w:rsidRDefault="005F4898">
      <w:pPr>
        <w:spacing w:after="114" w:line="259" w:lineRule="auto"/>
        <w:ind w:left="752" w:right="148"/>
      </w:pPr>
      <w:r>
        <w:rPr>
          <w:i/>
        </w:rPr>
        <w:t>Oncol</w:t>
      </w:r>
      <w:r>
        <w:t>. 2013;24:vi39-vi50. doi:10.1093/annonc/mdt345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Mangla M, Palo S, Kanikaram P, Kaur H. Non-gestational choriocarcinoma: unraveling the similarities and distinctions from its gestational counterpart. </w:t>
      </w:r>
      <w:r>
        <w:rPr>
          <w:i/>
        </w:rPr>
        <w:t>Int J Gynecol Cancer</w:t>
      </w:r>
      <w:r>
        <w:t>. 2024;34</w:t>
      </w:r>
      <w:r>
        <w:t>(6):926-934. doi:10.1136/ijgc-2023-004906</w:t>
      </w:r>
    </w:p>
    <w:p w:rsidR="00547FE3" w:rsidRDefault="005F4898">
      <w:pPr>
        <w:numPr>
          <w:ilvl w:val="0"/>
          <w:numId w:val="16"/>
        </w:numPr>
        <w:spacing w:after="3" w:line="351" w:lineRule="auto"/>
        <w:ind w:right="148" w:hanging="584"/>
      </w:pPr>
      <w:r>
        <w:t xml:space="preserve">Тихоновская М.Н. </w:t>
      </w:r>
      <w:r>
        <w:rPr>
          <w:i/>
        </w:rPr>
        <w:t>Персистирующие Трофобластические Опухоли: Диагностика и Лечение</w:t>
      </w:r>
      <w:r>
        <w:t>. дис. канд. мед. наук. 2015.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Тихоновская М.Н., Быстрицкая Д.А., Кузнецов В.В., Мещерякова Л.А.. Персистирующие трофобластические опух</w:t>
      </w:r>
      <w:r>
        <w:t xml:space="preserve">оли. </w:t>
      </w:r>
      <w:r>
        <w:rPr>
          <w:i/>
        </w:rPr>
        <w:t>Опухоли женской репродуктивной системы</w:t>
      </w:r>
      <w:r>
        <w:t>. 2013;1-2:52-59. doi:10.17650/1994-4098-2013-0-1-2-52-59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Seckl MJ, Sebire NJ, Berkowitz RS. Gestational trophoblastic disease. </w:t>
      </w:r>
      <w:r>
        <w:rPr>
          <w:i/>
        </w:rPr>
        <w:t>The Lancet</w:t>
      </w:r>
      <w:r>
        <w:t>. 2010;376(9742):717-729. doi:10.1016/S0140-6736(10)60280-2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NCCN Clinical P</w:t>
      </w:r>
      <w:r>
        <w:t xml:space="preserve">ractice Guidelines in Oncology (NCCN Guidelines). Gestational Trophoblastic Neoplasia. Version 2.2025. Accessed May 14, 2025. </w:t>
      </w:r>
    </w:p>
    <w:p w:rsidR="00547FE3" w:rsidRDefault="005F4898">
      <w:pPr>
        <w:spacing w:after="114" w:line="259" w:lineRule="auto"/>
        <w:ind w:left="752" w:right="148"/>
      </w:pPr>
      <w:r>
        <w:t>https://www.nccn.org/professionals/physician_gls/pdf/gtn.pdf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Li J, Wang Y, Lu B, Lu W, Xie X, Shen Y. Gestational trophoblastic n</w:t>
      </w:r>
      <w:r>
        <w:t>eoplasia with extrauterine metastasis but lacked uterine primary lesions: a single center experience and literature review. BMC Cancer. 2022;22(1):509. doi:10.1186/s12885-022-09620-2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>Borella F, Cosma S, Ferraioli D, et al. From Uterus to Brain: An Update o</w:t>
      </w:r>
      <w:r>
        <w:t xml:space="preserve">n Epidemiology, </w:t>
      </w:r>
    </w:p>
    <w:p w:rsidR="00547FE3" w:rsidRDefault="005F4898">
      <w:pPr>
        <w:spacing w:after="114" w:line="259" w:lineRule="auto"/>
        <w:ind w:left="752" w:right="148"/>
      </w:pPr>
      <w:r>
        <w:t xml:space="preserve">Clinical Features, and Treatment of Brain Metastases From Gestational Trophoblastic </w:t>
      </w:r>
    </w:p>
    <w:p w:rsidR="00547FE3" w:rsidRDefault="005F4898">
      <w:pPr>
        <w:spacing w:after="114" w:line="259" w:lineRule="auto"/>
        <w:ind w:left="752" w:right="148"/>
      </w:pPr>
      <w:r>
        <w:t xml:space="preserve">Neoplasia. </w:t>
      </w:r>
      <w:r>
        <w:rPr>
          <w:i/>
        </w:rPr>
        <w:t>Front Oncol</w:t>
      </w:r>
      <w:r>
        <w:t>. 2022;12:859071. doi:10.3389/fonc.2022.859071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Lok C, Van Trommel N, Braicu EI, et al. Practical Guidelines for the Treatment of </w:t>
      </w:r>
      <w:r>
        <w:t xml:space="preserve">Gestational Trophoblastic Disease: Collaboration of the European Organisation for the </w:t>
      </w:r>
    </w:p>
    <w:p w:rsidR="00547FE3" w:rsidRDefault="005F4898">
      <w:pPr>
        <w:ind w:left="752" w:right="148"/>
      </w:pPr>
      <w:r>
        <w:t>Treatment of Trophoblastic Disease (EOTTD)–European Society of Gynaecologic Oncology (ESGO)–Gynecologic Cancer InterGroup (GCIG)–International Society for the Study of T</w:t>
      </w:r>
      <w:r>
        <w:t xml:space="preserve">rophoblastic Diseases (ISSTD). J Clin Oncol. Published online May 13, </w:t>
      </w:r>
    </w:p>
    <w:p w:rsidR="00547FE3" w:rsidRDefault="005F4898">
      <w:pPr>
        <w:spacing w:after="114" w:line="259" w:lineRule="auto"/>
        <w:ind w:left="752" w:right="148"/>
      </w:pPr>
      <w:r>
        <w:t>2025:JCO-24-02326. doi:10.1200/JCO-24-02326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Mapelli P, Mangili G, Picchio M, et al. Role of 18F-FDG PET in the management of gestational trophoblastic neoplasia. </w:t>
      </w:r>
      <w:r>
        <w:rPr>
          <w:i/>
        </w:rPr>
        <w:t>Eur J Nucl Med Mol Imag</w:t>
      </w:r>
      <w:r>
        <w:rPr>
          <w:i/>
        </w:rPr>
        <w:t>ing</w:t>
      </w:r>
      <w:r>
        <w:t>. 2013;40(4):505-513. doi:10.1007/s00259-012-2324-4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Bezzi C, Monaco L, Ghezzo S, et al. 18F-FDG PET/CT May Predict Tumor Type and Risk Score in Gestational Trophoblastic Disease. </w:t>
      </w:r>
      <w:r>
        <w:rPr>
          <w:i/>
        </w:rPr>
        <w:t>Clin Nucl Med</w:t>
      </w:r>
      <w:r>
        <w:t>. 2022;47(6):525-531. doi:10.1097/RLU.0000000000004135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Dudiak</w:t>
      </w:r>
      <w:r>
        <w:t xml:space="preserve"> KM, Maturen KE, Akin EA, et al. ACR Appropriateness Criteria® Gestational Trophoblastic Disease. </w:t>
      </w:r>
      <w:r>
        <w:rPr>
          <w:i/>
        </w:rPr>
        <w:t>J Am Coll Radiol</w:t>
      </w:r>
      <w:r>
        <w:t>. 2019;16(11):S348-S363. doi:10.1016/j.jacr.2019.05.015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Cavaliere A, Ermito S, Dinatale A, Pedata R. Management of molar pregnancy. </w:t>
      </w:r>
      <w:r>
        <w:rPr>
          <w:i/>
        </w:rPr>
        <w:t>J Prenat M</w:t>
      </w:r>
      <w:r>
        <w:rPr>
          <w:i/>
        </w:rPr>
        <w:t>ed</w:t>
      </w:r>
      <w:r>
        <w:t>. 2009;3(1):15-17.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Eysbouts Y, Brouwer R, Ottevanger P, et al. Serum Human Chorionic Gonadotropin Normogram for the Detection of Gestational Trophoblastic Neoplasia. </w:t>
      </w:r>
      <w:r>
        <w:rPr>
          <w:i/>
        </w:rPr>
        <w:t xml:space="preserve">Int J Gynecol </w:t>
      </w:r>
    </w:p>
    <w:p w:rsidR="00547FE3" w:rsidRDefault="005F4898">
      <w:pPr>
        <w:spacing w:line="259" w:lineRule="auto"/>
        <w:ind w:left="752" w:right="148"/>
      </w:pPr>
      <w:r>
        <w:rPr>
          <w:i/>
        </w:rPr>
        <w:t>Cancer</w:t>
      </w:r>
      <w:r>
        <w:t>. 2017;27(5):1035-1041. doi:10.1097/IGC.0000000000000966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Mock P, Ch</w:t>
      </w:r>
      <w:r>
        <w:t xml:space="preserve">ardonnens D, Stamm P, Campana A, Bischof P. The apparent late half-life of human chorionic gonadotropin (hCG) after surgical treatment for ectopic pregnancy. </w:t>
      </w:r>
      <w:r>
        <w:rPr>
          <w:i/>
        </w:rPr>
        <w:t>Eur J Obstet Gynecol Reprod Biol</w:t>
      </w:r>
      <w:r>
        <w:t>. 1998;78(1):99-102. doi:10.1016/S0301-2115(98)00018-9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Schoeberl M</w:t>
      </w:r>
      <w:r>
        <w:t xml:space="preserve">R. A model for the behavior of β-hCG after evacuation of hydatidiform moles. </w:t>
      </w:r>
      <w:r>
        <w:rPr>
          <w:i/>
        </w:rPr>
        <w:t>Gynecol Oncol</w:t>
      </w:r>
      <w:r>
        <w:t>. 2007;105(3):776-779. doi:10.1016/j.ygyno.2007.02.021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 xml:space="preserve">Management of Gestational Trophoblastic Disease: Green‐top Guideline No. 38 – June </w:t>
      </w:r>
    </w:p>
    <w:p w:rsidR="00547FE3" w:rsidRDefault="005F4898">
      <w:pPr>
        <w:spacing w:after="114" w:line="259" w:lineRule="auto"/>
        <w:ind w:left="752" w:right="148"/>
      </w:pPr>
      <w:r>
        <w:t xml:space="preserve">2020. </w:t>
      </w:r>
      <w:r>
        <w:rPr>
          <w:i/>
        </w:rPr>
        <w:t>BJOG Int J Obstet Gyn</w:t>
      </w:r>
      <w:r>
        <w:rPr>
          <w:i/>
        </w:rPr>
        <w:t>aecol</w:t>
      </w:r>
      <w:r>
        <w:t>. 2021;128(3). doi:10.1111/1471-0528.16266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Zilberman Sharon N, Maymon R, Melcer Y, Jauniaux E. Obstetric outcomes of twin pregnancies presenting with a complete hydatidiform mole and coexistent normal fetus: a systematic review and meta‐analysis. </w:t>
      </w:r>
      <w:r>
        <w:rPr>
          <w:i/>
        </w:rPr>
        <w:t>BJOG</w:t>
      </w:r>
      <w:r>
        <w:rPr>
          <w:i/>
        </w:rPr>
        <w:t xml:space="preserve"> Int J Obstet Gynaecol</w:t>
      </w:r>
      <w:r>
        <w:t>. 2020;127(12):14501457. doi:10.1111/1471-0528.16283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Трякин А.А., Бесова Н.С., Волков Н.М., et al. Общие принципы противоопухолевой лекарственной терапии. </w:t>
      </w:r>
      <w:r>
        <w:rPr>
          <w:i/>
        </w:rPr>
        <w:t>Malig Tumours</w:t>
      </w:r>
      <w:r>
        <w:t>. 2024;14(3s2-1):33-46. doi:10.18027/22245057-2024-14-3s2-1.1-01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Lawrie TA, Alazzam M, Tidy J, Hancock BW, Osborne R. First-line chemotherapy in lowrisk gestational trophoblastic neoplasia. Cochrane Gynaecological, Neuro-oncology and Orphan Cancer Group, ed. </w:t>
      </w:r>
      <w:r>
        <w:rPr>
          <w:i/>
        </w:rPr>
        <w:t>Cochrane Database Syst Rev</w:t>
      </w:r>
      <w:r>
        <w:t>. 2016;2019(9). doi:10.1002/14651858</w:t>
      </w:r>
      <w:r>
        <w:t>.CD007102.pub4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Braga A, Paiva G, Ghorani E, et al. Predictors for single-agent resistance in FIGO score 5 or 6 gestational trophoblastic neoplasia: a multicentre, retrospective, cohort study. </w:t>
      </w:r>
      <w:r>
        <w:rPr>
          <w:i/>
        </w:rPr>
        <w:t xml:space="preserve">Lancet </w:t>
      </w:r>
    </w:p>
    <w:p w:rsidR="00547FE3" w:rsidRDefault="005F4898">
      <w:pPr>
        <w:spacing w:after="114" w:line="259" w:lineRule="auto"/>
        <w:ind w:left="752" w:right="148"/>
      </w:pPr>
      <w:r>
        <w:rPr>
          <w:i/>
        </w:rPr>
        <w:t>Oncol</w:t>
      </w:r>
      <w:r>
        <w:t>. 2021;22(8):1188-1198. doi:10.1016/S1470-2045(21)0</w:t>
      </w:r>
      <w:r>
        <w:t>0262-X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Elias KM, Berkowitz RS, Horowitz NS. Ultra High-risk Gestational Trophoblastic Neoplasia. </w:t>
      </w:r>
      <w:r>
        <w:rPr>
          <w:i/>
        </w:rPr>
        <w:t>Hematol Oncol Clin North Am</w:t>
      </w:r>
      <w:r>
        <w:t>. 2024;38(6):1259-1264. doi:10.1016/j.hoc.2024.08.015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Lybol C, Thomas CMG, Blanken EA, et al. Comparing cisplatin-based combination </w:t>
      </w:r>
      <w:r>
        <w:t xml:space="preserve">chemotherapy with EMA/CO chemotherapy for the treatment of high risk gestational trophoblastic neoplasia. </w:t>
      </w:r>
      <w:r>
        <w:rPr>
          <w:i/>
        </w:rPr>
        <w:t>Eur J Cancer</w:t>
      </w:r>
      <w:r>
        <w:t>. 2013;49(4):860-867. doi:10.1016/j.ejca.2012.09.015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Patel SM, Arora R, Tiwari R, et al. Management of “Ultra-High Risk” Gestational Troph</w:t>
      </w:r>
      <w:r>
        <w:t xml:space="preserve">oblastic Neoplasia at a Tertiary Center in India. </w:t>
      </w:r>
      <w:r>
        <w:rPr>
          <w:i/>
        </w:rPr>
        <w:t>Indian J Med Paediatr Oncol</w:t>
      </w:r>
      <w:r>
        <w:t>. 2020;41(03):345-350. doi:10.4103/ijmpo.ijmpo_235_18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Tse KY, Chan KKL, Tam KF, Ngan HYS. 20-year experience of managing profuse bleeding in gestational trophoblastic disease. </w:t>
      </w:r>
      <w:r>
        <w:rPr>
          <w:i/>
        </w:rPr>
        <w:t>J R</w:t>
      </w:r>
      <w:r>
        <w:rPr>
          <w:i/>
        </w:rPr>
        <w:t>eprod Med</w:t>
      </w:r>
      <w:r>
        <w:t>. 2007;52(5):397-401.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Wang Z, Li X, Pan J, et al. Bleeding from gestational trophoblastic neoplasia: embolotherapy efficacy and tumour response to chemotherapy. </w:t>
      </w:r>
      <w:r>
        <w:rPr>
          <w:i/>
        </w:rPr>
        <w:t>Clin Radiol</w:t>
      </w:r>
      <w:r>
        <w:t>.</w:t>
      </w:r>
    </w:p>
    <w:p w:rsidR="00547FE3" w:rsidRDefault="005F4898">
      <w:pPr>
        <w:spacing w:after="114" w:line="259" w:lineRule="auto"/>
        <w:ind w:left="752" w:right="148"/>
      </w:pPr>
      <w:r>
        <w:t>2017;72(11):992.e7-992.e11. doi:10.1016/j.crad.2017.06.004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 xml:space="preserve">Alifrangis C, </w:t>
      </w:r>
      <w:r>
        <w:t>Agarwal R, Short D, et al. EMA/CO for High-Risk Gestational Trophoblastic</w:t>
      </w:r>
    </w:p>
    <w:p w:rsidR="00547FE3" w:rsidRDefault="005F4898">
      <w:pPr>
        <w:spacing w:after="114" w:line="259" w:lineRule="auto"/>
        <w:ind w:left="752" w:right="148"/>
      </w:pPr>
      <w:r>
        <w:t xml:space="preserve">Neoplasia: Good Outcomes With Induction Low-Dose Etoposide-Cisplatin and Genetic </w:t>
      </w:r>
    </w:p>
    <w:p w:rsidR="00547FE3" w:rsidRDefault="005F4898">
      <w:pPr>
        <w:spacing w:after="114" w:line="259" w:lineRule="auto"/>
        <w:ind w:left="752" w:right="148"/>
      </w:pPr>
      <w:r>
        <w:t xml:space="preserve">Analysis. </w:t>
      </w:r>
      <w:r>
        <w:rPr>
          <w:i/>
        </w:rPr>
        <w:t>J Clin Oncol</w:t>
      </w:r>
      <w:r>
        <w:t>. 2013;31(2):280-286. doi:10.1200/JCO.2012.43.1817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Chan Wah Hak C, Coyle C, Ko</w:t>
      </w:r>
      <w:r>
        <w:t xml:space="preserve">cache A, et al. Emergency Etoposide-Cisplatin (Em-EP) for patients with germ cell tumours (GCT) and trophoblastic neoplasia (TN). </w:t>
      </w:r>
      <w:r>
        <w:rPr>
          <w:i/>
        </w:rPr>
        <w:t>BMC Cancer</w:t>
      </w:r>
      <w:r>
        <w:t>. 2019;19(1):770. doi:10.1186/s12885-019-5968-7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Schink JC, Filiaci V, Huang HQ, et al. An international randomized p</w:t>
      </w:r>
      <w:r>
        <w:t xml:space="preserve">hase III trial of pulse actinomycin-D versus multi-day methotrexate for the treatment of low risk gestational trophoblastic neoplasia; NRG/GOG 275. </w:t>
      </w:r>
      <w:r>
        <w:rPr>
          <w:i/>
        </w:rPr>
        <w:t>Gynecol Oncol</w:t>
      </w:r>
      <w:r>
        <w:t>. 2020;158(2):354-360. doi:10.1016/j.ygyno.2020.05.013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Lurain JR, Singh DK, Schink JC. Primary </w:t>
      </w:r>
      <w:r>
        <w:t xml:space="preserve">treatment of metastatic high-risk gestational trophoblastic neoplasia with EMA-CO chemotherapy. </w:t>
      </w:r>
      <w:r>
        <w:rPr>
          <w:i/>
        </w:rPr>
        <w:t>J Reprod Med</w:t>
      </w:r>
      <w:r>
        <w:t>. 2006;51(10):767772.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Prouvot C, Golfier F, Massardier J, et al. Efficacy and Safety of Second-Line 5-Day Dactinomycin in Case of Methotrexate Failu</w:t>
      </w:r>
      <w:r>
        <w:t xml:space="preserve">re for Gestational Trophoblastic Neoplasia. </w:t>
      </w:r>
    </w:p>
    <w:p w:rsidR="00547FE3" w:rsidRDefault="005F4898">
      <w:pPr>
        <w:spacing w:after="114" w:line="259" w:lineRule="auto"/>
        <w:ind w:left="752" w:right="148"/>
      </w:pPr>
      <w:r>
        <w:rPr>
          <w:i/>
        </w:rPr>
        <w:t>Int J Gynecol Cancer</w:t>
      </w:r>
      <w:r>
        <w:t>. 2018;28(5):1038-1044. doi:10.1097/IGC.0000000000001248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Lurain JR, Chapman-Davis E, Hoekstra AV, Schink JC. Actinomycin D for methotrexatefailed low-risk gestational trophoblastic neoplasia.</w:t>
      </w:r>
      <w:r>
        <w:t xml:space="preserve"> </w:t>
      </w:r>
      <w:r>
        <w:rPr>
          <w:i/>
        </w:rPr>
        <w:t>J Reprod Med</w:t>
      </w:r>
      <w:r>
        <w:t>. 2012;57(7-8):283-287.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 xml:space="preserve">Osborne RJ, Filiaci V, Schink JC, et al. Phase III Trial of Weekly Methotrexate or Pulsed </w:t>
      </w:r>
    </w:p>
    <w:p w:rsidR="00547FE3" w:rsidRDefault="005F4898">
      <w:pPr>
        <w:spacing w:after="114" w:line="259" w:lineRule="auto"/>
        <w:ind w:left="752" w:right="148"/>
      </w:pPr>
      <w:r>
        <w:t xml:space="preserve">Dactinomycin for Low-Risk Gestational Trophoblastic Neoplasia: A Gynecologic </w:t>
      </w:r>
    </w:p>
    <w:p w:rsidR="00547FE3" w:rsidRDefault="005F4898">
      <w:pPr>
        <w:ind w:left="752" w:right="148"/>
      </w:pPr>
      <w:r>
        <w:t>Oncology</w:t>
      </w:r>
      <w:r>
        <w:tab/>
        <w:t xml:space="preserve"> </w:t>
      </w:r>
      <w:r>
        <w:tab/>
        <w:t>Group</w:t>
      </w:r>
      <w:r>
        <w:tab/>
        <w:t xml:space="preserve"> </w:t>
      </w:r>
      <w:r>
        <w:tab/>
        <w:t>Study.</w:t>
      </w:r>
      <w:r>
        <w:tab/>
        <w:t xml:space="preserve"> </w:t>
      </w:r>
      <w:r>
        <w:rPr>
          <w:i/>
        </w:rPr>
        <w:t>J</w:t>
      </w:r>
      <w:r>
        <w:rPr>
          <w:i/>
        </w:rPr>
        <w:tab/>
        <w:t xml:space="preserve"> </w:t>
      </w:r>
      <w:r>
        <w:rPr>
          <w:i/>
        </w:rPr>
        <w:tab/>
        <w:t>Clin</w:t>
      </w:r>
      <w:r>
        <w:rPr>
          <w:i/>
        </w:rPr>
        <w:tab/>
        <w:t xml:space="preserve"> </w:t>
      </w:r>
      <w:r>
        <w:rPr>
          <w:i/>
        </w:rPr>
        <w:tab/>
        <w:t>Oncol</w:t>
      </w:r>
      <w:r>
        <w:t>.</w:t>
      </w:r>
      <w:r>
        <w:tab/>
        <w:t xml:space="preserve"> </w:t>
      </w:r>
      <w:r>
        <w:tab/>
        <w:t>201</w:t>
      </w:r>
      <w:r>
        <w:t>1;29(7):825-831. doi:10.1200/JCO.2010.30.4386</w:t>
      </w:r>
    </w:p>
    <w:p w:rsidR="00547FE3" w:rsidRDefault="005F4898">
      <w:pPr>
        <w:numPr>
          <w:ilvl w:val="0"/>
          <w:numId w:val="16"/>
        </w:numPr>
        <w:spacing w:after="245"/>
        <w:ind w:right="148" w:hanging="584"/>
      </w:pPr>
      <w:r>
        <w:t xml:space="preserve">Lybol C, Sweep FCGJ, Harvey R, et al. Relapse rates after two versus three consolidation courses of methotrexate in the treatment of low-risk gestational trophoblastic neoplasia. </w:t>
      </w:r>
      <w:r>
        <w:rPr>
          <w:i/>
        </w:rPr>
        <w:t>Gynecol Oncol</w:t>
      </w:r>
      <w:r>
        <w:t>. 2012;125(3):576-</w:t>
      </w:r>
      <w:r>
        <w:t>579. doi:10.1016/j.ygyno.2012.03.003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Cioffi R, Fruscio R, Sabetta G, et al. Consolidation courses in low-risk gestational trophoblastic neoplasia and relapse rate: A MITO-9 retrospective study. </w:t>
      </w:r>
      <w:r>
        <w:rPr>
          <w:i/>
        </w:rPr>
        <w:t>Gynecol Oncol</w:t>
      </w:r>
      <w:r>
        <w:t xml:space="preserve">. </w:t>
      </w:r>
    </w:p>
    <w:p w:rsidR="00547FE3" w:rsidRDefault="005F4898">
      <w:pPr>
        <w:spacing w:after="114" w:line="259" w:lineRule="auto"/>
        <w:ind w:left="752" w:right="148"/>
      </w:pPr>
      <w:r>
        <w:t>2025;196:54-58. doi:10.1016/j.ygyno.2025.03.03</w:t>
      </w:r>
      <w:r>
        <w:t>3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Cortés-Charry R, Hennah L, Froeling FEM, et al. Increasing the human chorionic gonadotrophin cut-off to ≤1000 IU/l for starting actinomycin D in post-molar gestational trophoblastic neoplasia developing resistance to methotrexate spares more women multia</w:t>
      </w:r>
      <w:r>
        <w:t xml:space="preserve">gent chemotherapy. </w:t>
      </w:r>
      <w:r>
        <w:rPr>
          <w:i/>
        </w:rPr>
        <w:t>ESMO Open</w:t>
      </w:r>
      <w:r>
        <w:t>. 2021;6(3):100110. doi:10.1016/j.esmoop.2021.100110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 xml:space="preserve">McNeish IA, Strickland S, Holden L, et al. Low-Risk Persistent Gestational Trophoblastic </w:t>
      </w:r>
    </w:p>
    <w:p w:rsidR="00547FE3" w:rsidRDefault="005F4898">
      <w:pPr>
        <w:spacing w:after="114" w:line="259" w:lineRule="auto"/>
        <w:ind w:left="752" w:right="148"/>
      </w:pPr>
      <w:r>
        <w:t xml:space="preserve">Disease: Outcome After Initial Treatment With Low-Dose Methotrexate and Folinic Acid </w:t>
      </w:r>
    </w:p>
    <w:p w:rsidR="00547FE3" w:rsidRDefault="005F4898">
      <w:pPr>
        <w:spacing w:after="114" w:line="259" w:lineRule="auto"/>
        <w:ind w:left="752" w:right="148"/>
      </w:pPr>
      <w:r>
        <w:t xml:space="preserve">From 1992 to 2000. </w:t>
      </w:r>
      <w:r>
        <w:rPr>
          <w:i/>
        </w:rPr>
        <w:t>J Clin Oncol</w:t>
      </w:r>
      <w:r>
        <w:t>. 2002;20(7):1838-1844. doi:10.1200/JCO.2002.07.166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Even C, Pautier P, Duvillard P, et al. Actinomycin D, cisplatin, and etoposide regimen is associated with almost universal cure in patients with high-risk gestational troph</w:t>
      </w:r>
      <w:r>
        <w:t xml:space="preserve">oblastic neoplasia. </w:t>
      </w:r>
      <w:r>
        <w:rPr>
          <w:i/>
        </w:rPr>
        <w:t>Eur J Cancer</w:t>
      </w:r>
      <w:r>
        <w:t>. 2014;50(12):2082-2089. doi:10.1016/j.ejca.2014.05.002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Ghaemmaghami F, Modares M, Arab M, et al. EMA-EP regimen, as firstline multiple agent chemotherapy in high-risk GTT patients (stage II-IV). </w:t>
      </w:r>
      <w:r>
        <w:rPr>
          <w:i/>
        </w:rPr>
        <w:t>Int J Gynecol Cancer</w:t>
      </w:r>
      <w:r>
        <w:t xml:space="preserve">. </w:t>
      </w:r>
    </w:p>
    <w:p w:rsidR="00547FE3" w:rsidRDefault="005F4898">
      <w:pPr>
        <w:spacing w:after="114" w:line="259" w:lineRule="auto"/>
        <w:ind w:left="752" w:right="148"/>
      </w:pPr>
      <w:r>
        <w:t>2004;14(2):360-365. doi:10.1111/j.1048-891X.2004.014222.x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Song SQ, Wang C, Zhang GN, et al. BEP for high-risk gestational trophoblastic tumor: results from a cohort of 45 patients. </w:t>
      </w:r>
      <w:r>
        <w:rPr>
          <w:i/>
        </w:rPr>
        <w:t>Eur J Gynaecol Oncol</w:t>
      </w:r>
      <w:r>
        <w:t>. 2015;36(6):726-729.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Wang M, Shen L, Xu X, et al. Real</w:t>
      </w:r>
      <w:r>
        <w:t xml:space="preserve">‐World Study of Cisplatin, Etoposide, and Bleomycin Chemotherapy Regimen in Gestational Trophoblastic Neoplasia. Ozgu-Erdinc AS, ed. </w:t>
      </w:r>
    </w:p>
    <w:p w:rsidR="00547FE3" w:rsidRDefault="005F4898">
      <w:pPr>
        <w:spacing w:after="114" w:line="259" w:lineRule="auto"/>
        <w:ind w:left="752" w:right="148"/>
      </w:pPr>
      <w:r>
        <w:rPr>
          <w:i/>
        </w:rPr>
        <w:t>BioMed Res Int</w:t>
      </w:r>
      <w:r>
        <w:t>. 2021;2021(1):6661698. doi:10.1155/2021/6661698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Aminimoghaddam S, Nezhadisalami F, Anjidani S, Barzin Tond </w:t>
      </w:r>
      <w:r>
        <w:t xml:space="preserve">S. Outcome of treatment with EMA/EP (etoposide methotrexate and actinomycin-D/ etoposide and cisplatin) regimen in gestational trophoblastic neoplasia. </w:t>
      </w:r>
      <w:r>
        <w:rPr>
          <w:i/>
        </w:rPr>
        <w:t>Med J Islam Repub Iran</w:t>
      </w:r>
      <w:r>
        <w:t>. 2018;32(1):210213. doi:10.14196/mjiri.32.36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Wang J, Short D, Sebire NJ, et al. S</w:t>
      </w:r>
      <w:r>
        <w:t xml:space="preserve">alvage chemotherapy of relapsed or high-risk gestational trophoblastic neoplasia (GTN) with paclitaxel/cisplatin alternating with paclitaxel/etoposide (TP/TE). </w:t>
      </w:r>
      <w:r>
        <w:rPr>
          <w:i/>
        </w:rPr>
        <w:t>Ann Oncol</w:t>
      </w:r>
      <w:r>
        <w:t>. 2008;19(9):1578-1583. doi:10.1093/annonc/mdn181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Lurain JR, Nejad B. Secondary chemoth</w:t>
      </w:r>
      <w:r>
        <w:t xml:space="preserve">erapy for high-risk gestational trophoblastic neoplasia. </w:t>
      </w:r>
      <w:r>
        <w:rPr>
          <w:i/>
        </w:rPr>
        <w:t>Gynecol Oncol</w:t>
      </w:r>
      <w:r>
        <w:t>. 2005;97(2):618-623. doi:10.1016/j.ygyno.2005.02.004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Bianconi MI, Otero S, Storino C, Jankilevich G. Role of Capecitabine in the Management of Gestational Trophoblastic Neoplasia: A Dru</w:t>
      </w:r>
      <w:r>
        <w:t xml:space="preserve">g for Two Settings. </w:t>
      </w:r>
      <w:r>
        <w:rPr>
          <w:i/>
        </w:rPr>
        <w:t>J Reprod Med</w:t>
      </w:r>
      <w:r>
        <w:t xml:space="preserve">. </w:t>
      </w:r>
    </w:p>
    <w:p w:rsidR="00547FE3" w:rsidRDefault="005F4898">
      <w:pPr>
        <w:spacing w:after="114" w:line="259" w:lineRule="auto"/>
        <w:ind w:left="752" w:right="148"/>
      </w:pPr>
      <w:r>
        <w:t>2017;62(5-6):250-256.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Chang YL, Chang TC, Hsueh S, et al. Prognostic Factors and Treatment for Placental Site Trophoblastic Tumor—Report of 3 Cases and Analysis of 88 Cases. </w:t>
      </w:r>
      <w:r>
        <w:rPr>
          <w:i/>
        </w:rPr>
        <w:t>Gynecol Oncol</w:t>
      </w:r>
      <w:r>
        <w:t>. 1999;73(2):216-222. doi:10.1006/</w:t>
      </w:r>
      <w:r>
        <w:t>gyno.1999.5344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Liu W, Zhao W, Huang X. Outcomes and prognostic factors of placental-site trophoblastic tumor: a retrospective study of 58 cases. </w:t>
      </w:r>
      <w:r>
        <w:rPr>
          <w:i/>
        </w:rPr>
        <w:t>Arch Gynecol Obstet</w:t>
      </w:r>
      <w:r>
        <w:t>. 2022;306(5):1633-1641.</w:t>
      </w:r>
    </w:p>
    <w:p w:rsidR="00547FE3" w:rsidRDefault="005F4898">
      <w:pPr>
        <w:spacing w:line="259" w:lineRule="auto"/>
        <w:ind w:left="752" w:right="148"/>
      </w:pPr>
      <w:r>
        <w:t>doi:10.1007/s00404-022-06502-7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Davis MR, Howitt BE, Quade BJ, et al</w:t>
      </w:r>
      <w:r>
        <w:t xml:space="preserve">. Epithelioid trophoblastic tumor: A single institution case series at the New England Trophoblastic Disease Center. </w:t>
      </w:r>
      <w:r>
        <w:rPr>
          <w:i/>
        </w:rPr>
        <w:t>Gynecol Oncol</w:t>
      </w:r>
      <w:r>
        <w:t>.</w:t>
      </w:r>
    </w:p>
    <w:p w:rsidR="00547FE3" w:rsidRDefault="005F4898">
      <w:pPr>
        <w:spacing w:after="114" w:line="259" w:lineRule="auto"/>
        <w:ind w:left="752" w:right="148"/>
      </w:pPr>
      <w:r>
        <w:t>2015;137(3):456-461. doi:10.1016/j.ygyno.2015.03.006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>Feltmate CM, Genest DR, Wise L, Bernstein MR, Goldstein DP, Berkowitz R</w:t>
      </w:r>
      <w:r>
        <w:t>S. Placental</w:t>
      </w:r>
    </w:p>
    <w:p w:rsidR="00547FE3" w:rsidRDefault="005F4898">
      <w:pPr>
        <w:spacing w:after="114" w:line="259" w:lineRule="auto"/>
        <w:ind w:left="752" w:right="148"/>
      </w:pPr>
      <w:r>
        <w:t>Site Trophoblastic Tumor: A 17-Year Experience at the New England Trophoblastic</w:t>
      </w:r>
    </w:p>
    <w:p w:rsidR="00547FE3" w:rsidRDefault="005F4898">
      <w:pPr>
        <w:spacing w:after="114" w:line="259" w:lineRule="auto"/>
        <w:ind w:left="752" w:right="148"/>
      </w:pPr>
      <w:r>
        <w:t xml:space="preserve">Disease Center. </w:t>
      </w:r>
      <w:r>
        <w:rPr>
          <w:i/>
        </w:rPr>
        <w:t>Gynecol Oncol</w:t>
      </w:r>
      <w:r>
        <w:t>. 2001;82(3):415-419. doi:10.1006/gyno.2001.6265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Sugrue R, Foley O, Elias KM, et al. Outcomes of minimally invasive versus open </w:t>
      </w:r>
      <w:r>
        <w:t xml:space="preserve">abdominal hysterectomy in patients with gestational trophoblastic disease. </w:t>
      </w:r>
      <w:r>
        <w:rPr>
          <w:i/>
        </w:rPr>
        <w:t>Gynecol Oncol</w:t>
      </w:r>
    </w:p>
    <w:p w:rsidR="00547FE3" w:rsidRDefault="005F4898">
      <w:pPr>
        <w:spacing w:after="114" w:line="259" w:lineRule="auto"/>
        <w:ind w:left="752" w:right="148"/>
      </w:pPr>
      <w:r>
        <w:t>. 2021;160(2):445-449. doi:10.1016/j.ygyno.2020.11.022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Baas IO, Westermann AM, You B, Bolze PA, Seckl M, Ghorani E. Immunotherapy for Gestational Trophoblastic Neoplas</w:t>
      </w:r>
      <w:r>
        <w:t xml:space="preserve">ia: A New Paradigm. </w:t>
      </w:r>
      <w:r>
        <w:rPr>
          <w:i/>
        </w:rPr>
        <w:t>Gynecol Obstet Invest</w:t>
      </w:r>
      <w:r>
        <w:t xml:space="preserve">. </w:t>
      </w:r>
    </w:p>
    <w:p w:rsidR="00547FE3" w:rsidRDefault="005F4898">
      <w:pPr>
        <w:spacing w:after="114" w:line="259" w:lineRule="auto"/>
        <w:ind w:left="752" w:right="148"/>
      </w:pPr>
      <w:r>
        <w:t>2024;89(3):230-238. doi:10.1159/000533972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Ghorani E, Kaur B, Fisher RA, et al. Pembrolizumab is effective for drug-resistant gestational trophoblastic neoplasia. </w:t>
      </w:r>
      <w:r>
        <w:rPr>
          <w:i/>
        </w:rPr>
        <w:t>The Lancet</w:t>
      </w:r>
      <w:r>
        <w:t>. 2017;390(10110):2343-2345. doi:10.1016</w:t>
      </w:r>
      <w:r>
        <w:t>/S0140-6736(17)32894-5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 xml:space="preserve">You B, Bolze PA, Lotz JP, et al. Avelumab in Patients With Gestational Trophoblastic </w:t>
      </w:r>
    </w:p>
    <w:p w:rsidR="00547FE3" w:rsidRDefault="005F4898">
      <w:pPr>
        <w:ind w:left="752" w:right="148"/>
      </w:pPr>
      <w:r>
        <w:t xml:space="preserve">Tumors With Resistance to Single-Agent Chemotherapy: Cohort A of the TROPHIMMUN Phase II Trial. </w:t>
      </w:r>
      <w:r>
        <w:rPr>
          <w:i/>
        </w:rPr>
        <w:t>J Clin Oncol</w:t>
      </w:r>
      <w:r>
        <w:t>. 2020;38(27):3129-3137. doi:10.1200/JC</w:t>
      </w:r>
      <w:r>
        <w:t>O.20.00803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Wang X, Cang W, Liu X, et al. Anti-PD-1 therapy plus chemotherapy versus anti-PD-1 therapy alone in patients with high-risk chemorefractory or relapsed gestational trophoblastic neoplasia: a multicenter, retrospective study. </w:t>
      </w:r>
      <w:r>
        <w:rPr>
          <w:i/>
        </w:rPr>
        <w:t>eClinicalMedicine</w:t>
      </w:r>
      <w:r>
        <w:t xml:space="preserve">. </w:t>
      </w:r>
    </w:p>
    <w:p w:rsidR="00547FE3" w:rsidRDefault="005F4898">
      <w:pPr>
        <w:spacing w:after="114" w:line="259" w:lineRule="auto"/>
        <w:ind w:left="752" w:right="148"/>
      </w:pPr>
      <w:r>
        <w:t>2023;59:101974. doi:10.1016/j.eclinm.2023.101974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Touhami O, Gregoire J, Noel P, Trinh XB, Plante M. Uterine arteriovenous malformations following gestational trophoblastic neoplasia: a systematic review. </w:t>
      </w:r>
      <w:r>
        <w:rPr>
          <w:i/>
        </w:rPr>
        <w:t>Eur J Obstet Gynecol Reprod Biol</w:t>
      </w:r>
      <w:r>
        <w:t>. 2014;181:54-59. do</w:t>
      </w:r>
      <w:r>
        <w:t>i:10.1016/j.ejogrb.2014.07.023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 xml:space="preserve">Сомонова ОВ, Антух ЭА, Варданян АВ, et al. Тромбоэмболические осложнения. </w:t>
      </w:r>
    </w:p>
    <w:p w:rsidR="00547FE3" w:rsidRDefault="005F4898">
      <w:pPr>
        <w:ind w:left="752" w:right="148"/>
      </w:pPr>
      <w:r>
        <w:rPr>
          <w:i/>
        </w:rPr>
        <w:t>Malig Tumours</w:t>
      </w:r>
      <w:r>
        <w:t>. 2023;13(3s2-2):167-178. doi:10.18027/2224-5057-2023-13-3s2-2-167178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 xml:space="preserve">Владимирова ЛЮ, Гладков ОА, Королева ИА, et </w:t>
      </w:r>
      <w:r>
        <w:t xml:space="preserve">al. Практиеские рекомендации </w:t>
      </w:r>
    </w:p>
    <w:p w:rsidR="00547FE3" w:rsidRDefault="005F4898">
      <w:pPr>
        <w:ind w:left="752" w:right="148"/>
      </w:pPr>
      <w:r>
        <w:t>RUSSCO. Тошнота и рвота. 2024;14(3s2):32-47. doi:https://doi.org/10.18027/22245057-2024-14-3s2-2-02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>Сакаева ДД, Борисов КЕ, Булавина ИС, et al. Практические рекомендации RUSSCO.</w:t>
      </w:r>
    </w:p>
    <w:p w:rsidR="00547FE3" w:rsidRDefault="005F4898">
      <w:pPr>
        <w:spacing w:line="259" w:lineRule="auto"/>
        <w:ind w:left="721" w:right="148"/>
      </w:pPr>
      <w:r>
        <w:t xml:space="preserve"> Фебрильная нейтропения. 2024;14(3s2):61-70.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>Ког</w:t>
      </w:r>
      <w:r>
        <w:t>ония ЛМ, Новиков ГА, Орлова РВ, Сидоров АВ, Королева ИА, Сакаева ДД.</w:t>
      </w:r>
    </w:p>
    <w:p w:rsidR="00547FE3" w:rsidRDefault="005F4898">
      <w:pPr>
        <w:tabs>
          <w:tab w:val="center" w:pos="2347"/>
          <w:tab w:val="right" w:pos="9506"/>
        </w:tabs>
        <w:spacing w:after="117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Практические рекомендации</w:t>
      </w:r>
      <w:r>
        <w:tab/>
        <w:t xml:space="preserve"> RUSSCO. Хронический болевой синдром.</w:t>
      </w:r>
    </w:p>
    <w:p w:rsidR="00547FE3" w:rsidRDefault="005F4898">
      <w:pPr>
        <w:spacing w:after="114" w:line="259" w:lineRule="auto"/>
        <w:ind w:left="752" w:right="148"/>
      </w:pPr>
      <w:r>
        <w:t>2024;3s2(14):227-249. doi:10.18027/2224-5057-2024-14-3s2-2-14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Орлова РВ, Жабина АС, Иванова АК, Наталенко КЕ, Телетаева ГМ. Практические рекомендации RUSSCO. Инфузионные реакции. 2024;14(3s2):313-332. doi:10.18027/2224-5057-2024-14-3s2-2-17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Феоктистова ПС, Винницкая ЕВ, Нурмухаметова ЕА, Тихонов ИН. Практические реко</w:t>
      </w:r>
      <w:r>
        <w:t>мендации RUSSCO. Реактивация / Оострение хронических вирусных гепатитов во время противоопухолевой терапии. 2024;14(3s2):346-353.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Carter J. Fast-track surgery in gynaecology and gynaecologic oncology: a review of a rolling clinical audit. ISRN Surgery 2012</w:t>
      </w:r>
      <w:r>
        <w:t xml:space="preserve">;2012:368014. 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Nelson G., Bakkum-Gamez J., Kalogera E. et al. Guidelines for perioperative care in gynecologic/oncology: Enhanced Recovery After Surgery (ERAS) Society recommendations – 2019. Int J Gynecol Cancer 2019;29(4):651–68. 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De Almeida E.P.M., de A</w:t>
      </w:r>
      <w:r>
        <w:t>lmeida J.P., Landoni G. et al. Early mobilization programme improves functional capacity after major abdominal cancer surgery: a randomized controlled trial. Br J Anaesth 2017;119(5):900–7.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Wren S.M., Martin M., Yoon J.K. et al. Postoperative pneumonia-pre</w:t>
      </w:r>
      <w:r>
        <w:t>vention program for the inpatient surgical ward. Journal of the American College of Surgeons 2010;210(4):491–5.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Peedicayil A., Weaver A., Li X. et al. Incidence and timing of venous thromboembolism after surgery for gynecological cancer. Gynecol Oncol 2011</w:t>
      </w:r>
      <w:r>
        <w:t>;121(1):64–9.</w:t>
      </w:r>
    </w:p>
    <w:p w:rsidR="00547FE3" w:rsidRDefault="005F4898">
      <w:pPr>
        <w:numPr>
          <w:ilvl w:val="0"/>
          <w:numId w:val="16"/>
        </w:numPr>
        <w:ind w:right="148" w:hanging="584"/>
      </w:pPr>
      <w:hyperlink r:id="rId152">
        <w:r>
          <w:t>Cantrell LA</w:t>
        </w:r>
      </w:hyperlink>
      <w:r>
        <w:t xml:space="preserve"> et. al. Thrombosis and Thromboprophylaxis in Gynecology Surgery. / </w:t>
      </w:r>
      <w:hyperlink r:id="rId153">
        <w:r>
          <w:t>Clin</w:t>
        </w:r>
      </w:hyperlink>
      <w:r>
        <w:t xml:space="preserve"> </w:t>
      </w:r>
      <w:hyperlink r:id="rId154">
        <w:r>
          <w:t>Obstet</w:t>
        </w:r>
      </w:hyperlink>
      <w:hyperlink r:id="rId155">
        <w:r>
          <w:t xml:space="preserve"> </w:t>
        </w:r>
      </w:hyperlink>
      <w:hyperlink r:id="rId156">
        <w:r>
          <w:t>Gynecol.</w:t>
        </w:r>
      </w:hyperlink>
      <w:r>
        <w:t xml:space="preserve"> 2018 Jun;61(2):269-27</w:t>
      </w:r>
      <w:r>
        <w:t>7. doi: 10.1097/GRF.0000000000000355.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Swarm R., Abernethy A.P., Anghelescu D.L. et al. NCCN Adult Cancer Pain. Adult cancer pain. J Natl Compr Canc Netw 2010;8:1046–86.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Ben-Arye E., Samuels N., Lavie O. Integrative medicine for female patients with gynecol</w:t>
      </w:r>
      <w:r>
        <w:t>ogic cancer. J Altern Complement Med 2018;24:881–9.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Goerling U., Jaeger C., Walz A. et al. The efficacy of psycho-oncological interventions for women with gynaecological cancer: a randomized study. Oncology 2014;87:114–24. 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Smits A., Lopes A., Bekkers R. e</w:t>
      </w:r>
      <w:r>
        <w:t xml:space="preserve">t al. Body mass index and the quality of life of endometrial cancer survivors – a systematic review and meta-analysis. Gynecol Oncol 2015;137:180–7. 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Schmitz K.H., Courneya K.S., Matthews C. et al. American College of Sports Medicine roundtable on exercise</w:t>
      </w:r>
      <w:r>
        <w:t xml:space="preserve"> guidelines for cancer survivors. Med Sci Sports Exerc 2010;42:1409–26.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Zhou Y., Chlebowski R., LaMonte M.J. et al. Body mass index, physical activity, and mortality in women diagnosed with ovarian cancer: results from the Women's Health Initiative. Gyneco</w:t>
      </w:r>
      <w:r>
        <w:t>l Oncol 2014;133(1):4–10.</w:t>
      </w:r>
    </w:p>
    <w:p w:rsidR="00547FE3" w:rsidRDefault="005F4898">
      <w:pPr>
        <w:numPr>
          <w:ilvl w:val="0"/>
          <w:numId w:val="16"/>
        </w:numPr>
        <w:ind w:right="148" w:hanging="584"/>
      </w:pPr>
      <w:hyperlink r:id="rId157">
        <w:r>
          <w:t>Bifulco G</w:t>
        </w:r>
      </w:hyperlink>
      <w:hyperlink r:id="rId158">
        <w:r>
          <w:t xml:space="preserve"> </w:t>
        </w:r>
      </w:hyperlink>
      <w:r>
        <w:t xml:space="preserve">et al. Quality of life, lifestyle behavior and employment experience: a comparison between young and midlife survivors of gynecology early stage cancers./ </w:t>
      </w:r>
      <w:hyperlink r:id="rId159">
        <w:r>
          <w:t>Gynecol</w:t>
        </w:r>
      </w:hyperlink>
      <w:hyperlink r:id="rId160">
        <w:r>
          <w:t xml:space="preserve"> </w:t>
        </w:r>
      </w:hyperlink>
      <w:hyperlink r:id="rId161">
        <w:r>
          <w:t>Oncol.</w:t>
        </w:r>
      </w:hyperlink>
      <w:r>
        <w:t xml:space="preserve"> 2012 Mar;124(3):444-51. doi: 10.1016/j.ygyno.2011.11.033. Epub 2011 Nov 23.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Goerling U., Jaeger C., Walz A. et al. The efficacy of p</w:t>
      </w:r>
      <w:r>
        <w:t>sycho-oncological interventions for women with gynaecological cancer: A randomized study // Oncology. 2014;87:114–124. Crossref, Medline</w:t>
      </w:r>
      <w:r>
        <w:rPr>
          <w:i/>
        </w:rPr>
        <w:t xml:space="preserve"> </w:t>
      </w:r>
      <w:r>
        <w:t xml:space="preserve">. 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Dumoulin C., Cacciari L.P., Hay‐Smith E.J.C. Pelvic floor muscle training versus no treatment, or inactive control t</w:t>
      </w:r>
      <w:r>
        <w:t xml:space="preserve">reatments, for urinary incontinence in women. Cochrane Database Syst Rev 2018:10:CD005654. </w:t>
      </w:r>
    </w:p>
    <w:p w:rsidR="00547FE3" w:rsidRDefault="005F4898">
      <w:pPr>
        <w:numPr>
          <w:ilvl w:val="0"/>
          <w:numId w:val="16"/>
        </w:numPr>
        <w:spacing w:after="120" w:line="259" w:lineRule="auto"/>
        <w:ind w:right="148" w:hanging="584"/>
      </w:pPr>
      <w:r>
        <w:t xml:space="preserve">Cannioto R.A., Moysich K.B. Epithelial ovarian cancer and recreational physical activity: </w:t>
      </w:r>
    </w:p>
    <w:p w:rsidR="00547FE3" w:rsidRDefault="005F4898">
      <w:pPr>
        <w:ind w:left="752" w:right="148"/>
      </w:pPr>
      <w:r>
        <w:t>a review of the epidemiological literature and implications for exercise prescription. Gynecol Oncol 2015;137(3):559–73.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Hu M., Lin W. Effects of exercise training on red blood cell production: implications for anemia. Acta Haematol 2012;127(3):156–64. 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Mu</w:t>
      </w:r>
      <w:r>
        <w:t>stian K.M., Alfano C.M., Heckler C. et al. Comparison of pharmaceutical, psychological, and exercise treatments for cancer-related fatigue: a meta-analysis. JAMA Oncol 2017;3:961–8.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Kinkead B., Schettler P.J., Larson E.R. et al. Massage therapy decreases c</w:t>
      </w:r>
      <w:r>
        <w:t xml:space="preserve">ancer-related fatigue: Results from a randomized early phase trial. Cancer 2018;124(3):546–54. 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Streckmann F., Zopf E.M., Lehmann H.C. et al. Exercise intervention studies in patients </w:t>
      </w:r>
      <w:r>
        <w:t>with peripheral neuropathy: a systematic review. Sports Med 2014;44:1289–304.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Kleckner I.R., Kamen C., Gewandter J.S. et al. Effects of exercise during chemotherapy on chemotherapy-induced peripheral neuropathy: a multicenter, randomized controlled trial. </w:t>
      </w:r>
      <w:r>
        <w:t>Support Care Cancer 2018;26:1019–28.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Muzi J.L., Look R.M., Turner C. et al. Low-level laser therapy for chemotherapy-induced peripheral neuropathy. J Clin Oncol 2012;30(15):9019.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Rick O., von Hehn U., Mikus E. et al. Magnetic field therapy in patients with</w:t>
      </w:r>
      <w:r>
        <w:t xml:space="preserve"> cytostaticsinduced polyneuropathy: A prospective randomized placebo-controlled phase-III study. </w:t>
      </w:r>
    </w:p>
    <w:p w:rsidR="00547FE3" w:rsidRDefault="005F4898">
      <w:pPr>
        <w:spacing w:line="259" w:lineRule="auto"/>
        <w:ind w:left="863" w:right="148"/>
      </w:pPr>
      <w:r>
        <w:t>Bioelectromagnetics 2016;38(2):85–94.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Kılınç M., Livanelioğlu A., Yıldırım S.A., Tan E. Effects of transcutaneous electrical nerve stimulation in patients wit</w:t>
      </w:r>
      <w:r>
        <w:t xml:space="preserve">h peripheral and central neuropathic pain. J Rehabil Med 2014;46(5):454–60. 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Oberoi S., Zamperlini-Netto G., Beyene J., Treister N.S., Sung L. Effect of prophylactic low level laser therapy on oral mucositis: a systematic review and meta-analysis. PLoS One</w:t>
      </w:r>
      <w:r>
        <w:t xml:space="preserve"> 2014;9(9):e107418. 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Ross M., Fischer-Cartlidge E. Scalp Cooling: A Literature Review of Efficacy, Safety, and Tolerability for Chemotherapy-Induced Alopecia. Clin J Oncol Nurs 2017;21(2):226–33. 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Spence R.R., Heesch K.C., Brown W.J. Exercise and cancer re</w:t>
      </w:r>
      <w:r>
        <w:t>habilitation: a systematic review. Cancer Treat Rev 2010;36(2):185–194.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Мещерякова Л. А., Карселадзе А. И., Козаченко В. П. и др. Практические рекомендации по лекарственному лечению злокачественных трофобластических опухолей. Злокачественные опухоли; Практ</w:t>
      </w:r>
      <w:r>
        <w:t>ические рекомендации RUSSCO #3s2. 2021, том 11.15. c.233–243.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Мещерякова Л.А., Козаченко В.П., Кузнецов В.В. Трофобластическая болезнь. Клиническая онкогинекология. Под ред. В.П. Козаченко. М.: Бином, 2016. С. 324–67.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Seckl M.J., Sebire N.J., Fisher R.A. e</w:t>
      </w:r>
      <w:r>
        <w:t>t al. Gestational trophoblastic disease: ESMO clinical practice guidelines. Ann Oncol 2013;24(Suppl 6):39–50.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Гасанбекова З.А. Ошибки в диагностике и лечении злокачественных трофобластических опухолей: Автореф. дис. канд. мед. наук. М., 2019.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Trommel N.E.,</w:t>
      </w:r>
      <w:r>
        <w:t xml:space="preserve"> Massuger L.F., Verheijen R.H. et al. The curative effect of a second curettage in persistent trophoblastic disease: a retrospective cohort survey. Gynecol Oncol 2005;99(1):6–13.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Мещерякова Л.А. Трофобластические опухоли. Противоопухолевая лекарственная те</w:t>
      </w:r>
      <w:r>
        <w:t>рапия. Национальное руководство. Под редакцией профессора В. А. Горбуновой, д м н М.Б. Стениной. М.: ГЭОТАР-Медиа, 2022. С. 298–305.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Мещерякова Л.А., Жарова А.С., Масленников А.Ф., Чекалова М.А., Комаров И.Г., Мещерякова Н.А., Давыдова И.Ю., Гиголаева Н.М.</w:t>
      </w:r>
      <w:r>
        <w:t>, Мещеряков А.А. Резистентные трофобластические опухоли. Современные возможности лечения. Медицинский оппонент, 2021, №2 (14): с.70-80.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Мещерякова Л.А., Масленников А.Ф., Кузнецов В.В., Чекалова М.А., Давыдова И.Ю., Мещеряков А.А. Хирургическое вмешательст</w:t>
      </w:r>
      <w:r>
        <w:t>во при злокачественной трофобластической опухоли, выполненное до начала химиотерапии – важный фактор негативного прогноза. Поволжский онкологический вестник. Т. 11, № 1, 2020, с. 31-36.</w:t>
      </w:r>
    </w:p>
    <w:p w:rsidR="00547FE3" w:rsidRDefault="005F4898">
      <w:pPr>
        <w:numPr>
          <w:ilvl w:val="0"/>
          <w:numId w:val="16"/>
        </w:numPr>
        <w:spacing w:after="114" w:line="259" w:lineRule="auto"/>
        <w:ind w:right="148" w:hanging="584"/>
      </w:pPr>
      <w:r>
        <w:t>Мещерякова Л.А., Жарова А.С., Масленников А.Ф., Кузнецов В.В.,  Чекало</w:t>
      </w:r>
      <w:r>
        <w:t xml:space="preserve">ва М.А., </w:t>
      </w:r>
    </w:p>
    <w:p w:rsidR="00547FE3" w:rsidRDefault="005F4898">
      <w:pPr>
        <w:ind w:left="752" w:right="148"/>
      </w:pPr>
      <w:r>
        <w:t>Комаров И.Г., Мещерякова Н.А., Давыдова И.Ю., Молчанов Г.В.,  Гиголаева Н.М., Мещеряков А.А. Опыт лечения рецидивов злокачественных трофобластических опухолей. Российский онкологический журнал. 2020, том 25, №1, с. 9-16.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Масленников А.Ф. Хирургич</w:t>
      </w:r>
      <w:r>
        <w:t>еское лечение злокачественных трофобластических опухолей. Автореферат канд. дис., М: 2021.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Pierre-Adrien Bolze, Jocelyne Attia, Jérôme Massardier, for the EOTTD group et al. Formalized consensus of the European Organization for Treatment of Trophoblastic D</w:t>
      </w:r>
      <w:r>
        <w:t xml:space="preserve">iseases on management of gestational trophoblastic diseases. Published: June 16, 2015. </w:t>
      </w:r>
    </w:p>
    <w:p w:rsidR="00547FE3" w:rsidRDefault="005F4898">
      <w:pPr>
        <w:ind w:left="752" w:right="148"/>
      </w:pPr>
      <w:r>
        <w:t xml:space="preserve">DOI: </w:t>
      </w:r>
      <w:hyperlink r:id="rId162">
        <w:r>
          <w:t>https://doi.org/10.1016/j.ejca.2015.05.026</w:t>
        </w:r>
      </w:hyperlink>
      <w:r>
        <w:t>. Full length article|,</w:t>
      </w:r>
      <w:hyperlink r:id="rId163">
        <w:r>
          <w:t xml:space="preserve"> Volume 142, ISSUE</w:t>
        </w:r>
      </w:hyperlink>
      <w:r>
        <w:t xml:space="preserve"> </w:t>
      </w:r>
      <w:hyperlink r:id="rId164">
        <w:r>
          <w:t>1</w:t>
        </w:r>
      </w:hyperlink>
      <w:r>
        <w:t>, P102-108, July 01, 2016.</w:t>
      </w:r>
    </w:p>
    <w:p w:rsidR="00547FE3" w:rsidRDefault="005F4898">
      <w:pPr>
        <w:numPr>
          <w:ilvl w:val="0"/>
          <w:numId w:val="16"/>
        </w:numPr>
        <w:ind w:right="148" w:hanging="584"/>
      </w:pPr>
      <w:hyperlink r:id="rId165">
        <w:r>
          <w:t>Antonio Braga</w:t>
        </w:r>
      </w:hyperlink>
      <w:r>
        <w:t xml:space="preserve">, </w:t>
      </w:r>
      <w:hyperlink r:id="rId166">
        <w:r>
          <w:t>Paulo Mora</w:t>
        </w:r>
      </w:hyperlink>
      <w:r>
        <w:t xml:space="preserve">, </w:t>
      </w:r>
      <w:hyperlink r:id="rId167">
        <w:r>
          <w:t>Andréia Cristina de Melo</w:t>
        </w:r>
      </w:hyperlink>
      <w:r>
        <w:t xml:space="preserve">, </w:t>
      </w:r>
      <w:hyperlink r:id="rId168">
        <w:r>
          <w:t>Angélica Nogueira-Rodrigues</w:t>
        </w:r>
      </w:hyperlink>
      <w:r>
        <w:t xml:space="preserve">, </w:t>
      </w:r>
      <w:hyperlink r:id="rId169">
        <w:r>
          <w:t>Joffre Amim-Junior</w:t>
        </w:r>
      </w:hyperlink>
      <w:r>
        <w:t xml:space="preserve">, </w:t>
      </w:r>
      <w:hyperlink r:id="rId170">
        <w:r>
          <w:t>Jorge Rezende-Filho</w:t>
        </w:r>
      </w:hyperlink>
      <w:r>
        <w:t xml:space="preserve"> and </w:t>
      </w:r>
      <w:hyperlink r:id="rId171">
        <w:r>
          <w:t>Michael J Seckl</w:t>
        </w:r>
      </w:hyperlink>
      <w:r>
        <w:t xml:space="preserve">. Challenges in the diagnosis and treatment of gestational trophoblastic neoplasia worldwide. World J Clin </w:t>
      </w:r>
      <w:r>
        <w:t xml:space="preserve">Oncol. Feb 24, 2019; 10(2): 28-37 published online Feb 24, 2019. doi: 10.5306/wjco.v10.i2.28. </w:t>
      </w:r>
    </w:p>
    <w:p w:rsidR="00547FE3" w:rsidRDefault="005F4898">
      <w:pPr>
        <w:spacing w:after="114" w:line="259" w:lineRule="auto"/>
        <w:ind w:left="752" w:right="148"/>
      </w:pPr>
      <w:r>
        <w:t>Review Article|</w:t>
      </w:r>
      <w:hyperlink r:id="rId172">
        <w:r>
          <w:t xml:space="preserve"> Volume 153, ISSUE 3</w:t>
        </w:r>
      </w:hyperlink>
      <w:r>
        <w:t>, P684-693, June 01, 2019.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 xml:space="preserve">Angiolo Gadducci, Silvestro Carinelli, Guerrieri Maria Elena, Giovanni Damiano Aletti. Placental site trophoblastic tumor and epithelioid trophoblastic tumor: Clinical and pathological features, prognostic variables and treatment strategy. Published:April </w:t>
      </w:r>
      <w:r>
        <w:t>29, 2019 DOI:</w:t>
      </w:r>
      <w:hyperlink r:id="rId173">
        <w:r>
          <w:t xml:space="preserve"> </w:t>
        </w:r>
      </w:hyperlink>
      <w:hyperlink r:id="rId174">
        <w:r>
          <w:t>https://doi.org/10.1016/j.ygyno.2019.03.011</w:t>
        </w:r>
      </w:hyperlink>
      <w:r>
        <w:t>.</w:t>
      </w:r>
    </w:p>
    <w:p w:rsidR="00547FE3" w:rsidRDefault="005F4898">
      <w:pPr>
        <w:numPr>
          <w:ilvl w:val="0"/>
          <w:numId w:val="16"/>
        </w:numPr>
        <w:spacing w:after="105"/>
        <w:ind w:right="148" w:hanging="584"/>
      </w:pPr>
      <w:r>
        <w:t>N.S. Horowitz, R.N. Eskander b, M.R. Adelman c, W. Burke d et al, Epide</w:t>
      </w:r>
      <w:r>
        <w:t xml:space="preserve">miology, diagnosis, and treatment of gestational trophoblastic disease: A Society of Gynecologic </w:t>
      </w:r>
    </w:p>
    <w:p w:rsidR="00547FE3" w:rsidRDefault="005F4898">
      <w:pPr>
        <w:ind w:left="752" w:right="148"/>
      </w:pPr>
      <w:r>
        <w:t>Oncology evidenced-based review and recommendation</w:t>
      </w:r>
      <w:r>
        <w:rPr>
          <w:rFonts w:ascii="Segoe UI Symbol" w:eastAsia="Segoe UI Symbol" w:hAnsi="Segoe UI Symbol" w:cs="Segoe UI Symbol"/>
        </w:rPr>
        <w:t>☆</w:t>
      </w:r>
      <w:r>
        <w:rPr>
          <w:rFonts w:ascii="Calibri" w:eastAsia="Calibri" w:hAnsi="Calibri" w:cs="Calibri"/>
        </w:rPr>
        <w:t xml:space="preserve"> </w:t>
      </w:r>
      <w:r>
        <w:t xml:space="preserve">Cite </w:t>
      </w:r>
      <w:hyperlink r:id="rId175">
        <w:r>
          <w:rPr>
            <w:u w:val="single" w:color="000000"/>
          </w:rPr>
          <w:t>https://doi.org/10.1016/j.ygyno.2021.1</w:t>
        </w:r>
        <w:r>
          <w:rPr>
            <w:u w:val="single" w:color="000000"/>
          </w:rPr>
          <w:t>0.003</w:t>
        </w:r>
      </w:hyperlink>
      <w:r>
        <w:t xml:space="preserve">  Gynecologic Oncology Volume 163, Issue 3, December 2021, Pages 605-613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Ngan H.S., Seckl M.J., Berkowitz R.S. et al. Diagnosis and management of gestational trophoblastic disease: 2021 update // International journal of gynaecology and obstetrics: th</w:t>
      </w:r>
      <w:r>
        <w:t>e official organ of the International Federation of Gynaecology and Obstetrics. – 2021. – Vol. 155, N Suppl 1. – P.86-93</w:t>
      </w:r>
    </w:p>
    <w:p w:rsidR="00547FE3" w:rsidRDefault="005F4898">
      <w:pPr>
        <w:numPr>
          <w:ilvl w:val="0"/>
          <w:numId w:val="16"/>
        </w:numPr>
        <w:spacing w:after="114" w:line="259" w:lineRule="auto"/>
        <w:ind w:right="148" w:hanging="584"/>
      </w:pPr>
      <w:r>
        <w:t xml:space="preserve">NCCN Clinical Practice Guidelines. Gestationl Trophoblastic Neoplasia. V.3.2025. </w:t>
      </w:r>
    </w:p>
    <w:p w:rsidR="00547FE3" w:rsidRDefault="005F4898">
      <w:pPr>
        <w:spacing w:after="114" w:line="259" w:lineRule="auto"/>
        <w:ind w:left="752" w:right="148"/>
      </w:pPr>
      <w:r>
        <w:t>Available at: https://www.nccn.org/professionals/phys</w:t>
      </w:r>
      <w:r>
        <w:t>ician_gls/pdf/gtn.pdf .</w:t>
      </w:r>
    </w:p>
    <w:p w:rsidR="00547FE3" w:rsidRDefault="005F4898">
      <w:pPr>
        <w:numPr>
          <w:ilvl w:val="0"/>
          <w:numId w:val="16"/>
        </w:numPr>
        <w:spacing w:line="259" w:lineRule="auto"/>
        <w:ind w:right="148" w:hanging="584"/>
      </w:pPr>
      <w:r>
        <w:t>Mitric C, Yang K, Bhat G, et al. Int J Gynecol Cancer 2023;33:1724–1732.</w:t>
      </w:r>
    </w:p>
    <w:p w:rsidR="00547FE3" w:rsidRDefault="005F4898">
      <w:pPr>
        <w:numPr>
          <w:ilvl w:val="0"/>
          <w:numId w:val="16"/>
        </w:numPr>
        <w:ind w:right="148" w:hanging="584"/>
      </w:pPr>
      <w:r>
        <w:t>Ngan H, Seckl M, Berkowitz R et al,. Diagnosis and management of gestationaltrophoblasticdisease: 2025 update. Int J Gynecol Obstet. 2025;171(Suppl. 1):78–86</w:t>
      </w:r>
    </w:p>
    <w:p w:rsidR="00547FE3" w:rsidRDefault="005F4898">
      <w:pPr>
        <w:numPr>
          <w:ilvl w:val="0"/>
          <w:numId w:val="16"/>
        </w:numPr>
        <w:spacing w:after="1300"/>
        <w:ind w:right="148" w:hanging="584"/>
      </w:pPr>
      <w:r>
        <w:t>М</w:t>
      </w:r>
      <w:r>
        <w:t>ещерякова Л.А. Алгоритм лечения больных злокачественными трофобластическими опухолями. Практическая онкология 2008;9(3):187.</w:t>
      </w:r>
    </w:p>
    <w:p w:rsidR="00547FE3" w:rsidRDefault="005F4898">
      <w:pPr>
        <w:pStyle w:val="Heading1"/>
        <w:spacing w:after="322" w:line="357" w:lineRule="auto"/>
        <w:ind w:left="1096" w:right="1245" w:firstLine="995"/>
        <w:jc w:val="left"/>
      </w:pPr>
      <w:r>
        <w:t>Приложение А1. Состав рабочей группы по разработке и пересмотру клинических рекомендаций</w:t>
      </w:r>
    </w:p>
    <w:p w:rsidR="00547FE3" w:rsidRDefault="005F4898">
      <w:pPr>
        <w:numPr>
          <w:ilvl w:val="0"/>
          <w:numId w:val="17"/>
        </w:numPr>
        <w:ind w:right="148" w:hanging="425"/>
      </w:pPr>
      <w:r>
        <w:rPr>
          <w:b/>
        </w:rPr>
        <w:t>Ашрафян Л.А.,</w:t>
      </w:r>
      <w:r>
        <w:t xml:space="preserve"> академик РАН, д.м.н., профес</w:t>
      </w:r>
      <w:r>
        <w:t>сор, директор Института онкогинекологии и маммологии ФГБУ «НМИЦ АГП им. В.И. Кулакова» Минздрава России.</w:t>
      </w:r>
    </w:p>
    <w:p w:rsidR="00547FE3" w:rsidRDefault="005F4898">
      <w:pPr>
        <w:numPr>
          <w:ilvl w:val="0"/>
          <w:numId w:val="17"/>
        </w:numPr>
        <w:ind w:right="148" w:hanging="425"/>
      </w:pPr>
      <w:r>
        <w:rPr>
          <w:b/>
        </w:rPr>
        <w:t xml:space="preserve">Мещерякова Л.А., </w:t>
      </w:r>
      <w:r>
        <w:t>д.м.н.,</w:t>
      </w:r>
      <w:r>
        <w:rPr>
          <w:b/>
        </w:rPr>
        <w:t xml:space="preserve"> </w:t>
      </w:r>
      <w:r>
        <w:t>врач ФГБУ «ФНКЦ ФХМ им Ю.М. Лопухина» ФМБА РФ.</w:t>
      </w:r>
    </w:p>
    <w:p w:rsidR="00547FE3" w:rsidRDefault="005F4898">
      <w:pPr>
        <w:numPr>
          <w:ilvl w:val="0"/>
          <w:numId w:val="17"/>
        </w:numPr>
        <w:ind w:right="148" w:hanging="425"/>
      </w:pPr>
      <w:r>
        <w:rPr>
          <w:b/>
        </w:rPr>
        <w:t>Карселадзе А.И.,</w:t>
      </w:r>
      <w:r>
        <w:t xml:space="preserve"> профессор, д.м.н., ФГБУ «НМИЦ АГП им. В.И. Кулакова» </w:t>
      </w:r>
      <w:r>
        <w:t>Минздрава России.</w:t>
      </w:r>
    </w:p>
    <w:p w:rsidR="00547FE3" w:rsidRDefault="005F4898">
      <w:pPr>
        <w:numPr>
          <w:ilvl w:val="0"/>
          <w:numId w:val="17"/>
        </w:numPr>
        <w:ind w:right="148" w:hanging="425"/>
      </w:pPr>
      <w:r>
        <w:rPr>
          <w:b/>
        </w:rPr>
        <w:t>Мещеряков А.А.,</w:t>
      </w:r>
      <w:r>
        <w:t xml:space="preserve"> д.м.н., заместитель генерального директора по лечебной работе ФГБУ Федеральный Научно-Клинический центр Физико-химической медицины им. академика Ю.М. Лопухина ФМБА.</w:t>
      </w:r>
    </w:p>
    <w:p w:rsidR="00547FE3" w:rsidRDefault="005F4898">
      <w:pPr>
        <w:numPr>
          <w:ilvl w:val="0"/>
          <w:numId w:val="17"/>
        </w:numPr>
        <w:ind w:right="148" w:hanging="425"/>
      </w:pPr>
      <w:r>
        <w:rPr>
          <w:b/>
        </w:rPr>
        <w:t>Чекалова М.А.,</w:t>
      </w:r>
      <w:r>
        <w:t xml:space="preserve"> профессор, д.м.н., эксперт ультразвуковой </w:t>
      </w:r>
      <w:r>
        <w:t>диагностики, ФГБУ «ГНЦ ФМБЦ» им. А.И. Бурназяна.</w:t>
      </w:r>
    </w:p>
    <w:p w:rsidR="00547FE3" w:rsidRDefault="005F4898">
      <w:pPr>
        <w:numPr>
          <w:ilvl w:val="0"/>
          <w:numId w:val="17"/>
        </w:numPr>
        <w:ind w:right="148" w:hanging="425"/>
      </w:pPr>
      <w:r>
        <w:rPr>
          <w:b/>
        </w:rPr>
        <w:t>Ульрих Е.А.,</w:t>
      </w:r>
      <w:r>
        <w:t xml:space="preserve"> профессор, д.м.н., заведующая НИЛ онкогинекологии НЦМУ «Центр персонализированной медицины», главный научный сотрудник НИЛ репродуктивных технологий Института перинатологии и педиатрии, руководи</w:t>
      </w:r>
      <w:r>
        <w:t>тель центра компетенций «Центр Онкофертильности» НМИЦ им. В. А. Алмазова.</w:t>
      </w:r>
    </w:p>
    <w:p w:rsidR="00547FE3" w:rsidRDefault="005F4898">
      <w:pPr>
        <w:numPr>
          <w:ilvl w:val="0"/>
          <w:numId w:val="17"/>
        </w:numPr>
        <w:ind w:right="148" w:hanging="425"/>
      </w:pPr>
      <w:r>
        <w:rPr>
          <w:b/>
        </w:rPr>
        <w:t>Урманчеева А.Ф.,</w:t>
      </w:r>
      <w:r>
        <w:t xml:space="preserve"> д.м.н., профессор, доцент, заслуженный врач РФ, ведущий научный сотрудник отделения онкогинекологии ФГБУ «НМИЦ онкологии им. Н.Н. </w:t>
      </w:r>
    </w:p>
    <w:p w:rsidR="00547FE3" w:rsidRDefault="005F4898">
      <w:pPr>
        <w:spacing w:after="114" w:line="259" w:lineRule="auto"/>
        <w:ind w:left="721" w:right="148"/>
      </w:pPr>
      <w:r>
        <w:t>Петрова» Минздрава России.</w:t>
      </w:r>
    </w:p>
    <w:p w:rsidR="00547FE3" w:rsidRDefault="005F4898">
      <w:pPr>
        <w:numPr>
          <w:ilvl w:val="0"/>
          <w:numId w:val="17"/>
        </w:numPr>
        <w:ind w:right="148" w:hanging="425"/>
      </w:pPr>
      <w:r>
        <w:rPr>
          <w:b/>
        </w:rPr>
        <w:t>Коломие</w:t>
      </w:r>
      <w:r>
        <w:rPr>
          <w:b/>
        </w:rPr>
        <w:t xml:space="preserve">ц Л.А., </w:t>
      </w:r>
      <w:r>
        <w:t>д.м.н., профессор, заведующая гинекологическим отделением НИИ онкологии ФГБНУ «Томский НИМЦ РАН».</w:t>
      </w:r>
    </w:p>
    <w:p w:rsidR="00547FE3" w:rsidRDefault="005F4898">
      <w:pPr>
        <w:numPr>
          <w:ilvl w:val="0"/>
          <w:numId w:val="17"/>
        </w:numPr>
        <w:ind w:right="148" w:hanging="425"/>
      </w:pPr>
      <w:r>
        <w:rPr>
          <w:b/>
        </w:rPr>
        <w:t>Меньшенина А.П.,</w:t>
      </w:r>
      <w:r>
        <w:t xml:space="preserve"> д.м.н., ведущий научный сотрудник отдела опухолей репродуктивной системы ФГБУ «НМИЦ онкологии» Минздрава России.</w:t>
      </w:r>
    </w:p>
    <w:p w:rsidR="00547FE3" w:rsidRDefault="005F4898">
      <w:pPr>
        <w:numPr>
          <w:ilvl w:val="0"/>
          <w:numId w:val="17"/>
        </w:numPr>
        <w:ind w:right="148" w:hanging="425"/>
      </w:pPr>
      <w:r>
        <w:rPr>
          <w:b/>
        </w:rPr>
        <w:t xml:space="preserve">Новикова Е.Г., </w:t>
      </w:r>
      <w:r>
        <w:t>д.м.н</w:t>
      </w:r>
      <w:r>
        <w:t>., профессор, заместитель начальника отдела опухолей репродуктивных и мочевыводящих органов МНИОИ им. П.А. Герцена – филиал ФГБУ «НМИЦ радиологии» Минздрава России.</w:t>
      </w:r>
    </w:p>
    <w:p w:rsidR="00547FE3" w:rsidRDefault="005F4898">
      <w:pPr>
        <w:numPr>
          <w:ilvl w:val="0"/>
          <w:numId w:val="17"/>
        </w:numPr>
        <w:ind w:right="148" w:hanging="425"/>
      </w:pPr>
      <w:r>
        <w:rPr>
          <w:b/>
        </w:rPr>
        <w:t>Румянцев А</w:t>
      </w:r>
      <w:r>
        <w:t>.А., к.м.н., заведующий отделением противоопухолевой лекарственной терапии №4 ФГБ</w:t>
      </w:r>
      <w:r>
        <w:t>У «НМИЦ онкологии им. Н.Н. Блохина» Минздрава России.</w:t>
      </w:r>
    </w:p>
    <w:p w:rsidR="00547FE3" w:rsidRDefault="005F4898">
      <w:pPr>
        <w:numPr>
          <w:ilvl w:val="0"/>
          <w:numId w:val="17"/>
        </w:numPr>
        <w:ind w:right="148" w:hanging="425"/>
      </w:pPr>
      <w:r>
        <w:rPr>
          <w:b/>
        </w:rPr>
        <w:t>Тихоновская М.Н.</w:t>
      </w:r>
      <w:r>
        <w:t>, к.м.н., научный сотрудник отделения онкогинекологии ФГБУ «НМИЦ онкологии им. Н.Н. Блохина» Минздрава России.</w:t>
      </w:r>
    </w:p>
    <w:p w:rsidR="00547FE3" w:rsidRDefault="005F4898">
      <w:pPr>
        <w:numPr>
          <w:ilvl w:val="0"/>
          <w:numId w:val="17"/>
        </w:numPr>
        <w:ind w:right="148" w:hanging="425"/>
      </w:pPr>
      <w:r>
        <w:rPr>
          <w:b/>
        </w:rPr>
        <w:t xml:space="preserve">Хохлова С.В., </w:t>
      </w:r>
      <w:r>
        <w:t>д.м.н., заведующая онкологическим отделением противоопухолево</w:t>
      </w:r>
      <w:r>
        <w:t xml:space="preserve">й лекарственной терапии ФГБУ «НМИЦ АГиП им. академика В.И. Кулакова» Минздрава РФ. </w:t>
      </w:r>
    </w:p>
    <w:p w:rsidR="00547FE3" w:rsidRDefault="005F4898">
      <w:pPr>
        <w:numPr>
          <w:ilvl w:val="0"/>
          <w:numId w:val="17"/>
        </w:numPr>
        <w:ind w:right="148" w:hanging="425"/>
      </w:pPr>
      <w:r>
        <w:rPr>
          <w:b/>
        </w:rPr>
        <w:t>Шевчук А.С.</w:t>
      </w:r>
      <w:r>
        <w:t>, к.м.н., заведующий отделением онкогинекологии ФГБУ «НМИЦ онкологии им. Н.Н. Блохина» Минздрава России.</w:t>
      </w:r>
    </w:p>
    <w:p w:rsidR="00547FE3" w:rsidRDefault="005F4898">
      <w:pPr>
        <w:numPr>
          <w:ilvl w:val="0"/>
          <w:numId w:val="17"/>
        </w:numPr>
        <w:spacing w:line="288" w:lineRule="auto"/>
        <w:ind w:right="148" w:hanging="425"/>
      </w:pPr>
      <w:r>
        <w:rPr>
          <w:b/>
        </w:rPr>
        <w:t xml:space="preserve">Болотина Л.В., </w:t>
      </w:r>
      <w:r>
        <w:t>д.м.н., профессор РАН, заведующая отделением химиотерапии отдела лекарственного лечения опухолей МНИОИ им. П.А. Герцена - филиал ФГБУ «НМИЦ радиологии» Минздрава России.</w:t>
      </w:r>
    </w:p>
    <w:p w:rsidR="00547FE3" w:rsidRDefault="005F4898">
      <w:pPr>
        <w:numPr>
          <w:ilvl w:val="0"/>
          <w:numId w:val="17"/>
        </w:numPr>
        <w:ind w:right="148" w:hanging="425"/>
      </w:pPr>
      <w:r>
        <w:rPr>
          <w:b/>
        </w:rPr>
        <w:t xml:space="preserve">Дмитриев В.Н., </w:t>
      </w:r>
      <w:r>
        <w:t xml:space="preserve">д.м.н., заведующий дневным стационаром противоопухолевой лекарственной </w:t>
      </w:r>
      <w:r>
        <w:t>терапии, врач-онколог отделения противоопухолевой лекарственной терапии МРНЦ им. А.Ф. Цыба - филиал ФГБУ «НМИЦ радиологии» Минздрава России.</w:t>
      </w:r>
    </w:p>
    <w:p w:rsidR="00547FE3" w:rsidRDefault="005F4898">
      <w:pPr>
        <w:numPr>
          <w:ilvl w:val="0"/>
          <w:numId w:val="17"/>
        </w:numPr>
        <w:ind w:right="148" w:hanging="425"/>
      </w:pPr>
      <w:r>
        <w:rPr>
          <w:b/>
        </w:rPr>
        <w:t xml:space="preserve">Телетаева Г.М., </w:t>
      </w:r>
      <w:r>
        <w:t>к.м.н., врач онколог, научный сотрудник, заведующая отделением противоопухолевой лекарственной тера</w:t>
      </w:r>
      <w:r>
        <w:t>пии ФГБУ «НМИЦ онкологии им. Н.Н. Петрова» Минздрава России.</w:t>
      </w:r>
    </w:p>
    <w:p w:rsidR="00547FE3" w:rsidRDefault="005F4898">
      <w:pPr>
        <w:numPr>
          <w:ilvl w:val="0"/>
          <w:numId w:val="17"/>
        </w:numPr>
        <w:spacing w:after="488"/>
        <w:ind w:right="148" w:hanging="425"/>
      </w:pPr>
      <w:r>
        <w:rPr>
          <w:b/>
        </w:rPr>
        <w:t xml:space="preserve">Вереникина Е.В., </w:t>
      </w:r>
      <w:r>
        <w:t>д.м.н., доцент, заведующая отделением онкогинекологии ФГБУ «НМИЦ онкологии» Минздрава России.</w:t>
      </w:r>
    </w:p>
    <w:p w:rsidR="00547FE3" w:rsidRDefault="005F4898">
      <w:pPr>
        <w:spacing w:after="108" w:line="265" w:lineRule="auto"/>
        <w:ind w:left="721"/>
        <w:jc w:val="left"/>
      </w:pPr>
      <w:r>
        <w:rPr>
          <w:b/>
        </w:rPr>
        <w:t>Блок по медицинской реабилитации</w:t>
      </w:r>
    </w:p>
    <w:p w:rsidR="00547FE3" w:rsidRDefault="005F4898">
      <w:pPr>
        <w:numPr>
          <w:ilvl w:val="0"/>
          <w:numId w:val="18"/>
        </w:numPr>
        <w:ind w:right="148" w:hanging="283"/>
      </w:pPr>
      <w:r>
        <w:rPr>
          <w:b/>
        </w:rPr>
        <w:t>Кончугова Т.В.,</w:t>
      </w:r>
      <w:r>
        <w:t xml:space="preserve"> профессор, д.м.н., врач-физиотерапе</w:t>
      </w:r>
      <w:r>
        <w:t>вт, заведующая отделом преформированных физических факторов ФГБУ «НМИЦ реабилитации и курортологии» Минздрава России.</w:t>
      </w:r>
    </w:p>
    <w:p w:rsidR="00547FE3" w:rsidRDefault="005F4898">
      <w:pPr>
        <w:numPr>
          <w:ilvl w:val="0"/>
          <w:numId w:val="18"/>
        </w:numPr>
        <w:ind w:right="148" w:hanging="283"/>
      </w:pPr>
      <w:r>
        <w:rPr>
          <w:b/>
        </w:rPr>
        <w:t>Обухова О.А.</w:t>
      </w:r>
      <w:r>
        <w:t>, к.м.н., врач ФРМ отделения реабилитации ФГБУ «НМИЦ онкологии им. Н.Н. Блохина» Минздрава России, член Европейской ассоциации</w:t>
      </w:r>
      <w:r>
        <w:t xml:space="preserve"> парентерального и энтерального питания (ESPEN), член Российской ассоциации парентерального и энтерального питания (RESPEN).</w:t>
      </w:r>
    </w:p>
    <w:p w:rsidR="00547FE3" w:rsidRDefault="005F4898">
      <w:pPr>
        <w:numPr>
          <w:ilvl w:val="0"/>
          <w:numId w:val="18"/>
        </w:numPr>
        <w:ind w:right="148" w:hanging="283"/>
      </w:pPr>
      <w:r>
        <w:rPr>
          <w:b/>
        </w:rPr>
        <w:t>Семиглазова Т.Ю.,</w:t>
      </w:r>
      <w:r>
        <w:t xml:space="preserve"> д.м.н., профессор, заведующая отделом, ведущий научный сотрудник научного отдела инновационных методов терапевтич</w:t>
      </w:r>
      <w:r>
        <w:t>еской онкологии и реабилитации ФГБУ «НМИЦ онкологии им. Н.Н. Петрова» Минздрава России, профессор кафедры онкологии ФГБОУ ВО «СЗГМУ им. И.И. Мечникова» Минздрава России.</w:t>
      </w:r>
    </w:p>
    <w:p w:rsidR="00547FE3" w:rsidRDefault="005F4898">
      <w:pPr>
        <w:numPr>
          <w:ilvl w:val="0"/>
          <w:numId w:val="18"/>
        </w:numPr>
        <w:ind w:right="148" w:hanging="283"/>
      </w:pPr>
      <w:r>
        <w:rPr>
          <w:b/>
        </w:rPr>
        <w:t>Иванова Г.Е.,</w:t>
      </w:r>
      <w:r>
        <w:t xml:space="preserve"> д.м.н., главный специалист по медицинской реабилитации Минздрава России,</w:t>
      </w:r>
      <w:r>
        <w:t xml:space="preserve"> заведующая отделом медико-социальной реабилитации инсульта НИИ ЦВПИ РНИМУ им. Н.И. Пирогова Минздрава России.</w:t>
      </w:r>
    </w:p>
    <w:p w:rsidR="00547FE3" w:rsidRDefault="005F4898">
      <w:pPr>
        <w:numPr>
          <w:ilvl w:val="0"/>
          <w:numId w:val="18"/>
        </w:numPr>
        <w:spacing w:after="502"/>
        <w:ind w:right="148" w:hanging="283"/>
      </w:pPr>
      <w:r>
        <w:rPr>
          <w:b/>
        </w:rPr>
        <w:t>Степанова А.М.,</w:t>
      </w:r>
      <w:r>
        <w:t xml:space="preserve"> к.м.н., зам. генерального директора по науке и образованию ФГБУ ФНКЦ МРиК ФМБА России.</w:t>
      </w:r>
    </w:p>
    <w:p w:rsidR="00547FE3" w:rsidRDefault="005F4898">
      <w:pPr>
        <w:spacing w:after="71" w:line="265" w:lineRule="auto"/>
        <w:ind w:left="-3"/>
        <w:jc w:val="left"/>
      </w:pPr>
      <w:r>
        <w:rPr>
          <w:b/>
          <w:sz w:val="28"/>
        </w:rPr>
        <w:t xml:space="preserve">          </w:t>
      </w:r>
      <w:r>
        <w:rPr>
          <w:b/>
        </w:rPr>
        <w:t xml:space="preserve">Блок по организации медицинской </w:t>
      </w:r>
      <w:r>
        <w:rPr>
          <w:b/>
        </w:rPr>
        <w:t>помощи</w:t>
      </w:r>
    </w:p>
    <w:p w:rsidR="00547FE3" w:rsidRDefault="005F4898">
      <w:pPr>
        <w:numPr>
          <w:ilvl w:val="0"/>
          <w:numId w:val="19"/>
        </w:numPr>
        <w:ind w:right="148" w:hanging="360"/>
      </w:pPr>
      <w:r>
        <w:rPr>
          <w:b/>
        </w:rPr>
        <w:t xml:space="preserve">Геворкян Т.Г., </w:t>
      </w:r>
      <w:r>
        <w:t>заместитель директора по реализации федеральных проектов ФГБУ «НМИЦ онкологии им. Н.Н. Блохина» Минздрава России.</w:t>
      </w:r>
    </w:p>
    <w:p w:rsidR="00547FE3" w:rsidRDefault="005F4898">
      <w:pPr>
        <w:numPr>
          <w:ilvl w:val="0"/>
          <w:numId w:val="19"/>
        </w:numPr>
        <w:ind w:right="148" w:hanging="360"/>
      </w:pPr>
      <w:r>
        <w:rPr>
          <w:b/>
        </w:rPr>
        <w:t xml:space="preserve">Иванов С.А., </w:t>
      </w:r>
      <w:r>
        <w:t xml:space="preserve">д.м.н., профессор, член-корреспондент РАН, заслуженный врач РФ, директор МРНЦ им. А.Ф. Цыба — филиала ФГБУ </w:t>
      </w:r>
      <w:r>
        <w:t>«НМИЦ радиологии» Минздрава России, главный внештатный специалист-онколог ЦФО Минздрава России.</w:t>
      </w:r>
    </w:p>
    <w:p w:rsidR="00547FE3" w:rsidRDefault="005F4898">
      <w:pPr>
        <w:numPr>
          <w:ilvl w:val="0"/>
          <w:numId w:val="19"/>
        </w:numPr>
        <w:ind w:right="148" w:hanging="360"/>
      </w:pPr>
      <w:r>
        <w:rPr>
          <w:b/>
        </w:rPr>
        <w:t xml:space="preserve">Хайлова Ж.В., </w:t>
      </w:r>
      <w:r>
        <w:t>к.м.н.  заместитель директора по организационно-методической работе МРНЦ им. А.Ф. Цыба – филиала ФГБУ «НМИЦ радиологии» Минздрава России.</w:t>
      </w:r>
    </w:p>
    <w:p w:rsidR="00547FE3" w:rsidRDefault="005F4898">
      <w:pPr>
        <w:numPr>
          <w:ilvl w:val="0"/>
          <w:numId w:val="19"/>
        </w:numPr>
        <w:ind w:right="148" w:hanging="360"/>
      </w:pPr>
      <w:r>
        <w:rPr>
          <w:b/>
        </w:rPr>
        <w:t xml:space="preserve">Комаров </w:t>
      </w:r>
      <w:r>
        <w:rPr>
          <w:b/>
        </w:rPr>
        <w:t xml:space="preserve">Ю.И., </w:t>
      </w:r>
      <w:r>
        <w:t>к.м.н., заместитель директора по организационно-методической работе ФГБУ «НМИЦ онкологии им. Н. Н. Петрова» Минздрава России.</w:t>
      </w:r>
    </w:p>
    <w:p w:rsidR="00547FE3" w:rsidRDefault="005F4898">
      <w:pPr>
        <w:numPr>
          <w:ilvl w:val="0"/>
          <w:numId w:val="19"/>
        </w:numPr>
        <w:spacing w:after="405"/>
        <w:ind w:right="148" w:hanging="360"/>
      </w:pPr>
      <w:r>
        <w:rPr>
          <w:b/>
        </w:rPr>
        <w:t xml:space="preserve">Фоменко Ю.А., </w:t>
      </w:r>
      <w:r>
        <w:t>к.м.н., заместитель генерального директора по клинико-экспертной работе ФГБУ "НМИЦ онкологии" Минздрава России</w:t>
      </w:r>
      <w:r>
        <w:t>.</w:t>
      </w:r>
    </w:p>
    <w:p w:rsidR="00547FE3" w:rsidRDefault="005F4898">
      <w:pPr>
        <w:spacing w:after="94" w:line="265" w:lineRule="auto"/>
        <w:ind w:left="721"/>
        <w:jc w:val="left"/>
      </w:pPr>
      <w:r>
        <w:rPr>
          <w:b/>
        </w:rPr>
        <w:t>Блок по сопроводительной терапии</w:t>
      </w:r>
    </w:p>
    <w:p w:rsidR="00547FE3" w:rsidRDefault="005F4898">
      <w:pPr>
        <w:numPr>
          <w:ilvl w:val="0"/>
          <w:numId w:val="20"/>
        </w:numPr>
        <w:spacing w:after="120" w:line="259" w:lineRule="auto"/>
        <w:ind w:right="148" w:hanging="360"/>
      </w:pPr>
      <w:r>
        <w:rPr>
          <w:b/>
        </w:rPr>
        <w:t>Гладков О.А</w:t>
      </w:r>
      <w:r>
        <w:t>., профессор, д.м.н., директор медицинского центра ООО “ЭВИМЕД”.</w:t>
      </w:r>
    </w:p>
    <w:p w:rsidR="00547FE3" w:rsidRDefault="005F4898">
      <w:pPr>
        <w:numPr>
          <w:ilvl w:val="0"/>
          <w:numId w:val="20"/>
        </w:numPr>
        <w:spacing w:after="419"/>
        <w:ind w:right="148" w:hanging="360"/>
      </w:pPr>
      <w:r>
        <w:rPr>
          <w:b/>
        </w:rPr>
        <w:t>Карасева В.В.,</w:t>
      </w:r>
      <w:r>
        <w:t xml:space="preserve"> д.м.н., доцент, профессор, кафедра онкологии ИНОПР ФГБОУ ВО РНИМУ им. Н.И. Пирогова Минздрава России.</w:t>
      </w:r>
    </w:p>
    <w:p w:rsidR="00547FE3" w:rsidRDefault="005F4898">
      <w:pPr>
        <w:spacing w:after="348" w:line="265" w:lineRule="auto"/>
        <w:ind w:left="-3"/>
        <w:jc w:val="left"/>
      </w:pPr>
      <w:r>
        <w:rPr>
          <w:b/>
        </w:rPr>
        <w:t>Конфликта интересов нет.</w:t>
      </w:r>
    </w:p>
    <w:p w:rsidR="00547FE3" w:rsidRDefault="005F4898">
      <w:pPr>
        <w:pStyle w:val="Heading1"/>
        <w:spacing w:after="448" w:line="265" w:lineRule="auto"/>
        <w:ind w:left="179" w:right="0"/>
        <w:jc w:val="left"/>
      </w:pPr>
      <w:r>
        <w:t>Приложение А2. Методология разработки клинических рекомендаций</w:t>
      </w:r>
    </w:p>
    <w:p w:rsidR="00547FE3" w:rsidRDefault="005F4898">
      <w:pPr>
        <w:spacing w:after="305" w:line="265" w:lineRule="auto"/>
        <w:ind w:left="721"/>
        <w:jc w:val="left"/>
      </w:pPr>
      <w:r>
        <w:rPr>
          <w:b/>
        </w:rPr>
        <w:t>Целевая аудитория данных клинических рекомендаций:</w:t>
      </w:r>
    </w:p>
    <w:p w:rsidR="00547FE3" w:rsidRDefault="005F4898">
      <w:pPr>
        <w:numPr>
          <w:ilvl w:val="0"/>
          <w:numId w:val="21"/>
        </w:numPr>
        <w:spacing w:after="120" w:line="259" w:lineRule="auto"/>
        <w:ind w:right="148" w:hanging="360"/>
      </w:pPr>
      <w:r>
        <w:t>врачи акушеры-гинекологи;</w:t>
      </w:r>
    </w:p>
    <w:p w:rsidR="00547FE3" w:rsidRDefault="005F4898">
      <w:pPr>
        <w:numPr>
          <w:ilvl w:val="0"/>
          <w:numId w:val="21"/>
        </w:numPr>
        <w:spacing w:after="120" w:line="259" w:lineRule="auto"/>
        <w:ind w:right="148" w:hanging="360"/>
      </w:pPr>
      <w:r>
        <w:t>врачи-онкологи;</w:t>
      </w:r>
    </w:p>
    <w:p w:rsidR="00547FE3" w:rsidRDefault="005F4898">
      <w:pPr>
        <w:numPr>
          <w:ilvl w:val="0"/>
          <w:numId w:val="21"/>
        </w:numPr>
        <w:spacing w:after="120" w:line="259" w:lineRule="auto"/>
        <w:ind w:right="148" w:hanging="360"/>
      </w:pPr>
      <w:r>
        <w:t>врачи-хирурги;</w:t>
      </w:r>
    </w:p>
    <w:p w:rsidR="00547FE3" w:rsidRDefault="005F4898">
      <w:pPr>
        <w:numPr>
          <w:ilvl w:val="0"/>
          <w:numId w:val="21"/>
        </w:numPr>
        <w:ind w:right="148" w:hanging="360"/>
      </w:pPr>
      <w:r>
        <w:t>врачи-радиотерапевты; –</w:t>
      </w:r>
      <w:r>
        <w:tab/>
        <w:t>врачи-генетики.</w:t>
      </w:r>
    </w:p>
    <w:p w:rsidR="00547FE3" w:rsidRDefault="005F4898">
      <w:pPr>
        <w:spacing w:after="1" w:line="359" w:lineRule="auto"/>
        <w:ind w:left="-13" w:right="77" w:firstLine="709"/>
        <w:jc w:val="left"/>
      </w:pPr>
      <w:r>
        <w:rPr>
          <w:b/>
        </w:rPr>
        <w:t>Методы, использованные для сбора/селекции док</w:t>
      </w:r>
      <w:r>
        <w:rPr>
          <w:b/>
        </w:rPr>
        <w:t>азательств:</w:t>
      </w:r>
      <w:r>
        <w:t xml:space="preserve"> </w:t>
      </w:r>
      <w:r>
        <w:tab/>
        <w:t>поиск в электронных базах данных; анализ современных научных разработок по проблеме РБ в Российской Федерации и за рубежом; обобщение практического опыта российских и зарубежных специалистов.</w:t>
      </w:r>
    </w:p>
    <w:p w:rsidR="00547FE3" w:rsidRDefault="005F4898">
      <w:pPr>
        <w:spacing w:line="259" w:lineRule="auto"/>
        <w:ind w:left="-3" w:right="148"/>
      </w:pPr>
      <w:r>
        <w:rPr>
          <w:b/>
        </w:rPr>
        <w:t>Таблица 5.</w:t>
      </w:r>
      <w:r>
        <w:t xml:space="preserve"> Шкала оценки уровней достоверности доказ</w:t>
      </w:r>
      <w:r>
        <w:t>ательств для методов диагностики (диагностических вмешательств)</w:t>
      </w:r>
    </w:p>
    <w:tbl>
      <w:tblPr>
        <w:tblStyle w:val="TableGrid"/>
        <w:tblW w:w="9356" w:type="dxa"/>
        <w:tblInd w:w="5" w:type="dxa"/>
        <w:tblCellMar>
          <w:top w:w="15" w:type="dxa"/>
          <w:left w:w="109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796"/>
        <w:gridCol w:w="7560"/>
      </w:tblGrid>
      <w:tr w:rsidR="00547FE3">
        <w:trPr>
          <w:trHeight w:val="838"/>
        </w:trPr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28"/>
              <w:jc w:val="center"/>
            </w:pPr>
            <w:r>
              <w:rPr>
                <w:b/>
              </w:rPr>
              <w:t>Уровень достоверности доказательств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Расшифровка</w:t>
            </w:r>
          </w:p>
        </w:tc>
      </w:tr>
      <w:tr w:rsidR="00547FE3">
        <w:trPr>
          <w:trHeight w:val="838"/>
        </w:trPr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59" w:firstLine="0"/>
              <w:jc w:val="center"/>
            </w:pPr>
            <w:r>
              <w:t>1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70" w:firstLine="0"/>
            </w:pPr>
            <w:r>
              <w:t xml:space="preserve">Систематические обзоры исследований с контролем референтным методом или систематический обзор рандомизированных клинических </w:t>
            </w:r>
            <w:r>
              <w:t>исследований с применением метаанализа</w:t>
            </w:r>
          </w:p>
        </w:tc>
      </w:tr>
      <w:tr w:rsidR="00547FE3">
        <w:trPr>
          <w:trHeight w:val="1390"/>
        </w:trPr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59" w:firstLine="0"/>
              <w:jc w:val="center"/>
            </w:pPr>
            <w:r>
              <w:t>2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7" w:firstLine="0"/>
            </w:pPr>
            <w:r>
              <w:t xml:space="preserve">Отдельные исследования с контролем референтным методом или отдельные рандомизированные клинические исследования и систематические обзоры исследований любого дизайна, за </w:t>
            </w:r>
            <w:r>
              <w:t>исключением рандомизированных клинических исследований с применением метаанализа</w:t>
            </w:r>
          </w:p>
        </w:tc>
      </w:tr>
      <w:tr w:rsidR="00547FE3">
        <w:trPr>
          <w:trHeight w:val="1114"/>
        </w:trPr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59" w:firstLine="0"/>
              <w:jc w:val="center"/>
            </w:pPr>
            <w:r>
              <w:t>3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9" w:firstLine="0"/>
            </w:pPr>
            <w:r>
              <w:t xml:space="preserve">Исследования без последовательного контроля референтным методом или исследования с референтным методом, не являющимся </w:t>
            </w:r>
            <w:r>
              <w:t>независимым от исследуемого метода, или нерандомизированные сравнительные исследования, в том числе когортные исследования</w:t>
            </w:r>
          </w:p>
        </w:tc>
      </w:tr>
      <w:tr w:rsidR="00547FE3">
        <w:trPr>
          <w:trHeight w:val="286"/>
        </w:trPr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59" w:firstLine="0"/>
              <w:jc w:val="center"/>
            </w:pPr>
            <w:r>
              <w:t>4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Несравнительные исследования, описание клинического случая</w:t>
            </w:r>
          </w:p>
        </w:tc>
      </w:tr>
      <w:tr w:rsidR="00547FE3">
        <w:trPr>
          <w:trHeight w:val="286"/>
        </w:trPr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59" w:firstLine="0"/>
              <w:jc w:val="center"/>
            </w:pPr>
            <w:r>
              <w:t>5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Имеется лишь обоснование механизма действия или мнение экспертов</w:t>
            </w:r>
          </w:p>
        </w:tc>
      </w:tr>
    </w:tbl>
    <w:p w:rsidR="00547FE3" w:rsidRDefault="005F4898">
      <w:pPr>
        <w:spacing w:line="259" w:lineRule="auto"/>
        <w:ind w:left="-13" w:right="148" w:firstLine="709"/>
      </w:pPr>
      <w:r>
        <w:rPr>
          <w:b/>
        </w:rPr>
        <w:t>Таблица 6.</w:t>
      </w:r>
      <w:r>
        <w:t xml:space="preserve"> Шкала оценки уровней достоверности доказательств (УДД) для методов профилактики, лечения, медицинской реабилитации, в том числе основанных на использовании природных лечебных факторов (профилактических, лечебных, реабилитационных вмешательств)</w:t>
      </w:r>
    </w:p>
    <w:tbl>
      <w:tblPr>
        <w:tblStyle w:val="TableGrid"/>
        <w:tblW w:w="9356" w:type="dxa"/>
        <w:tblInd w:w="5" w:type="dxa"/>
        <w:tblCellMar>
          <w:top w:w="15" w:type="dxa"/>
          <w:left w:w="0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768"/>
        <w:gridCol w:w="2144"/>
        <w:gridCol w:w="292"/>
        <w:gridCol w:w="3431"/>
        <w:gridCol w:w="292"/>
        <w:gridCol w:w="1429"/>
      </w:tblGrid>
      <w:tr w:rsidR="00547FE3">
        <w:trPr>
          <w:trHeight w:val="1390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38" w:lineRule="auto"/>
              <w:ind w:left="98" w:right="48" w:firstLine="0"/>
              <w:jc w:val="center"/>
            </w:pPr>
            <w:r>
              <w:rPr>
                <w:b/>
              </w:rPr>
              <w:t>У</w:t>
            </w:r>
            <w:r>
              <w:rPr>
                <w:b/>
              </w:rPr>
              <w:t xml:space="preserve">ровень достоверност и </w:t>
            </w:r>
          </w:p>
          <w:p w:rsidR="00547FE3" w:rsidRDefault="005F4898">
            <w:pPr>
              <w:spacing w:after="0" w:line="259" w:lineRule="auto"/>
              <w:ind w:left="108" w:right="58" w:firstLine="0"/>
              <w:jc w:val="center"/>
            </w:pPr>
            <w:r>
              <w:rPr>
                <w:b/>
              </w:rPr>
              <w:t>доказательст в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4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547FE3" w:rsidRDefault="005F4898">
            <w:pPr>
              <w:spacing w:after="0" w:line="259" w:lineRule="auto"/>
              <w:ind w:left="599" w:firstLine="0"/>
              <w:jc w:val="left"/>
            </w:pPr>
            <w:r>
              <w:rPr>
                <w:b/>
              </w:rPr>
              <w:t>Расшифровка</w:t>
            </w:r>
          </w:p>
        </w:tc>
        <w:tc>
          <w:tcPr>
            <w:tcW w:w="2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</w:tr>
      <w:tr w:rsidR="00547FE3">
        <w:trPr>
          <w:trHeight w:val="286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51" w:firstLine="0"/>
              <w:jc w:val="center"/>
            </w:pPr>
            <w:r>
              <w:t>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7FE3" w:rsidRDefault="005F4898">
            <w:pPr>
              <w:spacing w:after="0" w:line="259" w:lineRule="auto"/>
              <w:ind w:left="110" w:firstLine="0"/>
              <w:jc w:val="left"/>
            </w:pPr>
            <w:r>
              <w:t>Систематический</w:t>
            </w:r>
          </w:p>
        </w:tc>
        <w:tc>
          <w:tcPr>
            <w:tcW w:w="2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4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47FE3" w:rsidRDefault="005F4898">
            <w:pPr>
              <w:tabs>
                <w:tab w:val="right" w:pos="3385"/>
              </w:tabs>
              <w:spacing w:after="0" w:line="259" w:lineRule="auto"/>
              <w:ind w:left="0" w:firstLine="0"/>
              <w:jc w:val="left"/>
            </w:pPr>
            <w:r>
              <w:t>обзор</w:t>
            </w:r>
            <w:r>
              <w:tab/>
              <w:t xml:space="preserve"> рандомизированных</w:t>
            </w:r>
          </w:p>
        </w:tc>
        <w:tc>
          <w:tcPr>
            <w:tcW w:w="2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</w:pPr>
            <w:r>
              <w:t xml:space="preserve">клинических </w:t>
            </w:r>
          </w:p>
        </w:tc>
      </w:tr>
      <w:tr w:rsidR="00547FE3">
        <w:trPr>
          <w:trHeight w:val="286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исследований с применением метаанализа</w:t>
            </w:r>
          </w:p>
        </w:tc>
      </w:tr>
      <w:tr w:rsidR="00547FE3">
        <w:trPr>
          <w:trHeight w:val="1114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>2</w:t>
            </w:r>
          </w:p>
        </w:tc>
        <w:tc>
          <w:tcPr>
            <w:tcW w:w="75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2" w:firstLine="0"/>
            </w:pPr>
            <w:r>
              <w:t xml:space="preserve">Отдельные рандомизированные клинические исследования и </w:t>
            </w:r>
            <w:r>
              <w:t>систематические обзоры исследований любого дизайна, за исключением рандомизированных клинических исследований с применением метаанализа</w:t>
            </w:r>
          </w:p>
        </w:tc>
      </w:tr>
      <w:tr w:rsidR="00547FE3">
        <w:trPr>
          <w:trHeight w:val="56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>3</w:t>
            </w:r>
          </w:p>
        </w:tc>
        <w:tc>
          <w:tcPr>
            <w:tcW w:w="75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Нерандомизированные сравнительные исследования, в том числе когортные исследования</w:t>
            </w:r>
          </w:p>
        </w:tc>
      </w:tr>
      <w:tr w:rsidR="00547FE3">
        <w:trPr>
          <w:trHeight w:val="56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>4</w:t>
            </w:r>
          </w:p>
        </w:tc>
        <w:tc>
          <w:tcPr>
            <w:tcW w:w="75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</w:pPr>
            <w:r>
              <w:t>Несравнительные исследования, описание клинического случая или серии случаев, исследования «случай – контроль»</w:t>
            </w:r>
          </w:p>
        </w:tc>
      </w:tr>
      <w:tr w:rsidR="00547FE3">
        <w:trPr>
          <w:trHeight w:val="562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>5</w:t>
            </w:r>
          </w:p>
        </w:tc>
        <w:tc>
          <w:tcPr>
            <w:tcW w:w="75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</w:pPr>
            <w:r>
              <w:t>Имеется лишь обоснование механизма действия вмешательства (доклинические исследования) или мнение экспертов</w:t>
            </w:r>
          </w:p>
        </w:tc>
      </w:tr>
    </w:tbl>
    <w:p w:rsidR="00547FE3" w:rsidRDefault="005F4898">
      <w:pPr>
        <w:spacing w:line="259" w:lineRule="auto"/>
        <w:ind w:left="-3" w:right="148"/>
      </w:pPr>
      <w:r>
        <w:rPr>
          <w:b/>
        </w:rPr>
        <w:t>Таблица 7.</w:t>
      </w:r>
      <w:r>
        <w:t xml:space="preserve"> Шкала оценки уровней у</w:t>
      </w:r>
      <w:r>
        <w:t>бедительности рекомендаций (УУР) для методов профилактики, диагностики, лечения, медицинской реабилитации, в том числе основанных на использовании природных лечебных факторов (профилактических, диагностических, лечебных, реабилитационных вмешательств)</w:t>
      </w:r>
    </w:p>
    <w:tbl>
      <w:tblPr>
        <w:tblStyle w:val="TableGrid"/>
        <w:tblW w:w="9356" w:type="dxa"/>
        <w:tblInd w:w="5" w:type="dxa"/>
        <w:tblCellMar>
          <w:top w:w="15" w:type="dxa"/>
          <w:left w:w="109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932"/>
        <w:gridCol w:w="7424"/>
      </w:tblGrid>
      <w:tr w:rsidR="00547FE3">
        <w:trPr>
          <w:trHeight w:val="838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28"/>
              <w:jc w:val="center"/>
            </w:pPr>
            <w:r>
              <w:rPr>
                <w:b/>
              </w:rPr>
              <w:t>Уровень убедительности рекомендаций</w:t>
            </w:r>
          </w:p>
        </w:tc>
        <w:tc>
          <w:tcPr>
            <w:tcW w:w="7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Расшифровка</w:t>
            </w:r>
          </w:p>
        </w:tc>
      </w:tr>
      <w:tr w:rsidR="00547FE3">
        <w:trPr>
          <w:trHeight w:val="1114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0" w:firstLine="0"/>
              <w:jc w:val="center"/>
            </w:pPr>
            <w:r>
              <w:t>A</w:t>
            </w:r>
          </w:p>
        </w:tc>
        <w:tc>
          <w:tcPr>
            <w:tcW w:w="7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6" w:firstLine="0"/>
            </w:pPr>
            <w:r>
              <w:t>Сильная рекомендация (все рассматриваемые критерии эффективности (исходы) являются важными, все исследования имеют высокое или удовлетворительное методологическое качество, их выводы по интересующим исхода</w:t>
            </w:r>
            <w:r>
              <w:t xml:space="preserve">м являются согласованными) </w:t>
            </w:r>
          </w:p>
        </w:tc>
      </w:tr>
      <w:tr w:rsidR="00547FE3">
        <w:trPr>
          <w:trHeight w:val="139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59" w:firstLine="0"/>
              <w:jc w:val="center"/>
            </w:pPr>
            <w:r>
              <w:t>B</w:t>
            </w:r>
          </w:p>
        </w:tc>
        <w:tc>
          <w:tcPr>
            <w:tcW w:w="7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8" w:firstLine="0"/>
            </w:pPr>
            <w:r>
              <w:t xml:space="preserve">Условная рекомендация (не все рассматриваемые критерии эффективности (исходы) являются важными, не все исследования имеют высокое или удовлетворительное методологическое качество, </w:t>
            </w:r>
            <w:r>
              <w:t xml:space="preserve">и/или их выводы по интересующим исходам не являются согласованными) </w:t>
            </w:r>
          </w:p>
        </w:tc>
      </w:tr>
      <w:tr w:rsidR="00547FE3">
        <w:trPr>
          <w:trHeight w:val="1390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59" w:firstLine="0"/>
              <w:jc w:val="center"/>
            </w:pPr>
            <w:r>
              <w:t>C</w:t>
            </w:r>
          </w:p>
        </w:tc>
        <w:tc>
          <w:tcPr>
            <w:tcW w:w="7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8" w:firstLine="0"/>
            </w:pPr>
            <w:r>
              <w:t>Слабая рекомендация (отсутствие доказательств надлежащего качества (все рассматриваемые критерии эффективности (исходы) являются неважными, все исследования имеют низкое методологическ</w:t>
            </w:r>
            <w:r>
              <w:t xml:space="preserve">ое качество, и их выводы по интересующим исходам не являются согласованными) </w:t>
            </w:r>
          </w:p>
        </w:tc>
      </w:tr>
    </w:tbl>
    <w:p w:rsidR="00547FE3" w:rsidRDefault="005F4898">
      <w:pPr>
        <w:ind w:left="-13" w:right="148" w:firstLine="709"/>
      </w:pPr>
      <w:r>
        <w:rPr>
          <w:b/>
        </w:rPr>
        <w:t xml:space="preserve">Порядок обновления клинических рекомендаций. </w:t>
      </w:r>
      <w:r>
        <w:t xml:space="preserve">Механизм обновления клинических рекомендаций предусматривает их систематическую актуализацию – не реже </w:t>
      </w:r>
      <w:r>
        <w:t>чем 1 раз в 3 года, а также при появлении новых данных с позиции доказательной медицины по вопросам диагностики, лечения, профилактики и реабилитации конкретных заболеваний, наличии обоснованных дополнений/замечаний к ранее утвержденным клиническим рекомен</w:t>
      </w:r>
      <w:r>
        <w:t>дациям, но не чаще 1 раза в 6 мес.</w:t>
      </w:r>
    </w:p>
    <w:p w:rsidR="00547FE3" w:rsidRDefault="005F4898">
      <w:pPr>
        <w:spacing w:after="0" w:line="357" w:lineRule="auto"/>
        <w:ind w:left="-13" w:firstLine="709"/>
        <w:jc w:val="left"/>
      </w:pPr>
      <w:r>
        <w:rPr>
          <w:b/>
        </w:rPr>
        <w:t xml:space="preserve">Методы, использованные для формулирования рекомендаций </w:t>
      </w:r>
      <w:r>
        <w:t xml:space="preserve">– консенсус экспертов. </w:t>
      </w:r>
    </w:p>
    <w:p w:rsidR="00547FE3" w:rsidRDefault="005F4898">
      <w:pPr>
        <w:ind w:left="-13" w:right="148" w:firstLine="709"/>
      </w:pPr>
      <w:r>
        <w:rPr>
          <w:b/>
        </w:rPr>
        <w:t xml:space="preserve">Экономический анализ. </w:t>
      </w:r>
      <w:r>
        <w:t>Анализ стоимости не проводился и публикации по фармакоэкономике не анализировались.</w:t>
      </w:r>
    </w:p>
    <w:p w:rsidR="00547FE3" w:rsidRDefault="005F4898">
      <w:pPr>
        <w:spacing w:after="348" w:line="265" w:lineRule="auto"/>
        <w:ind w:left="721"/>
        <w:jc w:val="left"/>
      </w:pPr>
      <w:r>
        <w:rPr>
          <w:b/>
        </w:rPr>
        <w:t>Метод валидизации рекомендаций:</w:t>
      </w:r>
    </w:p>
    <w:p w:rsidR="00547FE3" w:rsidRDefault="005F4898">
      <w:pPr>
        <w:spacing w:after="114" w:line="259" w:lineRule="auto"/>
        <w:ind w:left="372" w:right="148"/>
      </w:pPr>
      <w:r>
        <w:rPr>
          <w:rFonts w:ascii="Segoe UI Symbol" w:eastAsia="Segoe UI Symbol" w:hAnsi="Segoe UI Symbol" w:cs="Segoe UI Symbol"/>
          <w:sz w:val="20"/>
        </w:rPr>
        <w:t xml:space="preserve">· </w:t>
      </w:r>
      <w:r>
        <w:t>вн</w:t>
      </w:r>
      <w:r>
        <w:t>ешняя экспертная оценка,</w:t>
      </w:r>
    </w:p>
    <w:p w:rsidR="00547FE3" w:rsidRDefault="005F4898">
      <w:pPr>
        <w:spacing w:after="114" w:line="259" w:lineRule="auto"/>
        <w:ind w:left="372" w:right="148"/>
      </w:pPr>
      <w:r>
        <w:rPr>
          <w:rFonts w:ascii="Segoe UI Symbol" w:eastAsia="Segoe UI Symbol" w:hAnsi="Segoe UI Symbol" w:cs="Segoe UI Symbol"/>
          <w:sz w:val="20"/>
        </w:rPr>
        <w:t xml:space="preserve">· </w:t>
      </w:r>
      <w:r>
        <w:t>внутренняя экспертная оценка.</w:t>
      </w:r>
    </w:p>
    <w:p w:rsidR="00547FE3" w:rsidRDefault="005F4898">
      <w:pPr>
        <w:ind w:left="-13" w:right="148" w:firstLine="709"/>
      </w:pPr>
      <w:r>
        <w:rPr>
          <w:b/>
        </w:rPr>
        <w:t xml:space="preserve">Описание метода валидизации рекомендаций. </w:t>
      </w:r>
      <w:r>
        <w:t>Настоящие рекомендации в предварительной версии рецензированы независимыми экспертами, которые попросили прокомментировать, прежде всего насколько интерпрета</w:t>
      </w:r>
      <w:r>
        <w:t>ция доказательств, лежащих в основе рекомендаций, доступна для понимания.</w:t>
      </w:r>
    </w:p>
    <w:p w:rsidR="00547FE3" w:rsidRDefault="005F4898">
      <w:pPr>
        <w:ind w:left="-13" w:right="148" w:firstLine="709"/>
      </w:pPr>
      <w:r>
        <w:t>Получены комментарии со стороны врачей-окологов и врачей-акушеровгинекологов первичного звена в отношении доходчивости изложения рекомендаций и их оценки важности рекомендаций как ра</w:t>
      </w:r>
      <w:r>
        <w:t>бочего инструмента повседневной практики.</w:t>
      </w:r>
    </w:p>
    <w:p w:rsidR="00547FE3" w:rsidRDefault="005F4898">
      <w:pPr>
        <w:ind w:left="-13" w:right="148" w:firstLine="709"/>
      </w:pPr>
      <w:r>
        <w:t xml:space="preserve">Комментарии, полученные от экспертов, тщательно систематизировались и обсуждались председателем и членами рабочей группы. Каждый пункт обсуждался, и </w:t>
      </w:r>
      <w:r>
        <w:t>вносимые в результате этого изменения в рекомендации регистрировались. Если же изменения не вносились, то регистрировались причины отказа от внесения изменений.</w:t>
      </w:r>
    </w:p>
    <w:p w:rsidR="00547FE3" w:rsidRDefault="005F4898">
      <w:pPr>
        <w:ind w:left="-13" w:right="148" w:firstLine="709"/>
      </w:pPr>
      <w:r>
        <w:t>Консультации и экспертная оценка: проект рекомендаций рецензирован также независимыми экспертам</w:t>
      </w:r>
      <w:r>
        <w:t>и, которых попросили прокомментировать прежде всего доходчивость и точность интерпретации доказательной базы, лежащей в основе рекомендаций.</w:t>
      </w:r>
    </w:p>
    <w:p w:rsidR="00547FE3" w:rsidRDefault="005F4898">
      <w:pPr>
        <w:ind w:left="-13" w:right="148" w:firstLine="709"/>
      </w:pPr>
      <w:r>
        <w:t>Для окончательной редакции и контроля качества рекомендации повторно проанализированы членами рабочей группы, котор</w:t>
      </w:r>
      <w:r>
        <w:t>ые пришли к заключению, что все замечания и комментарии экспертов приняты во внимание, риск систематических ошибок при разработке рекомендаций сведен к минимуму.</w:t>
      </w:r>
    </w:p>
    <w:p w:rsidR="00547FE3" w:rsidRDefault="005F4898">
      <w:pPr>
        <w:ind w:left="-13" w:right="148" w:firstLine="709"/>
      </w:pPr>
      <w:r>
        <w:t>Обновления клинических рекомендаций: актуализация проводится не реже чем 1 раз в 5 лет с учето</w:t>
      </w:r>
      <w:r>
        <w:t>м появившейся новой информации о диагностике и тактике ведения пациентов с ЗТО. Решение об обновлении принимает Минздрав России на основе предложений, представленных медицинскими профессиональными некоммерческими организациями. Сформированные предложения д</w:t>
      </w:r>
      <w:r>
        <w:t>олжны учитывать результаты комплексной оценки лекарственных препаратов, медицинских изделий, а также результаты клинической апробации.</w:t>
      </w:r>
    </w:p>
    <w:p w:rsidR="00547FE3" w:rsidRDefault="005F4898">
      <w:pPr>
        <w:ind w:left="-13" w:right="148" w:firstLine="709"/>
      </w:pPr>
      <w:r>
        <w:t>При отборе публикаций, как потенциальных источников доказательств, использованная в каждом исследовании методология изуча</w:t>
      </w:r>
      <w:r>
        <w:t>ется для того, чтобы убедиться в ее достоверности. Результат изучения влияет на уровень доказательств, присваиваемый публикации, что, в свою очередь, влияет на силу вытекающих из нее рекомендаций.</w:t>
      </w:r>
    </w:p>
    <w:p w:rsidR="00547FE3" w:rsidRDefault="005F4898">
      <w:pPr>
        <w:pStyle w:val="Heading1"/>
        <w:ind w:right="30"/>
      </w:pPr>
      <w:r>
        <w:t>Приложение А3. Справочные материалы, включая соответствие п</w:t>
      </w:r>
      <w:r>
        <w:t>оказаний к применению и противопоказаний, способов применения и доз лекарственных препаратов, инструкции по применению лекарственного препарата</w:t>
      </w:r>
    </w:p>
    <w:p w:rsidR="00547FE3" w:rsidRDefault="005F4898">
      <w:pPr>
        <w:spacing w:after="117" w:line="265" w:lineRule="auto"/>
        <w:ind w:left="-3"/>
        <w:jc w:val="left"/>
      </w:pPr>
      <w:r>
        <w:rPr>
          <w:b/>
        </w:rPr>
        <w:t>Классификация трофобластических опухолей (FIGO, 2003 г. и объединенная классификация FIGO и WHO, 2000 г.)</w:t>
      </w:r>
    </w:p>
    <w:tbl>
      <w:tblPr>
        <w:tblStyle w:val="TableGrid"/>
        <w:tblW w:w="9468" w:type="dxa"/>
        <w:tblInd w:w="5" w:type="dxa"/>
        <w:tblCellMar>
          <w:top w:w="14" w:type="dxa"/>
          <w:left w:w="110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10"/>
        <w:gridCol w:w="2438"/>
        <w:gridCol w:w="10"/>
        <w:gridCol w:w="1970"/>
        <w:gridCol w:w="10"/>
        <w:gridCol w:w="1624"/>
        <w:gridCol w:w="10"/>
        <w:gridCol w:w="1616"/>
        <w:gridCol w:w="10"/>
        <w:gridCol w:w="1770"/>
        <w:gridCol w:w="10"/>
      </w:tblGrid>
      <w:tr w:rsidR="00547FE3">
        <w:trPr>
          <w:gridAfter w:val="1"/>
          <w:wAfter w:w="10" w:type="dxa"/>
          <w:trHeight w:val="424"/>
        </w:trPr>
        <w:tc>
          <w:tcPr>
            <w:tcW w:w="2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144" w:firstLine="0"/>
              <w:jc w:val="center"/>
            </w:pPr>
            <w:r>
              <w:t>Стадия</w:t>
            </w:r>
          </w:p>
        </w:tc>
        <w:tc>
          <w:tcPr>
            <w:tcW w:w="70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709" w:firstLine="0"/>
              <w:jc w:val="left"/>
            </w:pPr>
            <w:r>
              <w:t>Локализация новообразования</w:t>
            </w:r>
          </w:p>
        </w:tc>
      </w:tr>
      <w:tr w:rsidR="00547FE3">
        <w:trPr>
          <w:gridAfter w:val="1"/>
          <w:wAfter w:w="10" w:type="dxa"/>
          <w:trHeight w:val="422"/>
        </w:trPr>
        <w:tc>
          <w:tcPr>
            <w:tcW w:w="2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709" w:firstLine="0"/>
              <w:jc w:val="left"/>
            </w:pPr>
            <w:r>
              <w:t>I</w:t>
            </w:r>
          </w:p>
        </w:tc>
        <w:tc>
          <w:tcPr>
            <w:tcW w:w="70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709" w:firstLine="0"/>
              <w:jc w:val="left"/>
            </w:pPr>
            <w:r>
              <w:t>Болезнь ограничена маткой</w:t>
            </w:r>
          </w:p>
        </w:tc>
      </w:tr>
      <w:tr w:rsidR="00547FE3">
        <w:trPr>
          <w:gridAfter w:val="1"/>
          <w:wAfter w:w="10" w:type="dxa"/>
          <w:trHeight w:val="1252"/>
        </w:trPr>
        <w:tc>
          <w:tcPr>
            <w:tcW w:w="2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709" w:firstLine="0"/>
              <w:jc w:val="left"/>
            </w:pPr>
            <w:r>
              <w:t>II</w:t>
            </w:r>
          </w:p>
        </w:tc>
        <w:tc>
          <w:tcPr>
            <w:tcW w:w="70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60" w:firstLine="709"/>
            </w:pPr>
            <w:r>
              <w:t>Новообразование распространяется за пределы матки, но ограничено половыми органами (придатки, широкая связка матки, влагалище)</w:t>
            </w:r>
          </w:p>
        </w:tc>
      </w:tr>
      <w:tr w:rsidR="00547FE3">
        <w:trPr>
          <w:gridAfter w:val="1"/>
          <w:wAfter w:w="10" w:type="dxa"/>
          <w:trHeight w:val="836"/>
        </w:trPr>
        <w:tc>
          <w:tcPr>
            <w:tcW w:w="2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709" w:firstLine="0"/>
              <w:jc w:val="left"/>
            </w:pPr>
            <w:r>
              <w:t>III</w:t>
            </w:r>
          </w:p>
        </w:tc>
        <w:tc>
          <w:tcPr>
            <w:tcW w:w="70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firstLine="709"/>
              <w:jc w:val="left"/>
            </w:pPr>
            <w:r>
              <w:t xml:space="preserve">Метастазы в легких в сочетании или без поражения </w:t>
            </w:r>
            <w:r>
              <w:t>половых органов</w:t>
            </w:r>
          </w:p>
        </w:tc>
      </w:tr>
      <w:tr w:rsidR="00547FE3">
        <w:trPr>
          <w:gridAfter w:val="1"/>
          <w:wAfter w:w="10" w:type="dxa"/>
          <w:trHeight w:val="424"/>
        </w:trPr>
        <w:tc>
          <w:tcPr>
            <w:tcW w:w="2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709" w:firstLine="0"/>
              <w:jc w:val="left"/>
            </w:pPr>
            <w:r>
              <w:t>IV</w:t>
            </w:r>
          </w:p>
        </w:tc>
        <w:tc>
          <w:tcPr>
            <w:tcW w:w="70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709" w:firstLine="0"/>
              <w:jc w:val="left"/>
            </w:pPr>
            <w:r>
              <w:t>Другие метастазы</w:t>
            </w:r>
          </w:p>
        </w:tc>
      </w:tr>
      <w:tr w:rsidR="00547FE3">
        <w:trPr>
          <w:gridAfter w:val="1"/>
          <w:wAfter w:w="10" w:type="dxa"/>
          <w:trHeight w:val="432"/>
        </w:trPr>
        <w:tc>
          <w:tcPr>
            <w:tcW w:w="94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47FE3" w:rsidRDefault="005F4898">
            <w:pPr>
              <w:spacing w:after="0" w:line="259" w:lineRule="auto"/>
              <w:ind w:left="0" w:right="141" w:firstLine="0"/>
              <w:jc w:val="center"/>
            </w:pPr>
            <w:r>
              <w:rPr>
                <w:b/>
              </w:rPr>
              <w:t>Определение риска развития резистентности к лекарственной терапии</w:t>
            </w:r>
          </w:p>
        </w:tc>
      </w:tr>
      <w:tr w:rsidR="00547FE3">
        <w:trPr>
          <w:gridAfter w:val="1"/>
          <w:wAfter w:w="10" w:type="dxa"/>
          <w:trHeight w:val="437"/>
        </w:trPr>
        <w:tc>
          <w:tcPr>
            <w:tcW w:w="244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709" w:firstLine="0"/>
              <w:jc w:val="left"/>
            </w:pPr>
            <w:r>
              <w:t>Параметры</w:t>
            </w:r>
          </w:p>
        </w:tc>
        <w:tc>
          <w:tcPr>
            <w:tcW w:w="702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47FE3" w:rsidRDefault="005F4898">
            <w:pPr>
              <w:spacing w:after="0" w:line="259" w:lineRule="auto"/>
              <w:ind w:left="709" w:firstLine="0"/>
              <w:jc w:val="left"/>
            </w:pPr>
            <w:r>
              <w:t>Количество баллов</w:t>
            </w:r>
          </w:p>
        </w:tc>
      </w:tr>
      <w:tr w:rsidR="00547FE3">
        <w:trPr>
          <w:gridAfter w:val="1"/>
          <w:wAfter w:w="10" w:type="dxa"/>
          <w:trHeight w:val="428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0" w:right="288" w:firstLine="0"/>
              <w:jc w:val="center"/>
            </w:pPr>
            <w:r>
              <w:t>0</w:t>
            </w:r>
          </w:p>
        </w:tc>
        <w:tc>
          <w:tcPr>
            <w:tcW w:w="16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58" w:firstLine="0"/>
              <w:jc w:val="center"/>
            </w:pPr>
            <w:r>
              <w:t>1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66" w:firstLine="0"/>
              <w:jc w:val="center"/>
            </w:pPr>
            <w:r>
              <w:t>2</w:t>
            </w:r>
          </w:p>
        </w:tc>
        <w:tc>
          <w:tcPr>
            <w:tcW w:w="1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47FE3" w:rsidRDefault="005F4898">
            <w:pPr>
              <w:spacing w:after="0" w:line="259" w:lineRule="auto"/>
              <w:ind w:left="0" w:right="88" w:firstLine="0"/>
              <w:jc w:val="center"/>
            </w:pPr>
            <w:r>
              <w:t>4</w:t>
            </w:r>
          </w:p>
        </w:tc>
      </w:tr>
      <w:tr w:rsidR="00547FE3">
        <w:trPr>
          <w:gridAfter w:val="1"/>
          <w:wAfter w:w="10" w:type="dxa"/>
          <w:trHeight w:val="840"/>
        </w:trPr>
        <w:tc>
          <w:tcPr>
            <w:tcW w:w="244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0" w:firstLine="709"/>
            </w:pPr>
            <w:r>
              <w:t>Возраст (в годах)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709" w:firstLine="0"/>
              <w:jc w:val="left"/>
            </w:pPr>
            <w:r>
              <w:rPr>
                <w:u w:val="single" w:color="000000"/>
              </w:rPr>
              <w:t>&lt;</w:t>
            </w:r>
            <w:r>
              <w:t>40 лет</w:t>
            </w:r>
          </w:p>
        </w:tc>
        <w:tc>
          <w:tcPr>
            <w:tcW w:w="16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0" w:right="5" w:firstLine="709"/>
            </w:pPr>
            <w:r>
              <w:t>&gt;40 лет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26" w:firstLine="0"/>
              <w:jc w:val="center"/>
            </w:pPr>
            <w:r>
              <w:t>-</w:t>
            </w:r>
          </w:p>
        </w:tc>
        <w:tc>
          <w:tcPr>
            <w:tcW w:w="1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47FE3" w:rsidRDefault="005F4898">
            <w:pPr>
              <w:spacing w:after="0" w:line="259" w:lineRule="auto"/>
              <w:ind w:left="0" w:right="128" w:firstLine="0"/>
              <w:jc w:val="center"/>
            </w:pPr>
            <w:r>
              <w:t>-</w:t>
            </w:r>
          </w:p>
        </w:tc>
      </w:tr>
      <w:tr w:rsidR="00547FE3">
        <w:trPr>
          <w:gridAfter w:val="1"/>
          <w:wAfter w:w="10" w:type="dxa"/>
          <w:trHeight w:val="1255"/>
        </w:trPr>
        <w:tc>
          <w:tcPr>
            <w:tcW w:w="244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0" w:firstLine="709"/>
              <w:jc w:val="left"/>
            </w:pPr>
            <w:r>
              <w:t>Исход предшествующей беременности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0" w:right="30" w:firstLine="709"/>
              <w:jc w:val="left"/>
            </w:pPr>
            <w:r>
              <w:t>Пузырны й занос</w:t>
            </w:r>
          </w:p>
        </w:tc>
        <w:tc>
          <w:tcPr>
            <w:tcW w:w="16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709" w:firstLine="0"/>
              <w:jc w:val="left"/>
            </w:pPr>
            <w:r>
              <w:t>Аборт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709" w:firstLine="0"/>
              <w:jc w:val="left"/>
            </w:pPr>
            <w:r>
              <w:t>Роды</w:t>
            </w:r>
          </w:p>
        </w:tc>
        <w:tc>
          <w:tcPr>
            <w:tcW w:w="1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B3B3B3"/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</w:tr>
      <w:tr w:rsidR="00547FE3">
        <w:trPr>
          <w:gridAfter w:val="1"/>
          <w:wAfter w:w="10" w:type="dxa"/>
          <w:trHeight w:val="2087"/>
        </w:trPr>
        <w:tc>
          <w:tcPr>
            <w:tcW w:w="244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0" w:firstLine="709"/>
              <w:jc w:val="left"/>
            </w:pPr>
            <w:r>
              <w:t xml:space="preserve">Интервал </w:t>
            </w:r>
            <w:r>
              <w:t>между окончанием предыдущей беременности</w:t>
            </w:r>
            <w:r>
              <w:tab/>
              <w:t xml:space="preserve"> </w:t>
            </w:r>
            <w:r>
              <w:tab/>
              <w:t>и началом ХТ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331" w:firstLine="0"/>
              <w:jc w:val="center"/>
            </w:pPr>
            <w:r>
              <w:t>&lt;4 мес.</w:t>
            </w:r>
          </w:p>
        </w:tc>
        <w:tc>
          <w:tcPr>
            <w:tcW w:w="16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0" w:firstLine="709"/>
              <w:jc w:val="left"/>
            </w:pPr>
            <w:r>
              <w:t>4-6 мес.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0" w:firstLine="709"/>
            </w:pPr>
            <w:r>
              <w:t>7-12 мес.</w:t>
            </w:r>
          </w:p>
        </w:tc>
        <w:tc>
          <w:tcPr>
            <w:tcW w:w="1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47FE3" w:rsidRDefault="005F4898">
            <w:pPr>
              <w:spacing w:after="0" w:line="259" w:lineRule="auto"/>
              <w:ind w:left="0" w:right="58" w:firstLine="0"/>
              <w:jc w:val="right"/>
            </w:pPr>
            <w:r>
              <w:t>&gt;12 мес.</w:t>
            </w:r>
          </w:p>
        </w:tc>
      </w:tr>
      <w:tr w:rsidR="00547FE3">
        <w:trPr>
          <w:gridAfter w:val="1"/>
          <w:wAfter w:w="10" w:type="dxa"/>
          <w:trHeight w:val="840"/>
        </w:trPr>
        <w:tc>
          <w:tcPr>
            <w:tcW w:w="244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tabs>
                <w:tab w:val="center" w:pos="1143"/>
                <w:tab w:val="center" w:pos="1773"/>
                <w:tab w:val="right" w:pos="2294"/>
              </w:tabs>
              <w:spacing w:after="12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Уровень</w:t>
            </w:r>
            <w:r>
              <w:tab/>
              <w:t xml:space="preserve"> </w:t>
            </w:r>
            <w:r>
              <w:tab/>
              <w:t>β-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ХГЧ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143" w:line="259" w:lineRule="auto"/>
              <w:ind w:left="37" w:firstLine="0"/>
              <w:jc w:val="center"/>
            </w:pPr>
            <w:r>
              <w:t>&lt;10</w:t>
            </w:r>
            <w:r>
              <w:rPr>
                <w:sz w:val="14"/>
              </w:rPr>
              <w:t xml:space="preserve">3 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МЕ/л</w:t>
            </w:r>
            <w:r>
              <w:rPr>
                <w:sz w:val="22"/>
                <w:vertAlign w:val="superscript"/>
              </w:rPr>
              <w:t>1</w:t>
            </w:r>
          </w:p>
        </w:tc>
        <w:tc>
          <w:tcPr>
            <w:tcW w:w="16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198" w:line="259" w:lineRule="auto"/>
              <w:ind w:left="0" w:right="71" w:firstLine="0"/>
              <w:jc w:val="right"/>
            </w:pPr>
            <w:r>
              <w:t>10</w:t>
            </w:r>
            <w:r>
              <w:rPr>
                <w:sz w:val="14"/>
              </w:rPr>
              <w:t>3</w:t>
            </w:r>
            <w:r>
              <w:t>-10</w:t>
            </w:r>
            <w:r>
              <w:rPr>
                <w:sz w:val="14"/>
              </w:rPr>
              <w:t xml:space="preserve">4 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МЕ/л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198" w:line="259" w:lineRule="auto"/>
              <w:ind w:left="0" w:right="63" w:firstLine="0"/>
              <w:jc w:val="right"/>
            </w:pPr>
            <w:r>
              <w:t>10</w:t>
            </w:r>
            <w:r>
              <w:rPr>
                <w:sz w:val="14"/>
              </w:rPr>
              <w:t>4</w:t>
            </w:r>
            <w:r>
              <w:t>-10</w:t>
            </w:r>
            <w:r>
              <w:rPr>
                <w:sz w:val="14"/>
              </w:rPr>
              <w:t xml:space="preserve">5 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МЕ/л</w:t>
            </w:r>
          </w:p>
        </w:tc>
        <w:tc>
          <w:tcPr>
            <w:tcW w:w="1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47FE3" w:rsidRDefault="005F4898">
            <w:pPr>
              <w:spacing w:after="186" w:line="259" w:lineRule="auto"/>
              <w:ind w:left="237" w:firstLine="0"/>
              <w:jc w:val="center"/>
            </w:pPr>
            <w:r>
              <w:t>&gt;10</w:t>
            </w:r>
            <w:r>
              <w:rPr>
                <w:sz w:val="14"/>
              </w:rPr>
              <w:t xml:space="preserve">5 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МЕ/л</w:t>
            </w:r>
          </w:p>
        </w:tc>
      </w:tr>
      <w:tr w:rsidR="00547FE3">
        <w:trPr>
          <w:gridAfter w:val="1"/>
          <w:wAfter w:w="10" w:type="dxa"/>
          <w:trHeight w:val="1118"/>
        </w:trPr>
        <w:tc>
          <w:tcPr>
            <w:tcW w:w="244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0" w:right="62" w:firstLine="709"/>
            </w:pPr>
            <w:r>
              <w:t xml:space="preserve">Наибольший размер опухоли, включая опухоль 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165" w:firstLine="0"/>
              <w:jc w:val="center"/>
            </w:pPr>
            <w:r>
              <w:t>&lt;3 см</w:t>
            </w:r>
          </w:p>
        </w:tc>
        <w:tc>
          <w:tcPr>
            <w:tcW w:w="16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0" w:right="93" w:firstLine="0"/>
              <w:jc w:val="right"/>
            </w:pPr>
            <w:r>
              <w:t>3–5 см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709" w:firstLine="0"/>
              <w:jc w:val="left"/>
            </w:pPr>
            <w:r>
              <w:t>&gt;5 см</w:t>
            </w:r>
          </w:p>
        </w:tc>
        <w:tc>
          <w:tcPr>
            <w:tcW w:w="1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B3B3B3"/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</w:tr>
      <w:tr w:rsidR="00547FE3">
        <w:trPr>
          <w:gridBefore w:val="1"/>
          <w:wBefore w:w="10" w:type="dxa"/>
          <w:trHeight w:val="428"/>
        </w:trPr>
        <w:tc>
          <w:tcPr>
            <w:tcW w:w="244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матки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B3B3B3"/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</w:tr>
      <w:tr w:rsidR="00547FE3">
        <w:trPr>
          <w:gridBefore w:val="1"/>
          <w:wBefore w:w="10" w:type="dxa"/>
          <w:trHeight w:val="843"/>
        </w:trPr>
        <w:tc>
          <w:tcPr>
            <w:tcW w:w="244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0" w:firstLine="709"/>
              <w:jc w:val="left"/>
            </w:pPr>
            <w:r>
              <w:t xml:space="preserve">Локализация </w:t>
            </w:r>
            <w:r>
              <w:t>метастазов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312" w:firstLine="0"/>
              <w:jc w:val="center"/>
            </w:pPr>
            <w:r>
              <w:t>Легкие</w:t>
            </w:r>
          </w:p>
        </w:tc>
        <w:tc>
          <w:tcPr>
            <w:tcW w:w="16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0" w:firstLine="709"/>
              <w:jc w:val="left"/>
            </w:pPr>
            <w:r>
              <w:t>Селезе нка, почка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0" w:firstLine="709"/>
              <w:jc w:val="left"/>
            </w:pPr>
            <w:r>
              <w:t>Орган ы ЖКТ</w:t>
            </w:r>
          </w:p>
        </w:tc>
        <w:tc>
          <w:tcPr>
            <w:tcW w:w="1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47FE3" w:rsidRDefault="005F4898">
            <w:pPr>
              <w:spacing w:after="0" w:line="259" w:lineRule="auto"/>
              <w:ind w:left="0" w:firstLine="709"/>
              <w:jc w:val="left"/>
            </w:pPr>
            <w:r>
              <w:t>Печень головной мозг</w:t>
            </w:r>
          </w:p>
        </w:tc>
      </w:tr>
      <w:tr w:rsidR="00547FE3">
        <w:trPr>
          <w:gridBefore w:val="1"/>
          <w:wBefore w:w="10" w:type="dxa"/>
          <w:trHeight w:val="842"/>
        </w:trPr>
        <w:tc>
          <w:tcPr>
            <w:tcW w:w="244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0" w:firstLine="709"/>
              <w:jc w:val="left"/>
            </w:pPr>
            <w:r>
              <w:t>Количество метастазов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259" w:firstLine="0"/>
              <w:jc w:val="center"/>
            </w:pPr>
            <w:r>
              <w:t>1-4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267" w:firstLine="0"/>
              <w:jc w:val="center"/>
            </w:pPr>
            <w:r>
              <w:t>5-8</w:t>
            </w:r>
          </w:p>
        </w:tc>
        <w:tc>
          <w:tcPr>
            <w:tcW w:w="1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47FE3" w:rsidRDefault="005F4898">
            <w:pPr>
              <w:spacing w:after="0" w:line="259" w:lineRule="auto"/>
              <w:ind w:left="48" w:firstLine="0"/>
              <w:jc w:val="center"/>
            </w:pPr>
            <w:r>
              <w:t>&gt;8</w:t>
            </w:r>
          </w:p>
        </w:tc>
      </w:tr>
      <w:tr w:rsidR="00547FE3">
        <w:trPr>
          <w:gridBefore w:val="1"/>
          <w:wBefore w:w="10" w:type="dxa"/>
          <w:trHeight w:val="1261"/>
        </w:trPr>
        <w:tc>
          <w:tcPr>
            <w:tcW w:w="244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547FE3" w:rsidRDefault="005F4898">
            <w:pPr>
              <w:spacing w:after="114" w:line="259" w:lineRule="auto"/>
              <w:ind w:left="709" w:firstLine="0"/>
              <w:jc w:val="left"/>
            </w:pPr>
            <w:r>
              <w:t xml:space="preserve">Предыдущая 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t>ХТ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B3B3B3"/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34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B3B3B3"/>
          </w:tcPr>
          <w:p w:rsidR="00547FE3" w:rsidRDefault="00547FE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547FE3" w:rsidRDefault="005F4898">
            <w:pPr>
              <w:spacing w:after="0" w:line="259" w:lineRule="auto"/>
              <w:ind w:left="0" w:firstLine="709"/>
              <w:jc w:val="left"/>
            </w:pPr>
            <w:r>
              <w:t>Один препарат</w:t>
            </w:r>
          </w:p>
        </w:tc>
        <w:tc>
          <w:tcPr>
            <w:tcW w:w="1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547FE3" w:rsidRDefault="005F4898">
            <w:pPr>
              <w:spacing w:after="0" w:line="259" w:lineRule="auto"/>
              <w:ind w:left="0" w:firstLine="709"/>
              <w:jc w:val="left"/>
            </w:pPr>
            <w:r>
              <w:t>Два или более препаратов</w:t>
            </w:r>
          </w:p>
        </w:tc>
      </w:tr>
    </w:tbl>
    <w:p w:rsidR="00547FE3" w:rsidRDefault="005F4898">
      <w:pPr>
        <w:spacing w:after="281"/>
        <w:ind w:left="-13" w:right="148" w:firstLine="709"/>
      </w:pPr>
      <w:r>
        <w:rPr>
          <w:sz w:val="22"/>
          <w:vertAlign w:val="superscript"/>
        </w:rPr>
        <w:t>1</w:t>
      </w:r>
      <w:r>
        <w:t>низкий уровень β-ХГЧ может быть при трофобластической опухоли плацентарного ложа</w:t>
      </w:r>
    </w:p>
    <w:p w:rsidR="00547FE3" w:rsidRDefault="005F4898">
      <w:pPr>
        <w:spacing w:after="31" w:line="259" w:lineRule="auto"/>
        <w:ind w:left="10" w:right="40"/>
        <w:jc w:val="right"/>
      </w:pPr>
      <w:r>
        <w:rPr>
          <w:b/>
        </w:rPr>
        <w:t>При сумме баллов 6 и менее – низкий риск развития резистентности опухоли; 7-</w:t>
      </w:r>
    </w:p>
    <w:p w:rsidR="00547FE3" w:rsidRDefault="005F4898">
      <w:pPr>
        <w:spacing w:after="0" w:line="265" w:lineRule="auto"/>
        <w:ind w:left="-3"/>
        <w:jc w:val="left"/>
      </w:pPr>
      <w:r>
        <w:rPr>
          <w:b/>
        </w:rPr>
        <w:t xml:space="preserve">12 баллов – высокий, 13 или более баллов – сверхвысокий  </w:t>
      </w:r>
      <w:r>
        <w:br w:type="page"/>
      </w:r>
    </w:p>
    <w:p w:rsidR="00547FE3" w:rsidRDefault="005F4898">
      <w:pPr>
        <w:pStyle w:val="Heading1"/>
        <w:spacing w:after="455" w:line="259" w:lineRule="auto"/>
        <w:ind w:right="149"/>
      </w:pPr>
      <w:r>
        <w:t>Приложение Б. Алгоритмы действий врача</w:t>
      </w:r>
    </w:p>
    <w:p w:rsidR="00547FE3" w:rsidRDefault="005F4898">
      <w:pPr>
        <w:spacing w:after="0" w:line="265" w:lineRule="auto"/>
        <w:ind w:left="2093"/>
        <w:jc w:val="left"/>
      </w:pPr>
      <w:r>
        <w:rPr>
          <w:b/>
        </w:rPr>
        <w:t>Алгоритм диагностики ТБ и выбора тактики лечения</w:t>
      </w:r>
    </w:p>
    <w:p w:rsidR="00547FE3" w:rsidRDefault="005F4898">
      <w:pPr>
        <w:spacing w:after="127" w:line="259" w:lineRule="auto"/>
        <w:ind w:left="-8" w:firstLine="0"/>
        <w:jc w:val="left"/>
      </w:pPr>
      <w:r>
        <w:rPr>
          <w:noProof/>
        </w:rPr>
        <w:drawing>
          <wp:inline distT="0" distB="0" distL="0" distR="0">
            <wp:extent cx="5946648" cy="7446264"/>
            <wp:effectExtent l="0" t="0" r="0" b="0"/>
            <wp:docPr id="61696" name="Picture 616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96" name="Picture 61696"/>
                    <pic:cNvPicPr/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5946648" cy="7446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FE3" w:rsidRDefault="005F4898">
      <w:pPr>
        <w:spacing w:after="3" w:line="238" w:lineRule="auto"/>
        <w:ind w:left="-13" w:right="165" w:firstLine="701"/>
      </w:pPr>
      <w:r>
        <w:rPr>
          <w:b/>
          <w:i/>
        </w:rPr>
        <w:t xml:space="preserve">Примечания. </w:t>
      </w:r>
      <w:r>
        <w:rPr>
          <w:i/>
        </w:rPr>
        <w:t>* – Определение ХГ</w:t>
      </w:r>
      <w:r>
        <w:rPr>
          <w:i/>
        </w:rPr>
        <w:t xml:space="preserve"> 1 раз в 1–6 мес, 1 раз в 2–6 мес, 1 раз в 4 мес – 2 года, 1 раз в 1–2 года; ** – рентгенография легких; МРТ головного мозга,, селезенки ультразвуковое исследование органов брюшной полости комплексное (только при выявлении метастазов в легких ); *** – если</w:t>
      </w:r>
      <w:r>
        <w:rPr>
          <w:i/>
        </w:rPr>
        <w:t xml:space="preserve"> других локализаций опухоли при повторном обследовании не найдено. </w:t>
      </w:r>
    </w:p>
    <w:p w:rsidR="00547FE3" w:rsidRDefault="005F4898">
      <w:pPr>
        <w:pStyle w:val="Heading1"/>
        <w:spacing w:after="448" w:line="265" w:lineRule="auto"/>
        <w:ind w:left="1963" w:right="0"/>
        <w:jc w:val="left"/>
      </w:pPr>
      <w:r>
        <w:t>Приложение В. Информация для пациента</w:t>
      </w:r>
    </w:p>
    <w:p w:rsidR="00547FE3" w:rsidRDefault="005F4898">
      <w:pPr>
        <w:spacing w:after="305" w:line="265" w:lineRule="auto"/>
        <w:ind w:left="721"/>
        <w:jc w:val="left"/>
      </w:pPr>
      <w:r>
        <w:rPr>
          <w:b/>
        </w:rPr>
        <w:t>Всем пациенткам после удаления пузырного заноса следует:</w:t>
      </w:r>
    </w:p>
    <w:p w:rsidR="00547FE3" w:rsidRDefault="005F4898">
      <w:pPr>
        <w:ind w:left="722" w:right="148" w:hanging="360"/>
      </w:pPr>
      <w:r>
        <w:rPr>
          <w:rFonts w:ascii="Segoe UI Symbol" w:eastAsia="Segoe UI Symbol" w:hAnsi="Segoe UI Symbol" w:cs="Segoe UI Symbol"/>
          <w:sz w:val="20"/>
        </w:rPr>
        <w:t xml:space="preserve">· </w:t>
      </w:r>
      <w:r>
        <w:t xml:space="preserve">Контролировать сывороточный уровень общего бета-ХГЧ еженедельно до </w:t>
      </w:r>
      <w:r>
        <w:t>нормализации показателей (норма – 5 мМЕ/ мл) (желательно в одной лаборатории).</w:t>
      </w:r>
    </w:p>
    <w:p w:rsidR="00547FE3" w:rsidRDefault="005F4898">
      <w:pPr>
        <w:ind w:left="722" w:right="148" w:hanging="360"/>
      </w:pPr>
      <w:r>
        <w:rPr>
          <w:rFonts w:ascii="Segoe UI Symbol" w:eastAsia="Segoe UI Symbol" w:hAnsi="Segoe UI Symbol" w:cs="Segoe UI Symbol"/>
          <w:sz w:val="20"/>
        </w:rPr>
        <w:t xml:space="preserve">· </w:t>
      </w:r>
      <w:r>
        <w:t>По достижении нормального уровня ХГЧ продолжать мониторинг последнего 1 раз в месяц – до 1 года.</w:t>
      </w:r>
    </w:p>
    <w:p w:rsidR="00547FE3" w:rsidRDefault="005F4898">
      <w:pPr>
        <w:spacing w:after="114" w:line="259" w:lineRule="auto"/>
        <w:ind w:left="372" w:right="148"/>
      </w:pPr>
      <w:r>
        <w:rPr>
          <w:rFonts w:ascii="Segoe UI Symbol" w:eastAsia="Segoe UI Symbol" w:hAnsi="Segoe UI Symbol" w:cs="Segoe UI Symbol"/>
          <w:sz w:val="20"/>
        </w:rPr>
        <w:t xml:space="preserve">· </w:t>
      </w:r>
      <w:r>
        <w:t>Обязательна контрацепция в течение 1 года от момента нормализации бета- ХГЧ.</w:t>
      </w:r>
    </w:p>
    <w:p w:rsidR="00547FE3" w:rsidRDefault="005F4898">
      <w:pPr>
        <w:ind w:left="722" w:right="148" w:hanging="360"/>
      </w:pPr>
      <w:r>
        <w:rPr>
          <w:rFonts w:ascii="Segoe UI Symbol" w:eastAsia="Segoe UI Symbol" w:hAnsi="Segoe UI Symbol" w:cs="Segoe UI Symbol"/>
          <w:sz w:val="20"/>
        </w:rPr>
        <w:t xml:space="preserve">· </w:t>
      </w:r>
      <w:r>
        <w:t>Гормональная контрацепция предпочтительна, но необходимо помнить, что гормональные контрацептивы системного действия можно начать принимать только после нормализации уровня ХГЧ и восстановления собственного менструального цикла.</w:t>
      </w:r>
    </w:p>
    <w:p w:rsidR="00547FE3" w:rsidRDefault="005F4898">
      <w:pPr>
        <w:spacing w:after="114" w:line="259" w:lineRule="auto"/>
        <w:ind w:left="372"/>
      </w:pPr>
      <w:r>
        <w:rPr>
          <w:rFonts w:ascii="Segoe UI Symbol" w:eastAsia="Segoe UI Symbol" w:hAnsi="Segoe UI Symbol" w:cs="Segoe UI Symbol"/>
          <w:sz w:val="20"/>
        </w:rPr>
        <w:t xml:space="preserve">· </w:t>
      </w:r>
      <w:r>
        <w:t xml:space="preserve">Обязательным является </w:t>
      </w:r>
      <w:r>
        <w:t>ведение менограммы не менее 3 лет после пузырного заноса.</w:t>
      </w:r>
    </w:p>
    <w:p w:rsidR="00547FE3" w:rsidRDefault="005F4898">
      <w:pPr>
        <w:spacing w:after="285"/>
        <w:ind w:left="722" w:right="148" w:hanging="360"/>
      </w:pPr>
      <w:r>
        <w:rPr>
          <w:rFonts w:ascii="Segoe UI Symbol" w:eastAsia="Segoe UI Symbol" w:hAnsi="Segoe UI Symbol" w:cs="Segoe UI Symbol"/>
          <w:sz w:val="20"/>
        </w:rPr>
        <w:t xml:space="preserve">· </w:t>
      </w:r>
      <w:r>
        <w:t>При возникновении плато (отсутствие снижения уровня) или прогрессивном увеличении уровня бета-ХГЧ пациентка должна обратиться к врачу-онкологу или \врачу-акушеру-гинекологу в срочном порядке.</w:t>
      </w:r>
    </w:p>
    <w:p w:rsidR="00547FE3" w:rsidRDefault="005F4898">
      <w:pPr>
        <w:spacing w:after="348" w:line="265" w:lineRule="auto"/>
        <w:ind w:left="721"/>
        <w:jc w:val="left"/>
      </w:pPr>
      <w:r>
        <w:rPr>
          <w:b/>
        </w:rPr>
        <w:t>Паци</w:t>
      </w:r>
      <w:r>
        <w:rPr>
          <w:b/>
        </w:rPr>
        <w:t>енткам репродуктивного возраста следует помнить:</w:t>
      </w:r>
    </w:p>
    <w:p w:rsidR="00547FE3" w:rsidRDefault="005F4898">
      <w:pPr>
        <w:spacing w:after="49"/>
        <w:ind w:left="722" w:right="148" w:hanging="360"/>
      </w:pPr>
      <w:r>
        <w:rPr>
          <w:rFonts w:ascii="Segoe UI Symbol" w:eastAsia="Segoe UI Symbol" w:hAnsi="Segoe UI Symbol" w:cs="Segoe UI Symbol"/>
        </w:rPr>
        <w:t xml:space="preserve">· </w:t>
      </w:r>
      <w:r>
        <w:t>При любых нарушениях менструального цикла более 2 месяцев (аменорея, гиперполименорея, ациклические кровотечения) и наличии беременности в анамнезе (маточной, эктопической, роды, медицинские и самопроизвол</w:t>
      </w:r>
      <w:r>
        <w:t>ьные аборты) всегда необходимо проводить исследование уровня хорионического гонадотропина (общего бета-ХГЧ) в крови.</w:t>
      </w:r>
    </w:p>
    <w:p w:rsidR="00547FE3" w:rsidRDefault="005F4898">
      <w:pPr>
        <w:spacing w:after="49"/>
        <w:ind w:left="722" w:right="148" w:hanging="360"/>
      </w:pPr>
      <w:r>
        <w:rPr>
          <w:rFonts w:ascii="Segoe UI Symbol" w:eastAsia="Segoe UI Symbol" w:hAnsi="Segoe UI Symbol" w:cs="Segoe UI Symbol"/>
        </w:rPr>
        <w:t xml:space="preserve">· </w:t>
      </w:r>
      <w:r>
        <w:t>В раннем и позднем послеродовом периоде при наличии маточных кровотечений следует всегда проводить исследование уровня хорионического гон</w:t>
      </w:r>
      <w:r>
        <w:t>адотропина (общего бета-ХГЧ) в крови.</w:t>
      </w:r>
    </w:p>
    <w:p w:rsidR="00547FE3" w:rsidRDefault="005F4898">
      <w:pPr>
        <w:spacing w:after="49"/>
        <w:ind w:left="722" w:right="148" w:hanging="360"/>
      </w:pPr>
      <w:r>
        <w:rPr>
          <w:rFonts w:ascii="Segoe UI Symbol" w:eastAsia="Segoe UI Symbol" w:hAnsi="Segoe UI Symbol" w:cs="Segoe UI Symbol"/>
        </w:rPr>
        <w:t xml:space="preserve">· </w:t>
      </w:r>
      <w:r>
        <w:t>При нарушениях менструального цикла (аменорея, маточные кровотечения) после прерывания беременности (самопроизвольный аборт, искусственный аборт, эктопическая беременность) следует всегда проводить исследование уровн</w:t>
      </w:r>
      <w:r>
        <w:t xml:space="preserve">я хорионического гонадотропина (общего бета-ХГЧ) в крови.  </w:t>
      </w:r>
    </w:p>
    <w:p w:rsidR="00547FE3" w:rsidRDefault="005F4898">
      <w:pPr>
        <w:ind w:left="722" w:right="148" w:hanging="360"/>
      </w:pPr>
      <w:r>
        <w:rPr>
          <w:rFonts w:ascii="Segoe UI Symbol" w:eastAsia="Segoe UI Symbol" w:hAnsi="Segoe UI Symbol" w:cs="Segoe UI Symbol"/>
        </w:rPr>
        <w:t xml:space="preserve">· </w:t>
      </w:r>
      <w:r>
        <w:t xml:space="preserve">Пациенткам, ранее перенесшим ЗТО, в дальнейшем после родов необходимо исследовать проводить исследование уровня хорионического гонадотропина (общего бета-ХГЧ) в крови. через 2, 4 и 6 недель. </w:t>
      </w:r>
    </w:p>
    <w:p w:rsidR="00547FE3" w:rsidRDefault="005F4898">
      <w:pPr>
        <w:spacing w:after="49"/>
        <w:ind w:left="722" w:right="148" w:hanging="360"/>
      </w:pPr>
      <w:r>
        <w:rPr>
          <w:rFonts w:ascii="Segoe UI Symbol" w:eastAsia="Segoe UI Symbol" w:hAnsi="Segoe UI Symbol" w:cs="Segoe UI Symbol"/>
        </w:rPr>
        <w:t xml:space="preserve">· </w:t>
      </w:r>
      <w:r>
        <w:t>Следует знать, что стойкое прогрессивное повышение уровня бета-ХГЧ может быть только при беременности либо при развитии трофобластической болезни либо герминогенных опухолях.</w:t>
      </w:r>
    </w:p>
    <w:p w:rsidR="00547FE3" w:rsidRDefault="005F4898">
      <w:pPr>
        <w:spacing w:after="285"/>
        <w:ind w:left="722" w:right="148" w:hanging="360"/>
      </w:pPr>
      <w:r>
        <w:rPr>
          <w:rFonts w:ascii="Segoe UI Symbol" w:eastAsia="Segoe UI Symbol" w:hAnsi="Segoe UI Symbol" w:cs="Segoe UI Symbol"/>
        </w:rPr>
        <w:t xml:space="preserve">· </w:t>
      </w:r>
      <w:r>
        <w:t xml:space="preserve">Если беременность не подтверждается данными ультразвукового исследования матки </w:t>
      </w:r>
      <w:r>
        <w:t>и придатков трансвагинального и трансабдоминального (комплексного) , необходимо срочно обратиться к к врачу-онкологу или врачу-акушеру-гинекологу.</w:t>
      </w:r>
    </w:p>
    <w:p w:rsidR="00547FE3" w:rsidRDefault="005F4898">
      <w:pPr>
        <w:ind w:left="-13" w:right="148" w:firstLine="709"/>
      </w:pPr>
      <w:r>
        <w:t>При повторных кровотечениях в послеродовом периоде следует всегда проводить исследование уровня хорионическог</w:t>
      </w:r>
      <w:r>
        <w:t xml:space="preserve">о гонадотропина (общего бета-ХГЧ) в крови. </w:t>
      </w:r>
      <w:r>
        <w:br w:type="page"/>
      </w:r>
    </w:p>
    <w:p w:rsidR="00547FE3" w:rsidRDefault="005F4898">
      <w:pPr>
        <w:pStyle w:val="Heading1"/>
        <w:spacing w:after="69"/>
        <w:ind w:right="0"/>
      </w:pPr>
      <w:r>
        <w:t>Приложение Г1 - ГN. Шкалы оценки, вопросники и другие оценочные инструменты состояния пациента, приведенные в клинических рекомендациях</w:t>
      </w:r>
    </w:p>
    <w:p w:rsidR="00547FE3" w:rsidRDefault="005F4898">
      <w:pPr>
        <w:spacing w:after="0" w:line="265" w:lineRule="auto"/>
        <w:ind w:left="-3"/>
        <w:jc w:val="left"/>
      </w:pPr>
      <w:r>
        <w:t xml:space="preserve"> </w:t>
      </w:r>
      <w:r>
        <w:rPr>
          <w:b/>
        </w:rPr>
        <w:t>Нет.</w:t>
      </w:r>
    </w:p>
    <w:p w:rsidR="00547FE3" w:rsidRDefault="00547FE3">
      <w:pPr>
        <w:sectPr w:rsidR="00547FE3">
          <w:footerReference w:type="even" r:id="rId177"/>
          <w:footerReference w:type="default" r:id="rId178"/>
          <w:footerReference w:type="first" r:id="rId179"/>
          <w:pgSz w:w="11906" w:h="16838"/>
          <w:pgMar w:top="1139" w:right="699" w:bottom="1145" w:left="1701" w:header="720" w:footer="708" w:gutter="0"/>
          <w:cols w:space="720"/>
        </w:sectPr>
      </w:pPr>
    </w:p>
    <w:p w:rsidR="00547FE3" w:rsidRDefault="00547FE3">
      <w:pPr>
        <w:spacing w:after="0" w:line="259" w:lineRule="auto"/>
        <w:ind w:left="-1440" w:right="10460" w:firstLine="0"/>
        <w:jc w:val="left"/>
      </w:pPr>
    </w:p>
    <w:tbl>
      <w:tblPr>
        <w:tblStyle w:val="TableGrid"/>
        <w:tblW w:w="10700" w:type="dxa"/>
        <w:tblInd w:w="-840" w:type="dxa"/>
        <w:tblCellMar>
          <w:top w:w="0" w:type="dxa"/>
          <w:left w:w="10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700"/>
      </w:tblGrid>
      <w:tr w:rsidR="00547FE3">
        <w:trPr>
          <w:trHeight w:val="8400"/>
        </w:trPr>
        <w:tc>
          <w:tcPr>
            <w:tcW w:w="10700" w:type="dxa"/>
            <w:tcBorders>
              <w:top w:val="single" w:sz="4" w:space="0" w:color="6393CF"/>
              <w:left w:val="single" w:sz="4" w:space="0" w:color="6393CF"/>
              <w:bottom w:val="single" w:sz="4" w:space="0" w:color="6393CF"/>
              <w:right w:val="single" w:sz="4" w:space="0" w:color="6393CF"/>
            </w:tcBorders>
            <w:vAlign w:val="center"/>
          </w:tcPr>
          <w:p w:rsidR="00547FE3" w:rsidRDefault="005F4898">
            <w:pPr>
              <w:spacing w:after="116" w:line="240" w:lineRule="auto"/>
              <w:ind w:left="0" w:firstLine="0"/>
              <w:jc w:val="center"/>
            </w:pPr>
            <w:r>
              <w:rPr>
                <w:rFonts w:ascii="Verdana" w:eastAsia="Verdana" w:hAnsi="Verdana" w:cs="Verdana"/>
                <w:b/>
                <w:color w:val="6393CF"/>
              </w:rPr>
              <w:t>Документподписанипереданчерезсистемуразработкииведения стандартовмедицинскойпомощи</w:t>
            </w:r>
          </w:p>
          <w:p w:rsidR="00547FE3" w:rsidRDefault="005F4898">
            <w:pPr>
              <w:tabs>
                <w:tab w:val="center" w:pos="1382"/>
                <w:tab w:val="center" w:pos="5926"/>
                <w:tab w:val="center" w:pos="849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Владелец сертификата: организация,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ab/>
              <w:t>Сертификат: серийный номер, период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ab/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Дата и время подписания</w:t>
            </w:r>
          </w:p>
          <w:p w:rsidR="00547FE3" w:rsidRDefault="005F4898">
            <w:pPr>
              <w:tabs>
                <w:tab w:val="center" w:pos="374"/>
                <w:tab w:val="center" w:pos="4850"/>
              </w:tabs>
              <w:spacing w:after="45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сотрудник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ab/>
              <w:t>действия</w:t>
            </w:r>
          </w:p>
          <w:p w:rsidR="00547FE3" w:rsidRDefault="005F4898">
            <w:pPr>
              <w:tabs>
                <w:tab w:val="center" w:pos="2045"/>
                <w:tab w:val="center" w:pos="680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OID.1.2.643.100.4=7728394106, СНИЛС=01122097179,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ab/>
              <w:t>02516a8a0063b3a8ad424b1e00765e31da 2026.02.24 16:41:42</w:t>
            </w:r>
          </w:p>
          <w:p w:rsidR="00547FE3" w:rsidRDefault="005F4898">
            <w:pPr>
              <w:tabs>
                <w:tab w:val="center" w:pos="2125"/>
                <w:tab w:val="center" w:pos="554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ОГРН=1177700023434, ИНН=770203132310, C=RU, S=77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ab/>
              <w:t>С 2025.09.25 по 2026.12.25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rPr>
                <w:rFonts w:ascii="Verdana" w:eastAsia="Verdana" w:hAnsi="Verdana" w:cs="Verdana"/>
                <w:color w:val="6393CF"/>
                <w:sz w:val="14"/>
              </w:rPr>
              <w:t>Г.Москва, L=Г.Москва, STREET="ул. Академика Опарина,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rPr>
                <w:rFonts w:ascii="Verdana" w:eastAsia="Verdana" w:hAnsi="Verdana" w:cs="Verdana"/>
                <w:color w:val="6393CF"/>
                <w:sz w:val="14"/>
              </w:rPr>
              <w:t>4", O=РОСОРС, CN=РОСОРС, T=президент, G=Левон</w:t>
            </w:r>
          </w:p>
          <w:p w:rsidR="00547FE3" w:rsidRDefault="005F4898">
            <w:pPr>
              <w:spacing w:after="240" w:line="259" w:lineRule="auto"/>
              <w:ind w:left="0" w:firstLine="0"/>
              <w:jc w:val="left"/>
            </w:pPr>
            <w:r>
              <w:rPr>
                <w:rFonts w:ascii="Verdana" w:eastAsia="Verdana" w:hAnsi="Verdana" w:cs="Verdana"/>
                <w:color w:val="6393CF"/>
                <w:sz w:val="14"/>
              </w:rPr>
              <w:t>Андреевич, SN=Ашрафян</w:t>
            </w:r>
          </w:p>
          <w:p w:rsidR="00547FE3" w:rsidRDefault="005F4898">
            <w:pPr>
              <w:tabs>
                <w:tab w:val="center" w:pos="2045"/>
                <w:tab w:val="center" w:pos="680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OID.1.2.643.100.4=7728394106, СНИЛС=01122097179,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ab/>
              <w:t>02516a8a0063b3a8ad424b1e00765e31da 2026.02.24 16:41:40</w:t>
            </w:r>
          </w:p>
          <w:p w:rsidR="00547FE3" w:rsidRDefault="005F4898">
            <w:pPr>
              <w:tabs>
                <w:tab w:val="center" w:pos="2125"/>
                <w:tab w:val="center" w:pos="554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ОГРН=1177700023434, ИНН=77020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3132310, C=RU, S=77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ab/>
              <w:t>С 2025.09.25 по 2026.12.25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rPr>
                <w:rFonts w:ascii="Verdana" w:eastAsia="Verdana" w:hAnsi="Verdana" w:cs="Verdana"/>
                <w:color w:val="6393CF"/>
                <w:sz w:val="14"/>
              </w:rPr>
              <w:t>Г.Москва, L=Г.Москва, STREET="ул. Академика Опарина,</w:t>
            </w:r>
          </w:p>
          <w:p w:rsidR="00547FE3" w:rsidRDefault="005F4898">
            <w:pPr>
              <w:spacing w:after="0" w:line="259" w:lineRule="auto"/>
              <w:ind w:left="0" w:firstLine="0"/>
              <w:jc w:val="left"/>
            </w:pPr>
            <w:r>
              <w:rPr>
                <w:rFonts w:ascii="Verdana" w:eastAsia="Verdana" w:hAnsi="Verdana" w:cs="Verdana"/>
                <w:color w:val="6393CF"/>
                <w:sz w:val="14"/>
              </w:rPr>
              <w:t>4", O=РОСОРС, CN=РОСОРС, T=президент, G=Левон</w:t>
            </w:r>
          </w:p>
          <w:p w:rsidR="00547FE3" w:rsidRDefault="005F4898">
            <w:pPr>
              <w:spacing w:after="240" w:line="259" w:lineRule="auto"/>
              <w:ind w:left="0" w:firstLine="0"/>
              <w:jc w:val="left"/>
            </w:pPr>
            <w:r>
              <w:rPr>
                <w:rFonts w:ascii="Verdana" w:eastAsia="Verdana" w:hAnsi="Verdana" w:cs="Verdana"/>
                <w:color w:val="6393CF"/>
                <w:sz w:val="14"/>
              </w:rPr>
              <w:t>Андреевич, SN=Ашрафян</w:t>
            </w:r>
          </w:p>
          <w:p w:rsidR="00547FE3" w:rsidRDefault="005F4898">
            <w:pPr>
              <w:tabs>
                <w:tab w:val="center" w:pos="2045"/>
                <w:tab w:val="center" w:pos="680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OID.1.2.643.100.4=7704278213, СНИЛС=03499811996,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ab/>
              <w:t xml:space="preserve">02c91a7900a6b29caa4dd90901444ed801 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2026.02.17 15:55:46</w:t>
            </w:r>
          </w:p>
          <w:p w:rsidR="00547FE3" w:rsidRDefault="005F4898">
            <w:pPr>
              <w:tabs>
                <w:tab w:val="center" w:pos="1649"/>
                <w:tab w:val="center" w:pos="554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ОГРН=1117799001462, ИНН=701802145259,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ab/>
              <w:t>С 2025.03.20 по 2026.06.20</w:t>
            </w:r>
          </w:p>
          <w:p w:rsidR="00547FE3" w:rsidRDefault="005F4898">
            <w:pPr>
              <w:spacing w:after="249" w:line="246" w:lineRule="auto"/>
              <w:ind w:left="0" w:right="5740" w:firstLine="0"/>
              <w:jc w:val="left"/>
            </w:pPr>
            <w:r>
              <w:rPr>
                <w:rFonts w:ascii="Verdana" w:eastAsia="Verdana" w:hAnsi="Verdana" w:cs="Verdana"/>
                <w:color w:val="6393CF"/>
                <w:sz w:val="14"/>
              </w:rPr>
              <w:t>E=svasileva@russco.org, C=RU, S=77 город федерального значения Москва, L=ГОРОД МОСКВА, STREET="ТРУБНАЯ УЛ,ДОМ 25,КОРПУС 1", O="ОБЩЕРОССИЙСКАЯ</w:t>
            </w:r>
          </w:p>
          <w:p w:rsidR="00547FE3" w:rsidRDefault="005F4898">
            <w:pPr>
              <w:tabs>
                <w:tab w:val="center" w:pos="2045"/>
                <w:tab w:val="center" w:pos="680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OID.1.2.643.100.4=770427821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3, СНИЛС=03499811996,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ab/>
              <w:t>02c91a7900a6b29caa4dd90901444ed801 2026.02.17 15:53:59</w:t>
            </w:r>
          </w:p>
          <w:p w:rsidR="00547FE3" w:rsidRDefault="005F4898">
            <w:pPr>
              <w:tabs>
                <w:tab w:val="center" w:pos="1649"/>
                <w:tab w:val="center" w:pos="554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ОГРН=1117799001462, ИНН=701802145259,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ab/>
              <w:t>С 2025.03.20 по 2026.06.20</w:t>
            </w:r>
          </w:p>
          <w:p w:rsidR="00547FE3" w:rsidRDefault="005F4898">
            <w:pPr>
              <w:spacing w:after="249" w:line="246" w:lineRule="auto"/>
              <w:ind w:left="0" w:right="5740" w:firstLine="0"/>
              <w:jc w:val="left"/>
            </w:pPr>
            <w:r>
              <w:rPr>
                <w:rFonts w:ascii="Verdana" w:eastAsia="Verdana" w:hAnsi="Verdana" w:cs="Verdana"/>
                <w:color w:val="6393CF"/>
                <w:sz w:val="14"/>
              </w:rPr>
              <w:t>E=svasileva@russco.org, C=RU, S=77 город федерального значения Москва, L=ГОРОД МОСКВА, STREET="ТРУБНАЯ УЛ,ДОМ 25,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КОРПУС 1", O="ОБЩЕРОССИЙСКАЯ</w:t>
            </w:r>
          </w:p>
          <w:p w:rsidR="00547FE3" w:rsidRDefault="005F4898">
            <w:pPr>
              <w:tabs>
                <w:tab w:val="center" w:pos="2045"/>
                <w:tab w:val="center" w:pos="680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OID.1.2.643.100.4=7704278213, СНИЛС=03499811996,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ab/>
              <w:t>02c91a7900a6b29caa4dd90901444ed801 2026.02.17 15:53:56</w:t>
            </w:r>
          </w:p>
          <w:p w:rsidR="00547FE3" w:rsidRDefault="005F4898">
            <w:pPr>
              <w:tabs>
                <w:tab w:val="center" w:pos="1649"/>
                <w:tab w:val="center" w:pos="554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ОГРН=1117799001462, ИНН=701802145259,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ab/>
              <w:t>С 2025.03.20 по 2026.06.20</w:t>
            </w:r>
          </w:p>
          <w:p w:rsidR="00547FE3" w:rsidRDefault="005F4898">
            <w:pPr>
              <w:spacing w:after="249" w:line="246" w:lineRule="auto"/>
              <w:ind w:left="0" w:right="5740" w:firstLine="0"/>
              <w:jc w:val="left"/>
            </w:pPr>
            <w:r>
              <w:rPr>
                <w:rFonts w:ascii="Verdana" w:eastAsia="Verdana" w:hAnsi="Verdana" w:cs="Verdana"/>
                <w:color w:val="6393CF"/>
                <w:sz w:val="14"/>
              </w:rPr>
              <w:t>E=svasileva@russco.org, C=RU, S=77 город федерального зн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ачения Москва, L=ГОРОД МОСКВА, STREET="ТРУБНАЯ УЛ,ДОМ 25,КОРПУС 1", O="ОБЩЕРОССИЙСКАЯ</w:t>
            </w:r>
          </w:p>
          <w:p w:rsidR="00547FE3" w:rsidRDefault="005F4898">
            <w:pPr>
              <w:tabs>
                <w:tab w:val="center" w:pos="2045"/>
                <w:tab w:val="center" w:pos="680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OID.1.2.643.100.4=7714190568, СНИЛС=02153054900,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ab/>
              <w:t>02eb1df80005b3dea342d958e3ba97d6ad 2026.02.17 11:18:42</w:t>
            </w:r>
          </w:p>
          <w:p w:rsidR="00547FE3" w:rsidRDefault="005F4898">
            <w:pPr>
              <w:tabs>
                <w:tab w:val="center" w:pos="1649"/>
                <w:tab w:val="center" w:pos="554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Verdana" w:eastAsia="Verdana" w:hAnsi="Verdana" w:cs="Verdana"/>
                <w:color w:val="6393CF"/>
                <w:sz w:val="14"/>
              </w:rPr>
              <w:t>ОГРН=1057700011082, ИНН=773133300683,</w:t>
            </w:r>
            <w:r>
              <w:rPr>
                <w:rFonts w:ascii="Verdana" w:eastAsia="Verdana" w:hAnsi="Verdana" w:cs="Verdana"/>
                <w:color w:val="6393CF"/>
                <w:sz w:val="14"/>
              </w:rPr>
              <w:tab/>
              <w:t>С 2025.06.23 по 2026.09.23</w:t>
            </w:r>
          </w:p>
          <w:p w:rsidR="00547FE3" w:rsidRDefault="005F4898">
            <w:pPr>
              <w:spacing w:after="0" w:line="259" w:lineRule="auto"/>
              <w:ind w:left="0" w:right="5464" w:firstLine="0"/>
              <w:jc w:val="left"/>
            </w:pPr>
            <w:r>
              <w:rPr>
                <w:rFonts w:ascii="Verdana" w:eastAsia="Verdana" w:hAnsi="Verdana" w:cs="Verdana"/>
                <w:color w:val="6393CF"/>
                <w:sz w:val="14"/>
              </w:rPr>
              <w:t>E=l.papuk@oncology-association.ru, C=RU, S=77 город федерального значения Москва, L=ГОРОД МОСКВА, STREET="ПРИЧАЛЬНЫЙ ПРОЕЗД,ДОМ 8,КОРПУС</w:t>
            </w:r>
          </w:p>
        </w:tc>
      </w:tr>
    </w:tbl>
    <w:p w:rsidR="00000000" w:rsidRDefault="005F4898"/>
    <w:sectPr w:rsidR="00000000">
      <w:footerReference w:type="even" r:id="rId180"/>
      <w:footerReference w:type="default" r:id="rId181"/>
      <w:footerReference w:type="first" r:id="rId182"/>
      <w:pgSz w:w="11900" w:h="16840"/>
      <w:pgMar w:top="70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F4898">
      <w:pPr>
        <w:spacing w:after="0" w:line="240" w:lineRule="auto"/>
      </w:pPr>
      <w:r>
        <w:separator/>
      </w:r>
    </w:p>
  </w:endnote>
  <w:endnote w:type="continuationSeparator" w:id="0">
    <w:p w:rsidR="00000000" w:rsidRDefault="005F4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FE3" w:rsidRDefault="005F4898">
    <w:pPr>
      <w:spacing w:after="0" w:line="259" w:lineRule="auto"/>
      <w:ind w:left="0" w:right="14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FE3" w:rsidRDefault="005F4898">
    <w:pPr>
      <w:spacing w:after="0" w:line="259" w:lineRule="auto"/>
      <w:ind w:left="0" w:right="14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FE3" w:rsidRDefault="005F4898">
    <w:pPr>
      <w:spacing w:after="0" w:line="259" w:lineRule="auto"/>
      <w:ind w:left="0" w:right="14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FE3" w:rsidRDefault="00547FE3">
    <w:pPr>
      <w:spacing w:after="160" w:line="259" w:lineRule="auto"/>
      <w:ind w:lef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FE3" w:rsidRDefault="00547FE3">
    <w:pPr>
      <w:spacing w:after="16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FE3" w:rsidRDefault="00547FE3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F4898">
      <w:pPr>
        <w:spacing w:after="0" w:line="240" w:lineRule="auto"/>
      </w:pPr>
      <w:r>
        <w:separator/>
      </w:r>
    </w:p>
  </w:footnote>
  <w:footnote w:type="continuationSeparator" w:id="0">
    <w:p w:rsidR="00000000" w:rsidRDefault="005F48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37EF5"/>
    <w:multiLevelType w:val="hybridMultilevel"/>
    <w:tmpl w:val="980EF2B4"/>
    <w:lvl w:ilvl="0" w:tplc="75AA7546">
      <w:start w:val="1"/>
      <w:numFmt w:val="upperRoman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16FAFE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7CD0B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74080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F6673A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AC621C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4173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CE9D4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D26800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B55F03"/>
    <w:multiLevelType w:val="hybridMultilevel"/>
    <w:tmpl w:val="645A48D8"/>
    <w:lvl w:ilvl="0" w:tplc="0B38B872">
      <w:start w:val="1"/>
      <w:numFmt w:val="decimal"/>
      <w:lvlText w:val="%1."/>
      <w:lvlJc w:val="left"/>
      <w:pPr>
        <w:ind w:left="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0030F8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8876C6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1C059A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8E1FAA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C8C422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1C89FE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CCD50C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9C18C2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8F7250"/>
    <w:multiLevelType w:val="hybridMultilevel"/>
    <w:tmpl w:val="63B0D0C8"/>
    <w:lvl w:ilvl="0" w:tplc="2A58E84A">
      <w:start w:val="1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CEDC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509E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DCAF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F887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186F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98B7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360C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F6CF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820A23"/>
    <w:multiLevelType w:val="hybridMultilevel"/>
    <w:tmpl w:val="110EAFBA"/>
    <w:lvl w:ilvl="0" w:tplc="EBEC6C58">
      <w:start w:val="1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541A82">
      <w:start w:val="1"/>
      <w:numFmt w:val="lowerLetter"/>
      <w:lvlText w:val="%2"/>
      <w:lvlJc w:val="left"/>
      <w:pPr>
        <w:ind w:left="1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ECEB1C">
      <w:start w:val="1"/>
      <w:numFmt w:val="lowerRoman"/>
      <w:lvlText w:val="%3"/>
      <w:lvlJc w:val="left"/>
      <w:pPr>
        <w:ind w:left="2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F03468">
      <w:start w:val="1"/>
      <w:numFmt w:val="decimal"/>
      <w:lvlText w:val="%4"/>
      <w:lvlJc w:val="left"/>
      <w:pPr>
        <w:ind w:left="2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CC581E">
      <w:start w:val="1"/>
      <w:numFmt w:val="lowerLetter"/>
      <w:lvlText w:val="%5"/>
      <w:lvlJc w:val="left"/>
      <w:pPr>
        <w:ind w:left="3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CA44CC">
      <w:start w:val="1"/>
      <w:numFmt w:val="lowerRoman"/>
      <w:lvlText w:val="%6"/>
      <w:lvlJc w:val="left"/>
      <w:pPr>
        <w:ind w:left="4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DEEE6A">
      <w:start w:val="1"/>
      <w:numFmt w:val="decimal"/>
      <w:lvlText w:val="%7"/>
      <w:lvlJc w:val="left"/>
      <w:pPr>
        <w:ind w:left="5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5C1B0E">
      <w:start w:val="1"/>
      <w:numFmt w:val="lowerLetter"/>
      <w:lvlText w:val="%8"/>
      <w:lvlJc w:val="left"/>
      <w:pPr>
        <w:ind w:left="5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B44506">
      <w:start w:val="1"/>
      <w:numFmt w:val="lowerRoman"/>
      <w:lvlText w:val="%9"/>
      <w:lvlJc w:val="left"/>
      <w:pPr>
        <w:ind w:left="6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D84A50"/>
    <w:multiLevelType w:val="hybridMultilevel"/>
    <w:tmpl w:val="68CCB3EE"/>
    <w:lvl w:ilvl="0" w:tplc="32FC737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40A7DE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78E06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4C2822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143996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268B2C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D4487E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6B278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26061E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D922D23"/>
    <w:multiLevelType w:val="hybridMultilevel"/>
    <w:tmpl w:val="B5FC0934"/>
    <w:lvl w:ilvl="0" w:tplc="830CF7EC">
      <w:start w:val="1"/>
      <w:numFmt w:val="decimal"/>
      <w:lvlText w:val="%1.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90AAF0">
      <w:start w:val="1"/>
      <w:numFmt w:val="lowerLetter"/>
      <w:lvlText w:val="%2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78090A">
      <w:start w:val="1"/>
      <w:numFmt w:val="lowerRoman"/>
      <w:lvlText w:val="%3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523F82">
      <w:start w:val="1"/>
      <w:numFmt w:val="decimal"/>
      <w:lvlText w:val="%4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4A8AE">
      <w:start w:val="1"/>
      <w:numFmt w:val="lowerLetter"/>
      <w:lvlText w:val="%5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24501A">
      <w:start w:val="1"/>
      <w:numFmt w:val="lowerRoman"/>
      <w:lvlText w:val="%6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6A7740">
      <w:start w:val="1"/>
      <w:numFmt w:val="decimal"/>
      <w:lvlText w:val="%7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3E231A">
      <w:start w:val="1"/>
      <w:numFmt w:val="lowerLetter"/>
      <w:lvlText w:val="%8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320642">
      <w:start w:val="1"/>
      <w:numFmt w:val="lowerRoman"/>
      <w:lvlText w:val="%9"/>
      <w:lvlJc w:val="left"/>
      <w:pPr>
        <w:ind w:left="7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080EFE"/>
    <w:multiLevelType w:val="hybridMultilevel"/>
    <w:tmpl w:val="D6306766"/>
    <w:lvl w:ilvl="0" w:tplc="4EE8A34C">
      <w:start w:val="1"/>
      <w:numFmt w:val="decimal"/>
      <w:lvlText w:val="%1.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5C8C1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FC25D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5ADE2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E82E7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26AC6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8C015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14E3B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F8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DEF6762"/>
    <w:multiLevelType w:val="hybridMultilevel"/>
    <w:tmpl w:val="E424CB62"/>
    <w:lvl w:ilvl="0" w:tplc="ED207D78">
      <w:start w:val="1"/>
      <w:numFmt w:val="bullet"/>
      <w:lvlText w:val="–"/>
      <w:lvlJc w:val="left"/>
      <w:pPr>
        <w:ind w:left="1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3E53E0">
      <w:start w:val="1"/>
      <w:numFmt w:val="bullet"/>
      <w:lvlText w:val="o"/>
      <w:lvlJc w:val="left"/>
      <w:pPr>
        <w:ind w:left="2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7EFA7E">
      <w:start w:val="1"/>
      <w:numFmt w:val="bullet"/>
      <w:lvlText w:val="▪"/>
      <w:lvlJc w:val="left"/>
      <w:pPr>
        <w:ind w:left="2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5C4A4E">
      <w:start w:val="1"/>
      <w:numFmt w:val="bullet"/>
      <w:lvlText w:val="•"/>
      <w:lvlJc w:val="left"/>
      <w:pPr>
        <w:ind w:left="3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1EC1EA">
      <w:start w:val="1"/>
      <w:numFmt w:val="bullet"/>
      <w:lvlText w:val="o"/>
      <w:lvlJc w:val="left"/>
      <w:pPr>
        <w:ind w:left="4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D83EF2">
      <w:start w:val="1"/>
      <w:numFmt w:val="bullet"/>
      <w:lvlText w:val="▪"/>
      <w:lvlJc w:val="left"/>
      <w:pPr>
        <w:ind w:left="5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CE2AF8">
      <w:start w:val="1"/>
      <w:numFmt w:val="bullet"/>
      <w:lvlText w:val="•"/>
      <w:lvlJc w:val="left"/>
      <w:pPr>
        <w:ind w:left="5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A043DC">
      <w:start w:val="1"/>
      <w:numFmt w:val="bullet"/>
      <w:lvlText w:val="o"/>
      <w:lvlJc w:val="left"/>
      <w:pPr>
        <w:ind w:left="6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8E19CC">
      <w:start w:val="1"/>
      <w:numFmt w:val="bullet"/>
      <w:lvlText w:val="▪"/>
      <w:lvlJc w:val="left"/>
      <w:pPr>
        <w:ind w:left="7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6DF4458"/>
    <w:multiLevelType w:val="hybridMultilevel"/>
    <w:tmpl w:val="2E48DEB4"/>
    <w:lvl w:ilvl="0" w:tplc="4356C00E">
      <w:start w:val="1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8A7C04">
      <w:start w:val="1"/>
      <w:numFmt w:val="lowerLetter"/>
      <w:lvlText w:val="%2"/>
      <w:lvlJc w:val="left"/>
      <w:pPr>
        <w:ind w:left="1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589622">
      <w:start w:val="1"/>
      <w:numFmt w:val="lowerRoman"/>
      <w:lvlText w:val="%3"/>
      <w:lvlJc w:val="left"/>
      <w:pPr>
        <w:ind w:left="2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9C9B80">
      <w:start w:val="1"/>
      <w:numFmt w:val="decimal"/>
      <w:lvlText w:val="%4"/>
      <w:lvlJc w:val="left"/>
      <w:pPr>
        <w:ind w:left="2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6645B4">
      <w:start w:val="1"/>
      <w:numFmt w:val="lowerLetter"/>
      <w:lvlText w:val="%5"/>
      <w:lvlJc w:val="left"/>
      <w:pPr>
        <w:ind w:left="3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C66704">
      <w:start w:val="1"/>
      <w:numFmt w:val="lowerRoman"/>
      <w:lvlText w:val="%6"/>
      <w:lvlJc w:val="left"/>
      <w:pPr>
        <w:ind w:left="4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3AA55A">
      <w:start w:val="1"/>
      <w:numFmt w:val="decimal"/>
      <w:lvlText w:val="%7"/>
      <w:lvlJc w:val="left"/>
      <w:pPr>
        <w:ind w:left="4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5E5BC8">
      <w:start w:val="1"/>
      <w:numFmt w:val="lowerLetter"/>
      <w:lvlText w:val="%8"/>
      <w:lvlJc w:val="left"/>
      <w:pPr>
        <w:ind w:left="5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78F300">
      <w:start w:val="1"/>
      <w:numFmt w:val="lowerRoman"/>
      <w:lvlText w:val="%9"/>
      <w:lvlJc w:val="left"/>
      <w:pPr>
        <w:ind w:left="6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9830E91"/>
    <w:multiLevelType w:val="hybridMultilevel"/>
    <w:tmpl w:val="E25C7932"/>
    <w:lvl w:ilvl="0" w:tplc="F3C42ADA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1" w:tplc="36D2A40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2" w:tplc="CD5E192E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3" w:tplc="5D6675C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4" w:tplc="A860F4B0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5" w:tplc="8A3A3A96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6" w:tplc="0688F874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7" w:tplc="16C6FA2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8" w:tplc="3B9E73C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39DA217E"/>
    <w:multiLevelType w:val="hybridMultilevel"/>
    <w:tmpl w:val="2F82E4A0"/>
    <w:lvl w:ilvl="0" w:tplc="8F16DC9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B4F05C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EC1384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946DC8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02896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6185A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9289B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C6E482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2E08CA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AA80723"/>
    <w:multiLevelType w:val="hybridMultilevel"/>
    <w:tmpl w:val="E57C6D9C"/>
    <w:lvl w:ilvl="0" w:tplc="656AFB8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30A286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88490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B8F9B2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5CC178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04FE64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D00E8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1CF8CC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6A785C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201650F"/>
    <w:multiLevelType w:val="hybridMultilevel"/>
    <w:tmpl w:val="93FA481A"/>
    <w:lvl w:ilvl="0" w:tplc="9564BAEA">
      <w:start w:val="1"/>
      <w:numFmt w:val="bullet"/>
      <w:lvlText w:val="–"/>
      <w:lvlJc w:val="left"/>
      <w:pPr>
        <w:ind w:left="1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D8FE54">
      <w:start w:val="1"/>
      <w:numFmt w:val="bullet"/>
      <w:lvlText w:val="o"/>
      <w:lvlJc w:val="left"/>
      <w:pPr>
        <w:ind w:left="2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8014B4">
      <w:start w:val="1"/>
      <w:numFmt w:val="bullet"/>
      <w:lvlText w:val="▪"/>
      <w:lvlJc w:val="left"/>
      <w:pPr>
        <w:ind w:left="2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520358">
      <w:start w:val="1"/>
      <w:numFmt w:val="bullet"/>
      <w:lvlText w:val="•"/>
      <w:lvlJc w:val="left"/>
      <w:pPr>
        <w:ind w:left="3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CABC54">
      <w:start w:val="1"/>
      <w:numFmt w:val="bullet"/>
      <w:lvlText w:val="o"/>
      <w:lvlJc w:val="left"/>
      <w:pPr>
        <w:ind w:left="4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941B8C">
      <w:start w:val="1"/>
      <w:numFmt w:val="bullet"/>
      <w:lvlText w:val="▪"/>
      <w:lvlJc w:val="left"/>
      <w:pPr>
        <w:ind w:left="5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BED1BC">
      <w:start w:val="1"/>
      <w:numFmt w:val="bullet"/>
      <w:lvlText w:val="•"/>
      <w:lvlJc w:val="left"/>
      <w:pPr>
        <w:ind w:left="5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F28266">
      <w:start w:val="1"/>
      <w:numFmt w:val="bullet"/>
      <w:lvlText w:val="o"/>
      <w:lvlJc w:val="left"/>
      <w:pPr>
        <w:ind w:left="6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3C3556">
      <w:start w:val="1"/>
      <w:numFmt w:val="bullet"/>
      <w:lvlText w:val="▪"/>
      <w:lvlJc w:val="left"/>
      <w:pPr>
        <w:ind w:left="7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8D66FC7"/>
    <w:multiLevelType w:val="multilevel"/>
    <w:tmpl w:val="D144A07A"/>
    <w:lvl w:ilvl="0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9051037"/>
    <w:multiLevelType w:val="multilevel"/>
    <w:tmpl w:val="642410B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692677B"/>
    <w:multiLevelType w:val="multilevel"/>
    <w:tmpl w:val="5B843202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96D7A30"/>
    <w:multiLevelType w:val="hybridMultilevel"/>
    <w:tmpl w:val="A798FAF8"/>
    <w:lvl w:ilvl="0" w:tplc="8FDEC9E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9ABE90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E49AE0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AAAA1A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90A532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6ED0C8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3CBFB6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48D232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7CBD8E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80263D5"/>
    <w:multiLevelType w:val="hybridMultilevel"/>
    <w:tmpl w:val="7F1606E2"/>
    <w:lvl w:ilvl="0" w:tplc="80E6742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BA5148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FAC9A4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0E0020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ACB4BE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2C0276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6A383C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92730A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7A6CCC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2A85472"/>
    <w:multiLevelType w:val="hybridMultilevel"/>
    <w:tmpl w:val="A3A8E3DE"/>
    <w:lvl w:ilvl="0" w:tplc="5CF2168C">
      <w:start w:val="1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087908">
      <w:start w:val="1"/>
      <w:numFmt w:val="lowerLetter"/>
      <w:lvlText w:val="%2"/>
      <w:lvlJc w:val="left"/>
      <w:pPr>
        <w:ind w:left="1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985280">
      <w:start w:val="1"/>
      <w:numFmt w:val="lowerRoman"/>
      <w:lvlText w:val="%3"/>
      <w:lvlJc w:val="left"/>
      <w:pPr>
        <w:ind w:left="2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F60EE6">
      <w:start w:val="1"/>
      <w:numFmt w:val="decimal"/>
      <w:lvlText w:val="%4"/>
      <w:lvlJc w:val="left"/>
      <w:pPr>
        <w:ind w:left="2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AA5F52">
      <w:start w:val="1"/>
      <w:numFmt w:val="lowerLetter"/>
      <w:lvlText w:val="%5"/>
      <w:lvlJc w:val="left"/>
      <w:pPr>
        <w:ind w:left="3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1A764E">
      <w:start w:val="1"/>
      <w:numFmt w:val="lowerRoman"/>
      <w:lvlText w:val="%6"/>
      <w:lvlJc w:val="left"/>
      <w:pPr>
        <w:ind w:left="4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18BC64">
      <w:start w:val="1"/>
      <w:numFmt w:val="decimal"/>
      <w:lvlText w:val="%7"/>
      <w:lvlJc w:val="left"/>
      <w:pPr>
        <w:ind w:left="5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4A289E">
      <w:start w:val="1"/>
      <w:numFmt w:val="lowerLetter"/>
      <w:lvlText w:val="%8"/>
      <w:lvlJc w:val="left"/>
      <w:pPr>
        <w:ind w:left="5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08D148">
      <w:start w:val="1"/>
      <w:numFmt w:val="lowerRoman"/>
      <w:lvlText w:val="%9"/>
      <w:lvlJc w:val="left"/>
      <w:pPr>
        <w:ind w:left="6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615486F"/>
    <w:multiLevelType w:val="hybridMultilevel"/>
    <w:tmpl w:val="0E60E2FA"/>
    <w:lvl w:ilvl="0" w:tplc="3846423C">
      <w:start w:val="1"/>
      <w:numFmt w:val="bullet"/>
      <w:lvlText w:val="–"/>
      <w:lvlJc w:val="left"/>
      <w:pPr>
        <w:ind w:left="10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347A4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74948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86B68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824AA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16B0A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1CA75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6E74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DE5D9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62123BC"/>
    <w:multiLevelType w:val="multilevel"/>
    <w:tmpl w:val="2946BFF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20"/>
  </w:num>
  <w:num w:numId="3">
    <w:abstractNumId w:val="14"/>
  </w:num>
  <w:num w:numId="4">
    <w:abstractNumId w:val="13"/>
  </w:num>
  <w:num w:numId="5">
    <w:abstractNumId w:val="0"/>
  </w:num>
  <w:num w:numId="6">
    <w:abstractNumId w:val="6"/>
  </w:num>
  <w:num w:numId="7">
    <w:abstractNumId w:val="5"/>
  </w:num>
  <w:num w:numId="8">
    <w:abstractNumId w:val="12"/>
  </w:num>
  <w:num w:numId="9">
    <w:abstractNumId w:val="9"/>
  </w:num>
  <w:num w:numId="10">
    <w:abstractNumId w:val="19"/>
  </w:num>
  <w:num w:numId="11">
    <w:abstractNumId w:val="16"/>
  </w:num>
  <w:num w:numId="12">
    <w:abstractNumId w:val="10"/>
  </w:num>
  <w:num w:numId="13">
    <w:abstractNumId w:val="11"/>
  </w:num>
  <w:num w:numId="14">
    <w:abstractNumId w:val="17"/>
  </w:num>
  <w:num w:numId="15">
    <w:abstractNumId w:val="4"/>
  </w:num>
  <w:num w:numId="16">
    <w:abstractNumId w:val="1"/>
  </w:num>
  <w:num w:numId="17">
    <w:abstractNumId w:val="2"/>
  </w:num>
  <w:num w:numId="18">
    <w:abstractNumId w:val="8"/>
  </w:num>
  <w:num w:numId="19">
    <w:abstractNumId w:val="18"/>
  </w:num>
  <w:num w:numId="20">
    <w:abstractNumId w:val="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FE3"/>
    <w:rsid w:val="00547FE3"/>
    <w:rsid w:val="005F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DD89FB9E-BA0E-47F8-B606-5349A450C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" w:line="352" w:lineRule="auto"/>
      <w:ind w:left="1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25" w:line="351" w:lineRule="auto"/>
      <w:ind w:left="10" w:right="14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354"/>
      <w:ind w:left="12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354"/>
      <w:ind w:left="12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osoncoweb.ru/standarts/?chapter=infusion_reactions" TargetMode="External"/><Relationship Id="rId21" Type="http://schemas.openxmlformats.org/officeDocument/2006/relationships/hyperlink" Target="https://rosoncoweb.ru/standarts/?chapter=thromboembolism" TargetMode="External"/><Relationship Id="rId42" Type="http://schemas.openxmlformats.org/officeDocument/2006/relationships/hyperlink" Target="https://rosoncoweb.ru/standarts/?chapter=nausea_vomiting" TargetMode="External"/><Relationship Id="rId63" Type="http://schemas.openxmlformats.org/officeDocument/2006/relationships/hyperlink" Target="https://rosoncoweb.ru/standarts/?chapter=febrile_neutropenia" TargetMode="External"/><Relationship Id="rId84" Type="http://schemas.openxmlformats.org/officeDocument/2006/relationships/hyperlink" Target="https://rosoncoweb.ru/standarts/?chapter=chronic_pain_syndrome" TargetMode="External"/><Relationship Id="rId138" Type="http://schemas.openxmlformats.org/officeDocument/2006/relationships/hyperlink" Target="https://rosoncoweb.ru/standarts/?chapter=chronic_viral_hepatitis" TargetMode="External"/><Relationship Id="rId159" Type="http://schemas.openxmlformats.org/officeDocument/2006/relationships/hyperlink" Target="https://www.ncbi.nlm.nih.gov/pubmed/22119994" TargetMode="External"/><Relationship Id="rId170" Type="http://schemas.openxmlformats.org/officeDocument/2006/relationships/hyperlink" Target="https://pubmed.ncbi.nlm.nih.gov/?term=Rezende-Filho%20J%5BAuthor%5D" TargetMode="External"/><Relationship Id="rId107" Type="http://schemas.openxmlformats.org/officeDocument/2006/relationships/hyperlink" Target="https://rosoncoweb.ru/standarts/?chapter=infusion_reactions" TargetMode="External"/><Relationship Id="rId11" Type="http://schemas.openxmlformats.org/officeDocument/2006/relationships/hyperlink" Target="https://rosoncoweb.ru/standarts/?chapter=thromboembolism" TargetMode="External"/><Relationship Id="rId32" Type="http://schemas.openxmlformats.org/officeDocument/2006/relationships/hyperlink" Target="https://rosoncoweb.ru/standarts/?chapter=nausea_vomiting" TargetMode="External"/><Relationship Id="rId53" Type="http://schemas.openxmlformats.org/officeDocument/2006/relationships/hyperlink" Target="https://rosoncoweb.ru/standarts/?chapter=nausea_vomiting" TargetMode="External"/><Relationship Id="rId74" Type="http://schemas.openxmlformats.org/officeDocument/2006/relationships/hyperlink" Target="https://rosoncoweb.ru/standarts/?chapter=febrile_neutropenia" TargetMode="External"/><Relationship Id="rId128" Type="http://schemas.openxmlformats.org/officeDocument/2006/relationships/hyperlink" Target="https://rosoncoweb.ru/standarts/?chapter=chronic_viral_hepatitis" TargetMode="External"/><Relationship Id="rId149" Type="http://schemas.openxmlformats.org/officeDocument/2006/relationships/hyperlink" Target="https://rosoncoweb.ru/standarts/?chapter=chronic_viral_hepatitis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rosoncoweb.ru/standarts/?chapter=chronic_pain_syndrome" TargetMode="External"/><Relationship Id="rId160" Type="http://schemas.openxmlformats.org/officeDocument/2006/relationships/hyperlink" Target="https://www.ncbi.nlm.nih.gov/pubmed/22119994" TargetMode="External"/><Relationship Id="rId181" Type="http://schemas.openxmlformats.org/officeDocument/2006/relationships/footer" Target="footer5.xml"/><Relationship Id="rId22" Type="http://schemas.openxmlformats.org/officeDocument/2006/relationships/hyperlink" Target="https://rosoncoweb.ru/standarts/?chapter=thromboembolism" TargetMode="External"/><Relationship Id="rId43" Type="http://schemas.openxmlformats.org/officeDocument/2006/relationships/hyperlink" Target="https://rosoncoweb.ru/standarts/?chapter=nausea_vomiting" TargetMode="External"/><Relationship Id="rId64" Type="http://schemas.openxmlformats.org/officeDocument/2006/relationships/hyperlink" Target="https://rosoncoweb.ru/standarts/?chapter=febrile_neutropenia" TargetMode="External"/><Relationship Id="rId118" Type="http://schemas.openxmlformats.org/officeDocument/2006/relationships/hyperlink" Target="https://rosoncoweb.ru/standarts/?chapter=infusion_reactions" TargetMode="External"/><Relationship Id="rId139" Type="http://schemas.openxmlformats.org/officeDocument/2006/relationships/hyperlink" Target="https://rosoncoweb.ru/standarts/?chapter=chronic_viral_hepatitis" TargetMode="External"/><Relationship Id="rId85" Type="http://schemas.openxmlformats.org/officeDocument/2006/relationships/hyperlink" Target="https://rosoncoweb.ru/standarts/?chapter=chronic_pain_syndrome" TargetMode="External"/><Relationship Id="rId150" Type="http://schemas.openxmlformats.org/officeDocument/2006/relationships/hyperlink" Target="https://rosoncoweb.ru/standarts/?chapter=chronic_viral_hepatitis" TargetMode="External"/><Relationship Id="rId171" Type="http://schemas.openxmlformats.org/officeDocument/2006/relationships/hyperlink" Target="https://pubmed.ncbi.nlm.nih.gov/?term=Seckl%20MJ%5BAuthor%5D" TargetMode="External"/><Relationship Id="rId12" Type="http://schemas.openxmlformats.org/officeDocument/2006/relationships/hyperlink" Target="https://rosoncoweb.ru/standarts/?chapter=thromboembolism" TargetMode="External"/><Relationship Id="rId33" Type="http://schemas.openxmlformats.org/officeDocument/2006/relationships/hyperlink" Target="https://rosoncoweb.ru/standarts/?chapter=nausea_vomiting" TargetMode="External"/><Relationship Id="rId108" Type="http://schemas.openxmlformats.org/officeDocument/2006/relationships/hyperlink" Target="https://rosoncoweb.ru/standarts/?chapter=infusion_reactions" TargetMode="External"/><Relationship Id="rId129" Type="http://schemas.openxmlformats.org/officeDocument/2006/relationships/hyperlink" Target="https://rosoncoweb.ru/standarts/?chapter=chronic_viral_hepatitis" TargetMode="External"/><Relationship Id="rId54" Type="http://schemas.openxmlformats.org/officeDocument/2006/relationships/hyperlink" Target="https://rosoncoweb.ru/standarts/?chapter=nausea_vomiting" TargetMode="External"/><Relationship Id="rId75" Type="http://schemas.openxmlformats.org/officeDocument/2006/relationships/hyperlink" Target="https://rosoncoweb.ru/standarts/?chapter=febrile_neutropenia" TargetMode="External"/><Relationship Id="rId96" Type="http://schemas.openxmlformats.org/officeDocument/2006/relationships/hyperlink" Target="https://rosoncoweb.ru/standarts/?chapter=chronic_pain_syndrome" TargetMode="External"/><Relationship Id="rId140" Type="http://schemas.openxmlformats.org/officeDocument/2006/relationships/hyperlink" Target="https://rosoncoweb.ru/standarts/?chapter=chronic_viral_hepatitis" TargetMode="External"/><Relationship Id="rId161" Type="http://schemas.openxmlformats.org/officeDocument/2006/relationships/hyperlink" Target="https://www.ncbi.nlm.nih.gov/pubmed/22119994" TargetMode="External"/><Relationship Id="rId182" Type="http://schemas.openxmlformats.org/officeDocument/2006/relationships/footer" Target="footer6.xml"/><Relationship Id="rId6" Type="http://schemas.openxmlformats.org/officeDocument/2006/relationships/endnotes" Target="endnotes.xml"/><Relationship Id="rId23" Type="http://schemas.openxmlformats.org/officeDocument/2006/relationships/hyperlink" Target="https://rosoncoweb.ru/standarts/?chapter=thromboembolism" TargetMode="External"/><Relationship Id="rId119" Type="http://schemas.openxmlformats.org/officeDocument/2006/relationships/hyperlink" Target="https://rosoncoweb.ru/standarts/?chapter=infusion_reactions" TargetMode="External"/><Relationship Id="rId44" Type="http://schemas.openxmlformats.org/officeDocument/2006/relationships/hyperlink" Target="https://rosoncoweb.ru/standarts/?chapter=nausea_vomiting" TargetMode="External"/><Relationship Id="rId60" Type="http://schemas.openxmlformats.org/officeDocument/2006/relationships/hyperlink" Target="https://rosoncoweb.ru/standarts/?chapter=febrile_neutropenia" TargetMode="External"/><Relationship Id="rId65" Type="http://schemas.openxmlformats.org/officeDocument/2006/relationships/hyperlink" Target="https://rosoncoweb.ru/standarts/?chapter=febrile_neutropenia" TargetMode="External"/><Relationship Id="rId81" Type="http://schemas.openxmlformats.org/officeDocument/2006/relationships/hyperlink" Target="https://rosoncoweb.ru/standarts/?chapter=chronic_pain_syndrome" TargetMode="External"/><Relationship Id="rId86" Type="http://schemas.openxmlformats.org/officeDocument/2006/relationships/hyperlink" Target="https://rosoncoweb.ru/standarts/?chapter=chronic_pain_syndrome" TargetMode="External"/><Relationship Id="rId130" Type="http://schemas.openxmlformats.org/officeDocument/2006/relationships/hyperlink" Target="https://rosoncoweb.ru/standarts/?chapter=chronic_viral_hepatitis" TargetMode="External"/><Relationship Id="rId135" Type="http://schemas.openxmlformats.org/officeDocument/2006/relationships/hyperlink" Target="https://rosoncoweb.ru/standarts/?chapter=chronic_viral_hepatitis" TargetMode="External"/><Relationship Id="rId151" Type="http://schemas.openxmlformats.org/officeDocument/2006/relationships/hyperlink" Target="https://rosoncoweb.ru/standarts/?chapter=chronic_viral_hepatitis" TargetMode="External"/><Relationship Id="rId156" Type="http://schemas.openxmlformats.org/officeDocument/2006/relationships/hyperlink" Target="https://www.ncbi.nlm.nih.gov/pubmed/29461984" TargetMode="External"/><Relationship Id="rId177" Type="http://schemas.openxmlformats.org/officeDocument/2006/relationships/footer" Target="footer1.xml"/><Relationship Id="rId172" Type="http://schemas.openxmlformats.org/officeDocument/2006/relationships/hyperlink" Target="https://www.gynecologiconcology-online.net/issue/S0090-8258(19)X0006-2" TargetMode="External"/><Relationship Id="rId13" Type="http://schemas.openxmlformats.org/officeDocument/2006/relationships/hyperlink" Target="https://rosoncoweb.ru/standarts/?chapter=thromboembolism" TargetMode="External"/><Relationship Id="rId18" Type="http://schemas.openxmlformats.org/officeDocument/2006/relationships/hyperlink" Target="https://rosoncoweb.ru/standarts/?chapter=thromboembolism" TargetMode="External"/><Relationship Id="rId39" Type="http://schemas.openxmlformats.org/officeDocument/2006/relationships/hyperlink" Target="https://rosoncoweb.ru/standarts/?chapter=nausea_vomiting" TargetMode="External"/><Relationship Id="rId109" Type="http://schemas.openxmlformats.org/officeDocument/2006/relationships/hyperlink" Target="https://rosoncoweb.ru/standarts/?chapter=infusion_reactions" TargetMode="External"/><Relationship Id="rId34" Type="http://schemas.openxmlformats.org/officeDocument/2006/relationships/hyperlink" Target="https://rosoncoweb.ru/standarts/?chapter=nausea_vomiting" TargetMode="External"/><Relationship Id="rId50" Type="http://schemas.openxmlformats.org/officeDocument/2006/relationships/hyperlink" Target="https://rosoncoweb.ru/standarts/?chapter=nausea_vomiting" TargetMode="External"/><Relationship Id="rId55" Type="http://schemas.openxmlformats.org/officeDocument/2006/relationships/hyperlink" Target="https://rosoncoweb.ru/standarts/?chapter=febrile_neutropenia" TargetMode="External"/><Relationship Id="rId76" Type="http://schemas.openxmlformats.org/officeDocument/2006/relationships/hyperlink" Target="https://rosoncoweb.ru/standarts/?chapter=febrile_neutropenia" TargetMode="External"/><Relationship Id="rId97" Type="http://schemas.openxmlformats.org/officeDocument/2006/relationships/hyperlink" Target="https://rosoncoweb.ru/standarts/?chapter=chronic_pain_syndrome" TargetMode="External"/><Relationship Id="rId104" Type="http://schemas.openxmlformats.org/officeDocument/2006/relationships/hyperlink" Target="https://rosoncoweb.ru/standarts/?chapter=infusion_reactions" TargetMode="External"/><Relationship Id="rId120" Type="http://schemas.openxmlformats.org/officeDocument/2006/relationships/hyperlink" Target="https://rosoncoweb.ru/standarts/?chapter=infusion_reactions" TargetMode="External"/><Relationship Id="rId125" Type="http://schemas.openxmlformats.org/officeDocument/2006/relationships/hyperlink" Target="https://rosoncoweb.ru/standarts/?chapter=infusion_reactions" TargetMode="External"/><Relationship Id="rId141" Type="http://schemas.openxmlformats.org/officeDocument/2006/relationships/hyperlink" Target="https://rosoncoweb.ru/standarts/?chapter=chronic_viral_hepatitis" TargetMode="External"/><Relationship Id="rId146" Type="http://schemas.openxmlformats.org/officeDocument/2006/relationships/hyperlink" Target="https://rosoncoweb.ru/standarts/?chapter=chronic_viral_hepatitis" TargetMode="External"/><Relationship Id="rId167" Type="http://schemas.openxmlformats.org/officeDocument/2006/relationships/hyperlink" Target="https://pubmed.ncbi.nlm.nih.gov/?term=de%20Melo%20AC%5BAuthor%5D" TargetMode="External"/><Relationship Id="rId7" Type="http://schemas.openxmlformats.org/officeDocument/2006/relationships/hyperlink" Target="https://rosoncoweb.ru/standarts/RUSSCO/2024/2024-1_1-01.pdf" TargetMode="External"/><Relationship Id="rId71" Type="http://schemas.openxmlformats.org/officeDocument/2006/relationships/hyperlink" Target="https://rosoncoweb.ru/standarts/?chapter=febrile_neutropenia" TargetMode="External"/><Relationship Id="rId92" Type="http://schemas.openxmlformats.org/officeDocument/2006/relationships/hyperlink" Target="https://rosoncoweb.ru/standarts/?chapter=chronic_pain_syndrome" TargetMode="External"/><Relationship Id="rId162" Type="http://schemas.openxmlformats.org/officeDocument/2006/relationships/hyperlink" Target="https://doi.org/10.1016/j.ejca.2015.05.026" TargetMode="External"/><Relationship Id="rId18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rosoncoweb.ru/standarts/?chapter=thromboembolism" TargetMode="External"/><Relationship Id="rId24" Type="http://schemas.openxmlformats.org/officeDocument/2006/relationships/hyperlink" Target="https://rosoncoweb.ru/standarts/?chapter=thromboembolism" TargetMode="External"/><Relationship Id="rId40" Type="http://schemas.openxmlformats.org/officeDocument/2006/relationships/hyperlink" Target="https://rosoncoweb.ru/standarts/?chapter=nausea_vomiting" TargetMode="External"/><Relationship Id="rId45" Type="http://schemas.openxmlformats.org/officeDocument/2006/relationships/hyperlink" Target="https://rosoncoweb.ru/standarts/?chapter=nausea_vomiting" TargetMode="External"/><Relationship Id="rId66" Type="http://schemas.openxmlformats.org/officeDocument/2006/relationships/hyperlink" Target="https://rosoncoweb.ru/standarts/?chapter=febrile_neutropenia" TargetMode="External"/><Relationship Id="rId87" Type="http://schemas.openxmlformats.org/officeDocument/2006/relationships/hyperlink" Target="https://rosoncoweb.ru/standarts/?chapter=chronic_pain_syndrome" TargetMode="External"/><Relationship Id="rId110" Type="http://schemas.openxmlformats.org/officeDocument/2006/relationships/hyperlink" Target="https://rosoncoweb.ru/standarts/?chapter=infusion_reactions" TargetMode="External"/><Relationship Id="rId115" Type="http://schemas.openxmlformats.org/officeDocument/2006/relationships/hyperlink" Target="https://rosoncoweb.ru/standarts/?chapter=infusion_reactions" TargetMode="External"/><Relationship Id="rId131" Type="http://schemas.openxmlformats.org/officeDocument/2006/relationships/hyperlink" Target="https://rosoncoweb.ru/standarts/?chapter=chronic_viral_hepatitis" TargetMode="External"/><Relationship Id="rId136" Type="http://schemas.openxmlformats.org/officeDocument/2006/relationships/hyperlink" Target="https://rosoncoweb.ru/standarts/?chapter=chronic_viral_hepatitis" TargetMode="External"/><Relationship Id="rId157" Type="http://schemas.openxmlformats.org/officeDocument/2006/relationships/hyperlink" Target="https://www.ncbi.nlm.nih.gov/pubmed/?term=Bifulco%20G%5BAuthor%5D&amp;cauthor=true&amp;cauthor_uid=22119994" TargetMode="External"/><Relationship Id="rId178" Type="http://schemas.openxmlformats.org/officeDocument/2006/relationships/footer" Target="footer2.xml"/><Relationship Id="rId61" Type="http://schemas.openxmlformats.org/officeDocument/2006/relationships/hyperlink" Target="https://rosoncoweb.ru/standarts/?chapter=febrile_neutropenia" TargetMode="External"/><Relationship Id="rId82" Type="http://schemas.openxmlformats.org/officeDocument/2006/relationships/hyperlink" Target="https://rosoncoweb.ru/standarts/?chapter=chronic_pain_syndrome" TargetMode="External"/><Relationship Id="rId152" Type="http://schemas.openxmlformats.org/officeDocument/2006/relationships/hyperlink" Target="https://www.ncbi.nlm.nih.gov/pubmed/?term=Cantrell%20LA%5BAuthor%5D&amp;cauthor=true&amp;cauthor_uid=29461984" TargetMode="External"/><Relationship Id="rId173" Type="http://schemas.openxmlformats.org/officeDocument/2006/relationships/hyperlink" Target="https://doi.org/10.1016/j.ygyno.2019.03.011" TargetMode="External"/><Relationship Id="rId19" Type="http://schemas.openxmlformats.org/officeDocument/2006/relationships/hyperlink" Target="https://rosoncoweb.ru/standarts/?chapter=thromboembolism" TargetMode="External"/><Relationship Id="rId14" Type="http://schemas.openxmlformats.org/officeDocument/2006/relationships/hyperlink" Target="https://rosoncoweb.ru/standarts/?chapter=thromboembolism" TargetMode="External"/><Relationship Id="rId30" Type="http://schemas.openxmlformats.org/officeDocument/2006/relationships/hyperlink" Target="https://rosoncoweb.ru/standarts/?chapter=thromboembolism" TargetMode="External"/><Relationship Id="rId35" Type="http://schemas.openxmlformats.org/officeDocument/2006/relationships/hyperlink" Target="https://rosoncoweb.ru/standarts/?chapter=nausea_vomiting" TargetMode="External"/><Relationship Id="rId56" Type="http://schemas.openxmlformats.org/officeDocument/2006/relationships/hyperlink" Target="https://rosoncoweb.ru/standarts/?chapter=febrile_neutropenia" TargetMode="External"/><Relationship Id="rId77" Type="http://schemas.openxmlformats.org/officeDocument/2006/relationships/hyperlink" Target="https://rosoncoweb.ru/standarts/?chapter=febrile_neutropenia" TargetMode="External"/><Relationship Id="rId100" Type="http://schemas.openxmlformats.org/officeDocument/2006/relationships/hyperlink" Target="https://rosoncoweb.ru/standarts/?chapter=chronic_pain_syndrome" TargetMode="External"/><Relationship Id="rId105" Type="http://schemas.openxmlformats.org/officeDocument/2006/relationships/hyperlink" Target="https://rosoncoweb.ru/standarts/?chapter=infusion_reactions" TargetMode="External"/><Relationship Id="rId126" Type="http://schemas.openxmlformats.org/officeDocument/2006/relationships/hyperlink" Target="https://rosoncoweb.ru/standarts/?chapter=chronic_viral_hepatitis" TargetMode="External"/><Relationship Id="rId147" Type="http://schemas.openxmlformats.org/officeDocument/2006/relationships/hyperlink" Target="https://rosoncoweb.ru/standarts/?chapter=chronic_viral_hepatitis" TargetMode="External"/><Relationship Id="rId168" Type="http://schemas.openxmlformats.org/officeDocument/2006/relationships/hyperlink" Target="https://pubmed.ncbi.nlm.nih.gov/?term=Nogueira-Rodrigues%20A%5BAuthor%5D" TargetMode="External"/><Relationship Id="rId8" Type="http://schemas.openxmlformats.org/officeDocument/2006/relationships/hyperlink" Target="https://rosoncoweb.ru/standarts/RUSSCO/2024/2024-1_1-01.pdf" TargetMode="External"/><Relationship Id="rId51" Type="http://schemas.openxmlformats.org/officeDocument/2006/relationships/hyperlink" Target="https://rosoncoweb.ru/standarts/?chapter=nausea_vomiting" TargetMode="External"/><Relationship Id="rId72" Type="http://schemas.openxmlformats.org/officeDocument/2006/relationships/hyperlink" Target="https://rosoncoweb.ru/standarts/?chapter=febrile_neutropenia" TargetMode="External"/><Relationship Id="rId93" Type="http://schemas.openxmlformats.org/officeDocument/2006/relationships/hyperlink" Target="https://rosoncoweb.ru/standarts/?chapter=chronic_pain_syndrome" TargetMode="External"/><Relationship Id="rId98" Type="http://schemas.openxmlformats.org/officeDocument/2006/relationships/hyperlink" Target="https://rosoncoweb.ru/standarts/?chapter=chronic_pain_syndrome" TargetMode="External"/><Relationship Id="rId121" Type="http://schemas.openxmlformats.org/officeDocument/2006/relationships/hyperlink" Target="https://rosoncoweb.ru/standarts/?chapter=infusion_reactions" TargetMode="External"/><Relationship Id="rId142" Type="http://schemas.openxmlformats.org/officeDocument/2006/relationships/hyperlink" Target="https://rosoncoweb.ru/standarts/?chapter=chronic_viral_hepatitis" TargetMode="External"/><Relationship Id="rId163" Type="http://schemas.openxmlformats.org/officeDocument/2006/relationships/hyperlink" Target="https://www.gynecologiconcology-online.net/issue/S0090-8258(16)X0008-X" TargetMode="External"/><Relationship Id="rId184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rosoncoweb.ru/standarts/?chapter=thromboembolism" TargetMode="External"/><Relationship Id="rId46" Type="http://schemas.openxmlformats.org/officeDocument/2006/relationships/hyperlink" Target="https://rosoncoweb.ru/standarts/?chapter=nausea_vomiting" TargetMode="External"/><Relationship Id="rId67" Type="http://schemas.openxmlformats.org/officeDocument/2006/relationships/hyperlink" Target="https://rosoncoweb.ru/standarts/?chapter=febrile_neutropenia" TargetMode="External"/><Relationship Id="rId116" Type="http://schemas.openxmlformats.org/officeDocument/2006/relationships/hyperlink" Target="https://rosoncoweb.ru/standarts/?chapter=infusion_reactions" TargetMode="External"/><Relationship Id="rId137" Type="http://schemas.openxmlformats.org/officeDocument/2006/relationships/hyperlink" Target="https://rosoncoweb.ru/standarts/?chapter=chronic_viral_hepatitis" TargetMode="External"/><Relationship Id="rId158" Type="http://schemas.openxmlformats.org/officeDocument/2006/relationships/hyperlink" Target="https://www.ncbi.nlm.nih.gov/pubmed/?term=Bifulco%20G%5BAuthor%5D&amp;cauthor=true&amp;cauthor_uid=22119994" TargetMode="External"/><Relationship Id="rId20" Type="http://schemas.openxmlformats.org/officeDocument/2006/relationships/hyperlink" Target="https://rosoncoweb.ru/standarts/?chapter=thromboembolism" TargetMode="External"/><Relationship Id="rId41" Type="http://schemas.openxmlformats.org/officeDocument/2006/relationships/hyperlink" Target="https://rosoncoweb.ru/standarts/?chapter=nausea_vomiting" TargetMode="External"/><Relationship Id="rId62" Type="http://schemas.openxmlformats.org/officeDocument/2006/relationships/hyperlink" Target="https://rosoncoweb.ru/standarts/?chapter=febrile_neutropenia" TargetMode="External"/><Relationship Id="rId83" Type="http://schemas.openxmlformats.org/officeDocument/2006/relationships/hyperlink" Target="https://rosoncoweb.ru/standarts/?chapter=chronic_pain_syndrome" TargetMode="External"/><Relationship Id="rId88" Type="http://schemas.openxmlformats.org/officeDocument/2006/relationships/hyperlink" Target="https://rosoncoweb.ru/standarts/?chapter=chronic_pain_syndrome" TargetMode="External"/><Relationship Id="rId111" Type="http://schemas.openxmlformats.org/officeDocument/2006/relationships/hyperlink" Target="https://rosoncoweb.ru/standarts/?chapter=infusion_reactions" TargetMode="External"/><Relationship Id="rId132" Type="http://schemas.openxmlformats.org/officeDocument/2006/relationships/hyperlink" Target="https://rosoncoweb.ru/standarts/?chapter=chronic_viral_hepatitis" TargetMode="External"/><Relationship Id="rId153" Type="http://schemas.openxmlformats.org/officeDocument/2006/relationships/hyperlink" Target="https://www.ncbi.nlm.nih.gov/pubmed/29461984" TargetMode="External"/><Relationship Id="rId174" Type="http://schemas.openxmlformats.org/officeDocument/2006/relationships/hyperlink" Target="https://doi.org/10.1016/j.ygyno.2019.03.011" TargetMode="External"/><Relationship Id="rId179" Type="http://schemas.openxmlformats.org/officeDocument/2006/relationships/footer" Target="footer3.xml"/><Relationship Id="rId15" Type="http://schemas.openxmlformats.org/officeDocument/2006/relationships/hyperlink" Target="https://rosoncoweb.ru/standarts/?chapter=thromboembolism" TargetMode="External"/><Relationship Id="rId36" Type="http://schemas.openxmlformats.org/officeDocument/2006/relationships/hyperlink" Target="https://rosoncoweb.ru/standarts/?chapter=nausea_vomiting" TargetMode="External"/><Relationship Id="rId57" Type="http://schemas.openxmlformats.org/officeDocument/2006/relationships/hyperlink" Target="https://rosoncoweb.ru/standarts/?chapter=febrile_neutropenia" TargetMode="External"/><Relationship Id="rId106" Type="http://schemas.openxmlformats.org/officeDocument/2006/relationships/hyperlink" Target="https://rosoncoweb.ru/standarts/?chapter=infusion_reactions" TargetMode="External"/><Relationship Id="rId127" Type="http://schemas.openxmlformats.org/officeDocument/2006/relationships/hyperlink" Target="https://rosoncoweb.ru/standarts/?chapter=chronic_viral_hepatitis" TargetMode="External"/><Relationship Id="rId10" Type="http://schemas.openxmlformats.org/officeDocument/2006/relationships/hyperlink" Target="https://rosoncoweb.ru/standarts/?chapter=thromboembolism" TargetMode="External"/><Relationship Id="rId31" Type="http://schemas.openxmlformats.org/officeDocument/2006/relationships/hyperlink" Target="https://rosoncoweb.ru/standarts/?chapter=nausea_vomiting" TargetMode="External"/><Relationship Id="rId52" Type="http://schemas.openxmlformats.org/officeDocument/2006/relationships/hyperlink" Target="https://rosoncoweb.ru/standarts/?chapter=nausea_vomiting" TargetMode="External"/><Relationship Id="rId73" Type="http://schemas.openxmlformats.org/officeDocument/2006/relationships/hyperlink" Target="https://rosoncoweb.ru/standarts/?chapter=febrile_neutropenia" TargetMode="External"/><Relationship Id="rId78" Type="http://schemas.openxmlformats.org/officeDocument/2006/relationships/hyperlink" Target="https://rosoncoweb.ru/standarts/?chapter=chronic_pain_syndrome" TargetMode="External"/><Relationship Id="rId94" Type="http://schemas.openxmlformats.org/officeDocument/2006/relationships/hyperlink" Target="https://rosoncoweb.ru/standarts/?chapter=chronic_pain_syndrome" TargetMode="External"/><Relationship Id="rId99" Type="http://schemas.openxmlformats.org/officeDocument/2006/relationships/hyperlink" Target="https://rosoncoweb.ru/standarts/?chapter=chronic_pain_syndrome" TargetMode="External"/><Relationship Id="rId101" Type="http://schemas.openxmlformats.org/officeDocument/2006/relationships/hyperlink" Target="https://rosoncoweb.ru/standarts/?chapter=chronic_pain_syndrome" TargetMode="External"/><Relationship Id="rId122" Type="http://schemas.openxmlformats.org/officeDocument/2006/relationships/hyperlink" Target="https://rosoncoweb.ru/standarts/?chapter=infusion_reactions" TargetMode="External"/><Relationship Id="rId143" Type="http://schemas.openxmlformats.org/officeDocument/2006/relationships/hyperlink" Target="https://rosoncoweb.ru/standarts/?chapter=chronic_viral_hepatitis" TargetMode="External"/><Relationship Id="rId148" Type="http://schemas.openxmlformats.org/officeDocument/2006/relationships/hyperlink" Target="https://rosoncoweb.ru/standarts/?chapter=chronic_viral_hepatitis" TargetMode="External"/><Relationship Id="rId164" Type="http://schemas.openxmlformats.org/officeDocument/2006/relationships/hyperlink" Target="https://www.gynecologiconcology-online.net/issue/S0090-8258(16)X0008-X" TargetMode="External"/><Relationship Id="rId169" Type="http://schemas.openxmlformats.org/officeDocument/2006/relationships/hyperlink" Target="https://pubmed.ncbi.nlm.nih.gov/?term=Amim-Junior%20J%5BAuthor%5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oncoweb.ru/standarts/RUSSCO/2024/2024-1_1-01.pdf" TargetMode="External"/><Relationship Id="rId180" Type="http://schemas.openxmlformats.org/officeDocument/2006/relationships/footer" Target="footer4.xml"/><Relationship Id="rId26" Type="http://schemas.openxmlformats.org/officeDocument/2006/relationships/hyperlink" Target="https://rosoncoweb.ru/standarts/?chapter=thromboembolism" TargetMode="External"/><Relationship Id="rId47" Type="http://schemas.openxmlformats.org/officeDocument/2006/relationships/hyperlink" Target="https://rosoncoweb.ru/standarts/?chapter=nausea_vomiting" TargetMode="External"/><Relationship Id="rId68" Type="http://schemas.openxmlformats.org/officeDocument/2006/relationships/hyperlink" Target="https://rosoncoweb.ru/standarts/?chapter=febrile_neutropenia" TargetMode="External"/><Relationship Id="rId89" Type="http://schemas.openxmlformats.org/officeDocument/2006/relationships/hyperlink" Target="https://rosoncoweb.ru/standarts/?chapter=chronic_pain_syndrome" TargetMode="External"/><Relationship Id="rId112" Type="http://schemas.openxmlformats.org/officeDocument/2006/relationships/hyperlink" Target="https://rosoncoweb.ru/standarts/?chapter=infusion_reactions" TargetMode="External"/><Relationship Id="rId133" Type="http://schemas.openxmlformats.org/officeDocument/2006/relationships/hyperlink" Target="https://rosoncoweb.ru/standarts/?chapter=chronic_viral_hepatitis" TargetMode="External"/><Relationship Id="rId154" Type="http://schemas.openxmlformats.org/officeDocument/2006/relationships/hyperlink" Target="https://www.ncbi.nlm.nih.gov/pubmed/29461984" TargetMode="External"/><Relationship Id="rId175" Type="http://schemas.openxmlformats.org/officeDocument/2006/relationships/hyperlink" Target="https://doi.org/10.1016/j.ygyno.2021.10.003" TargetMode="External"/><Relationship Id="rId16" Type="http://schemas.openxmlformats.org/officeDocument/2006/relationships/hyperlink" Target="https://rosoncoweb.ru/standarts/?chapter=thromboembolism" TargetMode="External"/><Relationship Id="rId37" Type="http://schemas.openxmlformats.org/officeDocument/2006/relationships/hyperlink" Target="https://rosoncoweb.ru/standarts/?chapter=nausea_vomiting" TargetMode="External"/><Relationship Id="rId58" Type="http://schemas.openxmlformats.org/officeDocument/2006/relationships/hyperlink" Target="https://rosoncoweb.ru/standarts/?chapter=febrile_neutropenia" TargetMode="External"/><Relationship Id="rId79" Type="http://schemas.openxmlformats.org/officeDocument/2006/relationships/hyperlink" Target="https://rosoncoweb.ru/standarts/?chapter=chronic_pain_syndrome" TargetMode="External"/><Relationship Id="rId102" Type="http://schemas.openxmlformats.org/officeDocument/2006/relationships/hyperlink" Target="https://rosoncoweb.ru/standarts/?chapter=chronic_pain_syndrome" TargetMode="External"/><Relationship Id="rId123" Type="http://schemas.openxmlformats.org/officeDocument/2006/relationships/hyperlink" Target="https://rosoncoweb.ru/standarts/?chapter=infusion_reactions" TargetMode="External"/><Relationship Id="rId144" Type="http://schemas.openxmlformats.org/officeDocument/2006/relationships/hyperlink" Target="https://rosoncoweb.ru/standarts/?chapter=chronic_viral_hepatitis" TargetMode="External"/><Relationship Id="rId90" Type="http://schemas.openxmlformats.org/officeDocument/2006/relationships/hyperlink" Target="https://rosoncoweb.ru/standarts/?chapter=chronic_pain_syndrome" TargetMode="External"/><Relationship Id="rId165" Type="http://schemas.openxmlformats.org/officeDocument/2006/relationships/hyperlink" Target="https://pubmed.ncbi.nlm.nih.gov/?term=Braga%20A%5BAuthor%5D" TargetMode="External"/><Relationship Id="rId27" Type="http://schemas.openxmlformats.org/officeDocument/2006/relationships/hyperlink" Target="https://rosoncoweb.ru/standarts/?chapter=thromboembolism" TargetMode="External"/><Relationship Id="rId48" Type="http://schemas.openxmlformats.org/officeDocument/2006/relationships/hyperlink" Target="https://rosoncoweb.ru/standarts/?chapter=nausea_vomiting" TargetMode="External"/><Relationship Id="rId69" Type="http://schemas.openxmlformats.org/officeDocument/2006/relationships/hyperlink" Target="https://rosoncoweb.ru/standarts/?chapter=febrile_neutropenia" TargetMode="External"/><Relationship Id="rId113" Type="http://schemas.openxmlformats.org/officeDocument/2006/relationships/hyperlink" Target="https://rosoncoweb.ru/standarts/?chapter=infusion_reactions" TargetMode="External"/><Relationship Id="rId134" Type="http://schemas.openxmlformats.org/officeDocument/2006/relationships/hyperlink" Target="https://rosoncoweb.ru/standarts/?chapter=chronic_viral_hepatitis" TargetMode="External"/><Relationship Id="rId80" Type="http://schemas.openxmlformats.org/officeDocument/2006/relationships/hyperlink" Target="https://rosoncoweb.ru/standarts/?chapter=chronic_pain_syndrome" TargetMode="External"/><Relationship Id="rId155" Type="http://schemas.openxmlformats.org/officeDocument/2006/relationships/hyperlink" Target="https://www.ncbi.nlm.nih.gov/pubmed/29461984" TargetMode="External"/><Relationship Id="rId176" Type="http://schemas.openxmlformats.org/officeDocument/2006/relationships/image" Target="media/image1.png"/><Relationship Id="rId17" Type="http://schemas.openxmlformats.org/officeDocument/2006/relationships/hyperlink" Target="https://rosoncoweb.ru/standarts/?chapter=thromboembolism" TargetMode="External"/><Relationship Id="rId38" Type="http://schemas.openxmlformats.org/officeDocument/2006/relationships/hyperlink" Target="https://rosoncoweb.ru/standarts/?chapter=nausea_vomiting" TargetMode="External"/><Relationship Id="rId59" Type="http://schemas.openxmlformats.org/officeDocument/2006/relationships/hyperlink" Target="https://rosoncoweb.ru/standarts/?chapter=febrile_neutropenia" TargetMode="External"/><Relationship Id="rId103" Type="http://schemas.openxmlformats.org/officeDocument/2006/relationships/hyperlink" Target="https://rosoncoweb.ru/standarts/?chapter=infusion_reactions" TargetMode="External"/><Relationship Id="rId124" Type="http://schemas.openxmlformats.org/officeDocument/2006/relationships/hyperlink" Target="https://rosoncoweb.ru/standarts/?chapter=infusion_reactions" TargetMode="External"/><Relationship Id="rId70" Type="http://schemas.openxmlformats.org/officeDocument/2006/relationships/hyperlink" Target="https://rosoncoweb.ru/standarts/?chapter=febrile_neutropenia" TargetMode="External"/><Relationship Id="rId91" Type="http://schemas.openxmlformats.org/officeDocument/2006/relationships/hyperlink" Target="https://rosoncoweb.ru/standarts/?chapter=chronic_pain_syndrome" TargetMode="External"/><Relationship Id="rId145" Type="http://schemas.openxmlformats.org/officeDocument/2006/relationships/hyperlink" Target="https://rosoncoweb.ru/standarts/?chapter=chronic_viral_hepatitis" TargetMode="External"/><Relationship Id="rId166" Type="http://schemas.openxmlformats.org/officeDocument/2006/relationships/hyperlink" Target="https://pubmed.ncbi.nlm.nih.gov/?term=Mora%20P%5BAuthor%5D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rosoncoweb.ru/standarts/?chapter=thromboembolism" TargetMode="External"/><Relationship Id="rId49" Type="http://schemas.openxmlformats.org/officeDocument/2006/relationships/hyperlink" Target="https://rosoncoweb.ru/standarts/?chapter=nausea_vomiting" TargetMode="External"/><Relationship Id="rId114" Type="http://schemas.openxmlformats.org/officeDocument/2006/relationships/hyperlink" Target="https://rosoncoweb.ru/standarts/?chapter=infusion_reactio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21784</Words>
  <Characters>124174</Characters>
  <Application>Microsoft Office Word</Application>
  <DocSecurity>4</DocSecurity>
  <Lines>1034</Lines>
  <Paragraphs>291</Paragraphs>
  <ScaleCrop>false</ScaleCrop>
  <Company/>
  <LinksUpToDate>false</LinksUpToDate>
  <CharactersWithSpaces>145667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2026-04-16T07:22:00Z</dcterms:created>
  <dcterms:modified xsi:type="dcterms:W3CDTF">2026-04-16T07:22:00Z</dcterms:modified>
</cp:coreProperties>
</file>