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jpeg" ContentType="image/jpeg"/>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t>Клинические рекомендации – Другие нарушения накопления липидов</w:t>
      </w:r>
      <w:r>
        <w:rPr>
          <w:spacing w:val="-5"/>
        </w:rPr>
        <w:t> </w:t>
      </w:r>
      <w:r>
        <w:rPr/>
        <w:t>(Дефицит</w:t>
      </w:r>
      <w:r>
        <w:rPr>
          <w:spacing w:val="-5"/>
        </w:rPr>
        <w:t> </w:t>
      </w:r>
      <w:r>
        <w:rPr/>
        <w:t>лизосомой</w:t>
      </w:r>
      <w:r>
        <w:rPr>
          <w:spacing w:val="-4"/>
        </w:rPr>
        <w:t> </w:t>
      </w:r>
      <w:r>
        <w:rPr/>
        <w:t>кислой</w:t>
      </w:r>
      <w:r>
        <w:rPr>
          <w:spacing w:val="-4"/>
        </w:rPr>
        <w:t> </w:t>
      </w:r>
      <w:r>
        <w:rPr/>
        <w:t>липазы)</w:t>
      </w:r>
      <w:r>
        <w:rPr>
          <w:spacing w:val="-7"/>
        </w:rPr>
        <w:t> </w:t>
      </w:r>
      <w:r>
        <w:rPr/>
        <w:t>–</w:t>
      </w:r>
      <w:r>
        <w:rPr>
          <w:spacing w:val="-3"/>
        </w:rPr>
        <w:t> </w:t>
      </w:r>
      <w:r>
        <w:rPr/>
        <w:t>2023-2024-2025 (22.05.2023) – Утверждены Минздравом РФ</w:t>
      </w:r>
    </w:p>
    <w:p>
      <w:pPr>
        <w:pStyle w:val="BodyText"/>
        <w:spacing w:line="237" w:lineRule="auto" w:before="275"/>
        <w:ind w:firstLine="542"/>
        <w:jc w:val="left"/>
      </w:pPr>
      <w:r>
        <w:rPr/>
        <w:t>Кодирование по</w:t>
      </w:r>
      <w:r>
        <w:rPr>
          <w:spacing w:val="28"/>
        </w:rPr>
        <w:t> </w:t>
      </w:r>
      <w:r>
        <w:rPr/>
        <w:t>Международной статистической классификации</w:t>
      </w:r>
      <w:r>
        <w:rPr>
          <w:spacing w:val="29"/>
        </w:rPr>
        <w:t> </w:t>
      </w:r>
      <w:r>
        <w:rPr/>
        <w:t>болезней и проблем, связанных со здоровьем: E75.5</w:t>
      </w:r>
    </w:p>
    <w:p>
      <w:pPr>
        <w:pStyle w:val="BodyText"/>
        <w:spacing w:before="3"/>
        <w:ind w:left="677" w:right="4288"/>
        <w:jc w:val="left"/>
      </w:pPr>
      <w:r>
        <w:rPr/>
        <w:t>Год</w:t>
      </w:r>
      <w:r>
        <w:rPr>
          <w:spacing w:val="-8"/>
        </w:rPr>
        <w:t> </w:t>
      </w:r>
      <w:r>
        <w:rPr/>
        <w:t>утверждения</w:t>
      </w:r>
      <w:r>
        <w:rPr>
          <w:spacing w:val="-7"/>
        </w:rPr>
        <w:t> </w:t>
      </w:r>
      <w:r>
        <w:rPr/>
        <w:t>(частота</w:t>
      </w:r>
      <w:r>
        <w:rPr>
          <w:spacing w:val="-7"/>
        </w:rPr>
        <w:t> </w:t>
      </w:r>
      <w:r>
        <w:rPr/>
        <w:t>пересмотра):</w:t>
      </w:r>
      <w:r>
        <w:rPr>
          <w:spacing w:val="-11"/>
        </w:rPr>
        <w:t> </w:t>
      </w:r>
      <w:r>
        <w:rPr/>
        <w:t>2023 Возрастная категория: Взрослые, Дети Пересмотр не позднее: 2025</w:t>
      </w:r>
    </w:p>
    <w:p>
      <w:pPr>
        <w:pStyle w:val="BodyText"/>
        <w:spacing w:line="274" w:lineRule="exact"/>
        <w:ind w:left="677"/>
        <w:jc w:val="left"/>
      </w:pPr>
      <w:r>
        <w:rPr/>
        <w:t>ID:</w:t>
      </w:r>
      <w:r>
        <w:rPr>
          <w:spacing w:val="3"/>
        </w:rPr>
        <w:t> </w:t>
      </w:r>
      <w:r>
        <w:rPr>
          <w:spacing w:val="-5"/>
        </w:rPr>
        <w:t>354</w:t>
      </w:r>
    </w:p>
    <w:p>
      <w:pPr>
        <w:pStyle w:val="BodyText"/>
        <w:spacing w:before="3"/>
        <w:ind w:left="677"/>
        <w:jc w:val="left"/>
      </w:pPr>
      <w:r>
        <w:rPr/>
        <w:t>По</w:t>
      </w:r>
      <w:r>
        <w:rPr>
          <w:spacing w:val="3"/>
        </w:rPr>
        <w:t> </w:t>
      </w:r>
      <w:r>
        <w:rPr/>
        <w:t>состоянию</w:t>
      </w:r>
      <w:r>
        <w:rPr>
          <w:spacing w:val="-3"/>
        </w:rPr>
        <w:t> </w:t>
      </w:r>
      <w:r>
        <w:rPr/>
        <w:t>на</w:t>
      </w:r>
      <w:r>
        <w:rPr>
          <w:spacing w:val="-2"/>
        </w:rPr>
        <w:t> </w:t>
      </w:r>
      <w:r>
        <w:rPr/>
        <w:t>22.05.2023</w:t>
      </w:r>
      <w:r>
        <w:rPr>
          <w:spacing w:val="-5"/>
        </w:rPr>
        <w:t> </w:t>
      </w:r>
      <w:r>
        <w:rPr/>
        <w:t>на</w:t>
      </w:r>
      <w:r>
        <w:rPr>
          <w:spacing w:val="-2"/>
        </w:rPr>
        <w:t> </w:t>
      </w:r>
      <w:r>
        <w:rPr/>
        <w:t>сайте</w:t>
      </w:r>
      <w:r>
        <w:rPr>
          <w:spacing w:val="-2"/>
        </w:rPr>
        <w:t> </w:t>
      </w:r>
      <w:r>
        <w:rPr/>
        <w:t>МЗ</w:t>
      </w:r>
      <w:r>
        <w:rPr>
          <w:spacing w:val="-1"/>
        </w:rPr>
        <w:t> </w:t>
      </w:r>
      <w:r>
        <w:rPr>
          <w:spacing w:val="-5"/>
        </w:rPr>
        <w:t>РФ</w:t>
      </w:r>
    </w:p>
    <w:p>
      <w:pPr>
        <w:spacing w:before="242"/>
        <w:ind w:left="682" w:right="0" w:firstLine="0"/>
        <w:jc w:val="left"/>
        <w:rPr>
          <w:b/>
          <w:sz w:val="24"/>
        </w:rPr>
      </w:pPr>
      <w:r>
        <w:rPr>
          <w:b/>
          <w:sz w:val="24"/>
        </w:rPr>
        <w:t>Разработчик</w:t>
      </w:r>
      <w:r>
        <w:rPr>
          <w:b/>
          <w:spacing w:val="-5"/>
          <w:sz w:val="24"/>
        </w:rPr>
        <w:t> </w:t>
      </w:r>
      <w:r>
        <w:rPr>
          <w:b/>
          <w:sz w:val="24"/>
        </w:rPr>
        <w:t>клинической</w:t>
      </w:r>
      <w:r>
        <w:rPr>
          <w:b/>
          <w:spacing w:val="-8"/>
          <w:sz w:val="24"/>
        </w:rPr>
        <w:t> </w:t>
      </w:r>
      <w:r>
        <w:rPr>
          <w:b/>
          <w:spacing w:val="-2"/>
          <w:sz w:val="24"/>
        </w:rPr>
        <w:t>рекомендации</w:t>
      </w:r>
    </w:p>
    <w:p>
      <w:pPr>
        <w:pStyle w:val="ListParagraph"/>
        <w:numPr>
          <w:ilvl w:val="0"/>
          <w:numId w:val="1"/>
        </w:numPr>
        <w:tabs>
          <w:tab w:pos="825" w:val="left" w:leader="none"/>
        </w:tabs>
        <w:spacing w:line="275" w:lineRule="exact" w:before="238" w:after="0"/>
        <w:ind w:left="825" w:right="0" w:hanging="143"/>
        <w:jc w:val="left"/>
        <w:rPr>
          <w:sz w:val="24"/>
        </w:rPr>
      </w:pPr>
      <w:r>
        <w:rPr>
          <w:sz w:val="24"/>
        </w:rPr>
        <w:t>Ассоциация</w:t>
      </w:r>
      <w:r>
        <w:rPr>
          <w:spacing w:val="-9"/>
          <w:sz w:val="24"/>
        </w:rPr>
        <w:t> </w:t>
      </w:r>
      <w:r>
        <w:rPr>
          <w:sz w:val="24"/>
        </w:rPr>
        <w:t>медицинских</w:t>
      </w:r>
      <w:r>
        <w:rPr>
          <w:spacing w:val="-8"/>
          <w:sz w:val="24"/>
        </w:rPr>
        <w:t> </w:t>
      </w:r>
      <w:r>
        <w:rPr>
          <w:spacing w:val="-2"/>
          <w:sz w:val="24"/>
        </w:rPr>
        <w:t>генетиков</w:t>
      </w:r>
    </w:p>
    <w:p>
      <w:pPr>
        <w:pStyle w:val="ListParagraph"/>
        <w:numPr>
          <w:ilvl w:val="0"/>
          <w:numId w:val="1"/>
        </w:numPr>
        <w:tabs>
          <w:tab w:pos="820" w:val="left" w:leader="none"/>
        </w:tabs>
        <w:spacing w:line="275" w:lineRule="exact" w:before="0" w:after="0"/>
        <w:ind w:left="820" w:right="0" w:hanging="143"/>
        <w:jc w:val="left"/>
        <w:rPr>
          <w:sz w:val="24"/>
        </w:rPr>
      </w:pPr>
      <w:r>
        <w:rPr>
          <w:sz w:val="24"/>
        </w:rPr>
        <w:t>Союз</w:t>
      </w:r>
      <w:r>
        <w:rPr>
          <w:spacing w:val="-3"/>
          <w:sz w:val="24"/>
        </w:rPr>
        <w:t> </w:t>
      </w:r>
      <w:r>
        <w:rPr>
          <w:sz w:val="24"/>
        </w:rPr>
        <w:t>педиатров</w:t>
      </w:r>
      <w:r>
        <w:rPr>
          <w:spacing w:val="-6"/>
          <w:sz w:val="24"/>
        </w:rPr>
        <w:t> </w:t>
      </w:r>
      <w:r>
        <w:rPr>
          <w:spacing w:val="-2"/>
          <w:sz w:val="24"/>
        </w:rPr>
        <w:t>России</w:t>
      </w:r>
    </w:p>
    <w:p>
      <w:pPr>
        <w:pStyle w:val="ListParagraph"/>
        <w:numPr>
          <w:ilvl w:val="0"/>
          <w:numId w:val="1"/>
        </w:numPr>
        <w:tabs>
          <w:tab w:pos="820" w:val="left" w:leader="none"/>
        </w:tabs>
        <w:spacing w:line="275" w:lineRule="exact" w:before="2" w:after="0"/>
        <w:ind w:left="820" w:right="0" w:hanging="143"/>
        <w:jc w:val="left"/>
        <w:rPr>
          <w:sz w:val="24"/>
        </w:rPr>
      </w:pPr>
      <w:r>
        <w:rPr>
          <w:sz w:val="24"/>
        </w:rPr>
        <w:t>Российская</w:t>
      </w:r>
      <w:r>
        <w:rPr>
          <w:spacing w:val="-8"/>
          <w:sz w:val="24"/>
        </w:rPr>
        <w:t> </w:t>
      </w:r>
      <w:r>
        <w:rPr>
          <w:sz w:val="24"/>
        </w:rPr>
        <w:t>Гастроэнтерологическая</w:t>
      </w:r>
      <w:r>
        <w:rPr>
          <w:spacing w:val="-7"/>
          <w:sz w:val="24"/>
        </w:rPr>
        <w:t> </w:t>
      </w:r>
      <w:r>
        <w:rPr>
          <w:spacing w:val="-2"/>
          <w:sz w:val="24"/>
        </w:rPr>
        <w:t>Ассоциация</w:t>
      </w:r>
    </w:p>
    <w:p>
      <w:pPr>
        <w:pStyle w:val="ListParagraph"/>
        <w:numPr>
          <w:ilvl w:val="0"/>
          <w:numId w:val="1"/>
        </w:numPr>
        <w:tabs>
          <w:tab w:pos="682" w:val="left" w:leader="none"/>
          <w:tab w:pos="820" w:val="left" w:leader="none"/>
        </w:tabs>
        <w:spacing w:line="468" w:lineRule="auto" w:before="0" w:after="0"/>
        <w:ind w:left="682" w:right="3369" w:hanging="5"/>
        <w:jc w:val="left"/>
        <w:rPr>
          <w:b/>
          <w:sz w:val="28"/>
        </w:rPr>
      </w:pPr>
      <w:r>
        <w:rPr>
          <w:sz w:val="24"/>
        </w:rPr>
        <w:t>Российское трансплантологическое общество</w:t>
      </w:r>
      <w:r>
        <w:rPr>
          <w:spacing w:val="40"/>
          <w:sz w:val="24"/>
        </w:rPr>
        <w:t> </w:t>
      </w:r>
      <w:r>
        <w:rPr>
          <w:sz w:val="24"/>
        </w:rPr>
        <w:t>Одобрено</w:t>
      </w:r>
      <w:r>
        <w:rPr>
          <w:spacing w:val="-9"/>
          <w:sz w:val="24"/>
        </w:rPr>
        <w:t> </w:t>
      </w:r>
      <w:r>
        <w:rPr>
          <w:sz w:val="24"/>
        </w:rPr>
        <w:t>Научно-практическим</w:t>
      </w:r>
      <w:r>
        <w:rPr>
          <w:spacing w:val="-8"/>
          <w:sz w:val="24"/>
        </w:rPr>
        <w:t> </w:t>
      </w:r>
      <w:r>
        <w:rPr>
          <w:sz w:val="24"/>
        </w:rPr>
        <w:t>Советом</w:t>
      </w:r>
      <w:r>
        <w:rPr>
          <w:spacing w:val="-8"/>
          <w:sz w:val="24"/>
        </w:rPr>
        <w:t> </w:t>
      </w:r>
      <w:r>
        <w:rPr>
          <w:sz w:val="24"/>
        </w:rPr>
        <w:t>Минздрава</w:t>
      </w:r>
      <w:r>
        <w:rPr>
          <w:spacing w:val="-9"/>
          <w:sz w:val="24"/>
        </w:rPr>
        <w:t> </w:t>
      </w:r>
      <w:r>
        <w:rPr>
          <w:sz w:val="24"/>
        </w:rPr>
        <w:t>РФ </w:t>
      </w:r>
      <w:bookmarkStart w:name="Список сокращений" w:id="1"/>
      <w:bookmarkEnd w:id="1"/>
      <w:r>
        <w:rPr>
          <w:sz w:val="24"/>
        </w:rPr>
      </w:r>
      <w:r>
        <w:rPr>
          <w:b/>
          <w:sz w:val="28"/>
        </w:rPr>
        <w:t>Список сокращений</w:t>
      </w:r>
    </w:p>
    <w:p>
      <w:pPr>
        <w:pStyle w:val="BodyText"/>
        <w:spacing w:line="238" w:lineRule="exact"/>
        <w:ind w:left="682"/>
        <w:jc w:val="left"/>
      </w:pPr>
      <w:r>
        <w:rPr/>
        <w:t>АЛТ – </w:t>
      </w:r>
      <w:r>
        <w:rPr>
          <w:spacing w:val="-2"/>
        </w:rPr>
        <w:t>аланинаминотрансфераза</w:t>
      </w:r>
    </w:p>
    <w:p>
      <w:pPr>
        <w:pStyle w:val="BodyText"/>
        <w:spacing w:line="237" w:lineRule="auto" w:before="4"/>
        <w:ind w:left="677" w:right="5225"/>
        <w:jc w:val="left"/>
      </w:pPr>
      <w:r>
        <w:rPr/>
        <w:t>АСТ</w:t>
      </w:r>
      <w:r>
        <w:rPr>
          <w:spacing w:val="-15"/>
        </w:rPr>
        <w:t> </w:t>
      </w:r>
      <w:r>
        <w:rPr/>
        <w:t>–</w:t>
      </w:r>
      <w:r>
        <w:rPr>
          <w:spacing w:val="-15"/>
        </w:rPr>
        <w:t> </w:t>
      </w:r>
      <w:r>
        <w:rPr/>
        <w:t>аспартатаминотрансфераза АпоB – аполипопротеин B</w:t>
      </w:r>
    </w:p>
    <w:p>
      <w:pPr>
        <w:pStyle w:val="BodyText"/>
        <w:spacing w:before="3"/>
        <w:ind w:left="677" w:right="4182"/>
        <w:jc w:val="left"/>
      </w:pPr>
      <w:r>
        <w:rPr/>
        <w:t>БНЭХ</w:t>
      </w:r>
      <w:r>
        <w:rPr>
          <w:spacing w:val="-6"/>
        </w:rPr>
        <w:t> </w:t>
      </w:r>
      <w:r>
        <w:rPr/>
        <w:t>–</w:t>
      </w:r>
      <w:r>
        <w:rPr>
          <w:spacing w:val="-5"/>
        </w:rPr>
        <w:t> </w:t>
      </w:r>
      <w:r>
        <w:rPr/>
        <w:t>болезнь</w:t>
      </w:r>
      <w:r>
        <w:rPr>
          <w:spacing w:val="-9"/>
        </w:rPr>
        <w:t> </w:t>
      </w:r>
      <w:r>
        <w:rPr/>
        <w:t>накопления</w:t>
      </w:r>
      <w:r>
        <w:rPr>
          <w:spacing w:val="-10"/>
        </w:rPr>
        <w:t> </w:t>
      </w:r>
      <w:r>
        <w:rPr/>
        <w:t>эфиров</w:t>
      </w:r>
      <w:r>
        <w:rPr>
          <w:spacing w:val="-8"/>
        </w:rPr>
        <w:t> </w:t>
      </w:r>
      <w:r>
        <w:rPr/>
        <w:t>холестерина ГМГ-КоA – гидроксиметилглутарил-коэнзим A ДЛКЛ – дефицит лизосомной кислой липазы КИМ – комплекс интима медиа</w:t>
      </w:r>
    </w:p>
    <w:p>
      <w:pPr>
        <w:pStyle w:val="BodyText"/>
        <w:spacing w:line="275" w:lineRule="exact"/>
        <w:ind w:left="677"/>
        <w:jc w:val="left"/>
      </w:pPr>
      <w:r>
        <w:rPr/>
        <w:t>ЛКЛ</w:t>
      </w:r>
      <w:r>
        <w:rPr>
          <w:spacing w:val="-1"/>
        </w:rPr>
        <w:t> </w:t>
      </w:r>
      <w:r>
        <w:rPr/>
        <w:t>–</w:t>
      </w:r>
      <w:r>
        <w:rPr>
          <w:spacing w:val="-1"/>
        </w:rPr>
        <w:t> </w:t>
      </w:r>
      <w:r>
        <w:rPr/>
        <w:t>лизосомная</w:t>
      </w:r>
      <w:r>
        <w:rPr>
          <w:spacing w:val="-1"/>
        </w:rPr>
        <w:t> </w:t>
      </w:r>
      <w:r>
        <w:rPr/>
        <w:t>кислая</w:t>
      </w:r>
      <w:r>
        <w:rPr>
          <w:spacing w:val="-1"/>
        </w:rPr>
        <w:t> </w:t>
      </w:r>
      <w:r>
        <w:rPr>
          <w:spacing w:val="-2"/>
        </w:rPr>
        <w:t>липаза</w:t>
      </w:r>
    </w:p>
    <w:p>
      <w:pPr>
        <w:pStyle w:val="BodyText"/>
        <w:spacing w:line="242" w:lineRule="auto"/>
        <w:ind w:left="677" w:right="4288"/>
        <w:jc w:val="left"/>
      </w:pPr>
      <w:r>
        <w:rPr/>
        <w:t>ЛПНП – липопротеины низкой плотности ЛПВП</w:t>
      </w:r>
      <w:r>
        <w:rPr>
          <w:spacing w:val="-8"/>
        </w:rPr>
        <w:t> </w:t>
      </w:r>
      <w:r>
        <w:rPr/>
        <w:t>–</w:t>
      </w:r>
      <w:r>
        <w:rPr>
          <w:spacing w:val="-7"/>
        </w:rPr>
        <w:t> </w:t>
      </w:r>
      <w:r>
        <w:rPr/>
        <w:t>липопротеины</w:t>
      </w:r>
      <w:r>
        <w:rPr>
          <w:spacing w:val="-10"/>
        </w:rPr>
        <w:t> </w:t>
      </w:r>
      <w:r>
        <w:rPr/>
        <w:t>высокой</w:t>
      </w:r>
      <w:r>
        <w:rPr>
          <w:spacing w:val="-10"/>
        </w:rPr>
        <w:t> </w:t>
      </w:r>
      <w:r>
        <w:rPr/>
        <w:t>плотности</w:t>
      </w:r>
    </w:p>
    <w:p>
      <w:pPr>
        <w:pStyle w:val="BodyText"/>
        <w:ind w:left="677" w:right="4079"/>
        <w:jc w:val="left"/>
      </w:pPr>
      <w:r>
        <w:rPr/>
        <w:t>ЛПОНП – липопротеины</w:t>
      </w:r>
      <w:r>
        <w:rPr>
          <w:spacing w:val="-5"/>
        </w:rPr>
        <w:t> </w:t>
      </w:r>
      <w:r>
        <w:rPr/>
        <w:t>очень</w:t>
      </w:r>
      <w:r>
        <w:rPr>
          <w:spacing w:val="-1"/>
        </w:rPr>
        <w:t> </w:t>
      </w:r>
      <w:r>
        <w:rPr/>
        <w:t>низкой</w:t>
      </w:r>
      <w:r>
        <w:rPr>
          <w:spacing w:val="-1"/>
        </w:rPr>
        <w:t> </w:t>
      </w:r>
      <w:r>
        <w:rPr/>
        <w:t>плотности МРТ – магнитно-резонансная томография НАЖБП</w:t>
      </w:r>
      <w:r>
        <w:rPr>
          <w:spacing w:val="-6"/>
        </w:rPr>
        <w:t> </w:t>
      </w:r>
      <w:r>
        <w:rPr/>
        <w:t>–</w:t>
      </w:r>
      <w:r>
        <w:rPr>
          <w:spacing w:val="-6"/>
        </w:rPr>
        <w:t> </w:t>
      </w:r>
      <w:r>
        <w:rPr/>
        <w:t>неалкогольная</w:t>
      </w:r>
      <w:r>
        <w:rPr>
          <w:spacing w:val="-10"/>
        </w:rPr>
        <w:t> </w:t>
      </w:r>
      <w:r>
        <w:rPr/>
        <w:t>жировая</w:t>
      </w:r>
      <w:r>
        <w:rPr>
          <w:spacing w:val="-10"/>
        </w:rPr>
        <w:t> </w:t>
      </w:r>
      <w:r>
        <w:rPr/>
        <w:t>болезнь</w:t>
      </w:r>
      <w:r>
        <w:rPr>
          <w:spacing w:val="-6"/>
        </w:rPr>
        <w:t> </w:t>
      </w:r>
      <w:r>
        <w:rPr/>
        <w:t>печени НАСГ – неалкогольный стеатогепатит</w:t>
      </w:r>
    </w:p>
    <w:p>
      <w:pPr>
        <w:pStyle w:val="BodyText"/>
        <w:spacing w:line="242" w:lineRule="auto"/>
        <w:ind w:left="677" w:right="3098"/>
        <w:jc w:val="left"/>
      </w:pPr>
      <w:r>
        <w:rPr/>
        <w:t>ОНМК</w:t>
      </w:r>
      <w:r>
        <w:rPr>
          <w:spacing w:val="-7"/>
        </w:rPr>
        <w:t> </w:t>
      </w:r>
      <w:r>
        <w:rPr/>
        <w:t>–</w:t>
      </w:r>
      <w:r>
        <w:rPr>
          <w:spacing w:val="-6"/>
        </w:rPr>
        <w:t> </w:t>
      </w:r>
      <w:r>
        <w:rPr/>
        <w:t>острое</w:t>
      </w:r>
      <w:r>
        <w:rPr>
          <w:spacing w:val="-11"/>
        </w:rPr>
        <w:t> </w:t>
      </w:r>
      <w:r>
        <w:rPr/>
        <w:t>нарушение</w:t>
      </w:r>
      <w:r>
        <w:rPr>
          <w:spacing w:val="-7"/>
        </w:rPr>
        <w:t> </w:t>
      </w:r>
      <w:r>
        <w:rPr/>
        <w:t>мозгового</w:t>
      </w:r>
      <w:r>
        <w:rPr>
          <w:spacing w:val="-6"/>
        </w:rPr>
        <w:t> </w:t>
      </w:r>
      <w:r>
        <w:rPr/>
        <w:t>кровообращения ПОЛ – перекисное окисление липидов</w:t>
      </w:r>
    </w:p>
    <w:p>
      <w:pPr>
        <w:pStyle w:val="BodyText"/>
        <w:spacing w:line="242" w:lineRule="auto"/>
        <w:ind w:left="677" w:right="2460"/>
        <w:jc w:val="left"/>
      </w:pPr>
      <w:r>
        <w:rPr/>
        <w:t>СРЭСБ</w:t>
      </w:r>
      <w:r>
        <w:rPr>
          <w:spacing w:val="-3"/>
        </w:rPr>
        <w:t> </w:t>
      </w:r>
      <w:r>
        <w:rPr/>
        <w:t>–</w:t>
      </w:r>
      <w:r>
        <w:rPr>
          <w:spacing w:val="-4"/>
        </w:rPr>
        <w:t> </w:t>
      </w:r>
      <w:r>
        <w:rPr/>
        <w:t>стериновый</w:t>
      </w:r>
      <w:r>
        <w:rPr>
          <w:spacing w:val="-7"/>
        </w:rPr>
        <w:t> </w:t>
      </w:r>
      <w:r>
        <w:rPr/>
        <w:t>регуляторный</w:t>
      </w:r>
      <w:r>
        <w:rPr>
          <w:spacing w:val="-7"/>
        </w:rPr>
        <w:t> </w:t>
      </w:r>
      <w:r>
        <w:rPr/>
        <w:t>элемент</w:t>
      </w:r>
      <w:r>
        <w:rPr>
          <w:spacing w:val="-4"/>
        </w:rPr>
        <w:t> </w:t>
      </w:r>
      <w:r>
        <w:rPr/>
        <w:t>связывания</w:t>
      </w:r>
      <w:r>
        <w:rPr>
          <w:spacing w:val="-8"/>
        </w:rPr>
        <w:t> </w:t>
      </w:r>
      <w:r>
        <w:rPr/>
        <w:t>белков ТГ – триглицериды</w:t>
      </w:r>
    </w:p>
    <w:p>
      <w:pPr>
        <w:pStyle w:val="BodyText"/>
        <w:spacing w:line="242" w:lineRule="auto"/>
        <w:ind w:left="677" w:right="2460"/>
        <w:jc w:val="left"/>
      </w:pPr>
      <w:r>
        <w:rPr/>
        <w:t>ТГСК</w:t>
      </w:r>
      <w:r>
        <w:rPr>
          <w:spacing w:val="-5"/>
        </w:rPr>
        <w:t> </w:t>
      </w:r>
      <w:r>
        <w:rPr/>
        <w:t>–</w:t>
      </w:r>
      <w:r>
        <w:rPr>
          <w:spacing w:val="-3"/>
        </w:rPr>
        <w:t> </w:t>
      </w:r>
      <w:r>
        <w:rPr/>
        <w:t>трансплантация</w:t>
      </w:r>
      <w:r>
        <w:rPr>
          <w:spacing w:val="-8"/>
        </w:rPr>
        <w:t> </w:t>
      </w:r>
      <w:r>
        <w:rPr/>
        <w:t>гемопоэтических</w:t>
      </w:r>
      <w:r>
        <w:rPr>
          <w:spacing w:val="-8"/>
        </w:rPr>
        <w:t> </w:t>
      </w:r>
      <w:r>
        <w:rPr/>
        <w:t>стволовых</w:t>
      </w:r>
      <w:r>
        <w:rPr>
          <w:spacing w:val="-8"/>
        </w:rPr>
        <w:t> </w:t>
      </w:r>
      <w:r>
        <w:rPr/>
        <w:t>клеток УДХК – урсодезоксихолевая кислота</w:t>
      </w:r>
    </w:p>
    <w:p>
      <w:pPr>
        <w:pStyle w:val="BodyText"/>
        <w:spacing w:line="242" w:lineRule="auto"/>
        <w:ind w:left="677" w:right="4686"/>
        <w:jc w:val="left"/>
      </w:pPr>
      <w:r>
        <w:rPr/>
        <w:t>УЗДГ</w:t>
      </w:r>
      <w:r>
        <w:rPr>
          <w:spacing w:val="-10"/>
        </w:rPr>
        <w:t> </w:t>
      </w:r>
      <w:r>
        <w:rPr/>
        <w:t>–</w:t>
      </w:r>
      <w:r>
        <w:rPr>
          <w:spacing w:val="-10"/>
        </w:rPr>
        <w:t> </w:t>
      </w:r>
      <w:r>
        <w:rPr/>
        <w:t>ультразвуковая</w:t>
      </w:r>
      <w:r>
        <w:rPr>
          <w:spacing w:val="-10"/>
        </w:rPr>
        <w:t> </w:t>
      </w:r>
      <w:r>
        <w:rPr/>
        <w:t>допплерография УЗИ – ультразвуковое исследование</w:t>
      </w:r>
    </w:p>
    <w:p>
      <w:pPr>
        <w:pStyle w:val="BodyText"/>
        <w:spacing w:line="242" w:lineRule="auto"/>
        <w:ind w:left="677" w:right="4288"/>
        <w:jc w:val="left"/>
      </w:pPr>
      <w:r>
        <w:rPr/>
        <w:t>ФЗТ</w:t>
      </w:r>
      <w:r>
        <w:rPr>
          <w:spacing w:val="-3"/>
        </w:rPr>
        <w:t> </w:t>
      </w:r>
      <w:r>
        <w:rPr/>
        <w:t>–</w:t>
      </w:r>
      <w:r>
        <w:rPr>
          <w:spacing w:val="-9"/>
        </w:rPr>
        <w:t> </w:t>
      </w:r>
      <w:r>
        <w:rPr/>
        <w:t>ферментная</w:t>
      </w:r>
      <w:r>
        <w:rPr>
          <w:spacing w:val="-9"/>
        </w:rPr>
        <w:t> </w:t>
      </w:r>
      <w:r>
        <w:rPr/>
        <w:t>заместительная</w:t>
      </w:r>
      <w:r>
        <w:rPr>
          <w:spacing w:val="-6"/>
        </w:rPr>
        <w:t> </w:t>
      </w:r>
      <w:r>
        <w:rPr/>
        <w:t>терапия ЭГДС – эзофагогастродуоденоскопия</w:t>
      </w:r>
    </w:p>
    <w:p>
      <w:pPr>
        <w:pStyle w:val="BodyText"/>
        <w:spacing w:line="242" w:lineRule="auto"/>
        <w:ind w:left="677" w:right="6030"/>
        <w:jc w:val="left"/>
      </w:pPr>
      <w:r>
        <w:rPr/>
        <w:t>ЭКГ</w:t>
      </w:r>
      <w:r>
        <w:rPr>
          <w:spacing w:val="-13"/>
        </w:rPr>
        <w:t> </w:t>
      </w:r>
      <w:r>
        <w:rPr/>
        <w:t>–</w:t>
      </w:r>
      <w:r>
        <w:rPr>
          <w:spacing w:val="-13"/>
        </w:rPr>
        <w:t> </w:t>
      </w:r>
      <w:r>
        <w:rPr/>
        <w:t>электрокардиограмма ЭХ – эфиры холестерина</w:t>
      </w:r>
    </w:p>
    <w:p>
      <w:pPr>
        <w:spacing w:after="0" w:line="242" w:lineRule="auto"/>
        <w:jc w:val="left"/>
        <w:sectPr>
          <w:headerReference w:type="default" r:id="rId5"/>
          <w:footerReference w:type="default" r:id="rId6"/>
          <w:type w:val="continuous"/>
          <w:pgSz w:w="11910" w:h="16840"/>
          <w:pgMar w:header="572" w:footer="1177" w:top="1320" w:bottom="1360" w:left="1560" w:right="420"/>
          <w:pgNumType w:start="1"/>
        </w:sectPr>
      </w:pPr>
    </w:p>
    <w:p>
      <w:pPr>
        <w:pStyle w:val="BodyText"/>
        <w:spacing w:before="80"/>
        <w:ind w:left="677"/>
        <w:jc w:val="left"/>
      </w:pPr>
      <w:r>
        <w:rPr/>
        <w:t>ЭХО-КГ –</w:t>
      </w:r>
      <w:r>
        <w:rPr>
          <w:spacing w:val="1"/>
        </w:rPr>
        <w:t> </w:t>
      </w:r>
      <w:r>
        <w:rPr>
          <w:spacing w:val="-2"/>
        </w:rPr>
        <w:t>эхокардиография</w:t>
      </w:r>
    </w:p>
    <w:p>
      <w:pPr>
        <w:pStyle w:val="BodyText"/>
        <w:spacing w:before="5"/>
        <w:ind w:left="0"/>
        <w:jc w:val="left"/>
      </w:pPr>
    </w:p>
    <w:p>
      <w:pPr>
        <w:pStyle w:val="Heading1"/>
        <w:ind w:left="682" w:firstLine="0"/>
      </w:pPr>
      <w:bookmarkStart w:name="Термины и определения" w:id="2"/>
      <w:bookmarkEnd w:id="2"/>
      <w:r>
        <w:rPr>
          <w:b w:val="0"/>
        </w:rPr>
      </w:r>
      <w:r>
        <w:rPr/>
        <w:t>Термины</w:t>
      </w:r>
      <w:r>
        <w:rPr>
          <w:spacing w:val="-7"/>
        </w:rPr>
        <w:t> </w:t>
      </w:r>
      <w:r>
        <w:rPr/>
        <w:t>и</w:t>
      </w:r>
      <w:r>
        <w:rPr>
          <w:spacing w:val="-2"/>
        </w:rPr>
        <w:t> определения</w:t>
      </w:r>
    </w:p>
    <w:p>
      <w:pPr>
        <w:pStyle w:val="BodyText"/>
        <w:spacing w:line="237" w:lineRule="auto" w:before="275"/>
        <w:ind w:right="144" w:firstLine="542"/>
      </w:pPr>
      <w:r>
        <w:rPr/>
        <w:t>Лизосомные болезни накопления – группа наследственных моногенных заболеваний, связанных с нарушением функции лизосом.</w:t>
      </w:r>
    </w:p>
    <w:p>
      <w:pPr>
        <w:pStyle w:val="BodyText"/>
        <w:spacing w:line="237" w:lineRule="auto" w:before="6"/>
        <w:ind w:right="147" w:firstLine="538"/>
      </w:pPr>
      <w:r>
        <w:rPr/>
        <w:t>Ферментная заместительная терапия –</w:t>
      </w:r>
      <w:r>
        <w:rPr>
          <w:spacing w:val="-2"/>
        </w:rPr>
        <w:t> </w:t>
      </w:r>
      <w:r>
        <w:rPr/>
        <w:t>лечение,</w:t>
      </w:r>
      <w:r>
        <w:rPr>
          <w:spacing w:val="-1"/>
        </w:rPr>
        <w:t> </w:t>
      </w:r>
      <w:r>
        <w:rPr/>
        <w:t>заключающееся во введении ферментов (в том числе и рекомбинантных) пациентам с наследственным дефектом метаболизма.</w:t>
      </w:r>
    </w:p>
    <w:p>
      <w:pPr>
        <w:pStyle w:val="BodyText"/>
        <w:spacing w:before="7"/>
        <w:ind w:left="0"/>
        <w:jc w:val="left"/>
      </w:pPr>
    </w:p>
    <w:p>
      <w:pPr>
        <w:pStyle w:val="Heading1"/>
        <w:numPr>
          <w:ilvl w:val="0"/>
          <w:numId w:val="2"/>
        </w:numPr>
        <w:tabs>
          <w:tab w:pos="1087" w:val="left" w:leader="none"/>
        </w:tabs>
        <w:spacing w:line="242" w:lineRule="auto" w:before="0" w:after="0"/>
        <w:ind w:left="139" w:right="153" w:firstLine="542"/>
        <w:jc w:val="left"/>
      </w:pPr>
      <w:bookmarkStart w:name="1. Краткая информация по заболеванию или" w:id="3"/>
      <w:bookmarkEnd w:id="3"/>
      <w:r>
        <w:rPr>
          <w:b w:val="0"/>
        </w:rPr>
      </w:r>
      <w:r>
        <w:rPr/>
        <w:t>Краткая</w:t>
      </w:r>
      <w:r>
        <w:rPr>
          <w:spacing w:val="80"/>
        </w:rPr>
        <w:t> </w:t>
      </w:r>
      <w:r>
        <w:rPr/>
        <w:t>информация</w:t>
      </w:r>
      <w:r>
        <w:rPr>
          <w:spacing w:val="80"/>
        </w:rPr>
        <w:t> </w:t>
      </w:r>
      <w:r>
        <w:rPr/>
        <w:t>по</w:t>
      </w:r>
      <w:r>
        <w:rPr>
          <w:spacing w:val="80"/>
        </w:rPr>
        <w:t> </w:t>
      </w:r>
      <w:r>
        <w:rPr/>
        <w:t>заболеванию</w:t>
      </w:r>
      <w:r>
        <w:rPr>
          <w:spacing w:val="80"/>
        </w:rPr>
        <w:t> </w:t>
      </w:r>
      <w:r>
        <w:rPr/>
        <w:t>или</w:t>
      </w:r>
      <w:r>
        <w:rPr>
          <w:spacing w:val="80"/>
        </w:rPr>
        <w:t> </w:t>
      </w:r>
      <w:r>
        <w:rPr/>
        <w:t>состоянию</w:t>
      </w:r>
      <w:r>
        <w:rPr>
          <w:spacing w:val="80"/>
        </w:rPr>
        <w:t> </w:t>
      </w:r>
      <w:r>
        <w:rPr/>
        <w:t>(группы заболеваний или состояний)</w:t>
      </w:r>
    </w:p>
    <w:p>
      <w:pPr>
        <w:pStyle w:val="ListParagraph"/>
        <w:numPr>
          <w:ilvl w:val="1"/>
          <w:numId w:val="2"/>
        </w:numPr>
        <w:tabs>
          <w:tab w:pos="1184" w:val="left" w:leader="none"/>
        </w:tabs>
        <w:spacing w:line="240" w:lineRule="auto" w:before="271" w:after="0"/>
        <w:ind w:left="139" w:right="154" w:firstLine="542"/>
        <w:jc w:val="left"/>
        <w:rPr>
          <w:b/>
          <w:sz w:val="28"/>
        </w:rPr>
      </w:pPr>
      <w:bookmarkStart w:name="1.1. Определение заболевания или состоян" w:id="4"/>
      <w:bookmarkEnd w:id="4"/>
      <w:r>
        <w:rPr/>
      </w:r>
      <w:r>
        <w:rPr>
          <w:b/>
          <w:sz w:val="28"/>
        </w:rPr>
        <w:t>Определение заболевания</w:t>
      </w:r>
      <w:r>
        <w:rPr>
          <w:b/>
          <w:spacing w:val="-1"/>
          <w:sz w:val="28"/>
        </w:rPr>
        <w:t> </w:t>
      </w:r>
      <w:r>
        <w:rPr>
          <w:b/>
          <w:sz w:val="28"/>
        </w:rPr>
        <w:t>или</w:t>
      </w:r>
      <w:r>
        <w:rPr>
          <w:b/>
          <w:spacing w:val="-1"/>
          <w:sz w:val="28"/>
        </w:rPr>
        <w:t> </w:t>
      </w:r>
      <w:r>
        <w:rPr>
          <w:b/>
          <w:sz w:val="28"/>
        </w:rPr>
        <w:t>состояния</w:t>
      </w:r>
      <w:r>
        <w:rPr>
          <w:b/>
          <w:spacing w:val="-1"/>
          <w:sz w:val="28"/>
        </w:rPr>
        <w:t> </w:t>
      </w:r>
      <w:r>
        <w:rPr>
          <w:b/>
          <w:sz w:val="28"/>
        </w:rPr>
        <w:t>(группы</w:t>
      </w:r>
      <w:r>
        <w:rPr>
          <w:b/>
          <w:spacing w:val="-1"/>
          <w:sz w:val="28"/>
        </w:rPr>
        <w:t> </w:t>
      </w:r>
      <w:r>
        <w:rPr>
          <w:b/>
          <w:sz w:val="28"/>
        </w:rPr>
        <w:t>заболеваний</w:t>
      </w:r>
      <w:r>
        <w:rPr>
          <w:b/>
          <w:spacing w:val="-1"/>
          <w:sz w:val="28"/>
        </w:rPr>
        <w:t> </w:t>
      </w:r>
      <w:r>
        <w:rPr>
          <w:b/>
          <w:sz w:val="28"/>
        </w:rPr>
        <w:t>или </w:t>
      </w:r>
      <w:r>
        <w:rPr>
          <w:b/>
          <w:spacing w:val="-2"/>
          <w:sz w:val="28"/>
        </w:rPr>
        <w:t>состояний)</w:t>
      </w:r>
    </w:p>
    <w:p>
      <w:pPr>
        <w:pStyle w:val="BodyText"/>
        <w:spacing w:before="234"/>
        <w:ind w:right="138" w:firstLine="542"/>
      </w:pPr>
      <w:r>
        <w:rPr/>
        <w:t>Дефицит лизосомной кислой липазы (ДЛКЛ) – прогрессирующее наследственное заболевание, в</w:t>
      </w:r>
      <w:r>
        <w:rPr>
          <w:spacing w:val="-1"/>
        </w:rPr>
        <w:t> </w:t>
      </w:r>
      <w:r>
        <w:rPr/>
        <w:t>основе которого лежит дефект гена LIPA, кодирующего фермент лизосомную кислую липазу (ЛКЛ), приводящий к накоплению эфиров холестерина и триглицеридов в органах и тканях [</w:t>
      </w:r>
      <w:hyperlink w:history="true" w:anchor="_bookmark1">
        <w:r>
          <w:rPr>
            <w:color w:val="0000FF"/>
          </w:rPr>
          <w:t>1</w:t>
        </w:r>
      </w:hyperlink>
      <w:r>
        <w:rPr/>
        <w:t>-</w:t>
      </w:r>
      <w:hyperlink w:history="true" w:anchor="_bookmark3">
        <w:r>
          <w:rPr>
            <w:color w:val="0000FF"/>
          </w:rPr>
          <w:t>3</w:t>
        </w:r>
      </w:hyperlink>
      <w:r>
        <w:rPr/>
        <w:t>].</w:t>
      </w:r>
    </w:p>
    <w:p>
      <w:pPr>
        <w:pStyle w:val="BodyText"/>
        <w:spacing w:before="9"/>
        <w:ind w:left="0"/>
        <w:jc w:val="left"/>
      </w:pPr>
    </w:p>
    <w:p>
      <w:pPr>
        <w:pStyle w:val="Heading1"/>
        <w:numPr>
          <w:ilvl w:val="1"/>
          <w:numId w:val="2"/>
        </w:numPr>
        <w:tabs>
          <w:tab w:pos="1320" w:val="left" w:leader="none"/>
          <w:tab w:pos="2898" w:val="left" w:leader="none"/>
          <w:tab w:pos="3272" w:val="left" w:leader="none"/>
          <w:tab w:pos="4716" w:val="left" w:leader="none"/>
          <w:tab w:pos="6509" w:val="left" w:leader="none"/>
          <w:tab w:pos="7200" w:val="left" w:leader="none"/>
          <w:tab w:pos="8710" w:val="left" w:leader="none"/>
        </w:tabs>
        <w:spacing w:line="240" w:lineRule="auto" w:before="0" w:after="0"/>
        <w:ind w:left="139" w:right="154" w:firstLine="542"/>
        <w:jc w:val="left"/>
      </w:pPr>
      <w:bookmarkStart w:name="1.2. Этиология и патогенез заболевания и" w:id="5"/>
      <w:bookmarkEnd w:id="5"/>
      <w:r>
        <w:rPr>
          <w:b w:val="0"/>
        </w:rPr>
      </w:r>
      <w:r>
        <w:rPr>
          <w:spacing w:val="-2"/>
        </w:rPr>
        <w:t>Этиология</w:t>
      </w:r>
      <w:r>
        <w:rPr/>
        <w:tab/>
      </w:r>
      <w:r>
        <w:rPr>
          <w:spacing w:val="-10"/>
        </w:rPr>
        <w:t>и</w:t>
      </w:r>
      <w:r>
        <w:rPr/>
        <w:tab/>
      </w:r>
      <w:r>
        <w:rPr>
          <w:spacing w:val="-2"/>
        </w:rPr>
        <w:t>патогенез</w:t>
      </w:r>
      <w:r>
        <w:rPr/>
        <w:tab/>
      </w:r>
      <w:r>
        <w:rPr>
          <w:spacing w:val="-2"/>
        </w:rPr>
        <w:t>заболевания</w:t>
      </w:r>
      <w:r>
        <w:rPr/>
        <w:tab/>
      </w:r>
      <w:r>
        <w:rPr>
          <w:spacing w:val="-4"/>
        </w:rPr>
        <w:t>или</w:t>
      </w:r>
      <w:r>
        <w:rPr/>
        <w:tab/>
      </w:r>
      <w:r>
        <w:rPr>
          <w:spacing w:val="-2"/>
        </w:rPr>
        <w:t>состояния</w:t>
      </w:r>
      <w:r>
        <w:rPr/>
        <w:tab/>
      </w:r>
      <w:r>
        <w:rPr>
          <w:spacing w:val="-2"/>
        </w:rPr>
        <w:t>(группы </w:t>
      </w:r>
      <w:r>
        <w:rPr/>
        <w:t>заболеваний или состояний)</w:t>
      </w:r>
    </w:p>
    <w:p>
      <w:pPr>
        <w:pStyle w:val="BodyText"/>
        <w:spacing w:before="234"/>
        <w:ind w:right="142" w:firstLine="542"/>
      </w:pPr>
      <w:r>
        <w:rPr/>
        <w:t>ДЛКЛ наследуется по аутосомно-рецессивному</w:t>
      </w:r>
      <w:r>
        <w:rPr>
          <w:spacing w:val="-3"/>
        </w:rPr>
        <w:t> </w:t>
      </w:r>
      <w:r>
        <w:rPr/>
        <w:t>типу. Заболевание связано с</w:t>
      </w:r>
      <w:r>
        <w:rPr>
          <w:spacing w:val="-3"/>
        </w:rPr>
        <w:t> </w:t>
      </w:r>
      <w:r>
        <w:rPr/>
        <w:t>мутациями гена LIPA, который картирован на 10 хромосоме (10q23.31). В международной базе данных по мутациям человека описано около 100 мутаций в гене LIPA, приводящих к нарушению функции фермента. При ДЛКЛ нонсенс-мутации, крупные перестройки гена, мутации со сдвигом рамки считывания, в гомозиготном или компаунд-гетерозиготном состоянии, как правило, выявляют при тяжелых формах заболевания [</w:t>
      </w:r>
      <w:hyperlink w:history="true" w:anchor="_bookmark1">
        <w:r>
          <w:rPr>
            <w:color w:val="0000FF"/>
          </w:rPr>
          <w:t>1</w:t>
        </w:r>
      </w:hyperlink>
      <w:r>
        <w:rPr/>
        <w:t>, </w:t>
      </w:r>
      <w:hyperlink w:history="true" w:anchor="_bookmark3">
        <w:r>
          <w:rPr>
            <w:color w:val="0000FF"/>
          </w:rPr>
          <w:t>3</w:t>
        </w:r>
      </w:hyperlink>
      <w:r>
        <w:rPr/>
        <w:t>, </w:t>
      </w:r>
      <w:hyperlink w:history="true" w:anchor="_bookmark4">
        <w:r>
          <w:rPr>
            <w:color w:val="0000FF"/>
          </w:rPr>
          <w:t>4</w:t>
        </w:r>
      </w:hyperlink>
      <w:r>
        <w:rPr/>
        <w:t>]. Наиболее распространенный патогенный аллель – синонимичная замена, нарушающая сайт сплайсинга в экзоне 8 c.894G</w:t>
      </w:r>
    </w:p>
    <w:p>
      <w:pPr>
        <w:pStyle w:val="BodyText"/>
        <w:ind w:right="144"/>
      </w:pPr>
      <w:r>
        <w:rPr/>
        <w:t>&gt; A (E8SJM-1G &gt; A), является причиной заболевания в более чем половине</w:t>
      </w:r>
      <w:r>
        <w:rPr>
          <w:spacing w:val="-2"/>
        </w:rPr>
        <w:t> </w:t>
      </w:r>
      <w:r>
        <w:rPr/>
        <w:t>опубликованных случаев. Наличие</w:t>
      </w:r>
      <w:r>
        <w:rPr>
          <w:spacing w:val="-3"/>
        </w:rPr>
        <w:t> </w:t>
      </w:r>
      <w:r>
        <w:rPr/>
        <w:t>данного</w:t>
      </w:r>
      <w:r>
        <w:rPr>
          <w:spacing w:val="-3"/>
        </w:rPr>
        <w:t> </w:t>
      </w:r>
      <w:r>
        <w:rPr/>
        <w:t>варианта</w:t>
      </w:r>
      <w:r>
        <w:rPr>
          <w:spacing w:val="-3"/>
        </w:rPr>
        <w:t> </w:t>
      </w:r>
      <w:r>
        <w:rPr/>
        <w:t>в</w:t>
      </w:r>
      <w:r>
        <w:rPr>
          <w:spacing w:val="-1"/>
        </w:rPr>
        <w:t> </w:t>
      </w:r>
      <w:r>
        <w:rPr/>
        <w:t>гомозиготном</w:t>
      </w:r>
      <w:r>
        <w:rPr>
          <w:spacing w:val="-2"/>
        </w:rPr>
        <w:t> </w:t>
      </w:r>
      <w:r>
        <w:rPr/>
        <w:t>или</w:t>
      </w:r>
      <w:r>
        <w:rPr>
          <w:spacing w:val="-2"/>
        </w:rPr>
        <w:t> </w:t>
      </w:r>
      <w:r>
        <w:rPr/>
        <w:t>компаунд-гетерозиготном</w:t>
      </w:r>
      <w:r>
        <w:rPr>
          <w:spacing w:val="-2"/>
        </w:rPr>
        <w:t> </w:t>
      </w:r>
      <w:r>
        <w:rPr/>
        <w:t>состоянии сохраняет 3-5% остаточной активности ЛКЛ [</w:t>
      </w:r>
      <w:hyperlink w:history="true" w:anchor="_bookmark1">
        <w:r>
          <w:rPr>
            <w:color w:val="0000FF"/>
          </w:rPr>
          <w:t>1</w:t>
        </w:r>
      </w:hyperlink>
      <w:r>
        <w:rPr/>
        <w:t>-</w:t>
      </w:r>
      <w:hyperlink w:history="true" w:anchor="_bookmark3">
        <w:r>
          <w:rPr>
            <w:color w:val="0000FF"/>
          </w:rPr>
          <w:t>3</w:t>
        </w:r>
      </w:hyperlink>
      <w:r>
        <w:rPr/>
        <w:t>].</w:t>
      </w:r>
    </w:p>
    <w:p>
      <w:pPr>
        <w:pStyle w:val="BodyText"/>
        <w:spacing w:before="1"/>
        <w:ind w:right="136" w:firstLine="538"/>
      </w:pPr>
      <w:r>
        <w:rPr/>
        <w:t>В норме попавшие в лизосому путем рецептор-опосредованного эндоцитоза нейтральные жиры (эфиры холестерина и, в меньшей степени, триглицериды) под воздействием ЛКЛ расщепляются до свободного холестерина и жирных кислот. Эти липиды и их окисленные производные вступают во взаимодействие с факторами транскрипции (стериновым регуляторным элементом связывания белков – СРЭСБ), которые непосредственно</w:t>
      </w:r>
      <w:r>
        <w:rPr>
          <w:spacing w:val="-1"/>
        </w:rPr>
        <w:t> </w:t>
      </w:r>
      <w:r>
        <w:rPr/>
        <w:t>модулируют</w:t>
      </w:r>
      <w:r>
        <w:rPr>
          <w:spacing w:val="-1"/>
        </w:rPr>
        <w:t> </w:t>
      </w:r>
      <w:r>
        <w:rPr/>
        <w:t>экспрессию</w:t>
      </w:r>
      <w:r>
        <w:rPr>
          <w:spacing w:val="-3"/>
        </w:rPr>
        <w:t> </w:t>
      </w:r>
      <w:r>
        <w:rPr/>
        <w:t>генов, вовлеченных</w:t>
      </w:r>
      <w:r>
        <w:rPr>
          <w:spacing w:val="-6"/>
        </w:rPr>
        <w:t> </w:t>
      </w:r>
      <w:r>
        <w:rPr/>
        <w:t>в синтез</w:t>
      </w:r>
      <w:r>
        <w:rPr>
          <w:spacing w:val="-1"/>
        </w:rPr>
        <w:t> </w:t>
      </w:r>
      <w:r>
        <w:rPr/>
        <w:t>и</w:t>
      </w:r>
      <w:r>
        <w:rPr>
          <w:spacing w:val="-5"/>
        </w:rPr>
        <w:t> </w:t>
      </w:r>
      <w:r>
        <w:rPr/>
        <w:t>захват</w:t>
      </w:r>
      <w:r>
        <w:rPr>
          <w:spacing w:val="-1"/>
        </w:rPr>
        <w:t> </w:t>
      </w:r>
      <w:r>
        <w:rPr/>
        <w:t>холестерина, а также липогенез. При отсутствии или снижении активности ЛКЛ эфиры холестерина, триглицериды не распадаются и накапливаются в лизосомах. Соответствующий недостаток свободного холестерина в клетке приводит к СРЭСБ-опосредованной стимуляции эндогенного синтеза холестерина ингибированию гидроксиметилглутарил-коэнзим A (ГМГ- КоA) редуктазой и эндоцитоза посредством рецепторов ЛПНП. Параллельно с этим увеличивается синтез аполипопротеина B (АпоB) и значительно повышается образование холестерина липопротеинов очень низкой плотности (ЛПОНП). Увеличение экспрессии ГМГ-КоA редуктазы является первичным результатом СРЭСБ-2-опосредованного внутриклеточного уменьшения холестерина, приводя к увеличению уровня свободного холестерина [</w:t>
      </w:r>
      <w:hyperlink w:history="true" w:anchor="_bookmark1">
        <w:r>
          <w:rPr>
            <w:color w:val="0000FF"/>
          </w:rPr>
          <w:t>1</w:t>
        </w:r>
      </w:hyperlink>
      <w:r>
        <w:rPr/>
        <w:t>, </w:t>
      </w:r>
      <w:hyperlink w:history="true" w:anchor="_bookmark2">
        <w:r>
          <w:rPr>
            <w:color w:val="0000FF"/>
          </w:rPr>
          <w:t>2</w:t>
        </w:r>
      </w:hyperlink>
      <w:r>
        <w:rPr/>
        <w:t>].</w:t>
      </w:r>
    </w:p>
    <w:p>
      <w:pPr>
        <w:spacing w:after="0"/>
        <w:sectPr>
          <w:pgSz w:w="11910" w:h="16840"/>
          <w:pgMar w:header="572" w:footer="1177" w:top="1320" w:bottom="1360" w:left="1560" w:right="420"/>
        </w:sectPr>
      </w:pPr>
    </w:p>
    <w:p>
      <w:pPr>
        <w:pStyle w:val="BodyText"/>
        <w:spacing w:before="80"/>
        <w:ind w:right="148" w:firstLine="538"/>
      </w:pPr>
      <w:r>
        <w:rPr/>
        <w:t>Таким образом, накопление эфиров холестерина и триглицеридов в органах и тканях сопровождается дислипидемией: в сыворотке крови определяется повышенный уровень холестерина, ЛПНП, уровень ЛПВП соответствует норме или снижен. У части пациентов регистрируется гипертриглицеридемия.</w:t>
      </w:r>
    </w:p>
    <w:p>
      <w:pPr>
        <w:pStyle w:val="BodyText"/>
        <w:ind w:right="144" w:firstLine="538"/>
      </w:pPr>
      <w:r>
        <w:rPr/>
        <w:t>При наиболее тяжелой, младенческой форме ДЛКЛ – болезни Вольмана активность фермента составляет менее 1% от нормы, что приводит к быстрому</w:t>
      </w:r>
      <w:r>
        <w:rPr>
          <w:spacing w:val="-1"/>
        </w:rPr>
        <w:t> </w:t>
      </w:r>
      <w:r>
        <w:rPr/>
        <w:t>массивному</w:t>
      </w:r>
      <w:r>
        <w:rPr>
          <w:spacing w:val="-1"/>
        </w:rPr>
        <w:t> </w:t>
      </w:r>
      <w:r>
        <w:rPr/>
        <w:t>накоплению эфиров холестерина и триглицеридов в лизосомах многих органах и тканях, в первую</w:t>
      </w:r>
      <w:r>
        <w:rPr>
          <w:spacing w:val="40"/>
        </w:rPr>
        <w:t> </w:t>
      </w:r>
      <w:r>
        <w:rPr/>
        <w:t>очередь в печени, селезенке, надпочечниках, ворсинах кишечника, костном мозге, лимфатических узлах, в макрофагах ретикуло-эндотелиальной системы, что обуславливает полисистемные проявления болезни.</w:t>
      </w:r>
    </w:p>
    <w:p>
      <w:pPr>
        <w:pStyle w:val="BodyText"/>
        <w:spacing w:before="1"/>
        <w:ind w:right="139" w:firstLine="538"/>
      </w:pPr>
      <w:r>
        <w:rPr/>
        <w:t>При болезни накопления эфиров холестерина (БНЭХ) – фенотипе ДЛКЛ, характеризующемся более медленным прогрессированием и вариабельностью клинических проявлений – in vitro определяется остаточная активность ЛКЛ в диапазоне 1-12% от нормы </w:t>
      </w:r>
      <w:r>
        <w:rPr>
          <w:spacing w:val="-2"/>
        </w:rPr>
        <w:t>[</w:t>
      </w:r>
      <w:hyperlink w:history="true" w:anchor="_bookmark1">
        <w:r>
          <w:rPr>
            <w:color w:val="0000FF"/>
            <w:spacing w:val="-2"/>
          </w:rPr>
          <w:t>1</w:t>
        </w:r>
      </w:hyperlink>
      <w:r>
        <w:rPr>
          <w:spacing w:val="-2"/>
        </w:rPr>
        <w:t>-</w:t>
      </w:r>
      <w:hyperlink w:history="true" w:anchor="_bookmark4">
        <w:r>
          <w:rPr>
            <w:color w:val="0000FF"/>
            <w:spacing w:val="-2"/>
          </w:rPr>
          <w:t>4</w:t>
        </w:r>
      </w:hyperlink>
      <w:r>
        <w:rPr>
          <w:spacing w:val="-2"/>
        </w:rPr>
        <w:t>].</w:t>
      </w:r>
    </w:p>
    <w:p>
      <w:pPr>
        <w:pStyle w:val="Heading1"/>
        <w:numPr>
          <w:ilvl w:val="1"/>
          <w:numId w:val="2"/>
        </w:numPr>
        <w:tabs>
          <w:tab w:pos="1217" w:val="left" w:leader="none"/>
        </w:tabs>
        <w:spacing w:line="240" w:lineRule="auto" w:before="284" w:after="0"/>
        <w:ind w:left="139" w:right="155" w:firstLine="542"/>
        <w:jc w:val="left"/>
      </w:pPr>
      <w:bookmarkStart w:name="1.3. Эпидемиология заболевания или состо" w:id="6"/>
      <w:bookmarkEnd w:id="6"/>
      <w:r>
        <w:rPr>
          <w:b w:val="0"/>
        </w:rPr>
      </w:r>
      <w:r>
        <w:rPr/>
        <w:t>Эпидемиология</w:t>
      </w:r>
      <w:r>
        <w:rPr>
          <w:spacing w:val="31"/>
        </w:rPr>
        <w:t> </w:t>
      </w:r>
      <w:r>
        <w:rPr/>
        <w:t>заболевания</w:t>
      </w:r>
      <w:r>
        <w:rPr>
          <w:spacing w:val="31"/>
        </w:rPr>
        <w:t> </w:t>
      </w:r>
      <w:r>
        <w:rPr/>
        <w:t>или</w:t>
      </w:r>
      <w:r>
        <w:rPr>
          <w:spacing w:val="35"/>
        </w:rPr>
        <w:t> </w:t>
      </w:r>
      <w:r>
        <w:rPr/>
        <w:t>состояния</w:t>
      </w:r>
      <w:r>
        <w:rPr>
          <w:spacing w:val="31"/>
        </w:rPr>
        <w:t> </w:t>
      </w:r>
      <w:r>
        <w:rPr/>
        <w:t>(группы</w:t>
      </w:r>
      <w:r>
        <w:rPr>
          <w:spacing w:val="31"/>
        </w:rPr>
        <w:t> </w:t>
      </w:r>
      <w:r>
        <w:rPr/>
        <w:t>заболеваний или состояний)</w:t>
      </w:r>
    </w:p>
    <w:p>
      <w:pPr>
        <w:pStyle w:val="BodyText"/>
        <w:spacing w:before="234"/>
        <w:ind w:right="138" w:firstLine="542"/>
      </w:pPr>
      <w:r>
        <w:rPr/>
        <w:t>Распространенность ДЛКЛ вариабельна в зависимости от факторов этнической принадлежности и географического положения. Считается, что частота ДЛКЛ составляет в среднем 1:40000-1:300000 живых новорожденных </w:t>
      </w:r>
      <w:hyperlink w:history="true" w:anchor="_bookmark3">
        <w:r>
          <w:rPr>
            <w:color w:val="0000FF"/>
          </w:rPr>
          <w:t>[3]</w:t>
        </w:r>
      </w:hyperlink>
      <w:r>
        <w:rPr/>
        <w:t>. Частота встречаемости младенческой формы заболевания в 2-2,5 раза ниже и составляет 1 на 100000-500000 живорожденных новорожденных [</w:t>
      </w:r>
      <w:hyperlink w:history="true" w:anchor="_bookmark5">
        <w:r>
          <w:rPr>
            <w:color w:val="0000FF"/>
          </w:rPr>
          <w:t>5</w:t>
        </w:r>
      </w:hyperlink>
      <w:r>
        <w:rPr/>
        <w:t>-</w:t>
      </w:r>
      <w:hyperlink w:history="true" w:anchor="_bookmark6">
        <w:r>
          <w:rPr>
            <w:color w:val="0000FF"/>
          </w:rPr>
          <w:t>7</w:t>
        </w:r>
      </w:hyperlink>
      <w:r>
        <w:rPr/>
        <w:t>]. Исследования по изучению частоты встречаемости ДЛКЛ в России проводились в г. Москва. Данный показатель составил примерно 1:70000 новорожденных</w:t>
      </w:r>
      <w:r>
        <w:rPr>
          <w:spacing w:val="80"/>
        </w:rPr>
        <w:t> </w:t>
      </w:r>
      <w:hyperlink w:history="true" w:anchor="_bookmark7">
        <w:r>
          <w:rPr>
            <w:color w:val="0000FF"/>
            <w:spacing w:val="-4"/>
          </w:rPr>
          <w:t>[8]</w:t>
        </w:r>
      </w:hyperlink>
      <w:r>
        <w:rPr>
          <w:spacing w:val="-4"/>
        </w:rPr>
        <w:t>.</w:t>
      </w:r>
    </w:p>
    <w:p>
      <w:pPr>
        <w:pStyle w:val="Heading1"/>
        <w:numPr>
          <w:ilvl w:val="1"/>
          <w:numId w:val="2"/>
        </w:numPr>
        <w:tabs>
          <w:tab w:pos="1265" w:val="left" w:leader="none"/>
        </w:tabs>
        <w:spacing w:line="240" w:lineRule="auto" w:before="283" w:after="0"/>
        <w:ind w:left="139" w:right="144" w:firstLine="542"/>
        <w:jc w:val="both"/>
      </w:pPr>
      <w:bookmarkStart w:name="1.4. Особенности кодирования заболевания" w:id="7"/>
      <w:bookmarkEnd w:id="7"/>
      <w:r>
        <w:rPr>
          <w:b w:val="0"/>
        </w:rPr>
      </w:r>
      <w:r>
        <w:rPr/>
        <w:t>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pPr>
        <w:pStyle w:val="BodyText"/>
        <w:spacing w:before="233"/>
        <w:ind w:right="144" w:firstLine="542"/>
      </w:pPr>
      <w:r>
        <w:rPr/>
        <w:t>Согласно МКБ10, заболевание относится к классу IV, болезням эндокринной системы, расстройству питания и нарушению обмена веществ, E75.5 Другие нарушения накопления </w:t>
      </w:r>
      <w:r>
        <w:rPr>
          <w:spacing w:val="-2"/>
        </w:rPr>
        <w:t>липидов.</w:t>
      </w:r>
    </w:p>
    <w:p>
      <w:pPr>
        <w:pStyle w:val="BodyText"/>
        <w:spacing w:before="6"/>
        <w:ind w:left="0"/>
        <w:jc w:val="left"/>
      </w:pPr>
    </w:p>
    <w:p>
      <w:pPr>
        <w:pStyle w:val="Heading1"/>
        <w:numPr>
          <w:ilvl w:val="1"/>
          <w:numId w:val="2"/>
        </w:numPr>
        <w:tabs>
          <w:tab w:pos="1212" w:val="left" w:leader="none"/>
        </w:tabs>
        <w:spacing w:line="240" w:lineRule="auto" w:before="0" w:after="0"/>
        <w:ind w:left="139" w:right="154" w:firstLine="542"/>
        <w:jc w:val="both"/>
      </w:pPr>
      <w:bookmarkStart w:name="1.5. Классификация заболевания или состо" w:id="8"/>
      <w:bookmarkEnd w:id="8"/>
      <w:r>
        <w:rPr>
          <w:b w:val="0"/>
        </w:rPr>
      </w:r>
      <w:r>
        <w:rPr/>
        <w:t>Классификация заболевания или состояния (группы заболеваний или состояний)</w:t>
      </w:r>
    </w:p>
    <w:p>
      <w:pPr>
        <w:pStyle w:val="BodyText"/>
        <w:spacing w:before="234"/>
        <w:ind w:left="682"/>
        <w:jc w:val="left"/>
      </w:pPr>
      <w:r>
        <w:rPr/>
        <w:t>Выделяют</w:t>
      </w:r>
      <w:r>
        <w:rPr>
          <w:spacing w:val="-3"/>
        </w:rPr>
        <w:t> </w:t>
      </w:r>
      <w:r>
        <w:rPr/>
        <w:t>две</w:t>
      </w:r>
      <w:r>
        <w:rPr>
          <w:spacing w:val="-3"/>
        </w:rPr>
        <w:t> </w:t>
      </w:r>
      <w:r>
        <w:rPr/>
        <w:t>основные</w:t>
      </w:r>
      <w:r>
        <w:rPr>
          <w:spacing w:val="-7"/>
        </w:rPr>
        <w:t> </w:t>
      </w:r>
      <w:r>
        <w:rPr/>
        <w:t>формы</w:t>
      </w:r>
      <w:r>
        <w:rPr>
          <w:spacing w:val="-1"/>
        </w:rPr>
        <w:t> </w:t>
      </w:r>
      <w:r>
        <w:rPr/>
        <w:t>ДЛКЛ</w:t>
      </w:r>
      <w:r>
        <w:rPr>
          <w:spacing w:val="-2"/>
        </w:rPr>
        <w:t> </w:t>
      </w:r>
      <w:hyperlink w:history="true" w:anchor="_bookmark46">
        <w:r>
          <w:rPr>
            <w:color w:val="0000FF"/>
          </w:rPr>
          <w:t>(приложение</w:t>
        </w:r>
        <w:r>
          <w:rPr>
            <w:color w:val="0000FF"/>
            <w:spacing w:val="-3"/>
          </w:rPr>
          <w:t> </w:t>
        </w:r>
        <w:r>
          <w:rPr>
            <w:color w:val="0000FF"/>
            <w:spacing w:val="-4"/>
          </w:rPr>
          <w:t>А3)</w:t>
        </w:r>
      </w:hyperlink>
      <w:r>
        <w:rPr>
          <w:spacing w:val="-4"/>
        </w:rPr>
        <w:t>:</w:t>
      </w:r>
    </w:p>
    <w:p>
      <w:pPr>
        <w:pStyle w:val="ListParagraph"/>
        <w:numPr>
          <w:ilvl w:val="0"/>
          <w:numId w:val="3"/>
        </w:numPr>
        <w:tabs>
          <w:tab w:pos="820" w:val="left" w:leader="none"/>
        </w:tabs>
        <w:spacing w:line="275" w:lineRule="exact" w:before="2" w:after="0"/>
        <w:ind w:left="820" w:right="0" w:hanging="143"/>
        <w:jc w:val="left"/>
        <w:rPr>
          <w:sz w:val="24"/>
        </w:rPr>
      </w:pPr>
      <w:r>
        <w:rPr>
          <w:sz w:val="24"/>
        </w:rPr>
        <w:t>инфантильная</w:t>
      </w:r>
      <w:r>
        <w:rPr>
          <w:spacing w:val="-9"/>
          <w:sz w:val="24"/>
        </w:rPr>
        <w:t> </w:t>
      </w:r>
      <w:r>
        <w:rPr>
          <w:sz w:val="24"/>
        </w:rPr>
        <w:t>(болезнь</w:t>
      </w:r>
      <w:r>
        <w:rPr>
          <w:spacing w:val="-2"/>
          <w:sz w:val="24"/>
        </w:rPr>
        <w:t> </w:t>
      </w:r>
      <w:r>
        <w:rPr>
          <w:sz w:val="24"/>
        </w:rPr>
        <w:t>Вольмана)</w:t>
      </w:r>
      <w:r>
        <w:rPr>
          <w:spacing w:val="4"/>
          <w:sz w:val="24"/>
        </w:rPr>
        <w:t> </w:t>
      </w:r>
      <w:r>
        <w:rPr>
          <w:sz w:val="24"/>
        </w:rPr>
        <w:t>–</w:t>
      </w:r>
      <w:r>
        <w:rPr>
          <w:spacing w:val="-7"/>
          <w:sz w:val="24"/>
        </w:rPr>
        <w:t> </w:t>
      </w:r>
      <w:r>
        <w:rPr>
          <w:sz w:val="24"/>
        </w:rPr>
        <w:t>с</w:t>
      </w:r>
      <w:r>
        <w:rPr>
          <w:spacing w:val="-3"/>
          <w:sz w:val="24"/>
        </w:rPr>
        <w:t> </w:t>
      </w:r>
      <w:r>
        <w:rPr>
          <w:sz w:val="24"/>
        </w:rPr>
        <w:t>манифестацией</w:t>
      </w:r>
      <w:r>
        <w:rPr>
          <w:spacing w:val="-1"/>
          <w:sz w:val="24"/>
        </w:rPr>
        <w:t> </w:t>
      </w:r>
      <w:r>
        <w:rPr>
          <w:sz w:val="24"/>
        </w:rPr>
        <w:t>в</w:t>
      </w:r>
      <w:r>
        <w:rPr>
          <w:spacing w:val="-5"/>
          <w:sz w:val="24"/>
        </w:rPr>
        <w:t> </w:t>
      </w:r>
      <w:r>
        <w:rPr>
          <w:sz w:val="24"/>
        </w:rPr>
        <w:t>первые</w:t>
      </w:r>
      <w:r>
        <w:rPr>
          <w:spacing w:val="-3"/>
          <w:sz w:val="24"/>
        </w:rPr>
        <w:t> </w:t>
      </w:r>
      <w:r>
        <w:rPr>
          <w:sz w:val="24"/>
        </w:rPr>
        <w:t>6</w:t>
      </w:r>
      <w:r>
        <w:rPr>
          <w:spacing w:val="-7"/>
          <w:sz w:val="24"/>
        </w:rPr>
        <w:t> </w:t>
      </w:r>
      <w:r>
        <w:rPr>
          <w:sz w:val="24"/>
        </w:rPr>
        <w:t>месяцев</w:t>
      </w:r>
      <w:r>
        <w:rPr>
          <w:spacing w:val="-4"/>
          <w:sz w:val="24"/>
        </w:rPr>
        <w:t> </w:t>
      </w:r>
      <w:r>
        <w:rPr>
          <w:spacing w:val="-2"/>
          <w:sz w:val="24"/>
        </w:rPr>
        <w:t>жизни</w:t>
      </w:r>
    </w:p>
    <w:p>
      <w:pPr>
        <w:pStyle w:val="ListParagraph"/>
        <w:numPr>
          <w:ilvl w:val="0"/>
          <w:numId w:val="3"/>
        </w:numPr>
        <w:tabs>
          <w:tab w:pos="877" w:val="left" w:leader="none"/>
        </w:tabs>
        <w:spacing w:line="242" w:lineRule="auto" w:before="0" w:after="0"/>
        <w:ind w:left="139" w:right="150" w:firstLine="538"/>
        <w:jc w:val="left"/>
        <w:rPr>
          <w:sz w:val="24"/>
        </w:rPr>
      </w:pPr>
      <w:r>
        <w:rPr>
          <w:sz w:val="24"/>
        </w:rPr>
        <w:t>болезнь</w:t>
      </w:r>
      <w:r>
        <w:rPr>
          <w:spacing w:val="40"/>
          <w:sz w:val="24"/>
        </w:rPr>
        <w:t> </w:t>
      </w:r>
      <w:r>
        <w:rPr>
          <w:sz w:val="24"/>
        </w:rPr>
        <w:t>накопления</w:t>
      </w:r>
      <w:r>
        <w:rPr>
          <w:spacing w:val="40"/>
          <w:sz w:val="24"/>
        </w:rPr>
        <w:t> </w:t>
      </w:r>
      <w:r>
        <w:rPr>
          <w:sz w:val="24"/>
        </w:rPr>
        <w:t>эфиров</w:t>
      </w:r>
      <w:r>
        <w:rPr>
          <w:spacing w:val="40"/>
          <w:sz w:val="24"/>
        </w:rPr>
        <w:t> </w:t>
      </w:r>
      <w:r>
        <w:rPr>
          <w:sz w:val="24"/>
        </w:rPr>
        <w:t>холестерина</w:t>
      </w:r>
      <w:r>
        <w:rPr>
          <w:spacing w:val="40"/>
          <w:sz w:val="24"/>
        </w:rPr>
        <w:t> </w:t>
      </w:r>
      <w:r>
        <w:rPr>
          <w:sz w:val="24"/>
        </w:rPr>
        <w:t>(БНЭХ),</w:t>
      </w:r>
      <w:r>
        <w:rPr>
          <w:spacing w:val="40"/>
          <w:sz w:val="24"/>
        </w:rPr>
        <w:t> </w:t>
      </w:r>
      <w:r>
        <w:rPr>
          <w:sz w:val="24"/>
        </w:rPr>
        <w:t>с</w:t>
      </w:r>
      <w:r>
        <w:rPr>
          <w:spacing w:val="40"/>
          <w:sz w:val="24"/>
        </w:rPr>
        <w:t> </w:t>
      </w:r>
      <w:r>
        <w:rPr>
          <w:sz w:val="24"/>
        </w:rPr>
        <w:t>дебютом</w:t>
      </w:r>
      <w:r>
        <w:rPr>
          <w:spacing w:val="40"/>
          <w:sz w:val="24"/>
        </w:rPr>
        <w:t> </w:t>
      </w:r>
      <w:r>
        <w:rPr>
          <w:sz w:val="24"/>
        </w:rPr>
        <w:t>в</w:t>
      </w:r>
      <w:r>
        <w:rPr>
          <w:spacing w:val="40"/>
          <w:sz w:val="24"/>
        </w:rPr>
        <w:t> </w:t>
      </w:r>
      <w:r>
        <w:rPr>
          <w:sz w:val="24"/>
        </w:rPr>
        <w:t>возрасте</w:t>
      </w:r>
      <w:r>
        <w:rPr>
          <w:spacing w:val="40"/>
          <w:sz w:val="24"/>
        </w:rPr>
        <w:t> </w:t>
      </w:r>
      <w:r>
        <w:rPr>
          <w:sz w:val="24"/>
        </w:rPr>
        <w:t>старше</w:t>
      </w:r>
      <w:r>
        <w:rPr>
          <w:spacing w:val="40"/>
          <w:sz w:val="24"/>
        </w:rPr>
        <w:t> </w:t>
      </w:r>
      <w:r>
        <w:rPr>
          <w:sz w:val="24"/>
        </w:rPr>
        <w:t>6 месяцев (наиболее часто в 2-5 лет) [</w:t>
      </w:r>
      <w:hyperlink w:history="true" w:anchor="_bookmark3">
        <w:r>
          <w:rPr>
            <w:color w:val="0000FF"/>
            <w:sz w:val="24"/>
          </w:rPr>
          <w:t>3</w:t>
        </w:r>
      </w:hyperlink>
      <w:r>
        <w:rPr>
          <w:sz w:val="24"/>
        </w:rPr>
        <w:t>, </w:t>
      </w:r>
      <w:hyperlink w:history="true" w:anchor="_bookmark38">
        <w:r>
          <w:rPr>
            <w:color w:val="0000FF"/>
            <w:sz w:val="24"/>
          </w:rPr>
          <w:t>46</w:t>
        </w:r>
      </w:hyperlink>
      <w:r>
        <w:rPr>
          <w:sz w:val="24"/>
        </w:rPr>
        <w:t>].</w:t>
      </w:r>
    </w:p>
    <w:p>
      <w:pPr>
        <w:pStyle w:val="BodyText"/>
        <w:spacing w:line="242" w:lineRule="auto" w:before="234"/>
        <w:ind w:right="143" w:firstLine="542"/>
      </w:pPr>
      <w:r>
        <w:rPr/>
        <w:t>Следует</w:t>
      </w:r>
      <w:r>
        <w:rPr>
          <w:spacing w:val="-2"/>
        </w:rPr>
        <w:t> </w:t>
      </w:r>
      <w:r>
        <w:rPr/>
        <w:t>отметить, что ДЛКЛ –</w:t>
      </w:r>
      <w:r>
        <w:rPr>
          <w:spacing w:val="-7"/>
        </w:rPr>
        <w:t> </w:t>
      </w:r>
      <w:r>
        <w:rPr/>
        <w:t>это</w:t>
      </w:r>
      <w:r>
        <w:rPr>
          <w:spacing w:val="-2"/>
        </w:rPr>
        <w:t> </w:t>
      </w:r>
      <w:r>
        <w:rPr/>
        <w:t>спектр</w:t>
      </w:r>
      <w:r>
        <w:rPr>
          <w:spacing w:val="-2"/>
        </w:rPr>
        <w:t> </w:t>
      </w:r>
      <w:r>
        <w:rPr/>
        <w:t>клинических</w:t>
      </w:r>
      <w:r>
        <w:rPr>
          <w:spacing w:val="-7"/>
        </w:rPr>
        <w:t> </w:t>
      </w:r>
      <w:r>
        <w:rPr/>
        <w:t>фенотипов</w:t>
      </w:r>
      <w:r>
        <w:rPr>
          <w:spacing w:val="-1"/>
        </w:rPr>
        <w:t> </w:t>
      </w:r>
      <w:r>
        <w:rPr/>
        <w:t>с</w:t>
      </w:r>
      <w:r>
        <w:rPr>
          <w:spacing w:val="-3"/>
        </w:rPr>
        <w:t> </w:t>
      </w:r>
      <w:r>
        <w:rPr/>
        <w:t>разным</w:t>
      </w:r>
      <w:r>
        <w:rPr>
          <w:spacing w:val="-1"/>
        </w:rPr>
        <w:t> </w:t>
      </w:r>
      <w:r>
        <w:rPr/>
        <w:t>характером течения и прогнозом болезни </w:t>
      </w:r>
      <w:hyperlink w:history="true" w:anchor="_bookmark3">
        <w:r>
          <w:rPr>
            <w:color w:val="0000FF"/>
          </w:rPr>
          <w:t>[3]</w:t>
        </w:r>
      </w:hyperlink>
      <w:r>
        <w:rPr/>
        <w:t>.</w:t>
      </w:r>
    </w:p>
    <w:p>
      <w:pPr>
        <w:pStyle w:val="BodyText"/>
        <w:spacing w:before="3"/>
        <w:ind w:left="0"/>
        <w:jc w:val="left"/>
      </w:pPr>
    </w:p>
    <w:p>
      <w:pPr>
        <w:pStyle w:val="Heading1"/>
        <w:numPr>
          <w:ilvl w:val="1"/>
          <w:numId w:val="2"/>
        </w:numPr>
        <w:tabs>
          <w:tab w:pos="1356" w:val="left" w:leader="none"/>
        </w:tabs>
        <w:spacing w:line="240" w:lineRule="auto" w:before="0" w:after="0"/>
        <w:ind w:left="139" w:right="146" w:firstLine="542"/>
        <w:jc w:val="both"/>
      </w:pPr>
      <w:bookmarkStart w:name="1.6. Клиническая картина заболевания или" w:id="9"/>
      <w:bookmarkEnd w:id="9"/>
      <w:r>
        <w:rPr>
          <w:b w:val="0"/>
        </w:rPr>
      </w:r>
      <w:bookmarkStart w:name="_bookmark0" w:id="10"/>
      <w:bookmarkEnd w:id="10"/>
      <w:r>
        <w:rPr>
          <w:b w:val="0"/>
        </w:rPr>
      </w:r>
      <w:r>
        <w:rPr/>
        <w:t>Клиническая картина заболевания или состояния (группы заболеваний или состояний)</w:t>
      </w:r>
    </w:p>
    <w:p>
      <w:pPr>
        <w:pStyle w:val="BodyText"/>
        <w:spacing w:before="234"/>
        <w:ind w:left="682"/>
        <w:jc w:val="left"/>
      </w:pPr>
      <w:r>
        <w:rPr/>
        <w:t>ДЛКЛ</w:t>
      </w:r>
      <w:r>
        <w:rPr>
          <w:spacing w:val="-2"/>
        </w:rPr>
        <w:t> </w:t>
      </w:r>
      <w:r>
        <w:rPr/>
        <w:t>представляет</w:t>
      </w:r>
      <w:r>
        <w:rPr>
          <w:spacing w:val="1"/>
        </w:rPr>
        <w:t> </w:t>
      </w:r>
      <w:r>
        <w:rPr/>
        <w:t>собой</w:t>
      </w:r>
      <w:r>
        <w:rPr>
          <w:spacing w:val="-2"/>
        </w:rPr>
        <w:t> </w:t>
      </w:r>
      <w:r>
        <w:rPr/>
        <w:t>различные фенотипы</w:t>
      </w:r>
      <w:r>
        <w:rPr>
          <w:spacing w:val="-3"/>
        </w:rPr>
        <w:t> </w:t>
      </w:r>
      <w:r>
        <w:rPr/>
        <w:t>от</w:t>
      </w:r>
      <w:r>
        <w:rPr>
          <w:spacing w:val="-3"/>
        </w:rPr>
        <w:t> </w:t>
      </w:r>
      <w:r>
        <w:rPr/>
        <w:t>быстро прогрессирующей</w:t>
      </w:r>
      <w:r>
        <w:rPr>
          <w:spacing w:val="1"/>
        </w:rPr>
        <w:t> </w:t>
      </w:r>
      <w:r>
        <w:rPr>
          <w:spacing w:val="-2"/>
        </w:rPr>
        <w:t>летальной</w:t>
      </w:r>
    </w:p>
    <w:p>
      <w:pPr>
        <w:spacing w:after="0"/>
        <w:jc w:val="left"/>
        <w:sectPr>
          <w:pgSz w:w="11910" w:h="16840"/>
          <w:pgMar w:header="572" w:footer="1177" w:top="1320" w:bottom="1360" w:left="1560" w:right="420"/>
        </w:sectPr>
      </w:pPr>
    </w:p>
    <w:p>
      <w:pPr>
        <w:pStyle w:val="BodyText"/>
        <w:spacing w:before="80"/>
        <w:ind w:right="151"/>
      </w:pPr>
      <w:r>
        <w:rPr/>
        <w:t>младенческой формы и тяжелых детских вариантов с серьезными осложнениями, например, циррозом и печеночной недостаточностью в подростковом возрасте, до субклинических, мягких форм, проявляющихся в более старшем возрасте </w:t>
      </w:r>
      <w:hyperlink w:history="true" w:anchor="_bookmark3">
        <w:r>
          <w:rPr>
            <w:color w:val="0000FF"/>
          </w:rPr>
          <w:t>[3]</w:t>
        </w:r>
      </w:hyperlink>
      <w:r>
        <w:rPr/>
        <w:t>.</w:t>
      </w:r>
    </w:p>
    <w:p>
      <w:pPr>
        <w:pStyle w:val="BodyText"/>
        <w:spacing w:before="6"/>
        <w:ind w:left="0"/>
        <w:jc w:val="left"/>
      </w:pPr>
    </w:p>
    <w:p>
      <w:pPr>
        <w:pStyle w:val="Heading1"/>
        <w:numPr>
          <w:ilvl w:val="2"/>
          <w:numId w:val="2"/>
        </w:numPr>
        <w:tabs>
          <w:tab w:pos="1404" w:val="left" w:leader="none"/>
        </w:tabs>
        <w:spacing w:line="240" w:lineRule="auto" w:before="0" w:after="0"/>
        <w:ind w:left="139" w:right="149" w:firstLine="542"/>
        <w:jc w:val="left"/>
      </w:pPr>
      <w:bookmarkStart w:name="1.6.1. Клиническая картина при инфантиль" w:id="11"/>
      <w:bookmarkEnd w:id="11"/>
      <w:r>
        <w:rPr>
          <w:b w:val="0"/>
        </w:rPr>
      </w:r>
      <w:r>
        <w:rPr/>
        <w:t>Клиническая картина при инфантильной форме ДЛКЛ (болезни </w:t>
      </w:r>
      <w:r>
        <w:rPr>
          <w:spacing w:val="-2"/>
        </w:rPr>
        <w:t>Вольмана)</w:t>
      </w:r>
    </w:p>
    <w:p>
      <w:pPr>
        <w:pStyle w:val="BodyText"/>
        <w:spacing w:before="238"/>
        <w:ind w:right="147" w:firstLine="542"/>
      </w:pPr>
      <w:r>
        <w:rPr/>
        <w:t>Инфантильная форма</w:t>
      </w:r>
      <w:r>
        <w:rPr>
          <w:spacing w:val="-5"/>
        </w:rPr>
        <w:t> </w:t>
      </w:r>
      <w:r>
        <w:rPr/>
        <w:t>ДЛКЛ</w:t>
      </w:r>
      <w:r>
        <w:rPr>
          <w:spacing w:val="-4"/>
        </w:rPr>
        <w:t> </w:t>
      </w:r>
      <w:r>
        <w:rPr/>
        <w:t>(болезнь Вольмана, БВ) –</w:t>
      </w:r>
      <w:r>
        <w:rPr>
          <w:spacing w:val="-4"/>
        </w:rPr>
        <w:t> </w:t>
      </w:r>
      <w:r>
        <w:rPr/>
        <w:t>редкое быстро прогрессирующее заболевание, проявляющееся с первых месяцев жизни, приводящее к развитию печеночной недостаточности и летальному исходу в возрасте до 1 года </w:t>
      </w:r>
      <w:hyperlink w:history="true" w:anchor="_bookmark8">
        <w:r>
          <w:rPr>
            <w:color w:val="0000FF"/>
          </w:rPr>
          <w:t>[9]</w:t>
        </w:r>
        <w:r>
          <w:rPr/>
          <w:t>.</w:t>
        </w:r>
      </w:hyperlink>
    </w:p>
    <w:p>
      <w:pPr>
        <w:pStyle w:val="BodyText"/>
        <w:ind w:right="141" w:firstLine="538"/>
      </w:pPr>
      <w:r>
        <w:rPr/>
        <w:t>Наиболее характерными признаками БВ являются гастроинтестинальные проявления, включающие рвоту, диарею и/или стеаторею. Часто выявляется увеличение объема живота</w:t>
      </w:r>
      <w:r>
        <w:rPr>
          <w:spacing w:val="80"/>
        </w:rPr>
        <w:t> </w:t>
      </w:r>
      <w:r>
        <w:rPr/>
        <w:t>за счет вздутия кишечника, гепатомегалии и/или гепатоспленомегалии, а</w:t>
      </w:r>
      <w:r>
        <w:rPr>
          <w:spacing w:val="-2"/>
        </w:rPr>
        <w:t> </w:t>
      </w:r>
      <w:r>
        <w:rPr/>
        <w:t>также потеря</w:t>
      </w:r>
      <w:r>
        <w:rPr>
          <w:spacing w:val="-2"/>
        </w:rPr>
        <w:t> </w:t>
      </w:r>
      <w:r>
        <w:rPr/>
        <w:t>веса с развитием гипотрофии и, в тяжелых случаях, кахексии. Также характерны задержка роста и физического развития. Кроме того, для этих пациентов характерна интермиттирующая лихорадка, вялость, астения и гиперрефлексия [</w:t>
      </w:r>
      <w:hyperlink w:history="true" w:anchor="_bookmark2">
        <w:r>
          <w:rPr>
            <w:color w:val="0000FF"/>
          </w:rPr>
          <w:t>2</w:t>
        </w:r>
      </w:hyperlink>
      <w:r>
        <w:rPr/>
        <w:t>, </w:t>
      </w:r>
      <w:hyperlink w:history="true" w:anchor="_bookmark8">
        <w:r>
          <w:rPr>
            <w:color w:val="0000FF"/>
          </w:rPr>
          <w:t>9</w:t>
        </w:r>
      </w:hyperlink>
      <w:r>
        <w:rPr/>
        <w:t>, </w:t>
      </w:r>
      <w:hyperlink w:history="true" w:anchor="_bookmark9">
        <w:r>
          <w:rPr>
            <w:color w:val="0000FF"/>
          </w:rPr>
          <w:t>10</w:t>
        </w:r>
      </w:hyperlink>
      <w:r>
        <w:rPr/>
        <w:t>]. У пациентов развивается анемия и </w:t>
      </w:r>
      <w:r>
        <w:rPr>
          <w:spacing w:val="-2"/>
        </w:rPr>
        <w:t>тромбоцитопения.</w:t>
      </w:r>
    </w:p>
    <w:p>
      <w:pPr>
        <w:pStyle w:val="BodyText"/>
        <w:spacing w:before="1"/>
        <w:ind w:right="143" w:firstLine="538"/>
      </w:pPr>
      <w:r>
        <w:rPr/>
        <w:t>Особенностью БВ является увеличение и кальцификация надпочечников, встречающаяся примерно в 50% случаев </w:t>
      </w:r>
      <w:hyperlink w:history="true" w:anchor="_bookmark2">
        <w:r>
          <w:rPr>
            <w:color w:val="0000FF"/>
          </w:rPr>
          <w:t>[2]</w:t>
        </w:r>
        <w:r>
          <w:rPr/>
          <w:t>.</w:t>
        </w:r>
      </w:hyperlink>
      <w:r>
        <w:rPr/>
        <w:t> По данным визуализирующих методов, увеличенные надпочечники сохраняют свою полулунную или пирамидальную форму, по всей паренхиме их определяются точечные очаги кальцификации </w:t>
      </w:r>
      <w:hyperlink w:history="true" w:anchor="_bookmark10">
        <w:r>
          <w:rPr>
            <w:color w:val="0000FF"/>
          </w:rPr>
          <w:t>[11]</w:t>
        </w:r>
      </w:hyperlink>
      <w:r>
        <w:rPr/>
        <w:t>. Отсутствие кальцификатов надпочечников не исключает диагноз.</w:t>
      </w:r>
    </w:p>
    <w:p>
      <w:pPr>
        <w:pStyle w:val="BodyText"/>
        <w:spacing w:line="237" w:lineRule="auto" w:before="1"/>
        <w:ind w:right="150" w:firstLine="538"/>
      </w:pPr>
      <w:r>
        <w:rPr/>
        <w:t>Для пациентов с БВ характерна неврологическая симптоматика, обусловленная печеночной энцефалопатией.</w:t>
      </w:r>
    </w:p>
    <w:p>
      <w:pPr>
        <w:pStyle w:val="BodyText"/>
        <w:spacing w:before="3"/>
        <w:ind w:right="145" w:firstLine="538"/>
      </w:pPr>
      <w:r>
        <w:rPr/>
        <w:t>При БВ возникает синдром мальабсорбции, связанный с недостатком жирных кислот, повреждением слизистой оболочки кишечника и проявляющийся разной степенью выраженности диареи,</w:t>
      </w:r>
      <w:r>
        <w:rPr>
          <w:spacing w:val="-1"/>
        </w:rPr>
        <w:t> </w:t>
      </w:r>
      <w:r>
        <w:rPr/>
        <w:t>стеатореи, синдрома</w:t>
      </w:r>
      <w:r>
        <w:rPr>
          <w:spacing w:val="-4"/>
        </w:rPr>
        <w:t> </w:t>
      </w:r>
      <w:r>
        <w:rPr/>
        <w:t>избыточного бактериального роста и</w:t>
      </w:r>
      <w:r>
        <w:rPr>
          <w:spacing w:val="-2"/>
        </w:rPr>
        <w:t> </w:t>
      </w:r>
      <w:r>
        <w:rPr/>
        <w:t>метеоризма [</w:t>
      </w:r>
      <w:hyperlink w:history="true" w:anchor="_bookmark3">
        <w:r>
          <w:rPr>
            <w:color w:val="0000FF"/>
          </w:rPr>
          <w:t>3</w:t>
        </w:r>
      </w:hyperlink>
      <w:r>
        <w:rPr/>
        <w:t>, </w:t>
      </w:r>
      <w:hyperlink w:history="true" w:anchor="_bookmark8">
        <w:r>
          <w:rPr>
            <w:color w:val="0000FF"/>
          </w:rPr>
          <w:t>9</w:t>
        </w:r>
      </w:hyperlink>
      <w:r>
        <w:rPr/>
        <w:t>].</w:t>
      </w:r>
    </w:p>
    <w:p>
      <w:pPr>
        <w:pStyle w:val="BodyText"/>
        <w:spacing w:before="1"/>
        <w:ind w:right="141" w:firstLine="538"/>
      </w:pPr>
      <w:r>
        <w:rPr/>
        <w:t>Макроскопически печень значительно увеличена, желтого цвета с жирной поверхностью среза. Гепатоциты и клетки Купфера во</w:t>
      </w:r>
      <w:r>
        <w:rPr>
          <w:spacing w:val="-1"/>
        </w:rPr>
        <w:t> </w:t>
      </w:r>
      <w:r>
        <w:rPr/>
        <w:t>всех</w:t>
      </w:r>
      <w:r>
        <w:rPr>
          <w:spacing w:val="-1"/>
        </w:rPr>
        <w:t> </w:t>
      </w:r>
      <w:r>
        <w:rPr/>
        <w:t>зонах</w:t>
      </w:r>
      <w:r>
        <w:rPr>
          <w:spacing w:val="-1"/>
        </w:rPr>
        <w:t> </w:t>
      </w:r>
      <w:r>
        <w:rPr/>
        <w:t>дольки содержат</w:t>
      </w:r>
      <w:r>
        <w:rPr>
          <w:spacing w:val="-1"/>
        </w:rPr>
        <w:t> </w:t>
      </w:r>
      <w:r>
        <w:rPr/>
        <w:t>липидные вакуоли, что микроскопически соответствует мелкокапельной жировой дистрофии. В замороженных образцах при окраске суданом черным обнаруживаются липидные вакуоли, которые при оценке в поляризованном свете имеют вид красноватых кристаллов. Портальный и перипортальный фиброз часто прогрессирует в микронодулярный цирроз </w:t>
      </w:r>
      <w:r>
        <w:rPr>
          <w:spacing w:val="-2"/>
        </w:rPr>
        <w:t>печени.</w:t>
      </w:r>
    </w:p>
    <w:p>
      <w:pPr>
        <w:pStyle w:val="BodyText"/>
        <w:spacing w:line="242" w:lineRule="auto"/>
        <w:ind w:right="142" w:firstLine="538"/>
      </w:pPr>
      <w:r>
        <w:rPr/>
        <w:t>При ультраструктурном исследовании в лизосомах выявляют накопления субстратов, имеющих глобулярный и кристаллический вид.</w:t>
      </w:r>
    </w:p>
    <w:p>
      <w:pPr>
        <w:pStyle w:val="BodyText"/>
        <w:ind w:right="145" w:firstLine="538"/>
      </w:pPr>
      <w:r>
        <w:rPr/>
        <w:t>Для точной морфологической диагностики в настоящее время разработана иммуногистохическая панель антител. Обнаружение катепсина D и экспрессия мембранных лизосомальных</w:t>
      </w:r>
      <w:r>
        <w:rPr>
          <w:spacing w:val="-6"/>
        </w:rPr>
        <w:t> </w:t>
      </w:r>
      <w:r>
        <w:rPr/>
        <w:t>маркеров, таких</w:t>
      </w:r>
      <w:r>
        <w:rPr>
          <w:spacing w:val="-6"/>
        </w:rPr>
        <w:t> </w:t>
      </w:r>
      <w:r>
        <w:rPr/>
        <w:t>как</w:t>
      </w:r>
      <w:r>
        <w:rPr>
          <w:spacing w:val="-3"/>
        </w:rPr>
        <w:t> </w:t>
      </w:r>
      <w:r>
        <w:rPr/>
        <w:t>лизосомально-ассоциированные</w:t>
      </w:r>
      <w:r>
        <w:rPr>
          <w:spacing w:val="-2"/>
        </w:rPr>
        <w:t> </w:t>
      </w:r>
      <w:r>
        <w:rPr/>
        <w:t>мембранные</w:t>
      </w:r>
      <w:r>
        <w:rPr>
          <w:spacing w:val="-2"/>
        </w:rPr>
        <w:t> </w:t>
      </w:r>
      <w:r>
        <w:rPr/>
        <w:t>белки 1</w:t>
      </w:r>
      <w:r>
        <w:rPr>
          <w:spacing w:val="-1"/>
        </w:rPr>
        <w:t> </w:t>
      </w:r>
      <w:r>
        <w:rPr/>
        <w:t>и 2 (LAMP 1 и 2) и лизосомальный интегральный мембранный белок 2 (LIMP 2) вокруг липидных вакуолей, подтверждает внутрилизосомальное накопление липидов. Кроме того, к гистологическим особенностям относят также накопление цероида в макрофагах [</w:t>
      </w:r>
      <w:hyperlink w:history="true" w:anchor="_bookmark3">
        <w:r>
          <w:rPr>
            <w:color w:val="0000FF"/>
          </w:rPr>
          <w:t>3</w:t>
        </w:r>
      </w:hyperlink>
      <w:r>
        <w:rPr/>
        <w:t>, </w:t>
      </w:r>
      <w:hyperlink w:history="true" w:anchor="_bookmark9">
        <w:r>
          <w:rPr>
            <w:color w:val="0000FF"/>
          </w:rPr>
          <w:t>10</w:t>
        </w:r>
      </w:hyperlink>
      <w:r>
        <w:rPr/>
        <w:t>].</w:t>
      </w:r>
    </w:p>
    <w:p>
      <w:pPr>
        <w:pStyle w:val="BodyText"/>
        <w:ind w:right="142" w:firstLine="538"/>
      </w:pPr>
      <w:r>
        <w:rPr/>
        <w:t>Описаны случаи БВ с манифестацией во внутриутробном периоде в виде некроза надпочечников, полигидроамниона, накопления эфиров холестерина</w:t>
      </w:r>
      <w:r>
        <w:rPr>
          <w:spacing w:val="-2"/>
        </w:rPr>
        <w:t> </w:t>
      </w:r>
      <w:r>
        <w:rPr/>
        <w:t>(ЭХ) в</w:t>
      </w:r>
      <w:r>
        <w:rPr>
          <w:spacing w:val="-4"/>
        </w:rPr>
        <w:t> </w:t>
      </w:r>
      <w:r>
        <w:rPr/>
        <w:t>органах</w:t>
      </w:r>
      <w:r>
        <w:rPr>
          <w:spacing w:val="-1"/>
        </w:rPr>
        <w:t> </w:t>
      </w:r>
      <w:r>
        <w:rPr/>
        <w:t>и тканях и микровезикулярного стеатоза печени </w:t>
      </w:r>
      <w:hyperlink w:history="true" w:anchor="_bookmark11">
        <w:r>
          <w:rPr>
            <w:color w:val="0000FF"/>
          </w:rPr>
          <w:t>[12]</w:t>
        </w:r>
      </w:hyperlink>
      <w:r>
        <w:rPr/>
        <w:t>. БВ может быть причиной внутриутробной гибели плода. При аутопсии на 17-й неделе беременности продемонстрировано накопление липидов в гепатоцитах и синцитиотрофобластах, а также некроз в надпочечниковой железе плода </w:t>
      </w:r>
      <w:hyperlink w:history="true" w:anchor="_bookmark8">
        <w:r>
          <w:rPr>
            <w:color w:val="0000FF"/>
          </w:rPr>
          <w:t>[9]</w:t>
        </w:r>
      </w:hyperlink>
      <w:r>
        <w:rPr/>
        <w:t>.</w:t>
      </w:r>
    </w:p>
    <w:p>
      <w:pPr>
        <w:pStyle w:val="BodyText"/>
        <w:ind w:left="677"/>
      </w:pPr>
      <w:r>
        <w:rPr/>
        <w:t>У</w:t>
      </w:r>
      <w:r>
        <w:rPr>
          <w:spacing w:val="61"/>
          <w:w w:val="150"/>
        </w:rPr>
        <w:t> </w:t>
      </w:r>
      <w:r>
        <w:rPr/>
        <w:t>пациентов</w:t>
      </w:r>
      <w:r>
        <w:rPr>
          <w:spacing w:val="62"/>
          <w:w w:val="150"/>
        </w:rPr>
        <w:t> </w:t>
      </w:r>
      <w:r>
        <w:rPr/>
        <w:t>с</w:t>
      </w:r>
      <w:r>
        <w:rPr>
          <w:spacing w:val="59"/>
          <w:w w:val="150"/>
        </w:rPr>
        <w:t> </w:t>
      </w:r>
      <w:r>
        <w:rPr/>
        <w:t>БВ</w:t>
      </w:r>
      <w:r>
        <w:rPr>
          <w:spacing w:val="59"/>
          <w:w w:val="150"/>
        </w:rPr>
        <w:t> </w:t>
      </w:r>
      <w:r>
        <w:rPr/>
        <w:t>определяется</w:t>
      </w:r>
      <w:r>
        <w:rPr>
          <w:spacing w:val="64"/>
          <w:w w:val="150"/>
        </w:rPr>
        <w:t> </w:t>
      </w:r>
      <w:r>
        <w:rPr/>
        <w:t>гепатомегалия</w:t>
      </w:r>
      <w:r>
        <w:rPr>
          <w:spacing w:val="65"/>
          <w:w w:val="150"/>
        </w:rPr>
        <w:t> </w:t>
      </w:r>
      <w:r>
        <w:rPr/>
        <w:t>или</w:t>
      </w:r>
      <w:r>
        <w:rPr>
          <w:spacing w:val="56"/>
          <w:w w:val="150"/>
        </w:rPr>
        <w:t> </w:t>
      </w:r>
      <w:r>
        <w:rPr/>
        <w:t>гепатоспленомегалия,</w:t>
      </w:r>
      <w:r>
        <w:rPr>
          <w:spacing w:val="63"/>
          <w:w w:val="150"/>
        </w:rPr>
        <w:t> </w:t>
      </w:r>
      <w:r>
        <w:rPr>
          <w:spacing w:val="-2"/>
        </w:rPr>
        <w:t>быстро</w:t>
      </w:r>
    </w:p>
    <w:p>
      <w:pPr>
        <w:spacing w:after="0"/>
        <w:sectPr>
          <w:pgSz w:w="11910" w:h="16840"/>
          <w:pgMar w:header="572" w:footer="1177" w:top="1320" w:bottom="1360" w:left="1560" w:right="420"/>
        </w:sectPr>
      </w:pPr>
    </w:p>
    <w:p>
      <w:pPr>
        <w:pStyle w:val="BodyText"/>
        <w:spacing w:before="80"/>
        <w:ind w:right="138"/>
      </w:pPr>
      <w:r>
        <w:rPr/>
        <w:t>развивается печеночная недостаточность с исходом в цирроз печени. В биохимическом анализе крови – выраженное повышение уровня трансаминаз, значительное увеличение билирубина, синдром холестаза. Часто встречающимся лабораторным признаком при БВ является повышение уровней лактатдегидрогеназы и сывороточного ферритина наряду со снижением гемоглобина, а также признаки гипокоагуляции.</w:t>
      </w:r>
    </w:p>
    <w:p>
      <w:pPr>
        <w:pStyle w:val="BodyText"/>
        <w:spacing w:before="6"/>
        <w:ind w:left="0"/>
        <w:jc w:val="left"/>
      </w:pPr>
    </w:p>
    <w:p>
      <w:pPr>
        <w:pStyle w:val="Heading1"/>
        <w:numPr>
          <w:ilvl w:val="2"/>
          <w:numId w:val="2"/>
        </w:numPr>
        <w:tabs>
          <w:tab w:pos="1614" w:val="left" w:leader="none"/>
          <w:tab w:pos="3608" w:val="left" w:leader="none"/>
          <w:tab w:pos="4966" w:val="left" w:leader="none"/>
          <w:tab w:pos="5743" w:val="left" w:leader="none"/>
          <w:tab w:pos="7033" w:val="left" w:leader="none"/>
          <w:tab w:pos="8845" w:val="left" w:leader="none"/>
        </w:tabs>
        <w:spacing w:line="240" w:lineRule="auto" w:before="0" w:after="0"/>
        <w:ind w:left="139" w:right="153" w:firstLine="542"/>
        <w:jc w:val="left"/>
      </w:pPr>
      <w:bookmarkStart w:name="1.6.2. Клиническая картина при болезни н" w:id="12"/>
      <w:bookmarkEnd w:id="12"/>
      <w:r>
        <w:rPr>
          <w:b w:val="0"/>
        </w:rPr>
      </w:r>
      <w:r>
        <w:rPr>
          <w:spacing w:val="-2"/>
        </w:rPr>
        <w:t>Клиническая</w:t>
      </w:r>
      <w:r>
        <w:rPr/>
        <w:tab/>
      </w:r>
      <w:r>
        <w:rPr>
          <w:spacing w:val="-2"/>
        </w:rPr>
        <w:t>картина</w:t>
      </w:r>
      <w:r>
        <w:rPr/>
        <w:tab/>
      </w:r>
      <w:r>
        <w:rPr>
          <w:spacing w:val="-4"/>
        </w:rPr>
        <w:t>при</w:t>
      </w:r>
      <w:r>
        <w:rPr/>
        <w:tab/>
      </w:r>
      <w:r>
        <w:rPr>
          <w:spacing w:val="-2"/>
        </w:rPr>
        <w:t>болезни</w:t>
      </w:r>
      <w:r>
        <w:rPr/>
        <w:tab/>
      </w:r>
      <w:r>
        <w:rPr>
          <w:spacing w:val="-2"/>
        </w:rPr>
        <w:t>накопления</w:t>
      </w:r>
      <w:r>
        <w:rPr/>
        <w:tab/>
      </w:r>
      <w:r>
        <w:rPr>
          <w:spacing w:val="-2"/>
        </w:rPr>
        <w:t>эфиров </w:t>
      </w:r>
      <w:r>
        <w:rPr/>
        <w:t>холестерина (БНЭХ)</w:t>
      </w:r>
    </w:p>
    <w:p>
      <w:pPr>
        <w:pStyle w:val="BodyText"/>
        <w:spacing w:before="239"/>
        <w:ind w:right="139" w:firstLine="542"/>
      </w:pPr>
      <w:r>
        <w:rPr/>
        <w:t>Заболевание дебютирует в возрасте старше 6 месяцев. БНЭХ характеризуется более медленным прогрессированием и, как правило, отсутствием неврологической симптоматики. ДЛКЛ является мультисистемным заболеванием, симптомы могут быть обусловлены поражением различных органов. Основными органами-мишенями являются печень, селезенка, ЖКТ, почки, сосуды. Медиана появления первых клинических симптомов заболевания составляет 5 лет, но возможна манифестация и во взрослом возрасте </w:t>
      </w:r>
      <w:hyperlink w:history="true" w:anchor="_bookmark12">
        <w:r>
          <w:rPr>
            <w:color w:val="0000FF"/>
          </w:rPr>
          <w:t>[13]</w:t>
        </w:r>
      </w:hyperlink>
      <w:r>
        <w:rPr/>
        <w:t>.</w:t>
      </w:r>
    </w:p>
    <w:p>
      <w:pPr>
        <w:pStyle w:val="BodyText"/>
        <w:ind w:right="147" w:firstLine="538"/>
      </w:pPr>
      <w:r>
        <w:rPr/>
        <w:t>Заболевание проявляется гепатомегалией (больше за счет правой доли печени), связанной с накоплением ЭХ в гепатоцитах и клетках Купфера, которая определяется у 99% пациентов </w:t>
      </w:r>
      <w:hyperlink w:history="true" w:anchor="_bookmark2">
        <w:r>
          <w:rPr>
            <w:color w:val="0000FF"/>
          </w:rPr>
          <w:t>[2]</w:t>
        </w:r>
        <w:r>
          <w:rPr/>
          <w:t>,</w:t>
        </w:r>
      </w:hyperlink>
      <w:r>
        <w:rPr/>
        <w:t> синдромом</w:t>
      </w:r>
      <w:r>
        <w:rPr>
          <w:spacing w:val="-2"/>
        </w:rPr>
        <w:t> </w:t>
      </w:r>
      <w:r>
        <w:rPr/>
        <w:t>цитолиза, дислипидемией. По мере прогрессирования заболевания формируется фиброз и цирроз печени с развитием печеночной недостаточности.</w:t>
      </w:r>
    </w:p>
    <w:p>
      <w:pPr>
        <w:pStyle w:val="BodyText"/>
        <w:ind w:right="143" w:firstLine="538"/>
      </w:pPr>
      <w:r>
        <w:rPr/>
        <w:t>Увеличение селезенки</w:t>
      </w:r>
      <w:r>
        <w:rPr>
          <w:spacing w:val="-1"/>
        </w:rPr>
        <w:t> </w:t>
      </w:r>
      <w:r>
        <w:rPr/>
        <w:t>обусловлено отложением ЭХ в макрофагах</w:t>
      </w:r>
      <w:r>
        <w:rPr>
          <w:spacing w:val="-2"/>
        </w:rPr>
        <w:t> </w:t>
      </w:r>
      <w:r>
        <w:rPr/>
        <w:t>и прогрессированием цирроза печени с формированием портальной</w:t>
      </w:r>
      <w:r>
        <w:rPr>
          <w:spacing w:val="-1"/>
        </w:rPr>
        <w:t> </w:t>
      </w:r>
      <w:r>
        <w:rPr/>
        <w:t>гипертензии, что сопровождается нарастанием признаков гиперспленизма (анемия, лейкопения, тромбоцитопения). Спленомегалия определяется у 74% пациентов [</w:t>
      </w:r>
      <w:hyperlink w:history="true" w:anchor="_bookmark2">
        <w:r>
          <w:rPr>
            <w:color w:val="0000FF"/>
          </w:rPr>
          <w:t>2</w:t>
        </w:r>
      </w:hyperlink>
      <w:r>
        <w:rPr/>
        <w:t>, </w:t>
      </w:r>
      <w:hyperlink w:history="true" w:anchor="_bookmark12">
        <w:r>
          <w:rPr>
            <w:color w:val="0000FF"/>
          </w:rPr>
          <w:t>13</w:t>
        </w:r>
      </w:hyperlink>
      <w:r>
        <w:rPr/>
        <w:t>].</w:t>
      </w:r>
    </w:p>
    <w:p>
      <w:pPr>
        <w:pStyle w:val="BodyText"/>
        <w:ind w:right="141" w:firstLine="538"/>
      </w:pPr>
      <w:r>
        <w:rPr/>
        <w:t>Дислипидемия проявляется повышением в сыворотке крови уровня общего холестерина, холестерина липопротеинов низкой плотности и триглицеридов при нормальном или низком уровне холестерина липопротеинов высокой плотности (гиперлипопротеинемия IIb типа), что может приводить к ускоренному развитию атеросклероза [</w:t>
      </w:r>
      <w:hyperlink w:history="true" w:anchor="_bookmark1">
        <w:r>
          <w:rPr>
            <w:color w:val="0000FF"/>
          </w:rPr>
          <w:t>1</w:t>
        </w:r>
      </w:hyperlink>
      <w:r>
        <w:rPr/>
        <w:t>-</w:t>
      </w:r>
      <w:hyperlink w:history="true" w:anchor="_bookmark4">
        <w:r>
          <w:rPr>
            <w:color w:val="0000FF"/>
          </w:rPr>
          <w:t>4</w:t>
        </w:r>
      </w:hyperlink>
      <w:r>
        <w:rPr/>
        <w:t>]. Гиперхолестеринемия определяется у 81% пациентов с БНЭХ, увеличение концентрации холестерина ЛПНП – у всех пациентов. Даже при терапии гиполипидемическими средствами гиперхолестеринемия сохраняется у четверти, а высокий уровень ЛПНП – у</w:t>
      </w:r>
      <w:r>
        <w:rPr>
          <w:spacing w:val="-5"/>
        </w:rPr>
        <w:t> </w:t>
      </w:r>
      <w:r>
        <w:rPr/>
        <w:t>половины больных. При анализе аполипопротеинограммы у</w:t>
      </w:r>
      <w:r>
        <w:rPr>
          <w:spacing w:val="-5"/>
        </w:rPr>
        <w:t> </w:t>
      </w:r>
      <w:r>
        <w:rPr/>
        <w:t>большинства пациентов выявляют повышение уровня основного аполипопротеина ЛПНП – апоB </w:t>
      </w:r>
      <w:hyperlink w:history="true" w:anchor="_bookmark2">
        <w:r>
          <w:rPr>
            <w:color w:val="0000FF"/>
          </w:rPr>
          <w:t>[2]</w:t>
        </w:r>
      </w:hyperlink>
      <w:r>
        <w:rPr/>
        <w:t>.</w:t>
      </w:r>
    </w:p>
    <w:p>
      <w:pPr>
        <w:pStyle w:val="BodyText"/>
        <w:ind w:right="140" w:firstLine="538"/>
      </w:pPr>
      <w:r>
        <w:rPr/>
        <w:t>Синдром цитолиза – увеличение уровня АСТ и АЛТ – наблюдается практически у</w:t>
      </w:r>
      <w:r>
        <w:rPr>
          <w:spacing w:val="-1"/>
        </w:rPr>
        <w:t> </w:t>
      </w:r>
      <w:r>
        <w:rPr/>
        <w:t>всех пациентов и часто служит одним из первых проявлений заболевания. Активность этих ферментов в крови варьирует в широком диапазоне (от 2-5 норм до превышения данных показателей в 10-20 раз) </w:t>
      </w:r>
      <w:hyperlink w:history="true" w:anchor="_bookmark2">
        <w:r>
          <w:rPr>
            <w:color w:val="0000FF"/>
          </w:rPr>
          <w:t>[2]</w:t>
        </w:r>
      </w:hyperlink>
      <w:r>
        <w:rPr/>
        <w:t>.</w:t>
      </w:r>
    </w:p>
    <w:p>
      <w:pPr>
        <w:pStyle w:val="BodyText"/>
        <w:ind w:right="140" w:firstLine="538"/>
      </w:pPr>
      <w:r>
        <w:rPr/>
        <w:t>Из-за вовлечения в патологический процесс кишечника у части больных может наблюдаться синдром мальабсорбции (недостаточность питания, диарея, стеаторея, нарушение всасывания жирорастворимых нутриентов).</w:t>
      </w:r>
    </w:p>
    <w:p>
      <w:pPr>
        <w:pStyle w:val="BodyText"/>
        <w:ind w:right="142" w:firstLine="538"/>
      </w:pPr>
      <w:r>
        <w:rPr/>
        <w:t>При прогрессировании болезни развивается фиброз и цирроз печени, проявляющийся гепатоспленомегалией, желтухой, асцитом, варикозным расширением вен пищевода [</w:t>
      </w:r>
      <w:hyperlink w:history="true" w:anchor="_bookmark2">
        <w:r>
          <w:rPr>
            <w:color w:val="0000FF"/>
          </w:rPr>
          <w:t>2</w:t>
        </w:r>
      </w:hyperlink>
      <w:r>
        <w:rPr/>
        <w:t>, </w:t>
      </w:r>
      <w:hyperlink w:history="true" w:anchor="_bookmark9">
        <w:r>
          <w:rPr>
            <w:color w:val="0000FF"/>
          </w:rPr>
          <w:t>10</w:t>
        </w:r>
      </w:hyperlink>
      <w:r>
        <w:rPr/>
        <w:t>]. Имеются сведения о 2 случаях развития гепатоцеллюлярной карциномы на фоне БНЭХ </w:t>
      </w:r>
      <w:hyperlink w:history="true" w:anchor="_bookmark13">
        <w:r>
          <w:rPr>
            <w:color w:val="0000FF"/>
          </w:rPr>
          <w:t>[14]</w:t>
        </w:r>
      </w:hyperlink>
      <w:r>
        <w:rPr/>
        <w:t>.</w:t>
      </w:r>
    </w:p>
    <w:p>
      <w:pPr>
        <w:pStyle w:val="BodyText"/>
        <w:ind w:right="142" w:firstLine="538"/>
      </w:pPr>
      <w:r>
        <w:rPr/>
        <w:t>Кальцификация надпочечников, описана лишь у 5% пациентов с БНЭХ [</w:t>
      </w:r>
      <w:hyperlink w:history="true" w:anchor="_bookmark2">
        <w:r>
          <w:rPr>
            <w:color w:val="0000FF"/>
          </w:rPr>
          <w:t>2</w:t>
        </w:r>
      </w:hyperlink>
      <w:r>
        <w:rPr/>
        <w:t>, </w:t>
      </w:r>
      <w:hyperlink w:history="true" w:anchor="_bookmark12">
        <w:r>
          <w:rPr>
            <w:color w:val="0000FF"/>
          </w:rPr>
          <w:t>13</w:t>
        </w:r>
      </w:hyperlink>
      <w:r>
        <w:rPr/>
        <w:t>]. Вследствие раннего развития атеросклероза часто наблюдаются ИБС, аневризма аорты и ОНМК в молодом возрасте.</w:t>
      </w:r>
    </w:p>
    <w:p>
      <w:pPr>
        <w:pStyle w:val="BodyText"/>
        <w:ind w:right="145" w:firstLine="538"/>
      </w:pPr>
      <w:r>
        <w:rPr/>
        <w:t>При наличии у пациента признаков стеатоза печени, отрицательном алкогольном анамнезе и отсутствии стигм хронической алкогольной интоксикации (увеличение околоушных желез, контрактура Дюпюитрена и др.) необходимо проводить дифференциальную диагностику НАЖБП и ДЛКЛ (БНЭХ). Сочетание синдрома цитолиза, стеатоза</w:t>
      </w:r>
      <w:r>
        <w:rPr>
          <w:spacing w:val="80"/>
          <w:w w:val="150"/>
        </w:rPr>
        <w:t> </w:t>
      </w:r>
      <w:r>
        <w:rPr/>
        <w:t>печени,</w:t>
      </w:r>
      <w:r>
        <w:rPr>
          <w:spacing w:val="80"/>
          <w:w w:val="150"/>
        </w:rPr>
        <w:t> </w:t>
      </w:r>
      <w:r>
        <w:rPr/>
        <w:t>дислипидемии</w:t>
      </w:r>
      <w:r>
        <w:rPr>
          <w:spacing w:val="80"/>
          <w:w w:val="150"/>
        </w:rPr>
        <w:t> </w:t>
      </w:r>
      <w:r>
        <w:rPr/>
        <w:t>типа</w:t>
      </w:r>
      <w:r>
        <w:rPr>
          <w:spacing w:val="80"/>
          <w:w w:val="150"/>
        </w:rPr>
        <w:t> </w:t>
      </w:r>
      <w:r>
        <w:rPr/>
        <w:t>IIb,</w:t>
      </w:r>
      <w:r>
        <w:rPr>
          <w:spacing w:val="80"/>
          <w:w w:val="150"/>
        </w:rPr>
        <w:t> </w:t>
      </w:r>
      <w:r>
        <w:rPr/>
        <w:t>спленомегалии</w:t>
      </w:r>
      <w:r>
        <w:rPr>
          <w:spacing w:val="80"/>
          <w:w w:val="150"/>
        </w:rPr>
        <w:t> </w:t>
      </w:r>
      <w:r>
        <w:rPr/>
        <w:t>у</w:t>
      </w:r>
      <w:r>
        <w:rPr>
          <w:spacing w:val="79"/>
          <w:w w:val="150"/>
        </w:rPr>
        <w:t> </w:t>
      </w:r>
      <w:r>
        <w:rPr/>
        <w:t>детей</w:t>
      </w:r>
      <w:r>
        <w:rPr>
          <w:spacing w:val="80"/>
          <w:w w:val="150"/>
        </w:rPr>
        <w:t> </w:t>
      </w:r>
      <w:r>
        <w:rPr/>
        <w:t>и</w:t>
      </w:r>
      <w:r>
        <w:rPr>
          <w:spacing w:val="80"/>
          <w:w w:val="150"/>
        </w:rPr>
        <w:t> </w:t>
      </w:r>
      <w:r>
        <w:rPr/>
        <w:t>молодых</w:t>
      </w:r>
      <w:r>
        <w:rPr>
          <w:spacing w:val="79"/>
          <w:w w:val="150"/>
        </w:rPr>
        <w:t> </w:t>
      </w:r>
      <w:r>
        <w:rPr/>
        <w:t>лиц</w:t>
      </w:r>
      <w:r>
        <w:rPr>
          <w:spacing w:val="80"/>
          <w:w w:val="150"/>
        </w:rPr>
        <w:t> </w:t>
      </w:r>
      <w:r>
        <w:rPr/>
        <w:t>с</w:t>
      </w:r>
    </w:p>
    <w:p>
      <w:pPr>
        <w:spacing w:after="0"/>
        <w:sectPr>
          <w:pgSz w:w="11910" w:h="16840"/>
          <w:pgMar w:header="572" w:footer="1177" w:top="1320" w:bottom="1360" w:left="1560" w:right="420"/>
        </w:sectPr>
      </w:pPr>
    </w:p>
    <w:p>
      <w:pPr>
        <w:pStyle w:val="BodyText"/>
        <w:spacing w:before="80"/>
      </w:pPr>
      <w:r>
        <w:rPr/>
        <w:t>нормальной</w:t>
      </w:r>
      <w:r>
        <w:rPr>
          <w:spacing w:val="-7"/>
        </w:rPr>
        <w:t> </w:t>
      </w:r>
      <w:r>
        <w:rPr/>
        <w:t>массой тела</w:t>
      </w:r>
      <w:r>
        <w:rPr>
          <w:spacing w:val="-4"/>
        </w:rPr>
        <w:t> </w:t>
      </w:r>
      <w:r>
        <w:rPr/>
        <w:t>может</w:t>
      </w:r>
      <w:r>
        <w:rPr>
          <w:spacing w:val="-5"/>
        </w:rPr>
        <w:t> </w:t>
      </w:r>
      <w:r>
        <w:rPr/>
        <w:t>указывать на</w:t>
      </w:r>
      <w:r>
        <w:rPr>
          <w:spacing w:val="-7"/>
        </w:rPr>
        <w:t> </w:t>
      </w:r>
      <w:r>
        <w:rPr/>
        <w:t>наличие</w:t>
      </w:r>
      <w:r>
        <w:rPr>
          <w:spacing w:val="-1"/>
        </w:rPr>
        <w:t> </w:t>
      </w:r>
      <w:r>
        <w:rPr>
          <w:spacing w:val="-2"/>
        </w:rPr>
        <w:t>БНЭХ.</w:t>
      </w:r>
    </w:p>
    <w:p>
      <w:pPr>
        <w:pStyle w:val="BodyText"/>
        <w:spacing w:before="2"/>
        <w:ind w:right="141" w:firstLine="538"/>
      </w:pPr>
      <w:r>
        <w:rPr/>
        <w:t>Таким образом, БНЭХ следует заподозрить у молодых пациентов с гепатомегалией, увеличением АЛТ, АСТ в сыворотке крови, у которых также может иметь место повышение уровня общего холестерина и холестерина липопротеидов низкой плотности вместе с небольшим или умеренным снижением уровня холестерина липопротеидов высокой плотности и гипертриглицеридемией. </w:t>
      </w:r>
      <w:hyperlink w:history="true" w:anchor="_bookmark46">
        <w:r>
          <w:rPr>
            <w:color w:val="0000FF"/>
          </w:rPr>
          <w:t>(Приложение А3)</w:t>
        </w:r>
      </w:hyperlink>
      <w:r>
        <w:rPr>
          <w:color w:val="0000FF"/>
        </w:rPr>
        <w:t> </w:t>
      </w:r>
      <w:r>
        <w:rPr/>
        <w:t>[</w:t>
      </w:r>
      <w:hyperlink w:history="true" w:anchor="_bookmark2">
        <w:r>
          <w:rPr>
            <w:color w:val="0000FF"/>
          </w:rPr>
          <w:t>2</w:t>
        </w:r>
      </w:hyperlink>
      <w:r>
        <w:rPr/>
        <w:t>, </w:t>
      </w:r>
      <w:hyperlink w:history="true" w:anchor="_bookmark12">
        <w:r>
          <w:rPr>
            <w:color w:val="0000FF"/>
          </w:rPr>
          <w:t>13</w:t>
        </w:r>
      </w:hyperlink>
      <w:r>
        <w:rPr/>
        <w:t>].</w:t>
      </w:r>
    </w:p>
    <w:p>
      <w:pPr>
        <w:pStyle w:val="BodyText"/>
        <w:spacing w:before="6"/>
        <w:ind w:left="0"/>
        <w:jc w:val="left"/>
      </w:pPr>
    </w:p>
    <w:p>
      <w:pPr>
        <w:pStyle w:val="Heading1"/>
        <w:numPr>
          <w:ilvl w:val="2"/>
          <w:numId w:val="2"/>
        </w:numPr>
        <w:tabs>
          <w:tab w:pos="1386" w:val="left" w:leader="none"/>
        </w:tabs>
        <w:spacing w:line="240" w:lineRule="auto" w:before="1" w:after="0"/>
        <w:ind w:left="1386" w:right="0" w:hanging="704"/>
        <w:jc w:val="left"/>
      </w:pPr>
      <w:bookmarkStart w:name="1.6.3. Заболевания со сходной с ДЛКЛ кли" w:id="13"/>
      <w:bookmarkEnd w:id="13"/>
      <w:r>
        <w:rPr>
          <w:b w:val="0"/>
        </w:rPr>
      </w:r>
      <w:r>
        <w:rPr/>
        <w:t>Заболевания</w:t>
      </w:r>
      <w:r>
        <w:rPr>
          <w:spacing w:val="-11"/>
        </w:rPr>
        <w:t> </w:t>
      </w:r>
      <w:r>
        <w:rPr/>
        <w:t>со</w:t>
      </w:r>
      <w:r>
        <w:rPr>
          <w:spacing w:val="-12"/>
        </w:rPr>
        <w:t> </w:t>
      </w:r>
      <w:r>
        <w:rPr/>
        <w:t>сходной</w:t>
      </w:r>
      <w:r>
        <w:rPr>
          <w:spacing w:val="-11"/>
        </w:rPr>
        <w:t> </w:t>
      </w:r>
      <w:r>
        <w:rPr/>
        <w:t>с</w:t>
      </w:r>
      <w:r>
        <w:rPr>
          <w:spacing w:val="-7"/>
        </w:rPr>
        <w:t> </w:t>
      </w:r>
      <w:r>
        <w:rPr/>
        <w:t>ДЛКЛ</w:t>
      </w:r>
      <w:r>
        <w:rPr>
          <w:spacing w:val="-10"/>
        </w:rPr>
        <w:t> </w:t>
      </w:r>
      <w:r>
        <w:rPr/>
        <w:t>клинической</w:t>
      </w:r>
      <w:r>
        <w:rPr>
          <w:spacing w:val="-10"/>
        </w:rPr>
        <w:t> </w:t>
      </w:r>
      <w:r>
        <w:rPr>
          <w:spacing w:val="-2"/>
        </w:rPr>
        <w:t>картиной</w:t>
      </w:r>
    </w:p>
    <w:p>
      <w:pPr>
        <w:pStyle w:val="BodyText"/>
        <w:spacing w:before="233"/>
        <w:ind w:right="142" w:firstLine="542"/>
      </w:pPr>
      <w:r>
        <w:rPr/>
        <w:t>Дифференциальная диагностика ДЛКЛ проводится с другими лизосомными болезнями накопления – болезнью Ниманна-Пика тип A, B, C, болезнью Гоше, ганглиозидозами, а</w:t>
      </w:r>
      <w:r>
        <w:rPr>
          <w:spacing w:val="40"/>
        </w:rPr>
        <w:t> </w:t>
      </w:r>
      <w:r>
        <w:rPr/>
        <w:t>также нарушениями обмена гликогена, жирных кислот, желчных кислот, болезнью</w:t>
      </w:r>
      <w:r>
        <w:rPr>
          <w:spacing w:val="40"/>
        </w:rPr>
        <w:t> </w:t>
      </w:r>
      <w:r>
        <w:rPr/>
        <w:t>Вильсона-Коновалова, семейной гиперхолестеринемией, неалкогольной жировой болезнью печени [</w:t>
      </w:r>
      <w:hyperlink w:history="true" w:anchor="_bookmark1">
        <w:r>
          <w:rPr>
            <w:color w:val="0000FF"/>
          </w:rPr>
          <w:t>1</w:t>
        </w:r>
      </w:hyperlink>
      <w:r>
        <w:rPr/>
        <w:t>, </w:t>
      </w:r>
      <w:hyperlink w:history="true" w:anchor="_bookmark12">
        <w:r>
          <w:rPr>
            <w:color w:val="0000FF"/>
          </w:rPr>
          <w:t>13</w:t>
        </w:r>
      </w:hyperlink>
      <w:r>
        <w:rPr/>
        <w:t>]. Пациенты с ДЛКЛ могут длительно наблюдаться с такими диагнозами, как криптогенный цирроз печени, гепатит неясной этиологии. [</w:t>
      </w:r>
      <w:hyperlink w:history="true" w:anchor="_bookmark1">
        <w:r>
          <w:rPr>
            <w:color w:val="0000FF"/>
          </w:rPr>
          <w:t>1</w:t>
        </w:r>
      </w:hyperlink>
      <w:r>
        <w:rPr/>
        <w:t>, </w:t>
      </w:r>
      <w:hyperlink w:history="true" w:anchor="_bookmark2">
        <w:r>
          <w:rPr>
            <w:color w:val="0000FF"/>
          </w:rPr>
          <w:t>2</w:t>
        </w:r>
      </w:hyperlink>
      <w:r>
        <w:rPr/>
        <w:t>, </w:t>
      </w:r>
      <w:hyperlink w:history="true" w:anchor="_bookmark12">
        <w:r>
          <w:rPr>
            <w:color w:val="0000FF"/>
          </w:rPr>
          <w:t>13</w:t>
        </w:r>
      </w:hyperlink>
      <w:r>
        <w:rPr/>
        <w:t>]</w:t>
      </w:r>
    </w:p>
    <w:p>
      <w:pPr>
        <w:pStyle w:val="BodyText"/>
        <w:spacing w:before="5"/>
        <w:ind w:left="0"/>
        <w:jc w:val="left"/>
      </w:pPr>
    </w:p>
    <w:p>
      <w:pPr>
        <w:pStyle w:val="Heading1"/>
        <w:numPr>
          <w:ilvl w:val="0"/>
          <w:numId w:val="2"/>
        </w:numPr>
        <w:tabs>
          <w:tab w:pos="1001" w:val="left" w:leader="none"/>
        </w:tabs>
        <w:spacing w:line="242" w:lineRule="auto" w:before="0" w:after="0"/>
        <w:ind w:left="139" w:right="143" w:firstLine="542"/>
        <w:jc w:val="both"/>
      </w:pPr>
      <w:bookmarkStart w:name="2. Диагностика заболевания или состояния" w:id="14"/>
      <w:bookmarkEnd w:id="14"/>
      <w:r>
        <w:rPr>
          <w:b w:val="0"/>
        </w:rPr>
      </w:r>
      <w:r>
        <w:rPr/>
        <w:t>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pPr>
        <w:pStyle w:val="BodyText"/>
        <w:spacing w:before="262"/>
        <w:ind w:right="134" w:firstLine="542"/>
      </w:pPr>
      <w:r>
        <w:rPr/>
        <w:t>Обращаем внимание, что, согласно требованиям к разработке клинических рекомендаций, к каждому</w:t>
      </w:r>
      <w:r>
        <w:rPr>
          <w:spacing w:val="-1"/>
        </w:rPr>
        <w:t> </w:t>
      </w:r>
      <w:r>
        <w:rPr/>
        <w:t>тезису-рекомендации необходимо указывать силу</w:t>
      </w:r>
      <w:r>
        <w:rPr>
          <w:spacing w:val="-1"/>
        </w:rPr>
        <w:t> </w:t>
      </w:r>
      <w:r>
        <w:rPr/>
        <w:t>рекомендаций и доказательную базу в соответствии со шкалами оценки уровня достоверности доказательств (УДД) и уровня убедительности рекомендаций</w:t>
      </w:r>
      <w:r>
        <w:rPr>
          <w:spacing w:val="-4"/>
        </w:rPr>
        <w:t> </w:t>
      </w:r>
      <w:r>
        <w:rPr/>
        <w:t>(УУР). Для</w:t>
      </w:r>
      <w:r>
        <w:rPr>
          <w:spacing w:val="-2"/>
        </w:rPr>
        <w:t> </w:t>
      </w:r>
      <w:r>
        <w:rPr/>
        <w:t>многих</w:t>
      </w:r>
      <w:r>
        <w:rPr>
          <w:spacing w:val="-1"/>
        </w:rPr>
        <w:t> </w:t>
      </w:r>
      <w:r>
        <w:rPr/>
        <w:t>тезисов УУР и УДД будет низким по причине отсутствия посвященных им клинических исследований высокого дизайна. Невзирая на это, они являются необходимыми элементами обследования пациента для установления диагноза и выбора тактики лечения.</w:t>
      </w:r>
    </w:p>
    <w:p>
      <w:pPr>
        <w:pStyle w:val="BodyText"/>
        <w:spacing w:before="6"/>
        <w:ind w:left="0"/>
        <w:jc w:val="left"/>
      </w:pPr>
    </w:p>
    <w:p>
      <w:pPr>
        <w:pStyle w:val="Heading1"/>
        <w:spacing w:before="1"/>
        <w:ind w:left="682" w:firstLine="0"/>
      </w:pPr>
      <w:bookmarkStart w:name="Критерии установления диагноза и состоян" w:id="15"/>
      <w:bookmarkEnd w:id="15"/>
      <w:r>
        <w:rPr>
          <w:b w:val="0"/>
        </w:rPr>
      </w:r>
      <w:r>
        <w:rPr/>
        <w:t>Критерии</w:t>
      </w:r>
      <w:r>
        <w:rPr>
          <w:spacing w:val="-12"/>
        </w:rPr>
        <w:t> </w:t>
      </w:r>
      <w:r>
        <w:rPr/>
        <w:t>установления</w:t>
      </w:r>
      <w:r>
        <w:rPr>
          <w:spacing w:val="-11"/>
        </w:rPr>
        <w:t> </w:t>
      </w:r>
      <w:r>
        <w:rPr/>
        <w:t>диагноза</w:t>
      </w:r>
      <w:r>
        <w:rPr>
          <w:spacing w:val="-9"/>
        </w:rPr>
        <w:t> </w:t>
      </w:r>
      <w:r>
        <w:rPr/>
        <w:t>и</w:t>
      </w:r>
      <w:r>
        <w:rPr>
          <w:spacing w:val="-11"/>
        </w:rPr>
        <w:t> </w:t>
      </w:r>
      <w:r>
        <w:rPr>
          <w:spacing w:val="-2"/>
        </w:rPr>
        <w:t>состояния</w:t>
      </w:r>
    </w:p>
    <w:p>
      <w:pPr>
        <w:pStyle w:val="BodyText"/>
        <w:spacing w:before="233"/>
        <w:ind w:right="147" w:firstLine="542"/>
      </w:pPr>
      <w:r>
        <w:rPr/>
        <w:t>Определение активности ЛКЛ в сухих пятнах крови является "золотым стандартом" диагностики этого заболевания. Выявление сниженной активности ЛКЛ позволяет подтвердить диагноз.</w:t>
      </w:r>
    </w:p>
    <w:p>
      <w:pPr>
        <w:pStyle w:val="BodyText"/>
        <w:spacing w:before="3"/>
        <w:ind w:right="152" w:firstLine="538"/>
      </w:pPr>
      <w:r>
        <w:rPr/>
        <w:t>Диагноз ДЛКЛ устанавливается на основании совокупности анамнестических и клинических данных, результатов лабораторных, инструментальных, морфологических методов исследований.</w:t>
      </w:r>
    </w:p>
    <w:p>
      <w:pPr>
        <w:pStyle w:val="BodyText"/>
        <w:spacing w:before="6"/>
        <w:ind w:left="0"/>
        <w:jc w:val="left"/>
      </w:pPr>
    </w:p>
    <w:p>
      <w:pPr>
        <w:pStyle w:val="Heading1"/>
        <w:numPr>
          <w:ilvl w:val="1"/>
          <w:numId w:val="2"/>
        </w:numPr>
        <w:tabs>
          <w:tab w:pos="1175" w:val="left" w:leader="none"/>
        </w:tabs>
        <w:spacing w:line="240" w:lineRule="auto" w:before="0" w:after="0"/>
        <w:ind w:left="1175" w:right="0" w:hanging="493"/>
        <w:jc w:val="left"/>
      </w:pPr>
      <w:bookmarkStart w:name="2.1. Жалобы и анамнез" w:id="16"/>
      <w:bookmarkEnd w:id="16"/>
      <w:r>
        <w:rPr>
          <w:b w:val="0"/>
        </w:rPr>
      </w:r>
      <w:r>
        <w:rPr/>
        <w:t>Жалобы</w:t>
      </w:r>
      <w:r>
        <w:rPr>
          <w:spacing w:val="-5"/>
        </w:rPr>
        <w:t> </w:t>
      </w:r>
      <w:r>
        <w:rPr/>
        <w:t>и</w:t>
      </w:r>
      <w:r>
        <w:rPr>
          <w:spacing w:val="-10"/>
        </w:rPr>
        <w:t> </w:t>
      </w:r>
      <w:r>
        <w:rPr>
          <w:spacing w:val="-2"/>
        </w:rPr>
        <w:t>анамнез</w:t>
      </w:r>
    </w:p>
    <w:p>
      <w:pPr>
        <w:pStyle w:val="BodyText"/>
        <w:spacing w:before="234"/>
        <w:ind w:firstLine="542"/>
        <w:jc w:val="left"/>
      </w:pPr>
      <w:r>
        <w:rPr/>
        <w:t>При сборе анамнеза и жалоб необходимо обратить внимание на следующие жалобы и</w:t>
      </w:r>
      <w:r>
        <w:rPr>
          <w:spacing w:val="40"/>
        </w:rPr>
        <w:t> </w:t>
      </w:r>
      <w:r>
        <w:rPr/>
        <w:t>анамнестические события:</w:t>
      </w:r>
    </w:p>
    <w:p>
      <w:pPr>
        <w:pStyle w:val="ListParagraph"/>
        <w:numPr>
          <w:ilvl w:val="0"/>
          <w:numId w:val="4"/>
        </w:numPr>
        <w:tabs>
          <w:tab w:pos="887" w:val="left" w:leader="none"/>
        </w:tabs>
        <w:spacing w:line="237" w:lineRule="auto" w:before="3" w:after="0"/>
        <w:ind w:left="139" w:right="156" w:firstLine="538"/>
        <w:jc w:val="left"/>
        <w:rPr>
          <w:sz w:val="24"/>
        </w:rPr>
      </w:pPr>
      <w:r>
        <w:rPr>
          <w:sz w:val="24"/>
        </w:rPr>
        <w:t>отягощенный</w:t>
      </w:r>
      <w:r>
        <w:rPr>
          <w:spacing w:val="40"/>
          <w:sz w:val="24"/>
        </w:rPr>
        <w:t> </w:t>
      </w:r>
      <w:r>
        <w:rPr>
          <w:sz w:val="24"/>
        </w:rPr>
        <w:t>семейный</w:t>
      </w:r>
      <w:r>
        <w:rPr>
          <w:spacing w:val="40"/>
          <w:sz w:val="24"/>
        </w:rPr>
        <w:t> </w:t>
      </w:r>
      <w:r>
        <w:rPr>
          <w:sz w:val="24"/>
        </w:rPr>
        <w:t>анамнез</w:t>
      </w:r>
      <w:r>
        <w:rPr>
          <w:spacing w:val="40"/>
          <w:sz w:val="24"/>
        </w:rPr>
        <w:t> </w:t>
      </w:r>
      <w:r>
        <w:rPr>
          <w:sz w:val="24"/>
        </w:rPr>
        <w:t>(сходные</w:t>
      </w:r>
      <w:r>
        <w:rPr>
          <w:spacing w:val="40"/>
          <w:sz w:val="24"/>
        </w:rPr>
        <w:t> </w:t>
      </w:r>
      <w:r>
        <w:rPr>
          <w:sz w:val="24"/>
        </w:rPr>
        <w:t>симптомы</w:t>
      </w:r>
      <w:r>
        <w:rPr>
          <w:spacing w:val="40"/>
          <w:sz w:val="24"/>
        </w:rPr>
        <w:t> </w:t>
      </w:r>
      <w:r>
        <w:rPr>
          <w:sz w:val="24"/>
        </w:rPr>
        <w:t>у</w:t>
      </w:r>
      <w:r>
        <w:rPr>
          <w:spacing w:val="40"/>
          <w:sz w:val="24"/>
        </w:rPr>
        <w:t> </w:t>
      </w:r>
      <w:r>
        <w:rPr>
          <w:sz w:val="24"/>
        </w:rPr>
        <w:t>родных</w:t>
      </w:r>
      <w:r>
        <w:rPr>
          <w:spacing w:val="40"/>
          <w:sz w:val="24"/>
        </w:rPr>
        <w:t> </w:t>
      </w:r>
      <w:r>
        <w:rPr>
          <w:sz w:val="24"/>
        </w:rPr>
        <w:t>братьев</w:t>
      </w:r>
      <w:r>
        <w:rPr>
          <w:spacing w:val="40"/>
          <w:sz w:val="24"/>
        </w:rPr>
        <w:t> </w:t>
      </w:r>
      <w:r>
        <w:rPr>
          <w:sz w:val="24"/>
        </w:rPr>
        <w:t>и</w:t>
      </w:r>
      <w:r>
        <w:rPr>
          <w:spacing w:val="40"/>
          <w:sz w:val="24"/>
        </w:rPr>
        <w:t> </w:t>
      </w:r>
      <w:r>
        <w:rPr>
          <w:sz w:val="24"/>
        </w:rPr>
        <w:t>сестер</w:t>
      </w:r>
      <w:r>
        <w:rPr>
          <w:spacing w:val="80"/>
          <w:sz w:val="24"/>
        </w:rPr>
        <w:t> </w:t>
      </w:r>
      <w:r>
        <w:rPr>
          <w:sz w:val="24"/>
        </w:rPr>
        <w:t>пробанда, близкородственный брак);</w:t>
      </w:r>
    </w:p>
    <w:p>
      <w:pPr>
        <w:pStyle w:val="ListParagraph"/>
        <w:numPr>
          <w:ilvl w:val="0"/>
          <w:numId w:val="4"/>
        </w:numPr>
        <w:tabs>
          <w:tab w:pos="820" w:val="left" w:leader="none"/>
        </w:tabs>
        <w:spacing w:line="275" w:lineRule="exact" w:before="3" w:after="0"/>
        <w:ind w:left="820" w:right="0" w:hanging="143"/>
        <w:jc w:val="left"/>
        <w:rPr>
          <w:sz w:val="24"/>
        </w:rPr>
      </w:pPr>
      <w:r>
        <w:rPr>
          <w:sz w:val="24"/>
        </w:rPr>
        <w:t>случаи</w:t>
      </w:r>
      <w:r>
        <w:rPr>
          <w:spacing w:val="-1"/>
          <w:sz w:val="24"/>
        </w:rPr>
        <w:t> </w:t>
      </w:r>
      <w:r>
        <w:rPr>
          <w:sz w:val="24"/>
        </w:rPr>
        <w:t>внезапной</w:t>
      </w:r>
      <w:r>
        <w:rPr>
          <w:spacing w:val="-5"/>
          <w:sz w:val="24"/>
        </w:rPr>
        <w:t> </w:t>
      </w:r>
      <w:r>
        <w:rPr>
          <w:sz w:val="24"/>
        </w:rPr>
        <w:t>детской</w:t>
      </w:r>
      <w:r>
        <w:rPr>
          <w:spacing w:val="-4"/>
          <w:sz w:val="24"/>
        </w:rPr>
        <w:t> </w:t>
      </w:r>
      <w:r>
        <w:rPr>
          <w:sz w:val="24"/>
        </w:rPr>
        <w:t>смерти</w:t>
      </w:r>
      <w:r>
        <w:rPr>
          <w:spacing w:val="-4"/>
          <w:sz w:val="24"/>
        </w:rPr>
        <w:t> </w:t>
      </w:r>
      <w:r>
        <w:rPr>
          <w:sz w:val="24"/>
        </w:rPr>
        <w:t>в </w:t>
      </w:r>
      <w:r>
        <w:rPr>
          <w:spacing w:val="-2"/>
          <w:sz w:val="24"/>
        </w:rPr>
        <w:t>семье;</w:t>
      </w:r>
    </w:p>
    <w:p>
      <w:pPr>
        <w:pStyle w:val="ListParagraph"/>
        <w:numPr>
          <w:ilvl w:val="0"/>
          <w:numId w:val="4"/>
        </w:numPr>
        <w:tabs>
          <w:tab w:pos="820" w:val="left" w:leader="none"/>
        </w:tabs>
        <w:spacing w:line="275" w:lineRule="exact" w:before="0" w:after="0"/>
        <w:ind w:left="820" w:right="0" w:hanging="143"/>
        <w:jc w:val="left"/>
        <w:rPr>
          <w:sz w:val="24"/>
        </w:rPr>
      </w:pPr>
      <w:r>
        <w:rPr>
          <w:sz w:val="24"/>
        </w:rPr>
        <w:t>задержка</w:t>
      </w:r>
      <w:r>
        <w:rPr>
          <w:spacing w:val="-8"/>
          <w:sz w:val="24"/>
        </w:rPr>
        <w:t> </w:t>
      </w:r>
      <w:r>
        <w:rPr>
          <w:sz w:val="24"/>
        </w:rPr>
        <w:t>физического</w:t>
      </w:r>
      <w:r>
        <w:rPr>
          <w:spacing w:val="-2"/>
          <w:sz w:val="24"/>
        </w:rPr>
        <w:t> развития;</w:t>
      </w:r>
    </w:p>
    <w:p>
      <w:pPr>
        <w:pStyle w:val="ListParagraph"/>
        <w:numPr>
          <w:ilvl w:val="0"/>
          <w:numId w:val="4"/>
        </w:numPr>
        <w:tabs>
          <w:tab w:pos="820" w:val="left" w:leader="none"/>
        </w:tabs>
        <w:spacing w:line="275" w:lineRule="exact" w:before="3" w:after="0"/>
        <w:ind w:left="820" w:right="0" w:hanging="143"/>
        <w:jc w:val="left"/>
        <w:rPr>
          <w:sz w:val="24"/>
        </w:rPr>
      </w:pPr>
      <w:r>
        <w:rPr>
          <w:sz w:val="24"/>
        </w:rPr>
        <w:t>слабость,</w:t>
      </w:r>
      <w:r>
        <w:rPr>
          <w:spacing w:val="-6"/>
          <w:sz w:val="24"/>
        </w:rPr>
        <w:t> </w:t>
      </w:r>
      <w:r>
        <w:rPr>
          <w:sz w:val="24"/>
        </w:rPr>
        <w:t>повышенная</w:t>
      </w:r>
      <w:r>
        <w:rPr>
          <w:spacing w:val="-2"/>
          <w:sz w:val="24"/>
        </w:rPr>
        <w:t> утомляемость;</w:t>
      </w:r>
    </w:p>
    <w:p>
      <w:pPr>
        <w:pStyle w:val="ListParagraph"/>
        <w:numPr>
          <w:ilvl w:val="0"/>
          <w:numId w:val="4"/>
        </w:numPr>
        <w:tabs>
          <w:tab w:pos="820" w:val="left" w:leader="none"/>
        </w:tabs>
        <w:spacing w:line="275" w:lineRule="exact" w:before="0" w:after="0"/>
        <w:ind w:left="820" w:right="0" w:hanging="143"/>
        <w:jc w:val="left"/>
        <w:rPr>
          <w:sz w:val="24"/>
        </w:rPr>
      </w:pPr>
      <w:r>
        <w:rPr>
          <w:sz w:val="24"/>
        </w:rPr>
        <w:t>гепатомегалия</w:t>
      </w:r>
      <w:r>
        <w:rPr>
          <w:spacing w:val="-6"/>
          <w:sz w:val="24"/>
        </w:rPr>
        <w:t> </w:t>
      </w:r>
      <w:r>
        <w:rPr>
          <w:sz w:val="24"/>
        </w:rPr>
        <w:t>или</w:t>
      </w:r>
      <w:r>
        <w:rPr>
          <w:spacing w:val="-4"/>
          <w:sz w:val="24"/>
        </w:rPr>
        <w:t> </w:t>
      </w:r>
      <w:r>
        <w:rPr>
          <w:spacing w:val="-2"/>
          <w:sz w:val="24"/>
        </w:rPr>
        <w:t>гепатоспленомегалия;</w:t>
      </w:r>
    </w:p>
    <w:p>
      <w:pPr>
        <w:pStyle w:val="ListParagraph"/>
        <w:numPr>
          <w:ilvl w:val="0"/>
          <w:numId w:val="4"/>
        </w:numPr>
        <w:tabs>
          <w:tab w:pos="892" w:val="left" w:leader="none"/>
        </w:tabs>
        <w:spacing w:line="237" w:lineRule="auto" w:before="4" w:after="0"/>
        <w:ind w:left="139" w:right="155" w:firstLine="538"/>
        <w:jc w:val="left"/>
        <w:rPr>
          <w:sz w:val="24"/>
        </w:rPr>
      </w:pPr>
      <w:r>
        <w:rPr>
          <w:sz w:val="24"/>
        </w:rPr>
        <w:t>диарея,</w:t>
      </w:r>
      <w:r>
        <w:rPr>
          <w:spacing w:val="40"/>
          <w:sz w:val="24"/>
        </w:rPr>
        <w:t> </w:t>
      </w:r>
      <w:r>
        <w:rPr>
          <w:sz w:val="24"/>
        </w:rPr>
        <w:t>боли</w:t>
      </w:r>
      <w:r>
        <w:rPr>
          <w:spacing w:val="40"/>
          <w:sz w:val="24"/>
        </w:rPr>
        <w:t> </w:t>
      </w:r>
      <w:r>
        <w:rPr>
          <w:sz w:val="24"/>
        </w:rPr>
        <w:t>в</w:t>
      </w:r>
      <w:r>
        <w:rPr>
          <w:spacing w:val="40"/>
          <w:sz w:val="24"/>
        </w:rPr>
        <w:t> </w:t>
      </w:r>
      <w:r>
        <w:rPr>
          <w:sz w:val="24"/>
        </w:rPr>
        <w:t>животе,</w:t>
      </w:r>
      <w:r>
        <w:rPr>
          <w:spacing w:val="40"/>
          <w:sz w:val="24"/>
        </w:rPr>
        <w:t> </w:t>
      </w:r>
      <w:r>
        <w:rPr>
          <w:sz w:val="24"/>
        </w:rPr>
        <w:t>стеаторея</w:t>
      </w:r>
      <w:r>
        <w:rPr>
          <w:spacing w:val="40"/>
          <w:sz w:val="24"/>
        </w:rPr>
        <w:t> </w:t>
      </w:r>
      <w:r>
        <w:rPr>
          <w:sz w:val="24"/>
        </w:rPr>
        <w:t>(при</w:t>
      </w:r>
      <w:r>
        <w:rPr>
          <w:spacing w:val="40"/>
          <w:sz w:val="24"/>
        </w:rPr>
        <w:t> </w:t>
      </w:r>
      <w:r>
        <w:rPr>
          <w:sz w:val="24"/>
        </w:rPr>
        <w:t>вовлеченности</w:t>
      </w:r>
      <w:r>
        <w:rPr>
          <w:spacing w:val="40"/>
          <w:sz w:val="24"/>
        </w:rPr>
        <w:t> </w:t>
      </w:r>
      <w:r>
        <w:rPr>
          <w:sz w:val="24"/>
        </w:rPr>
        <w:t>в</w:t>
      </w:r>
      <w:r>
        <w:rPr>
          <w:spacing w:val="40"/>
          <w:sz w:val="24"/>
        </w:rPr>
        <w:t> </w:t>
      </w:r>
      <w:r>
        <w:rPr>
          <w:sz w:val="24"/>
        </w:rPr>
        <w:t>патологический</w:t>
      </w:r>
      <w:r>
        <w:rPr>
          <w:spacing w:val="40"/>
          <w:sz w:val="24"/>
        </w:rPr>
        <w:t> </w:t>
      </w:r>
      <w:r>
        <w:rPr>
          <w:sz w:val="24"/>
        </w:rPr>
        <w:t>процесс</w:t>
      </w:r>
      <w:r>
        <w:rPr>
          <w:spacing w:val="80"/>
          <w:sz w:val="24"/>
        </w:rPr>
        <w:t> </w:t>
      </w:r>
      <w:r>
        <w:rPr>
          <w:spacing w:val="-2"/>
          <w:sz w:val="24"/>
        </w:rPr>
        <w:t>кишечника);</w:t>
      </w:r>
    </w:p>
    <w:p>
      <w:pPr>
        <w:spacing w:after="0" w:line="237" w:lineRule="auto"/>
        <w:jc w:val="left"/>
        <w:rPr>
          <w:sz w:val="24"/>
        </w:rPr>
        <w:sectPr>
          <w:pgSz w:w="11910" w:h="16840"/>
          <w:pgMar w:header="572" w:footer="1177" w:top="1320" w:bottom="1360" w:left="1560" w:right="420"/>
        </w:sectPr>
      </w:pPr>
    </w:p>
    <w:p>
      <w:pPr>
        <w:pStyle w:val="ListParagraph"/>
        <w:numPr>
          <w:ilvl w:val="0"/>
          <w:numId w:val="4"/>
        </w:numPr>
        <w:tabs>
          <w:tab w:pos="820" w:val="left" w:leader="none"/>
        </w:tabs>
        <w:spacing w:line="240" w:lineRule="auto" w:before="80" w:after="0"/>
        <w:ind w:left="820" w:right="0" w:hanging="143"/>
        <w:jc w:val="left"/>
        <w:rPr>
          <w:sz w:val="24"/>
        </w:rPr>
      </w:pPr>
      <w:r>
        <w:rPr>
          <w:sz w:val="24"/>
        </w:rPr>
        <w:t>носовые</w:t>
      </w:r>
      <w:r>
        <w:rPr>
          <w:spacing w:val="-3"/>
          <w:sz w:val="24"/>
        </w:rPr>
        <w:t> </w:t>
      </w:r>
      <w:r>
        <w:rPr>
          <w:spacing w:val="-2"/>
          <w:sz w:val="24"/>
        </w:rPr>
        <w:t>кровотечения;</w:t>
      </w:r>
    </w:p>
    <w:p>
      <w:pPr>
        <w:pStyle w:val="ListParagraph"/>
        <w:numPr>
          <w:ilvl w:val="0"/>
          <w:numId w:val="4"/>
        </w:numPr>
        <w:tabs>
          <w:tab w:pos="820" w:val="left" w:leader="none"/>
        </w:tabs>
        <w:spacing w:line="275" w:lineRule="exact" w:before="2" w:after="0"/>
        <w:ind w:left="820" w:right="0" w:hanging="143"/>
        <w:jc w:val="left"/>
        <w:rPr>
          <w:sz w:val="24"/>
        </w:rPr>
      </w:pPr>
      <w:r>
        <w:rPr>
          <w:sz w:val="24"/>
        </w:rPr>
        <w:t>желтушность</w:t>
      </w:r>
      <w:r>
        <w:rPr>
          <w:spacing w:val="-7"/>
          <w:sz w:val="24"/>
        </w:rPr>
        <w:t> </w:t>
      </w:r>
      <w:r>
        <w:rPr>
          <w:sz w:val="24"/>
        </w:rPr>
        <w:t>кожных</w:t>
      </w:r>
      <w:r>
        <w:rPr>
          <w:spacing w:val="-7"/>
          <w:sz w:val="24"/>
        </w:rPr>
        <w:t> </w:t>
      </w:r>
      <w:r>
        <w:rPr>
          <w:spacing w:val="-2"/>
          <w:sz w:val="24"/>
        </w:rPr>
        <w:t>покровов;</w:t>
      </w:r>
    </w:p>
    <w:p>
      <w:pPr>
        <w:pStyle w:val="ListParagraph"/>
        <w:numPr>
          <w:ilvl w:val="0"/>
          <w:numId w:val="4"/>
        </w:numPr>
        <w:tabs>
          <w:tab w:pos="820" w:val="left" w:leader="none"/>
        </w:tabs>
        <w:spacing w:line="275" w:lineRule="exact" w:before="0" w:after="0"/>
        <w:ind w:left="820" w:right="0" w:hanging="143"/>
        <w:jc w:val="left"/>
        <w:rPr>
          <w:sz w:val="24"/>
        </w:rPr>
      </w:pPr>
      <w:r>
        <w:rPr>
          <w:spacing w:val="-2"/>
          <w:sz w:val="24"/>
        </w:rPr>
        <w:t>асцит;</w:t>
      </w:r>
    </w:p>
    <w:p>
      <w:pPr>
        <w:pStyle w:val="ListParagraph"/>
        <w:numPr>
          <w:ilvl w:val="0"/>
          <w:numId w:val="4"/>
        </w:numPr>
        <w:tabs>
          <w:tab w:pos="682" w:val="left" w:leader="none"/>
          <w:tab w:pos="820" w:val="left" w:leader="none"/>
        </w:tabs>
        <w:spacing w:line="446" w:lineRule="auto" w:before="2" w:after="0"/>
        <w:ind w:left="682" w:right="1876" w:hanging="5"/>
        <w:jc w:val="left"/>
        <w:rPr>
          <w:sz w:val="24"/>
        </w:rPr>
      </w:pPr>
      <w:r>
        <w:rPr>
          <w:sz w:val="24"/>
        </w:rPr>
        <w:t>варикозное</w:t>
      </w:r>
      <w:r>
        <w:rPr>
          <w:spacing w:val="-6"/>
          <w:sz w:val="24"/>
        </w:rPr>
        <w:t> </w:t>
      </w:r>
      <w:r>
        <w:rPr>
          <w:sz w:val="24"/>
        </w:rPr>
        <w:t>расширение</w:t>
      </w:r>
      <w:r>
        <w:rPr>
          <w:spacing w:val="-6"/>
          <w:sz w:val="24"/>
        </w:rPr>
        <w:t> </w:t>
      </w:r>
      <w:r>
        <w:rPr>
          <w:sz w:val="24"/>
        </w:rPr>
        <w:t>вен</w:t>
      </w:r>
      <w:r>
        <w:rPr>
          <w:spacing w:val="-8"/>
          <w:sz w:val="24"/>
        </w:rPr>
        <w:t> </w:t>
      </w:r>
      <w:r>
        <w:rPr>
          <w:sz w:val="24"/>
        </w:rPr>
        <w:t>пищевода</w:t>
      </w:r>
      <w:r>
        <w:rPr>
          <w:spacing w:val="-6"/>
          <w:sz w:val="24"/>
        </w:rPr>
        <w:t> </w:t>
      </w:r>
      <w:r>
        <w:rPr>
          <w:sz w:val="24"/>
        </w:rPr>
        <w:t>(при</w:t>
      </w:r>
      <w:r>
        <w:rPr>
          <w:spacing w:val="-4"/>
          <w:sz w:val="24"/>
        </w:rPr>
        <w:t> </w:t>
      </w:r>
      <w:r>
        <w:rPr>
          <w:sz w:val="24"/>
        </w:rPr>
        <w:t>развитии</w:t>
      </w:r>
      <w:r>
        <w:rPr>
          <w:spacing w:val="-4"/>
          <w:sz w:val="24"/>
        </w:rPr>
        <w:t> </w:t>
      </w:r>
      <w:r>
        <w:rPr>
          <w:sz w:val="24"/>
        </w:rPr>
        <w:t>цирроза</w:t>
      </w:r>
      <w:r>
        <w:rPr>
          <w:spacing w:val="-6"/>
          <w:sz w:val="24"/>
        </w:rPr>
        <w:t> </w:t>
      </w:r>
      <w:r>
        <w:rPr>
          <w:sz w:val="24"/>
        </w:rPr>
        <w:t>печени). Жалобы и анамнез также описаны в </w:t>
      </w:r>
      <w:hyperlink w:history="true" w:anchor="_bookmark0">
        <w:r>
          <w:rPr>
            <w:color w:val="0000FF"/>
            <w:sz w:val="24"/>
          </w:rPr>
          <w:t>разделе</w:t>
        </w:r>
      </w:hyperlink>
      <w:r>
        <w:rPr>
          <w:color w:val="0000FF"/>
          <w:sz w:val="24"/>
        </w:rPr>
        <w:t> </w:t>
      </w:r>
      <w:r>
        <w:rPr>
          <w:sz w:val="24"/>
        </w:rPr>
        <w:t>"клиническая картина".</w:t>
      </w:r>
    </w:p>
    <w:p>
      <w:pPr>
        <w:pStyle w:val="Heading1"/>
        <w:numPr>
          <w:ilvl w:val="1"/>
          <w:numId w:val="2"/>
        </w:numPr>
        <w:tabs>
          <w:tab w:pos="1175" w:val="left" w:leader="none"/>
        </w:tabs>
        <w:spacing w:line="240" w:lineRule="auto" w:before="46" w:after="0"/>
        <w:ind w:left="1175" w:right="0" w:hanging="493"/>
        <w:jc w:val="left"/>
      </w:pPr>
      <w:bookmarkStart w:name="2.2. Физикальное обследование" w:id="17"/>
      <w:bookmarkEnd w:id="17"/>
      <w:r>
        <w:rPr>
          <w:b w:val="0"/>
        </w:rPr>
      </w:r>
      <w:r>
        <w:rPr/>
        <w:t>Физикальное</w:t>
      </w:r>
      <w:r>
        <w:rPr>
          <w:spacing w:val="-15"/>
        </w:rPr>
        <w:t> </w:t>
      </w:r>
      <w:r>
        <w:rPr>
          <w:spacing w:val="-2"/>
        </w:rPr>
        <w:t>обследование</w:t>
      </w:r>
    </w:p>
    <w:p>
      <w:pPr>
        <w:pStyle w:val="ListParagraph"/>
        <w:numPr>
          <w:ilvl w:val="2"/>
          <w:numId w:val="2"/>
        </w:numPr>
        <w:tabs>
          <w:tab w:pos="1495" w:val="left" w:leader="none"/>
        </w:tabs>
        <w:spacing w:line="240" w:lineRule="auto" w:before="278" w:after="0"/>
        <w:ind w:left="139" w:right="153" w:firstLine="542"/>
        <w:jc w:val="left"/>
        <w:rPr>
          <w:b/>
          <w:sz w:val="28"/>
        </w:rPr>
      </w:pPr>
      <w:bookmarkStart w:name="2.2.1. Физикальное обследование при инфа" w:id="18"/>
      <w:bookmarkEnd w:id="18"/>
      <w:r>
        <w:rPr/>
      </w:r>
      <w:r>
        <w:rPr>
          <w:b/>
          <w:sz w:val="28"/>
        </w:rPr>
        <w:t>Физикальное</w:t>
      </w:r>
      <w:r>
        <w:rPr>
          <w:b/>
          <w:spacing w:val="80"/>
          <w:sz w:val="28"/>
        </w:rPr>
        <w:t> </w:t>
      </w:r>
      <w:r>
        <w:rPr>
          <w:b/>
          <w:sz w:val="28"/>
        </w:rPr>
        <w:t>обследование</w:t>
      </w:r>
      <w:r>
        <w:rPr>
          <w:b/>
          <w:spacing w:val="80"/>
          <w:sz w:val="28"/>
        </w:rPr>
        <w:t> </w:t>
      </w:r>
      <w:r>
        <w:rPr>
          <w:b/>
          <w:sz w:val="28"/>
        </w:rPr>
        <w:t>при</w:t>
      </w:r>
      <w:r>
        <w:rPr>
          <w:b/>
          <w:spacing w:val="80"/>
          <w:sz w:val="28"/>
        </w:rPr>
        <w:t> </w:t>
      </w:r>
      <w:r>
        <w:rPr>
          <w:b/>
          <w:sz w:val="28"/>
        </w:rPr>
        <w:t>инфантильной</w:t>
      </w:r>
      <w:r>
        <w:rPr>
          <w:b/>
          <w:spacing w:val="80"/>
          <w:sz w:val="28"/>
        </w:rPr>
        <w:t> </w:t>
      </w:r>
      <w:r>
        <w:rPr>
          <w:b/>
          <w:sz w:val="28"/>
        </w:rPr>
        <w:t>форме</w:t>
      </w:r>
      <w:r>
        <w:rPr>
          <w:b/>
          <w:spacing w:val="80"/>
          <w:sz w:val="28"/>
        </w:rPr>
        <w:t> </w:t>
      </w:r>
      <w:r>
        <w:rPr>
          <w:b/>
          <w:sz w:val="28"/>
        </w:rPr>
        <w:t>ДЛКЛ (болезни Вольмана)</w:t>
      </w:r>
    </w:p>
    <w:p>
      <w:pPr>
        <w:pStyle w:val="BodyText"/>
        <w:spacing w:line="242" w:lineRule="auto" w:before="234"/>
        <w:ind w:firstLine="542"/>
        <w:jc w:val="left"/>
      </w:pPr>
      <w:r>
        <w:rPr/>
        <w:t>При</w:t>
      </w:r>
      <w:r>
        <w:rPr>
          <w:spacing w:val="40"/>
        </w:rPr>
        <w:t> </w:t>
      </w:r>
      <w:r>
        <w:rPr/>
        <w:t>осмотре</w:t>
      </w:r>
      <w:r>
        <w:rPr>
          <w:spacing w:val="40"/>
        </w:rPr>
        <w:t> </w:t>
      </w:r>
      <w:r>
        <w:rPr/>
        <w:t>необходимо</w:t>
      </w:r>
      <w:r>
        <w:rPr>
          <w:spacing w:val="40"/>
        </w:rPr>
        <w:t> </w:t>
      </w:r>
      <w:r>
        <w:rPr/>
        <w:t>обратить</w:t>
      </w:r>
      <w:r>
        <w:rPr>
          <w:spacing w:val="40"/>
        </w:rPr>
        <w:t> </w:t>
      </w:r>
      <w:r>
        <w:rPr/>
        <w:t>внимание</w:t>
      </w:r>
      <w:r>
        <w:rPr>
          <w:spacing w:val="40"/>
        </w:rPr>
        <w:t> </w:t>
      </w:r>
      <w:r>
        <w:rPr/>
        <w:t>на</w:t>
      </w:r>
      <w:r>
        <w:rPr>
          <w:spacing w:val="40"/>
        </w:rPr>
        <w:t> </w:t>
      </w:r>
      <w:r>
        <w:rPr/>
        <w:t>следующие</w:t>
      </w:r>
      <w:r>
        <w:rPr>
          <w:spacing w:val="40"/>
        </w:rPr>
        <w:t> </w:t>
      </w:r>
      <w:r>
        <w:rPr/>
        <w:t>основные</w:t>
      </w:r>
      <w:r>
        <w:rPr>
          <w:spacing w:val="40"/>
        </w:rPr>
        <w:t> </w:t>
      </w:r>
      <w:r>
        <w:rPr/>
        <w:t>клинические </w:t>
      </w:r>
      <w:r>
        <w:rPr>
          <w:spacing w:val="-2"/>
        </w:rPr>
        <w:t>проявления:</w:t>
      </w:r>
    </w:p>
    <w:p>
      <w:pPr>
        <w:pStyle w:val="ListParagraph"/>
        <w:numPr>
          <w:ilvl w:val="3"/>
          <w:numId w:val="2"/>
        </w:numPr>
        <w:tabs>
          <w:tab w:pos="820" w:val="left" w:leader="none"/>
        </w:tabs>
        <w:spacing w:line="271" w:lineRule="exact" w:before="0" w:after="0"/>
        <w:ind w:left="820" w:right="0" w:hanging="143"/>
        <w:jc w:val="left"/>
        <w:rPr>
          <w:sz w:val="24"/>
        </w:rPr>
      </w:pPr>
      <w:r>
        <w:rPr>
          <w:sz w:val="24"/>
        </w:rPr>
        <w:t>увеличение</w:t>
      </w:r>
      <w:r>
        <w:rPr>
          <w:spacing w:val="-4"/>
          <w:sz w:val="24"/>
        </w:rPr>
        <w:t> </w:t>
      </w:r>
      <w:r>
        <w:rPr>
          <w:sz w:val="24"/>
        </w:rPr>
        <w:t>размеров</w:t>
      </w:r>
      <w:r>
        <w:rPr>
          <w:spacing w:val="-5"/>
          <w:sz w:val="24"/>
        </w:rPr>
        <w:t> </w:t>
      </w:r>
      <w:r>
        <w:rPr>
          <w:spacing w:val="-2"/>
          <w:sz w:val="24"/>
        </w:rPr>
        <w:t>печени;</w:t>
      </w:r>
    </w:p>
    <w:p>
      <w:pPr>
        <w:pStyle w:val="ListParagraph"/>
        <w:numPr>
          <w:ilvl w:val="3"/>
          <w:numId w:val="2"/>
        </w:numPr>
        <w:tabs>
          <w:tab w:pos="820" w:val="left" w:leader="none"/>
        </w:tabs>
        <w:spacing w:line="275" w:lineRule="exact" w:before="3" w:after="0"/>
        <w:ind w:left="820" w:right="0" w:hanging="143"/>
        <w:jc w:val="left"/>
        <w:rPr>
          <w:sz w:val="24"/>
        </w:rPr>
      </w:pPr>
      <w:r>
        <w:rPr>
          <w:sz w:val="24"/>
        </w:rPr>
        <w:t>увеличение</w:t>
      </w:r>
      <w:r>
        <w:rPr>
          <w:spacing w:val="-4"/>
          <w:sz w:val="24"/>
        </w:rPr>
        <w:t> </w:t>
      </w:r>
      <w:r>
        <w:rPr>
          <w:sz w:val="24"/>
        </w:rPr>
        <w:t>размеров</w:t>
      </w:r>
      <w:r>
        <w:rPr>
          <w:spacing w:val="-5"/>
          <w:sz w:val="24"/>
        </w:rPr>
        <w:t> </w:t>
      </w:r>
      <w:r>
        <w:rPr>
          <w:spacing w:val="-2"/>
          <w:sz w:val="24"/>
        </w:rPr>
        <w:t>селезенки;</w:t>
      </w:r>
    </w:p>
    <w:p>
      <w:pPr>
        <w:pStyle w:val="ListParagraph"/>
        <w:numPr>
          <w:ilvl w:val="3"/>
          <w:numId w:val="2"/>
        </w:numPr>
        <w:tabs>
          <w:tab w:pos="820" w:val="left" w:leader="none"/>
        </w:tabs>
        <w:spacing w:line="275" w:lineRule="exact" w:before="0" w:after="0"/>
        <w:ind w:left="820" w:right="0" w:hanging="143"/>
        <w:jc w:val="left"/>
        <w:rPr>
          <w:sz w:val="24"/>
        </w:rPr>
      </w:pPr>
      <w:r>
        <w:rPr>
          <w:sz w:val="24"/>
        </w:rPr>
        <w:t>увеличение</w:t>
      </w:r>
      <w:r>
        <w:rPr>
          <w:spacing w:val="-4"/>
          <w:sz w:val="24"/>
        </w:rPr>
        <w:t> </w:t>
      </w:r>
      <w:r>
        <w:rPr>
          <w:sz w:val="24"/>
        </w:rPr>
        <w:t>размеров</w:t>
      </w:r>
      <w:r>
        <w:rPr>
          <w:spacing w:val="-5"/>
          <w:sz w:val="24"/>
        </w:rPr>
        <w:t> </w:t>
      </w:r>
      <w:r>
        <w:rPr>
          <w:spacing w:val="-2"/>
          <w:sz w:val="24"/>
        </w:rPr>
        <w:t>живота;</w:t>
      </w:r>
    </w:p>
    <w:p>
      <w:pPr>
        <w:pStyle w:val="ListParagraph"/>
        <w:numPr>
          <w:ilvl w:val="3"/>
          <w:numId w:val="2"/>
        </w:numPr>
        <w:tabs>
          <w:tab w:pos="820" w:val="left" w:leader="none"/>
        </w:tabs>
        <w:spacing w:line="275" w:lineRule="exact" w:before="2" w:after="0"/>
        <w:ind w:left="820" w:right="0" w:hanging="143"/>
        <w:jc w:val="left"/>
        <w:rPr>
          <w:sz w:val="24"/>
        </w:rPr>
      </w:pPr>
      <w:r>
        <w:rPr>
          <w:sz w:val="24"/>
        </w:rPr>
        <w:t>синдром</w:t>
      </w:r>
      <w:r>
        <w:rPr>
          <w:spacing w:val="-5"/>
          <w:sz w:val="24"/>
        </w:rPr>
        <w:t> </w:t>
      </w:r>
      <w:r>
        <w:rPr>
          <w:spacing w:val="-2"/>
          <w:sz w:val="24"/>
        </w:rPr>
        <w:t>мальабсорбции;</w:t>
      </w:r>
    </w:p>
    <w:p>
      <w:pPr>
        <w:pStyle w:val="ListParagraph"/>
        <w:numPr>
          <w:ilvl w:val="3"/>
          <w:numId w:val="2"/>
        </w:numPr>
        <w:tabs>
          <w:tab w:pos="820" w:val="left" w:leader="none"/>
        </w:tabs>
        <w:spacing w:line="275" w:lineRule="exact" w:before="0" w:after="0"/>
        <w:ind w:left="820" w:right="0" w:hanging="143"/>
        <w:jc w:val="left"/>
        <w:rPr>
          <w:sz w:val="24"/>
        </w:rPr>
      </w:pPr>
      <w:r>
        <w:rPr>
          <w:sz w:val="24"/>
        </w:rPr>
        <w:t>гипотрофия,</w:t>
      </w:r>
      <w:r>
        <w:rPr>
          <w:spacing w:val="-10"/>
          <w:sz w:val="24"/>
        </w:rPr>
        <w:t> </w:t>
      </w:r>
      <w:r>
        <w:rPr>
          <w:sz w:val="24"/>
        </w:rPr>
        <w:t>вплоть</w:t>
      </w:r>
      <w:r>
        <w:rPr>
          <w:spacing w:val="-4"/>
          <w:sz w:val="24"/>
        </w:rPr>
        <w:t> </w:t>
      </w:r>
      <w:r>
        <w:rPr>
          <w:sz w:val="24"/>
        </w:rPr>
        <w:t>до</w:t>
      </w:r>
      <w:r>
        <w:rPr>
          <w:spacing w:val="-5"/>
          <w:sz w:val="24"/>
        </w:rPr>
        <w:t> </w:t>
      </w:r>
      <w:r>
        <w:rPr>
          <w:sz w:val="24"/>
        </w:rPr>
        <w:t>грубой</w:t>
      </w:r>
      <w:r>
        <w:rPr>
          <w:spacing w:val="-3"/>
          <w:sz w:val="24"/>
        </w:rPr>
        <w:t> </w:t>
      </w:r>
      <w:r>
        <w:rPr>
          <w:sz w:val="24"/>
        </w:rPr>
        <w:t>задержки</w:t>
      </w:r>
      <w:r>
        <w:rPr>
          <w:spacing w:val="-4"/>
          <w:sz w:val="24"/>
        </w:rPr>
        <w:t> </w:t>
      </w:r>
      <w:r>
        <w:rPr>
          <w:sz w:val="24"/>
        </w:rPr>
        <w:t>физического</w:t>
      </w:r>
      <w:r>
        <w:rPr>
          <w:spacing w:val="-1"/>
          <w:sz w:val="24"/>
        </w:rPr>
        <w:t> </w:t>
      </w:r>
      <w:r>
        <w:rPr>
          <w:spacing w:val="-2"/>
          <w:sz w:val="24"/>
        </w:rPr>
        <w:t>развития;</w:t>
      </w:r>
    </w:p>
    <w:p>
      <w:pPr>
        <w:pStyle w:val="ListParagraph"/>
        <w:numPr>
          <w:ilvl w:val="3"/>
          <w:numId w:val="2"/>
        </w:numPr>
        <w:tabs>
          <w:tab w:pos="820" w:val="left" w:leader="none"/>
        </w:tabs>
        <w:spacing w:line="275" w:lineRule="exact" w:before="2" w:after="0"/>
        <w:ind w:left="820" w:right="0" w:hanging="143"/>
        <w:jc w:val="left"/>
        <w:rPr>
          <w:sz w:val="24"/>
        </w:rPr>
      </w:pPr>
      <w:r>
        <w:rPr>
          <w:sz w:val="24"/>
        </w:rPr>
        <w:t>прогрессирующая</w:t>
      </w:r>
      <w:r>
        <w:rPr>
          <w:spacing w:val="-9"/>
          <w:sz w:val="24"/>
        </w:rPr>
        <w:t> </w:t>
      </w:r>
      <w:r>
        <w:rPr>
          <w:sz w:val="24"/>
        </w:rPr>
        <w:t>задержка</w:t>
      </w:r>
      <w:r>
        <w:rPr>
          <w:spacing w:val="-6"/>
          <w:sz w:val="24"/>
        </w:rPr>
        <w:t> </w:t>
      </w:r>
      <w:r>
        <w:rPr>
          <w:sz w:val="24"/>
        </w:rPr>
        <w:t>психомоторного</w:t>
      </w:r>
      <w:r>
        <w:rPr>
          <w:spacing w:val="-11"/>
          <w:sz w:val="24"/>
        </w:rPr>
        <w:t> </w:t>
      </w:r>
      <w:r>
        <w:rPr>
          <w:sz w:val="24"/>
        </w:rPr>
        <w:t>развития,</w:t>
      </w:r>
      <w:r>
        <w:rPr>
          <w:spacing w:val="-8"/>
          <w:sz w:val="24"/>
        </w:rPr>
        <w:t> </w:t>
      </w:r>
      <w:r>
        <w:rPr>
          <w:spacing w:val="-2"/>
          <w:sz w:val="24"/>
        </w:rPr>
        <w:t>гиперрефлексия;</w:t>
      </w:r>
    </w:p>
    <w:p>
      <w:pPr>
        <w:pStyle w:val="ListParagraph"/>
        <w:numPr>
          <w:ilvl w:val="3"/>
          <w:numId w:val="2"/>
        </w:numPr>
        <w:tabs>
          <w:tab w:pos="820" w:val="left" w:leader="none"/>
        </w:tabs>
        <w:spacing w:line="275" w:lineRule="exact" w:before="0" w:after="0"/>
        <w:ind w:left="820" w:right="0" w:hanging="143"/>
        <w:jc w:val="left"/>
        <w:rPr>
          <w:sz w:val="24"/>
        </w:rPr>
      </w:pPr>
      <w:r>
        <w:rPr>
          <w:sz w:val="24"/>
        </w:rPr>
        <w:t>желтушность</w:t>
      </w:r>
      <w:r>
        <w:rPr>
          <w:spacing w:val="-7"/>
          <w:sz w:val="24"/>
        </w:rPr>
        <w:t> </w:t>
      </w:r>
      <w:r>
        <w:rPr>
          <w:sz w:val="24"/>
        </w:rPr>
        <w:t>кожных</w:t>
      </w:r>
      <w:r>
        <w:rPr>
          <w:spacing w:val="-7"/>
          <w:sz w:val="24"/>
        </w:rPr>
        <w:t> </w:t>
      </w:r>
      <w:r>
        <w:rPr>
          <w:spacing w:val="-2"/>
          <w:sz w:val="24"/>
        </w:rPr>
        <w:t>покровов;</w:t>
      </w:r>
    </w:p>
    <w:p>
      <w:pPr>
        <w:pStyle w:val="ListParagraph"/>
        <w:numPr>
          <w:ilvl w:val="3"/>
          <w:numId w:val="2"/>
        </w:numPr>
        <w:tabs>
          <w:tab w:pos="820" w:val="left" w:leader="none"/>
        </w:tabs>
        <w:spacing w:line="240" w:lineRule="auto" w:before="3" w:after="0"/>
        <w:ind w:left="820" w:right="0" w:hanging="143"/>
        <w:jc w:val="left"/>
        <w:rPr>
          <w:sz w:val="24"/>
        </w:rPr>
      </w:pPr>
      <w:r>
        <w:rPr>
          <w:sz w:val="24"/>
        </w:rPr>
        <w:t>признаки</w:t>
      </w:r>
      <w:r>
        <w:rPr>
          <w:spacing w:val="-4"/>
          <w:sz w:val="24"/>
        </w:rPr>
        <w:t> </w:t>
      </w:r>
      <w:r>
        <w:rPr>
          <w:sz w:val="24"/>
        </w:rPr>
        <w:t>печеночной</w:t>
      </w:r>
      <w:r>
        <w:rPr>
          <w:spacing w:val="-7"/>
          <w:sz w:val="24"/>
        </w:rPr>
        <w:t> </w:t>
      </w:r>
      <w:r>
        <w:rPr>
          <w:spacing w:val="-2"/>
          <w:sz w:val="24"/>
        </w:rPr>
        <w:t>недостаточности.</w:t>
      </w:r>
    </w:p>
    <w:p>
      <w:pPr>
        <w:pStyle w:val="BodyText"/>
        <w:spacing w:before="6"/>
        <w:ind w:left="0"/>
        <w:jc w:val="left"/>
      </w:pPr>
    </w:p>
    <w:p>
      <w:pPr>
        <w:pStyle w:val="Heading1"/>
        <w:numPr>
          <w:ilvl w:val="2"/>
          <w:numId w:val="2"/>
        </w:numPr>
        <w:tabs>
          <w:tab w:pos="1505" w:val="left" w:leader="none"/>
        </w:tabs>
        <w:spacing w:line="240" w:lineRule="auto" w:before="0" w:after="0"/>
        <w:ind w:left="139" w:right="148" w:firstLine="542"/>
        <w:jc w:val="left"/>
      </w:pPr>
      <w:bookmarkStart w:name="2.2.2. Физикальное обследование при боле" w:id="19"/>
      <w:bookmarkEnd w:id="19"/>
      <w:r>
        <w:rPr>
          <w:b w:val="0"/>
        </w:rPr>
      </w:r>
      <w:r>
        <w:rPr/>
        <w:t>Физикальное</w:t>
      </w:r>
      <w:r>
        <w:rPr>
          <w:spacing w:val="80"/>
        </w:rPr>
        <w:t> </w:t>
      </w:r>
      <w:r>
        <w:rPr/>
        <w:t>обследование</w:t>
      </w:r>
      <w:r>
        <w:rPr>
          <w:spacing w:val="80"/>
        </w:rPr>
        <w:t> </w:t>
      </w:r>
      <w:r>
        <w:rPr/>
        <w:t>при</w:t>
      </w:r>
      <w:r>
        <w:rPr>
          <w:spacing w:val="80"/>
        </w:rPr>
        <w:t> </w:t>
      </w:r>
      <w:r>
        <w:rPr/>
        <w:t>болезни</w:t>
      </w:r>
      <w:r>
        <w:rPr>
          <w:spacing w:val="80"/>
        </w:rPr>
        <w:t> </w:t>
      </w:r>
      <w:r>
        <w:rPr/>
        <w:t>накопления</w:t>
      </w:r>
      <w:r>
        <w:rPr>
          <w:spacing w:val="80"/>
        </w:rPr>
        <w:t> </w:t>
      </w:r>
      <w:r>
        <w:rPr/>
        <w:t>эфиров холестерина (БНЭХ), с дебютом в возрасте старше 6 месяцев</w:t>
      </w:r>
    </w:p>
    <w:p>
      <w:pPr>
        <w:pStyle w:val="BodyText"/>
        <w:spacing w:line="275" w:lineRule="exact" w:before="234"/>
        <w:ind w:left="682"/>
        <w:jc w:val="left"/>
      </w:pPr>
      <w:r>
        <w:rPr/>
        <w:t>При</w:t>
      </w:r>
      <w:r>
        <w:rPr>
          <w:spacing w:val="-8"/>
        </w:rPr>
        <w:t> </w:t>
      </w:r>
      <w:r>
        <w:rPr/>
        <w:t>осмотре</w:t>
      </w:r>
      <w:r>
        <w:rPr>
          <w:spacing w:val="-6"/>
        </w:rPr>
        <w:t> </w:t>
      </w:r>
      <w:r>
        <w:rPr/>
        <w:t>необходимо</w:t>
      </w:r>
      <w:r>
        <w:rPr>
          <w:spacing w:val="-6"/>
        </w:rPr>
        <w:t> </w:t>
      </w:r>
      <w:r>
        <w:rPr/>
        <w:t>обратить</w:t>
      </w:r>
      <w:r>
        <w:rPr>
          <w:spacing w:val="-5"/>
        </w:rPr>
        <w:t> </w:t>
      </w:r>
      <w:r>
        <w:rPr/>
        <w:t>внимание</w:t>
      </w:r>
      <w:r>
        <w:rPr>
          <w:spacing w:val="-2"/>
        </w:rPr>
        <w:t> </w:t>
      </w:r>
      <w:r>
        <w:rPr/>
        <w:t>на</w:t>
      </w:r>
      <w:r>
        <w:rPr>
          <w:spacing w:val="-3"/>
        </w:rPr>
        <w:t> </w:t>
      </w:r>
      <w:r>
        <w:rPr/>
        <w:t>следующие</w:t>
      </w:r>
      <w:r>
        <w:rPr>
          <w:spacing w:val="-2"/>
        </w:rPr>
        <w:t> </w:t>
      </w:r>
      <w:r>
        <w:rPr/>
        <w:t>клинические</w:t>
      </w:r>
      <w:r>
        <w:rPr>
          <w:spacing w:val="-2"/>
        </w:rPr>
        <w:t> проявления:</w:t>
      </w:r>
    </w:p>
    <w:p>
      <w:pPr>
        <w:pStyle w:val="ListParagraph"/>
        <w:numPr>
          <w:ilvl w:val="3"/>
          <w:numId w:val="2"/>
        </w:numPr>
        <w:tabs>
          <w:tab w:pos="820" w:val="left" w:leader="none"/>
        </w:tabs>
        <w:spacing w:line="275" w:lineRule="exact" w:before="0" w:after="0"/>
        <w:ind w:left="820" w:right="0" w:hanging="143"/>
        <w:jc w:val="left"/>
        <w:rPr>
          <w:sz w:val="24"/>
        </w:rPr>
      </w:pPr>
      <w:r>
        <w:rPr>
          <w:sz w:val="24"/>
        </w:rPr>
        <w:t>увеличение</w:t>
      </w:r>
      <w:r>
        <w:rPr>
          <w:spacing w:val="-4"/>
          <w:sz w:val="24"/>
        </w:rPr>
        <w:t> </w:t>
      </w:r>
      <w:r>
        <w:rPr>
          <w:sz w:val="24"/>
        </w:rPr>
        <w:t>размеров</w:t>
      </w:r>
      <w:r>
        <w:rPr>
          <w:spacing w:val="-5"/>
          <w:sz w:val="24"/>
        </w:rPr>
        <w:t> </w:t>
      </w:r>
      <w:r>
        <w:rPr>
          <w:spacing w:val="-2"/>
          <w:sz w:val="24"/>
        </w:rPr>
        <w:t>печени;</w:t>
      </w:r>
    </w:p>
    <w:p>
      <w:pPr>
        <w:pStyle w:val="ListParagraph"/>
        <w:numPr>
          <w:ilvl w:val="3"/>
          <w:numId w:val="2"/>
        </w:numPr>
        <w:tabs>
          <w:tab w:pos="820" w:val="left" w:leader="none"/>
        </w:tabs>
        <w:spacing w:line="240" w:lineRule="auto" w:before="2" w:after="0"/>
        <w:ind w:left="820" w:right="0" w:hanging="143"/>
        <w:jc w:val="left"/>
        <w:rPr>
          <w:sz w:val="24"/>
        </w:rPr>
      </w:pPr>
      <w:r>
        <w:rPr>
          <w:sz w:val="24"/>
        </w:rPr>
        <w:t>увеличение</w:t>
      </w:r>
      <w:r>
        <w:rPr>
          <w:spacing w:val="-4"/>
          <w:sz w:val="24"/>
        </w:rPr>
        <w:t> </w:t>
      </w:r>
      <w:r>
        <w:rPr>
          <w:sz w:val="24"/>
        </w:rPr>
        <w:t>размеров</w:t>
      </w:r>
      <w:r>
        <w:rPr>
          <w:spacing w:val="-5"/>
          <w:sz w:val="24"/>
        </w:rPr>
        <w:t> </w:t>
      </w:r>
      <w:r>
        <w:rPr>
          <w:spacing w:val="-2"/>
          <w:sz w:val="24"/>
        </w:rPr>
        <w:t>селезенки.</w:t>
      </w:r>
    </w:p>
    <w:p>
      <w:pPr>
        <w:pStyle w:val="BodyText"/>
        <w:spacing w:line="242" w:lineRule="auto" w:before="238"/>
        <w:ind w:firstLine="542"/>
        <w:jc w:val="left"/>
      </w:pPr>
      <w:r>
        <w:rPr/>
        <w:t>Подробно</w:t>
      </w:r>
      <w:r>
        <w:rPr>
          <w:spacing w:val="80"/>
          <w:w w:val="150"/>
        </w:rPr>
        <w:t> </w:t>
      </w:r>
      <w:r>
        <w:rPr/>
        <w:t>данные</w:t>
      </w:r>
      <w:r>
        <w:rPr>
          <w:spacing w:val="80"/>
        </w:rPr>
        <w:t> </w:t>
      </w:r>
      <w:r>
        <w:rPr/>
        <w:t>физикального</w:t>
      </w:r>
      <w:r>
        <w:rPr>
          <w:spacing w:val="80"/>
          <w:w w:val="150"/>
        </w:rPr>
        <w:t> </w:t>
      </w:r>
      <w:r>
        <w:rPr/>
        <w:t>обследования</w:t>
      </w:r>
      <w:r>
        <w:rPr>
          <w:spacing w:val="80"/>
        </w:rPr>
        <w:t> </w:t>
      </w:r>
      <w:r>
        <w:rPr/>
        <w:t>описаны</w:t>
      </w:r>
      <w:r>
        <w:rPr>
          <w:spacing w:val="80"/>
          <w:w w:val="150"/>
        </w:rPr>
        <w:t> </w:t>
      </w:r>
      <w:r>
        <w:rPr/>
        <w:t>в</w:t>
      </w:r>
      <w:r>
        <w:rPr>
          <w:spacing w:val="80"/>
          <w:w w:val="150"/>
        </w:rPr>
        <w:t> </w:t>
      </w:r>
      <w:hyperlink w:history="true" w:anchor="_bookmark0">
        <w:r>
          <w:rPr>
            <w:color w:val="0000FF"/>
          </w:rPr>
          <w:t>разделе</w:t>
        </w:r>
      </w:hyperlink>
      <w:r>
        <w:rPr>
          <w:color w:val="0000FF"/>
          <w:spacing w:val="80"/>
          <w:w w:val="150"/>
        </w:rPr>
        <w:t> </w:t>
      </w:r>
      <w:r>
        <w:rPr/>
        <w:t>"клиническая </w:t>
      </w:r>
      <w:r>
        <w:rPr>
          <w:spacing w:val="-2"/>
        </w:rPr>
        <w:t>картина".</w:t>
      </w:r>
    </w:p>
    <w:p>
      <w:pPr>
        <w:pStyle w:val="BodyText"/>
        <w:spacing w:before="2"/>
        <w:ind w:left="0"/>
        <w:jc w:val="left"/>
      </w:pPr>
    </w:p>
    <w:p>
      <w:pPr>
        <w:pStyle w:val="Heading1"/>
        <w:numPr>
          <w:ilvl w:val="1"/>
          <w:numId w:val="2"/>
        </w:numPr>
        <w:tabs>
          <w:tab w:pos="1175" w:val="left" w:leader="none"/>
        </w:tabs>
        <w:spacing w:line="240" w:lineRule="auto" w:before="0" w:after="0"/>
        <w:ind w:left="1175" w:right="0" w:hanging="493"/>
        <w:jc w:val="left"/>
      </w:pPr>
      <w:bookmarkStart w:name="2.3. Лабораторные диагностические исслед" w:id="20"/>
      <w:bookmarkEnd w:id="20"/>
      <w:r>
        <w:rPr>
          <w:b w:val="0"/>
        </w:rPr>
      </w:r>
      <w:r>
        <w:rPr>
          <w:spacing w:val="-2"/>
        </w:rPr>
        <w:t>Лабораторные</w:t>
      </w:r>
      <w:r>
        <w:rPr>
          <w:spacing w:val="5"/>
        </w:rPr>
        <w:t> </w:t>
      </w:r>
      <w:r>
        <w:rPr>
          <w:spacing w:val="-2"/>
        </w:rPr>
        <w:t>диагностические</w:t>
      </w:r>
      <w:r>
        <w:rPr>
          <w:spacing w:val="6"/>
        </w:rPr>
        <w:t> </w:t>
      </w:r>
      <w:r>
        <w:rPr>
          <w:spacing w:val="-2"/>
        </w:rPr>
        <w:t>исследования</w:t>
      </w:r>
    </w:p>
    <w:p>
      <w:pPr>
        <w:pStyle w:val="ListParagraph"/>
        <w:numPr>
          <w:ilvl w:val="2"/>
          <w:numId w:val="2"/>
        </w:numPr>
        <w:tabs>
          <w:tab w:pos="1385" w:val="left" w:leader="none"/>
        </w:tabs>
        <w:spacing w:line="240" w:lineRule="auto" w:before="274" w:after="0"/>
        <w:ind w:left="139" w:right="146" w:firstLine="542"/>
        <w:jc w:val="left"/>
        <w:rPr>
          <w:b/>
          <w:sz w:val="28"/>
        </w:rPr>
      </w:pPr>
      <w:bookmarkStart w:name="2.3.1. Лабораторные диагностические иссл" w:id="21"/>
      <w:bookmarkEnd w:id="21"/>
      <w:r>
        <w:rPr/>
      </w:r>
      <w:r>
        <w:rPr>
          <w:b/>
          <w:sz w:val="28"/>
        </w:rPr>
        <w:t>Лабораторные</w:t>
      </w:r>
      <w:r>
        <w:rPr>
          <w:b/>
          <w:spacing w:val="-9"/>
          <w:sz w:val="28"/>
        </w:rPr>
        <w:t> </w:t>
      </w:r>
      <w:r>
        <w:rPr>
          <w:b/>
          <w:sz w:val="28"/>
        </w:rPr>
        <w:t>диагностические</w:t>
      </w:r>
      <w:r>
        <w:rPr>
          <w:b/>
          <w:spacing w:val="-5"/>
          <w:sz w:val="28"/>
        </w:rPr>
        <w:t> </w:t>
      </w:r>
      <w:r>
        <w:rPr>
          <w:b/>
          <w:sz w:val="28"/>
        </w:rPr>
        <w:t>исследования</w:t>
      </w:r>
      <w:r>
        <w:rPr>
          <w:b/>
          <w:spacing w:val="-8"/>
          <w:sz w:val="28"/>
        </w:rPr>
        <w:t> </w:t>
      </w:r>
      <w:r>
        <w:rPr>
          <w:b/>
          <w:sz w:val="28"/>
        </w:rPr>
        <w:t>при</w:t>
      </w:r>
      <w:r>
        <w:rPr>
          <w:b/>
          <w:spacing w:val="-12"/>
          <w:sz w:val="28"/>
        </w:rPr>
        <w:t> </w:t>
      </w:r>
      <w:r>
        <w:rPr>
          <w:b/>
          <w:sz w:val="28"/>
        </w:rPr>
        <w:t>инфантильной форме ДЛКЛ (болезни Вольмана)</w:t>
      </w:r>
    </w:p>
    <w:p>
      <w:pPr>
        <w:pStyle w:val="ListParagraph"/>
        <w:numPr>
          <w:ilvl w:val="3"/>
          <w:numId w:val="2"/>
        </w:numPr>
        <w:tabs>
          <w:tab w:pos="920" w:val="left" w:leader="none"/>
        </w:tabs>
        <w:spacing w:line="240" w:lineRule="auto" w:before="234" w:after="0"/>
        <w:ind w:left="139" w:right="148" w:firstLine="542"/>
        <w:jc w:val="both"/>
        <w:rPr>
          <w:sz w:val="24"/>
        </w:rPr>
      </w:pPr>
      <w:r>
        <w:rPr>
          <w:sz w:val="24"/>
        </w:rPr>
        <w:t>Рекомендуется всем пациентам с подозрением на инфантильную форму ДЛКЛ (болезнь Вольмана) для верификации диагноза определение активности лизосомной кислой липазы в пятнах высушенной крови или лейкоцитах периферической крови. [</w:t>
      </w:r>
      <w:hyperlink w:history="true" w:anchor="_bookmark16">
        <w:r>
          <w:rPr>
            <w:color w:val="0000FF"/>
            <w:sz w:val="24"/>
          </w:rPr>
          <w:t>17</w:t>
        </w:r>
      </w:hyperlink>
      <w:r>
        <w:rPr>
          <w:sz w:val="24"/>
        </w:rPr>
        <w:t>, </w:t>
      </w:r>
      <w:hyperlink w:history="true" w:anchor="_bookmark17">
        <w:r>
          <w:rPr>
            <w:color w:val="0000FF"/>
            <w:sz w:val="24"/>
          </w:rPr>
          <w:t>18</w:t>
        </w:r>
      </w:hyperlink>
      <w:r>
        <w:rPr>
          <w:sz w:val="24"/>
        </w:rPr>
        <w:t>].</w:t>
      </w:r>
    </w:p>
    <w:p>
      <w:pPr>
        <w:pStyle w:val="BodyText"/>
        <w:spacing w:line="275" w:lineRule="exact" w:before="3"/>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4">
        <w:r>
          <w:rPr>
            <w:color w:val="0000FF"/>
          </w:rPr>
          <w:t>B</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3).</w:t>
      </w:r>
    </w:p>
    <w:p>
      <w:pPr>
        <w:pStyle w:val="BodyText"/>
        <w:ind w:right="142" w:firstLine="538"/>
      </w:pPr>
      <w:r>
        <w:rPr/>
        <w:t>Комментарий: Определение активности ЛКЛ в сухих пятнах крови позволяет подтвердить или опровергнуть диагноз ДЛКЛ</w:t>
      </w:r>
      <w:r>
        <w:rPr>
          <w:spacing w:val="-1"/>
        </w:rPr>
        <w:t> </w:t>
      </w:r>
      <w:r>
        <w:rPr/>
        <w:t>и является "золотым стандартом" диагностики этого заболевания. Правила забора крови на карточку-фильтр приведены в </w:t>
      </w:r>
      <w:hyperlink w:history="true" w:anchor="_bookmark46">
        <w:r>
          <w:rPr>
            <w:color w:val="0000FF"/>
          </w:rPr>
          <w:t>Приложении А3</w:t>
        </w:r>
        <w:r>
          <w:rPr/>
          <w:t>.</w:t>
        </w:r>
      </w:hyperlink>
    </w:p>
    <w:p>
      <w:pPr>
        <w:pStyle w:val="ListParagraph"/>
        <w:numPr>
          <w:ilvl w:val="3"/>
          <w:numId w:val="2"/>
        </w:numPr>
        <w:tabs>
          <w:tab w:pos="857" w:val="left" w:leader="none"/>
        </w:tabs>
        <w:spacing w:line="240" w:lineRule="auto" w:before="241" w:after="0"/>
        <w:ind w:left="139" w:right="144" w:firstLine="542"/>
        <w:jc w:val="both"/>
        <w:rPr>
          <w:sz w:val="24"/>
        </w:rPr>
      </w:pPr>
      <w:r>
        <w:rPr>
          <w:sz w:val="24"/>
        </w:rPr>
        <w:t>Рекомендуется пациентам, у которых выявлено резкое снижение активности ЛКЛ в крови проведение молекулярно-генетического исследования (выявление мутаций в гене LIPA) с целью подтверждения диагноза на молекулярно-генетическом уровне, возможности</w:t>
      </w:r>
    </w:p>
    <w:p>
      <w:pPr>
        <w:spacing w:after="0" w:line="240" w:lineRule="auto"/>
        <w:jc w:val="both"/>
        <w:rPr>
          <w:sz w:val="24"/>
        </w:rPr>
        <w:sectPr>
          <w:pgSz w:w="11910" w:h="16840"/>
          <w:pgMar w:header="572" w:footer="1177" w:top="1320" w:bottom="1360" w:left="1560" w:right="420"/>
        </w:sectPr>
      </w:pPr>
    </w:p>
    <w:p>
      <w:pPr>
        <w:pStyle w:val="BodyText"/>
        <w:spacing w:before="80"/>
      </w:pPr>
      <w:r>
        <w:rPr/>
        <w:t>проведения</w:t>
      </w:r>
      <w:r>
        <w:rPr>
          <w:spacing w:val="-1"/>
        </w:rPr>
        <w:t> </w:t>
      </w:r>
      <w:r>
        <w:rPr/>
        <w:t>пренатальной</w:t>
      </w:r>
      <w:r>
        <w:rPr>
          <w:spacing w:val="-1"/>
        </w:rPr>
        <w:t> </w:t>
      </w:r>
      <w:r>
        <w:rPr/>
        <w:t>и</w:t>
      </w:r>
      <w:r>
        <w:rPr>
          <w:spacing w:val="-4"/>
        </w:rPr>
        <w:t> </w:t>
      </w:r>
      <w:r>
        <w:rPr/>
        <w:t>преимплантационной</w:t>
      </w:r>
      <w:r>
        <w:rPr>
          <w:spacing w:val="-5"/>
        </w:rPr>
        <w:t> </w:t>
      </w:r>
      <w:r>
        <w:rPr/>
        <w:t>диагностики</w:t>
      </w:r>
      <w:r>
        <w:rPr>
          <w:spacing w:val="-5"/>
        </w:rPr>
        <w:t> </w:t>
      </w:r>
      <w:r>
        <w:rPr/>
        <w:t>в</w:t>
      </w:r>
      <w:r>
        <w:rPr>
          <w:spacing w:val="-4"/>
        </w:rPr>
        <w:t> </w:t>
      </w:r>
      <w:r>
        <w:rPr/>
        <w:t>семье</w:t>
      </w:r>
      <w:r>
        <w:rPr>
          <w:spacing w:val="-7"/>
        </w:rPr>
        <w:t> </w:t>
      </w:r>
      <w:r>
        <w:rPr/>
        <w:t>[</w:t>
      </w:r>
      <w:hyperlink w:history="true" w:anchor="_bookmark3">
        <w:r>
          <w:rPr>
            <w:color w:val="0000FF"/>
          </w:rPr>
          <w:t>3</w:t>
        </w:r>
      </w:hyperlink>
      <w:r>
        <w:rPr/>
        <w:t>,</w:t>
      </w:r>
      <w:r>
        <w:rPr>
          <w:spacing w:val="-2"/>
        </w:rPr>
        <w:t> </w:t>
      </w:r>
      <w:hyperlink w:history="true" w:anchor="_bookmark14">
        <w:r>
          <w:rPr>
            <w:color w:val="0000FF"/>
            <w:spacing w:val="-4"/>
          </w:rPr>
          <w:t>15</w:t>
        </w:r>
      </w:hyperlink>
      <w:r>
        <w:rPr>
          <w:spacing w:val="-4"/>
        </w:rPr>
        <w:t>].</w:t>
      </w:r>
    </w:p>
    <w:p>
      <w:pPr>
        <w:pStyle w:val="BodyText"/>
        <w:spacing w:line="237" w:lineRule="auto" w:before="4"/>
        <w:ind w:left="677" w:right="146"/>
      </w:pPr>
      <w:r>
        <w:rPr/>
        <w:t>Уровень убедительности рекомендации </w:t>
      </w:r>
      <w:hyperlink w:history="true" w:anchor="_bookmark45">
        <w:r>
          <w:rPr>
            <w:color w:val="0000FF"/>
          </w:rPr>
          <w:t>C</w:t>
        </w:r>
      </w:hyperlink>
      <w:r>
        <w:rPr>
          <w:color w:val="0000FF"/>
        </w:rPr>
        <w:t> </w:t>
      </w:r>
      <w:r>
        <w:rPr/>
        <w:t>(уровень достоверности доказательств – 5). Комментарии: Большинство пациентов с ДЛКЛ являются гомозиготами или компаунд-</w:t>
      </w:r>
    </w:p>
    <w:p>
      <w:pPr>
        <w:pStyle w:val="BodyText"/>
        <w:spacing w:before="3"/>
        <w:ind w:right="138"/>
      </w:pPr>
      <w:r>
        <w:rPr/>
        <w:t>гетерозиготами по мутациям в кодирующей области гена LIPA. Вместе с тем, описаны интронные мутации и протяженные перестройки гена, не выявляемые при проведении стандартного генетического исследования. Патогенность выявленных редких и новых мутаций требует дополнительных доказательств. Поскольку в настоящее время гено- фенотипическая корреляция установлена только на уровне клинической формы ДЛКЛ (БВ, либо БНЭХ), но не</w:t>
      </w:r>
      <w:r>
        <w:rPr>
          <w:spacing w:val="-3"/>
        </w:rPr>
        <w:t> </w:t>
      </w:r>
      <w:r>
        <w:rPr/>
        <w:t>прослеживается для</w:t>
      </w:r>
      <w:r>
        <w:rPr>
          <w:spacing w:val="-7"/>
        </w:rPr>
        <w:t> </w:t>
      </w:r>
      <w:r>
        <w:rPr/>
        <w:t>отдельных фенотипических</w:t>
      </w:r>
      <w:r>
        <w:rPr>
          <w:spacing w:val="-2"/>
        </w:rPr>
        <w:t> </w:t>
      </w:r>
      <w:r>
        <w:rPr/>
        <w:t>признаков, молекулярно- генетическое исследование применяется для подтверждения, а не установления диагноза ДЛКЛ. Выявление семейной мутации гена LIPA делает возможным обследование родственников пробанда, а также проведение пренатальной и преимплантационной </w:t>
      </w:r>
      <w:r>
        <w:rPr>
          <w:spacing w:val="-2"/>
        </w:rPr>
        <w:t>диагностики.</w:t>
      </w:r>
    </w:p>
    <w:p>
      <w:pPr>
        <w:pStyle w:val="ListParagraph"/>
        <w:numPr>
          <w:ilvl w:val="3"/>
          <w:numId w:val="2"/>
        </w:numPr>
        <w:tabs>
          <w:tab w:pos="920" w:val="left" w:leader="none"/>
        </w:tabs>
        <w:spacing w:line="240" w:lineRule="auto" w:before="242" w:after="0"/>
        <w:ind w:left="139" w:right="152" w:firstLine="542"/>
        <w:jc w:val="both"/>
        <w:rPr>
          <w:sz w:val="24"/>
        </w:rPr>
      </w:pPr>
      <w:r>
        <w:rPr>
          <w:sz w:val="24"/>
        </w:rPr>
        <w:t>Рекомендуется всем пациентам с подозрением на инфантильную форму ДЛКЛ (болезнь Вольмана) проведение общего (клинического) анализа крови развернутого для выявления анемии, лейкопении, тромбоцитопении [</w:t>
      </w:r>
      <w:hyperlink w:history="true" w:anchor="_bookmark8">
        <w:r>
          <w:rPr>
            <w:color w:val="0000FF"/>
            <w:sz w:val="24"/>
          </w:rPr>
          <w:t>9</w:t>
        </w:r>
      </w:hyperlink>
      <w:r>
        <w:rPr>
          <w:sz w:val="24"/>
        </w:rPr>
        <w:t>, </w:t>
      </w:r>
      <w:hyperlink w:history="true" w:anchor="_bookmark12">
        <w:r>
          <w:rPr>
            <w:color w:val="0000FF"/>
            <w:sz w:val="24"/>
          </w:rPr>
          <w:t>13</w:t>
        </w:r>
      </w:hyperlink>
      <w:r>
        <w:rPr>
          <w:sz w:val="24"/>
        </w:rPr>
        <w:t>, </w:t>
      </w:r>
      <w:hyperlink w:history="true" w:anchor="_bookmark14">
        <w:r>
          <w:rPr>
            <w:color w:val="0000FF"/>
            <w:sz w:val="24"/>
          </w:rPr>
          <w:t>15</w:t>
        </w:r>
      </w:hyperlink>
      <w:r>
        <w:rPr>
          <w:sz w:val="24"/>
        </w:rPr>
        <w:t>].</w:t>
      </w:r>
    </w:p>
    <w:p>
      <w:pPr>
        <w:pStyle w:val="BodyText"/>
        <w:spacing w:line="274"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2"/>
        <w:ind w:right="142" w:firstLine="538"/>
      </w:pPr>
      <w:r>
        <w:rPr/>
        <w:t>Комментарии: В рамках общего (клинического) анализа крови развернутого необходимо: исследование уровня общего гемоглобина, эритроцитов, лейкоцитов, тромбоцитов в крови, дифференцированный подсчет лейкоцитов (лейкоцитарная формула), просмотр мазка крови для анализа аномалий морфологии эритроцитов, тромбоцитов и лейкоцитов, определение цветового показателя, определение размеров эритроцитов, исследование скорости оседания эритроцитов. Патогенетические механизмы формирования анемии и тромбоцитопении не до конца изучены. Одним из возможных</w:t>
      </w:r>
      <w:r>
        <w:rPr>
          <w:spacing w:val="-1"/>
        </w:rPr>
        <w:t> </w:t>
      </w:r>
      <w:r>
        <w:rPr/>
        <w:t>механизмов является накопление эфиров холестерина и триглицеридов в клетках макрофагально-моноцитарной системы. Кроме того, анемия может носить алиментарный дефицитный характер, так и являться следствием гиперспленизма при формировании портальной гипертензии. Следствием гиперспленизма является также тромбоцитопения. Описаны случаи вторичного гемофагоцитарного лимфогистиоцитоза.</w:t>
      </w:r>
    </w:p>
    <w:p>
      <w:pPr>
        <w:pStyle w:val="BodyText"/>
        <w:spacing w:before="1"/>
        <w:ind w:right="153" w:firstLine="538"/>
      </w:pPr>
      <w:r>
        <w:rPr/>
        <w:t>Учитывая крайнюю редкость БВ, ранний старт, позднюю диагностику и обычно тяжелое течение достоверных данных о необходимой частоте проведения исследования нет. Частота исследования общего (клинического) анализа крови развернутого диктуется состоянием пациента.</w:t>
      </w:r>
    </w:p>
    <w:p>
      <w:pPr>
        <w:pStyle w:val="ListParagraph"/>
        <w:numPr>
          <w:ilvl w:val="3"/>
          <w:numId w:val="2"/>
        </w:numPr>
        <w:tabs>
          <w:tab w:pos="905" w:val="left" w:leader="none"/>
          <w:tab w:pos="5100" w:val="left" w:leader="none"/>
          <w:tab w:pos="6890" w:val="left" w:leader="none"/>
        </w:tabs>
        <w:spacing w:line="240" w:lineRule="auto" w:before="241" w:after="0"/>
        <w:ind w:left="139" w:right="139" w:firstLine="542"/>
        <w:jc w:val="both"/>
        <w:rPr>
          <w:sz w:val="24"/>
        </w:rPr>
      </w:pPr>
      <w:r>
        <w:rPr>
          <w:sz w:val="24"/>
        </w:rPr>
        <w:t>Рекомендовано проведение анализа крови биохимического общетерапевтического (исследование уровня холестерина, холестерина липопротеинов высокой плотности, холестерина липопротеинов низкой плотности, триглицеридов, общего белка, альбумина, общего билирубина, билирубина связанного (конъюгированного), билирубина свободного (неконъюгированного),</w:t>
      </w:r>
      <w:r>
        <w:rPr>
          <w:spacing w:val="80"/>
          <w:sz w:val="24"/>
        </w:rPr>
        <w:t>   </w:t>
      </w:r>
      <w:r>
        <w:rPr>
          <w:sz w:val="24"/>
        </w:rPr>
        <w:t>определение</w:t>
        <w:tab/>
      </w:r>
      <w:r>
        <w:rPr>
          <w:spacing w:val="-2"/>
          <w:sz w:val="24"/>
        </w:rPr>
        <w:t>активности</w:t>
      </w:r>
      <w:r>
        <w:rPr>
          <w:sz w:val="24"/>
        </w:rPr>
        <w:tab/>
      </w:r>
      <w:r>
        <w:rPr>
          <w:spacing w:val="-2"/>
          <w:sz w:val="24"/>
        </w:rPr>
        <w:t>аспартатаминотрансферазы, </w:t>
      </w:r>
      <w:r>
        <w:rPr>
          <w:sz w:val="24"/>
        </w:rPr>
        <w:t>аланинаминотрансферазы, гамма-глютамилтрансферазы) при диагностике и в процессе диспансерного наблюдения всем пациентам с БВ для определения функционального состояния печени, которая является одним из органов-мишеней при БВ, и выявления дислипидемии в крови [</w:t>
      </w:r>
      <w:hyperlink w:history="true" w:anchor="_bookmark14">
        <w:r>
          <w:rPr>
            <w:color w:val="0000FF"/>
            <w:sz w:val="24"/>
          </w:rPr>
          <w:t>15</w:t>
        </w:r>
      </w:hyperlink>
      <w:r>
        <w:rPr>
          <w:sz w:val="24"/>
        </w:rPr>
        <w:t>, </w:t>
      </w:r>
      <w:hyperlink w:history="true" w:anchor="_bookmark15">
        <w:r>
          <w:rPr>
            <w:color w:val="0000FF"/>
            <w:sz w:val="24"/>
          </w:rPr>
          <w:t>16</w:t>
        </w:r>
      </w:hyperlink>
      <w:r>
        <w:rPr>
          <w:sz w:val="24"/>
        </w:rPr>
        <w:t>].</w:t>
      </w:r>
    </w:p>
    <w:p>
      <w:pPr>
        <w:pStyle w:val="BodyText"/>
        <w:spacing w:line="274"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2"/>
        <w:ind w:right="146" w:firstLine="538"/>
      </w:pPr>
      <w:r>
        <w:rPr/>
        <w:t>Комментарии: для пациентов с БВ характерно значительное повышение активности трансаминаз (АЛТ, АСТ), гиперхолестеринемия, гипербилирубинемия, возможна гипертриглицеридемия; увеличение концентрации ЛПНП, у многих пациентов снижено количество ЛПВП в крови. При анализе аполипопротеинограммы у большинства пациентов выявляют повышение уровня основного аполипопротеина ЛПНП – аполипопротеина B.</w:t>
      </w:r>
    </w:p>
    <w:p>
      <w:pPr>
        <w:spacing w:after="0"/>
        <w:sectPr>
          <w:pgSz w:w="11910" w:h="16840"/>
          <w:pgMar w:header="572" w:footer="1177" w:top="1320" w:bottom="1360" w:left="1560" w:right="420"/>
        </w:sectPr>
      </w:pPr>
    </w:p>
    <w:p>
      <w:pPr>
        <w:pStyle w:val="BodyText"/>
        <w:tabs>
          <w:tab w:pos="1761" w:val="left" w:leader="none"/>
          <w:tab w:pos="3335" w:val="left" w:leader="none"/>
          <w:tab w:pos="5259" w:val="left" w:leader="none"/>
          <w:tab w:pos="7054" w:val="left" w:leader="none"/>
        </w:tabs>
        <w:spacing w:before="80"/>
        <w:ind w:right="136" w:firstLine="538"/>
      </w:pPr>
      <w:r>
        <w:rPr/>
        <w:t>Учитывая крайнюю</w:t>
      </w:r>
      <w:r>
        <w:rPr>
          <w:spacing w:val="-4"/>
        </w:rPr>
        <w:t> </w:t>
      </w:r>
      <w:r>
        <w:rPr/>
        <w:t>редкость</w:t>
      </w:r>
      <w:r>
        <w:rPr>
          <w:spacing w:val="-1"/>
        </w:rPr>
        <w:t> </w:t>
      </w:r>
      <w:r>
        <w:rPr/>
        <w:t>встречаемости БВ, ранний</w:t>
      </w:r>
      <w:r>
        <w:rPr>
          <w:spacing w:val="-1"/>
        </w:rPr>
        <w:t> </w:t>
      </w:r>
      <w:r>
        <w:rPr/>
        <w:t>дебют, позднюю диагностику</w:t>
      </w:r>
      <w:r>
        <w:rPr>
          <w:spacing w:val="-6"/>
        </w:rPr>
        <w:t> </w:t>
      </w:r>
      <w:r>
        <w:rPr/>
        <w:t>и тяжелое течение болезни достоверных данных о необходимой частоте проведения исследования нет. Частота исследования анализа крови биохимического общетерапевтического диктуется состоянием пациента. При диагностике проводится определение активности аланинаминотрансферазы, аспартатаминотрансферазы, гамма- глютамилтрансферазы в крови, исследование уровня общего билирубина, билирубина связанного (конъюгированного), холестерина, холестерина липопротеинов низкой</w:t>
      </w:r>
      <w:r>
        <w:rPr>
          <w:spacing w:val="40"/>
        </w:rPr>
        <w:t> </w:t>
      </w:r>
      <w:r>
        <w:rPr/>
        <w:t>плотности, холестерина липопротеинов высокой плотности, триглицеридов в крови. В </w:t>
      </w:r>
      <w:r>
        <w:rPr>
          <w:spacing w:val="-2"/>
        </w:rPr>
        <w:t>динамике</w:t>
      </w:r>
      <w:r>
        <w:rPr/>
        <w:tab/>
      </w:r>
      <w:r>
        <w:rPr>
          <w:spacing w:val="-2"/>
        </w:rPr>
        <w:t>проводят</w:t>
      </w:r>
      <w:r>
        <w:rPr/>
        <w:tab/>
      </w:r>
      <w:r>
        <w:rPr>
          <w:spacing w:val="-2"/>
        </w:rPr>
        <w:t>определение</w:t>
      </w:r>
      <w:r>
        <w:rPr/>
        <w:tab/>
      </w:r>
      <w:r>
        <w:rPr>
          <w:spacing w:val="-2"/>
        </w:rPr>
        <w:t>активности</w:t>
      </w:r>
      <w:r>
        <w:rPr/>
        <w:tab/>
      </w:r>
      <w:r>
        <w:rPr>
          <w:spacing w:val="-2"/>
        </w:rPr>
        <w:t>аланинаминотрансферазы, </w:t>
      </w:r>
      <w:r>
        <w:rPr/>
        <w:t>аспартатаминотрансферазы, гамма-глютамилтрансферазы в крови, исследование уровня общего билирубина, билирубина связанного (конъюгированного), холестерина, холестерина липопротеинов низкой плотности, холестерина липопротеинов высокой плотности, триглицеридов в крови (не менее 1 раза в месяц).</w:t>
      </w:r>
    </w:p>
    <w:p>
      <w:pPr>
        <w:pStyle w:val="ListParagraph"/>
        <w:numPr>
          <w:ilvl w:val="3"/>
          <w:numId w:val="2"/>
        </w:numPr>
        <w:tabs>
          <w:tab w:pos="953" w:val="left" w:leader="none"/>
        </w:tabs>
        <w:spacing w:line="240" w:lineRule="auto" w:before="243" w:after="0"/>
        <w:ind w:left="139" w:right="143" w:firstLine="542"/>
        <w:jc w:val="both"/>
        <w:rPr>
          <w:sz w:val="24"/>
        </w:rPr>
      </w:pPr>
      <w:r>
        <w:rPr>
          <w:sz w:val="24"/>
        </w:rPr>
        <w:t>Рекомендуется всем пациентам с БВ при диагностике и далее в динамике исследование коагулограммы (ориентировочного исследования системы гемостаза), определение протромбинового (тромбопластинового) времени в крови или в плазме, международного нормализованного отношения (МНО), активированного частичного тромбопластинового времени (АЧТВ) с целью своевременного выявления нарушений гемостаза. [</w:t>
      </w:r>
      <w:hyperlink w:history="true" w:anchor="_bookmark9">
        <w:r>
          <w:rPr>
            <w:color w:val="0000FF"/>
            <w:sz w:val="24"/>
          </w:rPr>
          <w:t>10</w:t>
        </w:r>
      </w:hyperlink>
      <w:r>
        <w:rPr>
          <w:sz w:val="24"/>
        </w:rPr>
        <w:t>, </w:t>
      </w:r>
      <w:hyperlink w:history="true" w:anchor="_bookmark29">
        <w:r>
          <w:rPr>
            <w:color w:val="0000FF"/>
            <w:sz w:val="24"/>
          </w:rPr>
          <w:t>37</w:t>
        </w:r>
      </w:hyperlink>
      <w:r>
        <w:rPr>
          <w:sz w:val="24"/>
        </w:rPr>
        <w:t>, </w:t>
      </w:r>
      <w:hyperlink w:history="true" w:anchor="_bookmark37">
        <w:r>
          <w:rPr>
            <w:color w:val="0000FF"/>
            <w:sz w:val="24"/>
          </w:rPr>
          <w:t>45</w:t>
        </w:r>
      </w:hyperlink>
      <w:r>
        <w:rPr>
          <w:sz w:val="24"/>
        </w:rPr>
        <w:t>].</w:t>
      </w:r>
    </w:p>
    <w:p>
      <w:pPr>
        <w:pStyle w:val="BodyText"/>
        <w:spacing w:line="237" w:lineRule="auto" w:before="3"/>
        <w:ind w:left="677" w:right="149"/>
      </w:pPr>
      <w:r>
        <w:rPr/>
        <w:t>Уровень убедительности рекомендации </w:t>
      </w:r>
      <w:hyperlink w:history="true" w:anchor="_bookmark45">
        <w:r>
          <w:rPr>
            <w:color w:val="0000FF"/>
          </w:rPr>
          <w:t>C</w:t>
        </w:r>
      </w:hyperlink>
      <w:r>
        <w:rPr>
          <w:color w:val="0000FF"/>
        </w:rPr>
        <w:t> </w:t>
      </w:r>
      <w:r>
        <w:rPr/>
        <w:t>(уровень достоверности доказательств – 5) Комментарий:</w:t>
      </w:r>
      <w:r>
        <w:rPr>
          <w:spacing w:val="40"/>
        </w:rPr>
        <w:t> </w:t>
      </w:r>
      <w:r>
        <w:rPr/>
        <w:t>при</w:t>
      </w:r>
      <w:r>
        <w:rPr>
          <w:spacing w:val="40"/>
        </w:rPr>
        <w:t> </w:t>
      </w:r>
      <w:r>
        <w:rPr/>
        <w:t>необходимости</w:t>
      </w:r>
      <w:r>
        <w:rPr>
          <w:spacing w:val="66"/>
        </w:rPr>
        <w:t> </w:t>
      </w:r>
      <w:r>
        <w:rPr/>
        <w:t>так</w:t>
      </w:r>
      <w:r>
        <w:rPr>
          <w:spacing w:val="40"/>
        </w:rPr>
        <w:t> </w:t>
      </w:r>
      <w:r>
        <w:rPr/>
        <w:t>же</w:t>
      </w:r>
      <w:r>
        <w:rPr>
          <w:spacing w:val="40"/>
        </w:rPr>
        <w:t> </w:t>
      </w:r>
      <w:r>
        <w:rPr/>
        <w:t>определяют</w:t>
      </w:r>
      <w:r>
        <w:rPr>
          <w:spacing w:val="66"/>
        </w:rPr>
        <w:t> </w:t>
      </w:r>
      <w:r>
        <w:rPr/>
        <w:t>тромбиновое</w:t>
      </w:r>
      <w:r>
        <w:rPr>
          <w:spacing w:val="64"/>
        </w:rPr>
        <w:t> </w:t>
      </w:r>
      <w:r>
        <w:rPr/>
        <w:t>время</w:t>
      </w:r>
      <w:r>
        <w:rPr>
          <w:spacing w:val="40"/>
        </w:rPr>
        <w:t> </w:t>
      </w:r>
      <w:r>
        <w:rPr/>
        <w:t>в</w:t>
      </w:r>
      <w:r>
        <w:rPr>
          <w:spacing w:val="67"/>
        </w:rPr>
        <w:t> </w:t>
      </w:r>
      <w:r>
        <w:rPr/>
        <w:t>крови,</w:t>
      </w:r>
    </w:p>
    <w:p>
      <w:pPr>
        <w:pStyle w:val="BodyText"/>
        <w:spacing w:before="4"/>
        <w:ind w:right="139"/>
      </w:pPr>
      <w:r>
        <w:rPr/>
        <w:t>исследование уровня фибриногена в крови. Данные показатели позволяют контролировать синтетическую функцию печени,</w:t>
      </w:r>
      <w:r>
        <w:rPr>
          <w:spacing w:val="-1"/>
        </w:rPr>
        <w:t> </w:t>
      </w:r>
      <w:r>
        <w:rPr/>
        <w:t>выявлять</w:t>
      </w:r>
      <w:r>
        <w:rPr>
          <w:spacing w:val="-2"/>
        </w:rPr>
        <w:t> </w:t>
      </w:r>
      <w:r>
        <w:rPr/>
        <w:t>синдром</w:t>
      </w:r>
      <w:r>
        <w:rPr>
          <w:spacing w:val="-2"/>
        </w:rPr>
        <w:t> </w:t>
      </w:r>
      <w:r>
        <w:rPr/>
        <w:t>печеночно-клеточной</w:t>
      </w:r>
      <w:r>
        <w:rPr>
          <w:spacing w:val="-2"/>
        </w:rPr>
        <w:t> </w:t>
      </w:r>
      <w:r>
        <w:rPr/>
        <w:t>недостаточности</w:t>
      </w:r>
      <w:r>
        <w:rPr>
          <w:spacing w:val="-1"/>
        </w:rPr>
        <w:t> </w:t>
      </w:r>
      <w:r>
        <w:rPr/>
        <w:t>и своевременно предупреждать осложнения, связанные с нарушением гемостаза </w:t>
      </w:r>
      <w:hyperlink w:history="true" w:anchor="_bookmark41">
        <w:r>
          <w:rPr>
            <w:color w:val="0000FF"/>
          </w:rPr>
          <w:t>[49]</w:t>
        </w:r>
      </w:hyperlink>
      <w:r>
        <w:rPr/>
        <w:t>.</w:t>
      </w:r>
    </w:p>
    <w:p>
      <w:pPr>
        <w:pStyle w:val="ListParagraph"/>
        <w:numPr>
          <w:ilvl w:val="3"/>
          <w:numId w:val="2"/>
        </w:numPr>
        <w:tabs>
          <w:tab w:pos="867" w:val="left" w:leader="none"/>
        </w:tabs>
        <w:spacing w:line="240" w:lineRule="auto" w:before="238" w:after="0"/>
        <w:ind w:left="139" w:right="149" w:firstLine="542"/>
        <w:jc w:val="both"/>
        <w:rPr>
          <w:sz w:val="24"/>
        </w:rPr>
      </w:pPr>
      <w:r>
        <w:rPr>
          <w:sz w:val="24"/>
        </w:rPr>
        <w:t>Рекомендовано пациентам с БВ проводить исследование уровня общего кортизола, адренокортикотропного гормона в крови с целью своевременной диагностики надпочечниковой недостаточности и назначения заместительной терапии [</w:t>
      </w:r>
      <w:hyperlink w:history="true" w:anchor="_bookmark14">
        <w:r>
          <w:rPr>
            <w:color w:val="0000FF"/>
            <w:sz w:val="24"/>
          </w:rPr>
          <w:t>15</w:t>
        </w:r>
      </w:hyperlink>
      <w:r>
        <w:rPr>
          <w:sz w:val="24"/>
        </w:rPr>
        <w:t>, </w:t>
      </w:r>
      <w:hyperlink w:history="true" w:anchor="_bookmark27">
        <w:r>
          <w:rPr>
            <w:color w:val="0000FF"/>
            <w:sz w:val="24"/>
          </w:rPr>
          <w:t>35</w:t>
        </w:r>
      </w:hyperlink>
      <w:r>
        <w:rPr>
          <w:sz w:val="24"/>
        </w:rPr>
        <w:t>].</w:t>
      </w:r>
    </w:p>
    <w:p>
      <w:pPr>
        <w:pStyle w:val="BodyText"/>
        <w:spacing w:line="275" w:lineRule="exact" w:before="2"/>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51" w:firstLine="538"/>
      </w:pPr>
      <w:r>
        <w:rPr/>
        <w:t>Комментарии: при выявлении признаков надпочечниковой недостаточности показано исследование уровня общего кортизола, адренокортикотропного гормона, глюкозы в крови, определение рениновой активности плазмы крови, исследование уровня натрия, калия в </w:t>
      </w:r>
      <w:r>
        <w:rPr>
          <w:spacing w:val="-2"/>
        </w:rPr>
        <w:t>крови.</w:t>
      </w:r>
    </w:p>
    <w:p>
      <w:pPr>
        <w:pStyle w:val="BodyText"/>
        <w:spacing w:before="8"/>
        <w:ind w:left="0"/>
        <w:jc w:val="left"/>
      </w:pPr>
    </w:p>
    <w:p>
      <w:pPr>
        <w:pStyle w:val="Heading1"/>
        <w:numPr>
          <w:ilvl w:val="2"/>
          <w:numId w:val="2"/>
        </w:numPr>
        <w:tabs>
          <w:tab w:pos="1563" w:val="left" w:leader="none"/>
        </w:tabs>
        <w:spacing w:line="240" w:lineRule="auto" w:before="0" w:after="0"/>
        <w:ind w:left="139" w:right="153" w:firstLine="542"/>
        <w:jc w:val="both"/>
      </w:pPr>
      <w:bookmarkStart w:name="2.3.2. Лабораторные диагностические иссл" w:id="22"/>
      <w:bookmarkEnd w:id="22"/>
      <w:r>
        <w:rPr>
          <w:b w:val="0"/>
        </w:rPr>
      </w:r>
      <w:r>
        <w:rPr/>
        <w:t>Лабораторные диагностические исследования при болезни накопления эфиров холестерина (БНЭХ)</w:t>
      </w:r>
    </w:p>
    <w:p>
      <w:pPr>
        <w:pStyle w:val="ListParagraph"/>
        <w:numPr>
          <w:ilvl w:val="3"/>
          <w:numId w:val="2"/>
        </w:numPr>
        <w:tabs>
          <w:tab w:pos="862" w:val="left" w:leader="none"/>
        </w:tabs>
        <w:spacing w:line="240" w:lineRule="auto" w:before="234" w:after="0"/>
        <w:ind w:left="139" w:right="146" w:firstLine="542"/>
        <w:jc w:val="both"/>
        <w:rPr>
          <w:sz w:val="24"/>
        </w:rPr>
      </w:pPr>
      <w:r>
        <w:rPr>
          <w:sz w:val="24"/>
        </w:rPr>
        <w:t>Рекомендуется всем пациентам с подозрением на БНЭХ для верификации диагноза определение активности лизосомной кислой липазы в пятнах высушенной крови или лейкоцитах периферической крови [</w:t>
      </w:r>
      <w:hyperlink w:history="true" w:anchor="_bookmark16">
        <w:r>
          <w:rPr>
            <w:color w:val="0000FF"/>
            <w:sz w:val="24"/>
          </w:rPr>
          <w:t>17</w:t>
        </w:r>
      </w:hyperlink>
      <w:r>
        <w:rPr>
          <w:sz w:val="24"/>
        </w:rPr>
        <w:t>, </w:t>
      </w:r>
      <w:hyperlink w:history="true" w:anchor="_bookmark17">
        <w:r>
          <w:rPr>
            <w:color w:val="0000FF"/>
            <w:sz w:val="24"/>
          </w:rPr>
          <w:t>18</w:t>
        </w:r>
      </w:hyperlink>
      <w:r>
        <w:rPr>
          <w:sz w:val="24"/>
        </w:rPr>
        <w:t>].</w:t>
      </w:r>
    </w:p>
    <w:p>
      <w:pPr>
        <w:pStyle w:val="BodyText"/>
        <w:spacing w:line="274"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3).</w:t>
      </w:r>
    </w:p>
    <w:p>
      <w:pPr>
        <w:pStyle w:val="BodyText"/>
        <w:spacing w:before="2"/>
        <w:ind w:right="142" w:firstLine="538"/>
      </w:pPr>
      <w:r>
        <w:rPr/>
        <w:t>Комментарий: Определение активности ЛКЛ в сухих пятнах крови позволяет подтвердить или опровергнуть диагноз ДЛКЛ</w:t>
      </w:r>
      <w:r>
        <w:rPr>
          <w:spacing w:val="-1"/>
        </w:rPr>
        <w:t> </w:t>
      </w:r>
      <w:r>
        <w:rPr/>
        <w:t>и является "золотым стандартом" диагностики этого заболевания. Правила забора крови на карточку-фильтр приведены в </w:t>
      </w:r>
      <w:hyperlink w:history="true" w:anchor="_bookmark46">
        <w:r>
          <w:rPr>
            <w:color w:val="0000FF"/>
          </w:rPr>
          <w:t>Приложении А3</w:t>
        </w:r>
        <w:r>
          <w:rPr/>
          <w:t>.</w:t>
        </w:r>
      </w:hyperlink>
    </w:p>
    <w:p>
      <w:pPr>
        <w:pStyle w:val="ListParagraph"/>
        <w:numPr>
          <w:ilvl w:val="3"/>
          <w:numId w:val="2"/>
        </w:numPr>
        <w:tabs>
          <w:tab w:pos="972" w:val="left" w:leader="none"/>
        </w:tabs>
        <w:spacing w:line="240" w:lineRule="auto" w:before="238" w:after="0"/>
        <w:ind w:left="139" w:right="142" w:firstLine="542"/>
        <w:jc w:val="both"/>
        <w:rPr>
          <w:sz w:val="24"/>
        </w:rPr>
      </w:pPr>
      <w:r>
        <w:rPr>
          <w:sz w:val="24"/>
        </w:rPr>
        <w:t>Рекомендуется пациентам, у которых выявлено снижение активности ЛКЛ, проведение молекулярно-генетического исследования (выявление мутаций гена LIPA) с целью подтверждения диагноза на молекулярно-генетическом уровне, возможности проведения пренатальной и преимплантационной диагностики в семье [</w:t>
      </w:r>
      <w:hyperlink w:history="true" w:anchor="_bookmark3">
        <w:r>
          <w:rPr>
            <w:color w:val="0000FF"/>
            <w:sz w:val="24"/>
          </w:rPr>
          <w:t>3</w:t>
        </w:r>
      </w:hyperlink>
      <w:r>
        <w:rPr>
          <w:sz w:val="24"/>
        </w:rPr>
        <w:t>, </w:t>
      </w:r>
      <w:hyperlink w:history="true" w:anchor="_bookmark14">
        <w:r>
          <w:rPr>
            <w:color w:val="0000FF"/>
            <w:sz w:val="24"/>
          </w:rPr>
          <w:t>15</w:t>
        </w:r>
      </w:hyperlink>
      <w:r>
        <w:rPr>
          <w:sz w:val="24"/>
        </w:rPr>
        <w:t>].</w:t>
      </w:r>
    </w:p>
    <w:p>
      <w:pPr>
        <w:spacing w:after="0" w:line="240" w:lineRule="auto"/>
        <w:jc w:val="both"/>
        <w:rPr>
          <w:sz w:val="24"/>
        </w:rPr>
        <w:sectPr>
          <w:pgSz w:w="11910" w:h="16840"/>
          <w:pgMar w:header="572" w:footer="1177" w:top="1320" w:bottom="1360" w:left="1560" w:right="420"/>
        </w:sectPr>
      </w:pPr>
    </w:p>
    <w:p>
      <w:pPr>
        <w:pStyle w:val="BodyText"/>
        <w:spacing w:line="242" w:lineRule="auto" w:before="80"/>
        <w:ind w:left="677" w:right="146"/>
      </w:pPr>
      <w:r>
        <w:rPr/>
        <w:t>Уровень убедительности рекомендации </w:t>
      </w:r>
      <w:hyperlink w:history="true" w:anchor="_bookmark45">
        <w:r>
          <w:rPr>
            <w:color w:val="0000FF"/>
          </w:rPr>
          <w:t>C</w:t>
        </w:r>
      </w:hyperlink>
      <w:r>
        <w:rPr>
          <w:color w:val="0000FF"/>
        </w:rPr>
        <w:t> </w:t>
      </w:r>
      <w:r>
        <w:rPr/>
        <w:t>(уровень достоверности доказательств – 5). Комментарии: Большинство пациентов с ДЛКЛ являются гомозиготами или компаунд-</w:t>
      </w:r>
    </w:p>
    <w:p>
      <w:pPr>
        <w:pStyle w:val="BodyText"/>
        <w:ind w:right="135"/>
      </w:pPr>
      <w:r>
        <w:rPr/>
        <w:t>гетерозиготами по мутациям в кодирующей области гена</w:t>
      </w:r>
      <w:r>
        <w:rPr>
          <w:spacing w:val="-2"/>
        </w:rPr>
        <w:t> </w:t>
      </w:r>
      <w:r>
        <w:rPr/>
        <w:t>LIPA, описаны интронные</w:t>
      </w:r>
      <w:r>
        <w:rPr>
          <w:spacing w:val="-2"/>
        </w:rPr>
        <w:t> </w:t>
      </w:r>
      <w:r>
        <w:rPr/>
        <w:t>мутации и протяженные перестройки гена, не выявляемые при проведении стандартного генетического исследования. Также патогенность выявленных редких и новых мутаций требует дополнительных доказательств. Поскольку в настоящее время гено-фенотипическая корреляция установлена только на уровне клинической формы ДЛКЛ (БВ, либо БНЭХ), но</w:t>
      </w:r>
      <w:r>
        <w:rPr>
          <w:spacing w:val="40"/>
        </w:rPr>
        <w:t> </w:t>
      </w:r>
      <w:r>
        <w:rPr/>
        <w:t>не прослеживается для отдельных фенотипических признаков, молекулярно-генетическое исследование применяется для подтверждения, а не установления диагноза ДЛКЛ. Выявление семейной мутации гена LIPA делает возможным обследование родственников пробанда, а также проведение пренатальной и преимплантационной диагностики.</w:t>
      </w:r>
    </w:p>
    <w:p>
      <w:pPr>
        <w:pStyle w:val="ListParagraph"/>
        <w:numPr>
          <w:ilvl w:val="3"/>
          <w:numId w:val="2"/>
        </w:numPr>
        <w:tabs>
          <w:tab w:pos="852" w:val="left" w:leader="none"/>
        </w:tabs>
        <w:spacing w:line="240" w:lineRule="auto" w:before="238" w:after="0"/>
        <w:ind w:left="139" w:right="148" w:firstLine="542"/>
        <w:jc w:val="both"/>
        <w:rPr>
          <w:sz w:val="24"/>
        </w:rPr>
      </w:pPr>
      <w:r>
        <w:rPr>
          <w:sz w:val="24"/>
        </w:rPr>
        <w:t>Рекомендуется проведение общего (клинического) анализа крови, развернутого всем пациентам с</w:t>
      </w:r>
      <w:r>
        <w:rPr>
          <w:spacing w:val="-6"/>
          <w:sz w:val="24"/>
        </w:rPr>
        <w:t> </w:t>
      </w:r>
      <w:r>
        <w:rPr>
          <w:sz w:val="24"/>
        </w:rPr>
        <w:t>подозрением</w:t>
      </w:r>
      <w:r>
        <w:rPr>
          <w:spacing w:val="-3"/>
          <w:sz w:val="24"/>
        </w:rPr>
        <w:t> </w:t>
      </w:r>
      <w:r>
        <w:rPr>
          <w:sz w:val="24"/>
        </w:rPr>
        <w:t>на</w:t>
      </w:r>
      <w:r>
        <w:rPr>
          <w:spacing w:val="-1"/>
          <w:sz w:val="24"/>
        </w:rPr>
        <w:t> </w:t>
      </w:r>
      <w:r>
        <w:rPr>
          <w:sz w:val="24"/>
        </w:rPr>
        <w:t>БНЭХ</w:t>
      </w:r>
      <w:r>
        <w:rPr>
          <w:spacing w:val="-6"/>
          <w:sz w:val="24"/>
        </w:rPr>
        <w:t> </w:t>
      </w:r>
      <w:r>
        <w:rPr>
          <w:sz w:val="24"/>
        </w:rPr>
        <w:t>и далее</w:t>
      </w:r>
      <w:r>
        <w:rPr>
          <w:spacing w:val="-1"/>
          <w:sz w:val="24"/>
        </w:rPr>
        <w:t> </w:t>
      </w:r>
      <w:r>
        <w:rPr>
          <w:sz w:val="24"/>
        </w:rPr>
        <w:t>в динамике,</w:t>
      </w:r>
      <w:r>
        <w:rPr>
          <w:spacing w:val="-3"/>
          <w:sz w:val="24"/>
        </w:rPr>
        <w:t> </w:t>
      </w:r>
      <w:r>
        <w:rPr>
          <w:sz w:val="24"/>
        </w:rPr>
        <w:t>в среднем,</w:t>
      </w:r>
      <w:r>
        <w:rPr>
          <w:spacing w:val="-3"/>
          <w:sz w:val="24"/>
        </w:rPr>
        <w:t> </w:t>
      </w:r>
      <w:r>
        <w:rPr>
          <w:sz w:val="24"/>
        </w:rPr>
        <w:t>не</w:t>
      </w:r>
      <w:r>
        <w:rPr>
          <w:spacing w:val="-1"/>
          <w:sz w:val="24"/>
        </w:rPr>
        <w:t> </w:t>
      </w:r>
      <w:r>
        <w:rPr>
          <w:sz w:val="24"/>
        </w:rPr>
        <w:t>реже</w:t>
      </w:r>
      <w:r>
        <w:rPr>
          <w:spacing w:val="-1"/>
          <w:sz w:val="24"/>
        </w:rPr>
        <w:t> </w:t>
      </w:r>
      <w:r>
        <w:rPr>
          <w:sz w:val="24"/>
        </w:rPr>
        <w:t>1</w:t>
      </w:r>
      <w:r>
        <w:rPr>
          <w:spacing w:val="-5"/>
          <w:sz w:val="24"/>
        </w:rPr>
        <w:t> </w:t>
      </w:r>
      <w:r>
        <w:rPr>
          <w:sz w:val="24"/>
        </w:rPr>
        <w:t>раза</w:t>
      </w:r>
      <w:r>
        <w:rPr>
          <w:spacing w:val="-1"/>
          <w:sz w:val="24"/>
        </w:rPr>
        <w:t> </w:t>
      </w:r>
      <w:r>
        <w:rPr>
          <w:sz w:val="24"/>
        </w:rPr>
        <w:t>в</w:t>
      </w:r>
      <w:r>
        <w:rPr>
          <w:spacing w:val="-3"/>
          <w:sz w:val="24"/>
        </w:rPr>
        <w:t> </w:t>
      </w:r>
      <w:r>
        <w:rPr>
          <w:sz w:val="24"/>
        </w:rPr>
        <w:t>6</w:t>
      </w:r>
      <w:r>
        <w:rPr>
          <w:spacing w:val="-5"/>
          <w:sz w:val="24"/>
        </w:rPr>
        <w:t> </w:t>
      </w:r>
      <w:r>
        <w:rPr>
          <w:sz w:val="24"/>
        </w:rPr>
        <w:t>месяцев с целью выявления анемии, лейкопении, тромбоцитопении [</w:t>
      </w:r>
      <w:hyperlink w:history="true" w:anchor="_bookmark8">
        <w:r>
          <w:rPr>
            <w:color w:val="0000FF"/>
            <w:sz w:val="24"/>
          </w:rPr>
          <w:t>9</w:t>
        </w:r>
      </w:hyperlink>
      <w:r>
        <w:rPr>
          <w:sz w:val="24"/>
        </w:rPr>
        <w:t>, </w:t>
      </w:r>
      <w:hyperlink w:history="true" w:anchor="_bookmark12">
        <w:r>
          <w:rPr>
            <w:color w:val="0000FF"/>
            <w:sz w:val="24"/>
          </w:rPr>
          <w:t>13</w:t>
        </w:r>
      </w:hyperlink>
      <w:r>
        <w:rPr>
          <w:sz w:val="24"/>
        </w:rPr>
        <w:t>, </w:t>
      </w:r>
      <w:hyperlink w:history="true" w:anchor="_bookmark14">
        <w:r>
          <w:rPr>
            <w:color w:val="0000FF"/>
            <w:sz w:val="24"/>
          </w:rPr>
          <w:t>15</w:t>
        </w:r>
      </w:hyperlink>
      <w:r>
        <w:rPr>
          <w:sz w:val="24"/>
        </w:rPr>
        <w:t>].</w:t>
      </w:r>
    </w:p>
    <w:p>
      <w:pPr>
        <w:pStyle w:val="BodyText"/>
        <w:spacing w:line="274"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3"/>
        <w:ind w:right="142" w:firstLine="538"/>
      </w:pPr>
      <w:r>
        <w:rPr/>
        <w:t>Комментарии: В рамках общего (клинического) анализа крови развернутого необходимо: исследование уровня общего гемоглобина, эритроцитов, лейкоцитов, тромбоцитов в крови, дифференцированный подсчет лейкоцитов (лейкоцитарная формула), просмотр мазка крови для анализа аномалий морфологии эритроцитов, тромбоцитов и лейкоцитов, определение цветового показателя, определение размеров эритроцитов, исследование скорости оседания эритроцитов. Патогенетические механизмы формирования анемии и тромбоцитопении не до конца изучены. Одним из возможных</w:t>
      </w:r>
      <w:r>
        <w:rPr>
          <w:spacing w:val="-1"/>
        </w:rPr>
        <w:t> </w:t>
      </w:r>
      <w:r>
        <w:rPr/>
        <w:t>механизмов является накопление эфиров холестерина и триглицеридов в клетках макрофагально-моноцитарной системы. Кроме того, анемия может иметь как алиментарный дефицитный характер, так и являться следствием гиперспленизма. Тромбоцитопения является следствием гиперспленизма при формировании портальной гипертензии, наряду с этим описаны случаи вторичного гемофагоцитарного лимфогистиоцитоза.</w:t>
      </w:r>
    </w:p>
    <w:p>
      <w:pPr>
        <w:pStyle w:val="ListParagraph"/>
        <w:numPr>
          <w:ilvl w:val="3"/>
          <w:numId w:val="2"/>
        </w:numPr>
        <w:tabs>
          <w:tab w:pos="910" w:val="left" w:leader="none"/>
          <w:tab w:pos="5100" w:val="left" w:leader="none"/>
          <w:tab w:pos="6890" w:val="left" w:leader="none"/>
        </w:tabs>
        <w:spacing w:line="240" w:lineRule="auto" w:before="241" w:after="0"/>
        <w:ind w:left="139" w:right="136" w:firstLine="542"/>
        <w:jc w:val="both"/>
        <w:rPr>
          <w:sz w:val="24"/>
        </w:rPr>
      </w:pPr>
      <w:r>
        <w:rPr>
          <w:sz w:val="24"/>
        </w:rPr>
        <w:t>Рекомендуется проведение анализа крови биохимического общетерапевтического (исследование уровня холестерина, холестерина липопротеинов высокой плотности, холестерина липопротеинов низкой плотности, триглицеридов, общего белка, альбумина, общего билирубина, билирубина связанного (конъюгированного), билирубина свободного (неконъюгированного),</w:t>
      </w:r>
      <w:r>
        <w:rPr>
          <w:spacing w:val="80"/>
          <w:sz w:val="24"/>
        </w:rPr>
        <w:t>   </w:t>
      </w:r>
      <w:r>
        <w:rPr>
          <w:sz w:val="24"/>
        </w:rPr>
        <w:t>определение</w:t>
        <w:tab/>
      </w:r>
      <w:r>
        <w:rPr>
          <w:spacing w:val="-2"/>
          <w:sz w:val="24"/>
        </w:rPr>
        <w:t>активности</w:t>
      </w:r>
      <w:r>
        <w:rPr>
          <w:sz w:val="24"/>
        </w:rPr>
        <w:tab/>
      </w:r>
      <w:r>
        <w:rPr>
          <w:spacing w:val="-2"/>
          <w:sz w:val="24"/>
        </w:rPr>
        <w:t>аспартатаминотрансферазы, </w:t>
      </w:r>
      <w:r>
        <w:rPr>
          <w:sz w:val="24"/>
        </w:rPr>
        <w:t>аланинаминотрансферазы, гамма-глютамилтрансферазы) при диагностике и в процессе диспансерного наблюдения, в среднем, каждые 3-6 месяцев всем пациентам с БНЭХ для определения функционального состояния печени, которая является одним из органов- мишеней при ДЛКЛ, и определения дислипидемии в крови [</w:t>
      </w:r>
      <w:hyperlink w:history="true" w:anchor="_bookmark14">
        <w:r>
          <w:rPr>
            <w:color w:val="0000FF"/>
            <w:sz w:val="24"/>
          </w:rPr>
          <w:t>15</w:t>
        </w:r>
      </w:hyperlink>
      <w:r>
        <w:rPr>
          <w:sz w:val="24"/>
        </w:rPr>
        <w:t>, </w:t>
      </w:r>
      <w:hyperlink w:history="true" w:anchor="_bookmark15">
        <w:r>
          <w:rPr>
            <w:color w:val="0000FF"/>
            <w:sz w:val="24"/>
          </w:rPr>
          <w:t>16</w:t>
        </w:r>
      </w:hyperlink>
      <w:r>
        <w:rPr>
          <w:sz w:val="24"/>
        </w:rPr>
        <w:t>, </w:t>
      </w:r>
      <w:hyperlink w:history="true" w:anchor="_bookmark30">
        <w:r>
          <w:rPr>
            <w:color w:val="0000FF"/>
            <w:sz w:val="24"/>
          </w:rPr>
          <w:t>38</w:t>
        </w:r>
      </w:hyperlink>
      <w:r>
        <w:rPr>
          <w:sz w:val="24"/>
        </w:rPr>
        <w:t>].</w:t>
      </w:r>
    </w:p>
    <w:p>
      <w:pPr>
        <w:pStyle w:val="BodyText"/>
        <w:spacing w:line="274" w:lineRule="exact"/>
        <w:ind w:left="677"/>
      </w:pPr>
      <w:r>
        <w:rPr/>
        <w:t>Уровень</w:t>
      </w:r>
      <w:r>
        <w:rPr>
          <w:spacing w:val="-10"/>
        </w:rPr>
        <w:t> </w:t>
      </w:r>
      <w:r>
        <w:rPr/>
        <w:t>убедительности</w:t>
      </w:r>
      <w:r>
        <w:rPr>
          <w:spacing w:val="-3"/>
        </w:rPr>
        <w:t> </w:t>
      </w:r>
      <w:r>
        <w:rPr/>
        <w:t>рекомендации</w:t>
      </w:r>
      <w:r>
        <w:rPr>
          <w:spacing w:val="-3"/>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3"/>
        </w:rPr>
        <w:t> </w:t>
      </w:r>
      <w:r>
        <w:rPr/>
        <w:t>–</w:t>
      </w:r>
      <w:r>
        <w:rPr>
          <w:spacing w:val="-2"/>
        </w:rPr>
        <w:t> </w:t>
      </w:r>
      <w:r>
        <w:rPr>
          <w:spacing w:val="-5"/>
        </w:rPr>
        <w:t>5)</w:t>
      </w:r>
    </w:p>
    <w:p>
      <w:pPr>
        <w:pStyle w:val="BodyText"/>
        <w:spacing w:before="2"/>
        <w:ind w:right="136" w:firstLine="538"/>
      </w:pPr>
      <w:r>
        <w:rPr/>
        <w:t>Комментарии: у большинства пациентов с БНЭХ выявляют повышение активности трансаминаз (АЛТ, АСТ), гиперхолестеринемию, гипертриглицеридемию; увеличение концентрации ЛПНП, у многих пациентов снижено количество ЛПВП в крови. При анализе аполипопротеинограммы выявляют повышение уровня</w:t>
      </w:r>
      <w:r>
        <w:rPr>
          <w:spacing w:val="-3"/>
        </w:rPr>
        <w:t> </w:t>
      </w:r>
      <w:r>
        <w:rPr/>
        <w:t>основного аполипопротеина ЛПНП – аполипопротеина B.</w:t>
      </w:r>
    </w:p>
    <w:p>
      <w:pPr>
        <w:pStyle w:val="ListParagraph"/>
        <w:numPr>
          <w:ilvl w:val="3"/>
          <w:numId w:val="2"/>
        </w:numPr>
        <w:tabs>
          <w:tab w:pos="900" w:val="left" w:leader="none"/>
        </w:tabs>
        <w:spacing w:line="240" w:lineRule="auto" w:before="238" w:after="0"/>
        <w:ind w:left="139" w:right="141" w:firstLine="542"/>
        <w:jc w:val="both"/>
        <w:rPr>
          <w:sz w:val="24"/>
        </w:rPr>
      </w:pPr>
      <w:r>
        <w:rPr>
          <w:sz w:val="24"/>
        </w:rPr>
        <w:t>Рекомендуется исследование уровня мочевины, креатинина в сыворотке крови с определением скорости клубочковой фильтрации всем пациентам с БНЭХ при диагностике заболевания и при динамическом наблюдении, в среднем каждые 6-12 месяцев с целью контроля функции почек и своевременной диагностики ее нарушения </w:t>
      </w:r>
      <w:hyperlink w:history="true" w:anchor="_bookmark30">
        <w:r>
          <w:rPr>
            <w:color w:val="0000FF"/>
            <w:sz w:val="24"/>
          </w:rPr>
          <w:t>[38]</w:t>
        </w:r>
      </w:hyperlink>
      <w:r>
        <w:rPr>
          <w:sz w:val="24"/>
        </w:rPr>
        <w:t>.</w:t>
      </w:r>
    </w:p>
    <w:p>
      <w:pPr>
        <w:pStyle w:val="BodyText"/>
        <w:spacing w:before="1"/>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spacing w:after="0"/>
        <w:sectPr>
          <w:pgSz w:w="11910" w:h="16840"/>
          <w:pgMar w:header="572" w:footer="1177" w:top="1320" w:bottom="1360" w:left="1560" w:right="420"/>
        </w:sectPr>
      </w:pPr>
    </w:p>
    <w:p>
      <w:pPr>
        <w:pStyle w:val="ListParagraph"/>
        <w:numPr>
          <w:ilvl w:val="3"/>
          <w:numId w:val="2"/>
        </w:numPr>
        <w:tabs>
          <w:tab w:pos="915" w:val="left" w:leader="none"/>
        </w:tabs>
        <w:spacing w:line="240" w:lineRule="auto" w:before="80" w:after="0"/>
        <w:ind w:left="139" w:right="137" w:firstLine="542"/>
        <w:jc w:val="both"/>
        <w:rPr>
          <w:sz w:val="24"/>
        </w:rPr>
      </w:pPr>
      <w:r>
        <w:rPr>
          <w:sz w:val="24"/>
        </w:rPr>
        <w:t>Рекомендуется всем пациентам с БНЭХ при диагностике и далее в динамике, ежегодно, исследование коагулограммы (ориентировочного исследования системы гемостаза), определение протромбинового (тромбопластинового) времени в крови или в плазме, международного нормализованного отношения (МНО), активированного частичного тромбопластинового времени (АЧТВ) с целью своевременного выявления нарушений гемостаза [</w:t>
      </w:r>
      <w:hyperlink w:history="true" w:anchor="_bookmark9">
        <w:r>
          <w:rPr>
            <w:color w:val="0000FF"/>
            <w:sz w:val="24"/>
          </w:rPr>
          <w:t>10</w:t>
        </w:r>
      </w:hyperlink>
      <w:r>
        <w:rPr>
          <w:sz w:val="24"/>
        </w:rPr>
        <w:t>, </w:t>
      </w:r>
      <w:hyperlink w:history="true" w:anchor="_bookmark30">
        <w:r>
          <w:rPr>
            <w:color w:val="0000FF"/>
            <w:sz w:val="24"/>
          </w:rPr>
          <w:t>38</w:t>
        </w:r>
      </w:hyperlink>
      <w:r>
        <w:rPr>
          <w:sz w:val="24"/>
        </w:rPr>
        <w:t>, </w:t>
      </w:r>
      <w:hyperlink w:history="true" w:anchor="_bookmark41">
        <w:r>
          <w:rPr>
            <w:color w:val="0000FF"/>
            <w:sz w:val="24"/>
          </w:rPr>
          <w:t>49</w:t>
        </w:r>
      </w:hyperlink>
      <w:r>
        <w:rPr>
          <w:sz w:val="24"/>
        </w:rPr>
        <w:t>].</w:t>
      </w:r>
    </w:p>
    <w:p>
      <w:pPr>
        <w:pStyle w:val="BodyText"/>
        <w:spacing w:line="242" w:lineRule="auto"/>
        <w:ind w:left="677" w:right="153"/>
      </w:pPr>
      <w:r>
        <w:rPr/>
        <w:t>Уровень убедительности рекомендации </w:t>
      </w:r>
      <w:hyperlink w:history="true" w:anchor="_bookmark45">
        <w:r>
          <w:rPr>
            <w:color w:val="0000FF"/>
          </w:rPr>
          <w:t>C</w:t>
        </w:r>
      </w:hyperlink>
      <w:r>
        <w:rPr>
          <w:color w:val="0000FF"/>
        </w:rPr>
        <w:t> </w:t>
      </w:r>
      <w:r>
        <w:rPr/>
        <w:t>(уровень достоверности доказательств – 5) Комментарии:</w:t>
      </w:r>
      <w:r>
        <w:rPr>
          <w:spacing w:val="40"/>
        </w:rPr>
        <w:t> </w:t>
      </w:r>
      <w:r>
        <w:rPr/>
        <w:t>при</w:t>
      </w:r>
      <w:r>
        <w:rPr>
          <w:spacing w:val="40"/>
        </w:rPr>
        <w:t> </w:t>
      </w:r>
      <w:r>
        <w:rPr/>
        <w:t>необходимости</w:t>
      </w:r>
      <w:r>
        <w:rPr>
          <w:spacing w:val="65"/>
        </w:rPr>
        <w:t> </w:t>
      </w:r>
      <w:r>
        <w:rPr/>
        <w:t>так</w:t>
      </w:r>
      <w:r>
        <w:rPr>
          <w:spacing w:val="40"/>
        </w:rPr>
        <w:t> </w:t>
      </w:r>
      <w:r>
        <w:rPr/>
        <w:t>же</w:t>
      </w:r>
      <w:r>
        <w:rPr>
          <w:spacing w:val="40"/>
        </w:rPr>
        <w:t> </w:t>
      </w:r>
      <w:r>
        <w:rPr/>
        <w:t>определяют</w:t>
      </w:r>
      <w:r>
        <w:rPr>
          <w:spacing w:val="65"/>
        </w:rPr>
        <w:t> </w:t>
      </w:r>
      <w:r>
        <w:rPr/>
        <w:t>тромбиновое</w:t>
      </w:r>
      <w:r>
        <w:rPr>
          <w:spacing w:val="63"/>
        </w:rPr>
        <w:t> </w:t>
      </w:r>
      <w:r>
        <w:rPr/>
        <w:t>время</w:t>
      </w:r>
      <w:r>
        <w:rPr>
          <w:spacing w:val="40"/>
        </w:rPr>
        <w:t> </w:t>
      </w:r>
      <w:r>
        <w:rPr/>
        <w:t>в</w:t>
      </w:r>
      <w:r>
        <w:rPr>
          <w:spacing w:val="66"/>
        </w:rPr>
        <w:t> </w:t>
      </w:r>
      <w:r>
        <w:rPr/>
        <w:t>крови,</w:t>
      </w:r>
    </w:p>
    <w:p>
      <w:pPr>
        <w:pStyle w:val="BodyText"/>
        <w:ind w:right="139"/>
      </w:pPr>
      <w:r>
        <w:rPr/>
        <w:t>исследование уровня фибриногена в крови. Данные показатели позволяют контролировать синтетическую функцию печени,</w:t>
      </w:r>
      <w:r>
        <w:rPr>
          <w:spacing w:val="-1"/>
        </w:rPr>
        <w:t> </w:t>
      </w:r>
      <w:r>
        <w:rPr/>
        <w:t>выявлять</w:t>
      </w:r>
      <w:r>
        <w:rPr>
          <w:spacing w:val="-2"/>
        </w:rPr>
        <w:t> </w:t>
      </w:r>
      <w:r>
        <w:rPr/>
        <w:t>синдром</w:t>
      </w:r>
      <w:r>
        <w:rPr>
          <w:spacing w:val="-2"/>
        </w:rPr>
        <w:t> </w:t>
      </w:r>
      <w:r>
        <w:rPr/>
        <w:t>печеночно-клеточной</w:t>
      </w:r>
      <w:r>
        <w:rPr>
          <w:spacing w:val="-2"/>
        </w:rPr>
        <w:t> </w:t>
      </w:r>
      <w:r>
        <w:rPr/>
        <w:t>недостаточности</w:t>
      </w:r>
      <w:r>
        <w:rPr>
          <w:spacing w:val="-1"/>
        </w:rPr>
        <w:t> </w:t>
      </w:r>
      <w:r>
        <w:rPr/>
        <w:t>и своевременно предупреждать осложнения, связанные с нарушением гемостаза </w:t>
      </w:r>
      <w:hyperlink w:history="true" w:anchor="_bookmark41">
        <w:r>
          <w:rPr>
            <w:color w:val="0000FF"/>
          </w:rPr>
          <w:t>[49]</w:t>
        </w:r>
      </w:hyperlink>
      <w:r>
        <w:rPr/>
        <w:t>.</w:t>
      </w:r>
    </w:p>
    <w:p>
      <w:pPr>
        <w:pStyle w:val="BodyText"/>
        <w:spacing w:before="1"/>
        <w:ind w:left="0"/>
        <w:jc w:val="left"/>
      </w:pPr>
    </w:p>
    <w:p>
      <w:pPr>
        <w:pStyle w:val="Heading1"/>
        <w:numPr>
          <w:ilvl w:val="1"/>
          <w:numId w:val="2"/>
        </w:numPr>
        <w:tabs>
          <w:tab w:pos="1175" w:val="left" w:leader="none"/>
        </w:tabs>
        <w:spacing w:line="240" w:lineRule="auto" w:before="0" w:after="0"/>
        <w:ind w:left="1175" w:right="0" w:hanging="493"/>
        <w:jc w:val="left"/>
      </w:pPr>
      <w:bookmarkStart w:name="2.4. Инструментальные диагностические ис" w:id="23"/>
      <w:bookmarkEnd w:id="23"/>
      <w:r>
        <w:rPr>
          <w:b w:val="0"/>
        </w:rPr>
      </w:r>
      <w:r>
        <w:rPr>
          <w:spacing w:val="-2"/>
        </w:rPr>
        <w:t>Инструментальные</w:t>
      </w:r>
      <w:r>
        <w:rPr>
          <w:spacing w:val="6"/>
        </w:rPr>
        <w:t> </w:t>
      </w:r>
      <w:r>
        <w:rPr>
          <w:spacing w:val="-2"/>
        </w:rPr>
        <w:t>диагностические</w:t>
      </w:r>
      <w:r>
        <w:rPr>
          <w:spacing w:val="7"/>
        </w:rPr>
        <w:t> </w:t>
      </w:r>
      <w:r>
        <w:rPr>
          <w:spacing w:val="-2"/>
        </w:rPr>
        <w:t>исследования</w:t>
      </w:r>
    </w:p>
    <w:p>
      <w:pPr>
        <w:pStyle w:val="ListParagraph"/>
        <w:numPr>
          <w:ilvl w:val="2"/>
          <w:numId w:val="2"/>
        </w:numPr>
        <w:tabs>
          <w:tab w:pos="1717" w:val="left" w:leader="none"/>
        </w:tabs>
        <w:spacing w:line="240" w:lineRule="auto" w:before="278" w:after="0"/>
        <w:ind w:left="139" w:right="154" w:firstLine="542"/>
        <w:jc w:val="both"/>
        <w:rPr>
          <w:b/>
          <w:sz w:val="28"/>
        </w:rPr>
      </w:pPr>
      <w:bookmarkStart w:name="2.4.1. Инструментальные диагностические " w:id="24"/>
      <w:bookmarkEnd w:id="24"/>
      <w:r>
        <w:rPr/>
      </w:r>
      <w:r>
        <w:rPr>
          <w:b/>
          <w:sz w:val="28"/>
        </w:rPr>
        <w:t>Инструментальные диагностические исследования при инфантильной форме ДЛКЛ (болезни Вольмана)</w:t>
      </w:r>
    </w:p>
    <w:p>
      <w:pPr>
        <w:pStyle w:val="ListParagraph"/>
        <w:numPr>
          <w:ilvl w:val="3"/>
          <w:numId w:val="2"/>
        </w:numPr>
        <w:tabs>
          <w:tab w:pos="939" w:val="left" w:leader="none"/>
        </w:tabs>
        <w:spacing w:line="240" w:lineRule="auto" w:before="234" w:after="0"/>
        <w:ind w:left="139" w:right="149" w:firstLine="542"/>
        <w:jc w:val="both"/>
        <w:rPr>
          <w:sz w:val="24"/>
        </w:rPr>
      </w:pPr>
      <w:r>
        <w:rPr>
          <w:sz w:val="24"/>
        </w:rPr>
        <w:t>Рекомендуется всем пациентам с подозрением на БВ и после лабораторного подтверждения диагноза</w:t>
      </w:r>
      <w:r>
        <w:rPr>
          <w:spacing w:val="-4"/>
          <w:sz w:val="24"/>
        </w:rPr>
        <w:t> </w:t>
      </w:r>
      <w:r>
        <w:rPr>
          <w:sz w:val="24"/>
        </w:rPr>
        <w:t>проведение ультразвукового исследования</w:t>
      </w:r>
      <w:r>
        <w:rPr>
          <w:spacing w:val="-4"/>
          <w:sz w:val="24"/>
        </w:rPr>
        <w:t> </w:t>
      </w:r>
      <w:r>
        <w:rPr>
          <w:sz w:val="24"/>
        </w:rPr>
        <w:t>(УЗИ)</w:t>
      </w:r>
      <w:r>
        <w:rPr>
          <w:spacing w:val="-3"/>
          <w:sz w:val="24"/>
        </w:rPr>
        <w:t> </w:t>
      </w:r>
      <w:r>
        <w:rPr>
          <w:sz w:val="24"/>
        </w:rPr>
        <w:t>брюшной</w:t>
      </w:r>
      <w:r>
        <w:rPr>
          <w:spacing w:val="-3"/>
          <w:sz w:val="24"/>
        </w:rPr>
        <w:t> </w:t>
      </w:r>
      <w:r>
        <w:rPr>
          <w:sz w:val="24"/>
        </w:rPr>
        <w:t>полости (ультразвуковое исследование органов брюшной полости (комплексное)) и забрюшинного пространства (в т.ч., ультразвуковое исследование надпочечников), а также дуплексное сканирование сосудов печени (дуплексное сканирование сосудов гепатобилиарной зоны), дуплексное сканирование сосудов селезенки с целью контроля состояния внутренних</w:t>
      </w:r>
      <w:r>
        <w:rPr>
          <w:spacing w:val="40"/>
          <w:sz w:val="24"/>
        </w:rPr>
        <w:t> </w:t>
      </w:r>
      <w:r>
        <w:rPr>
          <w:sz w:val="24"/>
        </w:rPr>
        <w:t>органов [</w:t>
      </w:r>
      <w:hyperlink w:history="true" w:anchor="_bookmark2">
        <w:r>
          <w:rPr>
            <w:color w:val="0000FF"/>
            <w:sz w:val="24"/>
          </w:rPr>
          <w:t>2</w:t>
        </w:r>
      </w:hyperlink>
      <w:r>
        <w:rPr>
          <w:sz w:val="24"/>
        </w:rPr>
        <w:t>, </w:t>
      </w:r>
      <w:hyperlink w:history="true" w:anchor="_bookmark8">
        <w:r>
          <w:rPr>
            <w:color w:val="0000FF"/>
            <w:sz w:val="24"/>
          </w:rPr>
          <w:t>9</w:t>
        </w:r>
      </w:hyperlink>
      <w:r>
        <w:rPr>
          <w:sz w:val="24"/>
        </w:rPr>
        <w:t>, </w:t>
      </w:r>
      <w:hyperlink w:history="true" w:anchor="_bookmark12">
        <w:r>
          <w:rPr>
            <w:color w:val="0000FF"/>
            <w:sz w:val="24"/>
          </w:rPr>
          <w:t>13</w:t>
        </w:r>
      </w:hyperlink>
      <w:r>
        <w:rPr>
          <w:sz w:val="24"/>
        </w:rPr>
        <w:t>, </w:t>
      </w:r>
      <w:hyperlink w:history="true" w:anchor="_bookmark14">
        <w:r>
          <w:rPr>
            <w:color w:val="0000FF"/>
            <w:sz w:val="24"/>
          </w:rPr>
          <w:t>15</w:t>
        </w:r>
      </w:hyperlink>
      <w:r>
        <w:rPr>
          <w:sz w:val="24"/>
        </w:rPr>
        <w:t>].</w:t>
      </w:r>
    </w:p>
    <w:p>
      <w:pPr>
        <w:pStyle w:val="BodyText"/>
        <w:spacing w:line="275" w:lineRule="exact" w:before="3"/>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44" w:firstLine="538"/>
      </w:pPr>
      <w:r>
        <w:rPr/>
        <w:t>Комментарии: УЗИ брюшной полости позволяют определить размеры печени и селезенки, определить диаметр воротной и селезеночной вен, наличие стеатоза, фиброза или цирроза печени, кальцификатов надпочечников.</w:t>
      </w:r>
    </w:p>
    <w:p>
      <w:pPr>
        <w:pStyle w:val="BodyText"/>
        <w:spacing w:before="2"/>
        <w:ind w:right="146" w:firstLine="538"/>
      </w:pPr>
      <w:r>
        <w:rPr/>
        <w:t>Частота проведения ультразвукового исследования органов брюшной полости (комплексного) и забрюшинного пространства (в т.ч., ультразвукового исследование надпочечников) диктуется состоянием пациента, но частота не реже 1 раза в месяц)</w:t>
      </w:r>
    </w:p>
    <w:p>
      <w:pPr>
        <w:pStyle w:val="ListParagraph"/>
        <w:numPr>
          <w:ilvl w:val="3"/>
          <w:numId w:val="2"/>
        </w:numPr>
        <w:tabs>
          <w:tab w:pos="896" w:val="left" w:leader="none"/>
        </w:tabs>
        <w:spacing w:line="240" w:lineRule="auto" w:before="237" w:after="0"/>
        <w:ind w:left="139" w:right="146" w:firstLine="542"/>
        <w:jc w:val="both"/>
        <w:rPr>
          <w:sz w:val="24"/>
        </w:rPr>
      </w:pPr>
      <w:r>
        <w:rPr>
          <w:sz w:val="24"/>
        </w:rPr>
        <w:t>Рекомендуется пациентам с БВ при наличии признаков портальной гипертензии, проведение эзофагогастродуоденоскопии (ЭГДС) с целью оценки состояния вен пищевода и желудка </w:t>
      </w:r>
      <w:hyperlink w:history="true" w:anchor="_bookmark14">
        <w:r>
          <w:rPr>
            <w:color w:val="0000FF"/>
            <w:sz w:val="24"/>
          </w:rPr>
          <w:t>[15]</w:t>
        </w:r>
      </w:hyperlink>
      <w:r>
        <w:rPr>
          <w:sz w:val="24"/>
        </w:rPr>
        <w:t>.</w:t>
      </w:r>
    </w:p>
    <w:p>
      <w:pPr>
        <w:pStyle w:val="BodyText"/>
        <w:spacing w:line="275" w:lineRule="exact" w:before="4"/>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48" w:firstLine="538"/>
      </w:pPr>
      <w:r>
        <w:rPr/>
        <w:t>Комментарии: проведение ЭГДС у пациентов с фиброзом печени, признаками портальной гипертензии необходимо для оценки степени варикозного расширения вен пищевода и угрозы кровотечения</w:t>
      </w:r>
    </w:p>
    <w:p>
      <w:pPr>
        <w:pStyle w:val="ListParagraph"/>
        <w:numPr>
          <w:ilvl w:val="3"/>
          <w:numId w:val="2"/>
        </w:numPr>
        <w:tabs>
          <w:tab w:pos="857" w:val="left" w:leader="none"/>
        </w:tabs>
        <w:spacing w:line="242" w:lineRule="auto" w:before="236" w:after="0"/>
        <w:ind w:left="139" w:right="145" w:firstLine="542"/>
        <w:jc w:val="both"/>
        <w:rPr>
          <w:sz w:val="24"/>
        </w:rPr>
      </w:pPr>
      <w:r>
        <w:rPr>
          <w:sz w:val="24"/>
        </w:rPr>
        <w:t>Не рекомендована биопсия печени в качестве рутинного метода для подтверждения диагноза БВ [</w:t>
      </w:r>
      <w:hyperlink w:history="true" w:anchor="_bookmark14">
        <w:r>
          <w:rPr>
            <w:color w:val="0000FF"/>
            <w:sz w:val="24"/>
          </w:rPr>
          <w:t>15</w:t>
        </w:r>
      </w:hyperlink>
      <w:r>
        <w:rPr>
          <w:sz w:val="24"/>
        </w:rPr>
        <w:t>, </w:t>
      </w:r>
      <w:hyperlink w:history="true" w:anchor="_bookmark18">
        <w:r>
          <w:rPr>
            <w:color w:val="0000FF"/>
            <w:sz w:val="24"/>
          </w:rPr>
          <w:t>19</w:t>
        </w:r>
      </w:hyperlink>
      <w:r>
        <w:rPr>
          <w:sz w:val="24"/>
        </w:rPr>
        <w:t>].</w:t>
      </w:r>
    </w:p>
    <w:p>
      <w:pPr>
        <w:pStyle w:val="BodyText"/>
        <w:spacing w:line="242" w:lineRule="auto"/>
        <w:ind w:left="677" w:right="153"/>
      </w:pPr>
      <w:r>
        <w:rPr/>
        <w:t>Уровень убедительности рекомендации </w:t>
      </w:r>
      <w:hyperlink w:history="true" w:anchor="_bookmark45">
        <w:r>
          <w:rPr>
            <w:color w:val="0000FF"/>
          </w:rPr>
          <w:t>C</w:t>
        </w:r>
      </w:hyperlink>
      <w:r>
        <w:rPr>
          <w:color w:val="0000FF"/>
        </w:rPr>
        <w:t> </w:t>
      </w:r>
      <w:r>
        <w:rPr/>
        <w:t>(уровень достоверности доказательств – 4). Комментарии:</w:t>
      </w:r>
      <w:r>
        <w:rPr>
          <w:spacing w:val="40"/>
        </w:rPr>
        <w:t>  </w:t>
      </w:r>
      <w:r>
        <w:rPr/>
        <w:t>может</w:t>
      </w:r>
      <w:r>
        <w:rPr>
          <w:spacing w:val="40"/>
        </w:rPr>
        <w:t>  </w:t>
      </w:r>
      <w:r>
        <w:rPr/>
        <w:t>проводиться</w:t>
      </w:r>
      <w:r>
        <w:rPr>
          <w:spacing w:val="40"/>
        </w:rPr>
        <w:t>  </w:t>
      </w:r>
      <w:r>
        <w:rPr/>
        <w:t>с</w:t>
      </w:r>
      <w:r>
        <w:rPr>
          <w:spacing w:val="40"/>
        </w:rPr>
        <w:t>  </w:t>
      </w:r>
      <w:r>
        <w:rPr/>
        <w:t>целью</w:t>
      </w:r>
      <w:r>
        <w:rPr>
          <w:spacing w:val="40"/>
        </w:rPr>
        <w:t>  </w:t>
      </w:r>
      <w:r>
        <w:rPr/>
        <w:t>оценки</w:t>
      </w:r>
      <w:r>
        <w:rPr>
          <w:spacing w:val="53"/>
        </w:rPr>
        <w:t>  </w:t>
      </w:r>
      <w:r>
        <w:rPr/>
        <w:t>состояния</w:t>
      </w:r>
      <w:r>
        <w:rPr>
          <w:spacing w:val="40"/>
        </w:rPr>
        <w:t>  </w:t>
      </w:r>
      <w:r>
        <w:rPr/>
        <w:t>ткани</w:t>
      </w:r>
      <w:r>
        <w:rPr>
          <w:spacing w:val="40"/>
        </w:rPr>
        <w:t>  </w:t>
      </w:r>
      <w:r>
        <w:rPr/>
        <w:t>печени,</w:t>
      </w:r>
    </w:p>
    <w:p>
      <w:pPr>
        <w:pStyle w:val="BodyText"/>
        <w:spacing w:line="271" w:lineRule="exact"/>
      </w:pPr>
      <w:r>
        <w:rPr/>
        <w:t>определения</w:t>
      </w:r>
      <w:r>
        <w:rPr>
          <w:spacing w:val="-9"/>
        </w:rPr>
        <w:t> </w:t>
      </w:r>
      <w:r>
        <w:rPr/>
        <w:t>наличия</w:t>
      </w:r>
      <w:r>
        <w:rPr>
          <w:spacing w:val="-6"/>
        </w:rPr>
        <w:t> </w:t>
      </w:r>
      <w:r>
        <w:rPr/>
        <w:t>и</w:t>
      </w:r>
      <w:r>
        <w:rPr>
          <w:spacing w:val="-1"/>
        </w:rPr>
        <w:t> </w:t>
      </w:r>
      <w:r>
        <w:rPr/>
        <w:t>выраженности</w:t>
      </w:r>
      <w:r>
        <w:rPr>
          <w:spacing w:val="-1"/>
        </w:rPr>
        <w:t> </w:t>
      </w:r>
      <w:r>
        <w:rPr/>
        <w:t>стеатоза,</w:t>
      </w:r>
      <w:r>
        <w:rPr>
          <w:spacing w:val="-5"/>
        </w:rPr>
        <w:t> </w:t>
      </w:r>
      <w:r>
        <w:rPr/>
        <w:t>стадии </w:t>
      </w:r>
      <w:r>
        <w:rPr>
          <w:spacing w:val="-2"/>
        </w:rPr>
        <w:t>фиброза.</w:t>
      </w:r>
    </w:p>
    <w:p>
      <w:pPr>
        <w:pStyle w:val="BodyText"/>
        <w:ind w:right="144" w:firstLine="538"/>
      </w:pPr>
      <w:r>
        <w:rPr/>
        <w:t>Макроскопически печень имеет яркий желто-оранжевый цвет; гистологическая картина характеризуется наличием микровезикулярного стеатоза, "пенистых" клетки Купфера, признаков фиброза и цирроза печени [</w:t>
      </w:r>
      <w:hyperlink w:history="true" w:anchor="_bookmark12">
        <w:r>
          <w:rPr>
            <w:color w:val="0000FF"/>
          </w:rPr>
          <w:t>13</w:t>
        </w:r>
      </w:hyperlink>
      <w:r>
        <w:rPr/>
        <w:t>, </w:t>
      </w:r>
      <w:hyperlink w:history="true" w:anchor="_bookmark18">
        <w:r>
          <w:rPr>
            <w:color w:val="0000FF"/>
          </w:rPr>
          <w:t>19</w:t>
        </w:r>
      </w:hyperlink>
      <w:r>
        <w:rPr/>
        <w:t>].</w:t>
      </w:r>
    </w:p>
    <w:p>
      <w:pPr>
        <w:pStyle w:val="BodyText"/>
        <w:spacing w:line="242" w:lineRule="auto"/>
        <w:ind w:right="142" w:firstLine="538"/>
      </w:pPr>
      <w:r>
        <w:rPr/>
        <w:t>Предпочтительно использование неинвазивных методик, например, эластографии печени</w:t>
      </w:r>
      <w:r>
        <w:rPr>
          <w:spacing w:val="80"/>
          <w:w w:val="150"/>
        </w:rPr>
        <w:t> </w:t>
      </w:r>
      <w:r>
        <w:rPr/>
        <w:t>(Эластометрии</w:t>
      </w:r>
      <w:r>
        <w:rPr>
          <w:spacing w:val="80"/>
          <w:w w:val="150"/>
        </w:rPr>
        <w:t> </w:t>
      </w:r>
      <w:r>
        <w:rPr/>
        <w:t>печени),</w:t>
      </w:r>
      <w:r>
        <w:rPr>
          <w:spacing w:val="80"/>
          <w:w w:val="150"/>
        </w:rPr>
        <w:t> </w:t>
      </w:r>
      <w:r>
        <w:rPr/>
        <w:t>магнитно-резонансной</w:t>
      </w:r>
      <w:r>
        <w:rPr>
          <w:spacing w:val="80"/>
          <w:w w:val="150"/>
        </w:rPr>
        <w:t> </w:t>
      </w:r>
      <w:r>
        <w:rPr/>
        <w:t>томографии</w:t>
      </w:r>
      <w:r>
        <w:rPr>
          <w:spacing w:val="80"/>
          <w:w w:val="150"/>
        </w:rPr>
        <w:t> </w:t>
      </w:r>
      <w:r>
        <w:rPr/>
        <w:t>органов</w:t>
      </w:r>
      <w:r>
        <w:rPr>
          <w:spacing w:val="80"/>
          <w:w w:val="150"/>
        </w:rPr>
        <w:t> </w:t>
      </w:r>
      <w:r>
        <w:rPr/>
        <w:t>брюшной</w:t>
      </w:r>
    </w:p>
    <w:p>
      <w:pPr>
        <w:spacing w:after="0" w:line="242" w:lineRule="auto"/>
        <w:sectPr>
          <w:pgSz w:w="11910" w:h="16840"/>
          <w:pgMar w:header="572" w:footer="1177" w:top="1320" w:bottom="1360" w:left="1560" w:right="420"/>
        </w:sectPr>
      </w:pPr>
    </w:p>
    <w:p>
      <w:pPr>
        <w:pStyle w:val="BodyText"/>
        <w:spacing w:before="80"/>
        <w:jc w:val="left"/>
      </w:pPr>
      <w:r>
        <w:rPr/>
        <w:t>полости</w:t>
      </w:r>
      <w:r>
        <w:rPr>
          <w:spacing w:val="1"/>
        </w:rPr>
        <w:t> </w:t>
      </w:r>
      <w:hyperlink w:history="true" w:anchor="_bookmark31">
        <w:r>
          <w:rPr>
            <w:color w:val="0000FF"/>
            <w:spacing w:val="-2"/>
          </w:rPr>
          <w:t>[39]</w:t>
        </w:r>
      </w:hyperlink>
      <w:r>
        <w:rPr>
          <w:spacing w:val="-2"/>
        </w:rPr>
        <w:t>.</w:t>
      </w:r>
    </w:p>
    <w:p>
      <w:pPr>
        <w:pStyle w:val="BodyText"/>
        <w:spacing w:before="5"/>
        <w:ind w:left="0"/>
        <w:jc w:val="left"/>
      </w:pPr>
    </w:p>
    <w:p>
      <w:pPr>
        <w:pStyle w:val="Heading1"/>
        <w:numPr>
          <w:ilvl w:val="2"/>
          <w:numId w:val="2"/>
        </w:numPr>
        <w:tabs>
          <w:tab w:pos="1438" w:val="left" w:leader="none"/>
        </w:tabs>
        <w:spacing w:line="242" w:lineRule="auto" w:before="0" w:after="0"/>
        <w:ind w:left="139" w:right="155" w:firstLine="542"/>
        <w:jc w:val="both"/>
      </w:pPr>
      <w:bookmarkStart w:name="2.4.2. Инструментальные диагностические " w:id="25"/>
      <w:bookmarkEnd w:id="25"/>
      <w:r>
        <w:rPr>
          <w:b w:val="0"/>
        </w:rPr>
      </w:r>
      <w:r>
        <w:rPr/>
        <w:t>Инструментальные диагностические исследования при болезни накопления эфиров холестерина (БНЭХ), с дебютом в возрасте старше 6 </w:t>
      </w:r>
      <w:r>
        <w:rPr>
          <w:spacing w:val="-2"/>
        </w:rPr>
        <w:t>месяцев</w:t>
      </w:r>
    </w:p>
    <w:p>
      <w:pPr>
        <w:pStyle w:val="ListParagraph"/>
        <w:numPr>
          <w:ilvl w:val="3"/>
          <w:numId w:val="2"/>
        </w:numPr>
        <w:tabs>
          <w:tab w:pos="843" w:val="left" w:leader="none"/>
        </w:tabs>
        <w:spacing w:line="240" w:lineRule="auto" w:before="229" w:after="0"/>
        <w:ind w:left="139" w:right="147" w:firstLine="542"/>
        <w:jc w:val="both"/>
        <w:rPr>
          <w:sz w:val="24"/>
        </w:rPr>
      </w:pPr>
      <w:r>
        <w:rPr>
          <w:sz w:val="24"/>
        </w:rPr>
        <w:t>Рекомендуется всем пациентам с подозрением на БНЭХ проведение ультразвукового исследования (УЗИ) брюшной полости (ультразвуковое исследование органов брюшной полости (комплексное)) и забрюшинного пространства, а также дуплексное сканирование сосудов печени (дуплексное сканирование сосудов гепатобилиарной зоны), дуплексное сканирование сосудов селезенки с целью динамического контроля состояния внутренних органов [</w:t>
      </w:r>
      <w:hyperlink w:history="true" w:anchor="_bookmark2">
        <w:r>
          <w:rPr>
            <w:color w:val="0000FF"/>
            <w:sz w:val="24"/>
          </w:rPr>
          <w:t>2</w:t>
        </w:r>
      </w:hyperlink>
      <w:r>
        <w:rPr>
          <w:sz w:val="24"/>
        </w:rPr>
        <w:t>, </w:t>
      </w:r>
      <w:hyperlink w:history="true" w:anchor="_bookmark8">
        <w:r>
          <w:rPr>
            <w:color w:val="0000FF"/>
            <w:sz w:val="24"/>
          </w:rPr>
          <w:t>9</w:t>
        </w:r>
      </w:hyperlink>
      <w:r>
        <w:rPr>
          <w:sz w:val="24"/>
        </w:rPr>
        <w:t>, </w:t>
      </w:r>
      <w:hyperlink w:history="true" w:anchor="_bookmark12">
        <w:r>
          <w:rPr>
            <w:color w:val="0000FF"/>
            <w:sz w:val="24"/>
          </w:rPr>
          <w:t>13</w:t>
        </w:r>
      </w:hyperlink>
      <w:r>
        <w:rPr>
          <w:sz w:val="24"/>
        </w:rPr>
        <w:t>, </w:t>
      </w:r>
      <w:hyperlink w:history="true" w:anchor="_bookmark14">
        <w:r>
          <w:rPr>
            <w:color w:val="0000FF"/>
            <w:sz w:val="24"/>
          </w:rPr>
          <w:t>15</w:t>
        </w:r>
      </w:hyperlink>
      <w:r>
        <w:rPr>
          <w:sz w:val="24"/>
        </w:rPr>
        <w:t>].</w:t>
      </w:r>
    </w:p>
    <w:p>
      <w:pPr>
        <w:pStyle w:val="BodyText"/>
        <w:spacing w:line="275" w:lineRule="exact" w:before="1"/>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40" w:firstLine="538"/>
      </w:pPr>
      <w:r>
        <w:rPr/>
        <w:t>Комментарии: УЗИ печени и селезенки позволяют выявить увеличение печени и реже селезенки, наличие</w:t>
      </w:r>
      <w:r>
        <w:rPr>
          <w:spacing w:val="-3"/>
        </w:rPr>
        <w:t> </w:t>
      </w:r>
      <w:r>
        <w:rPr/>
        <w:t>стеатоза, фиброза</w:t>
      </w:r>
      <w:r>
        <w:rPr>
          <w:spacing w:val="-3"/>
        </w:rPr>
        <w:t> </w:t>
      </w:r>
      <w:r>
        <w:rPr/>
        <w:t>или</w:t>
      </w:r>
      <w:r>
        <w:rPr>
          <w:spacing w:val="-1"/>
        </w:rPr>
        <w:t> </w:t>
      </w:r>
      <w:r>
        <w:rPr/>
        <w:t>цирроза</w:t>
      </w:r>
      <w:r>
        <w:rPr>
          <w:spacing w:val="-3"/>
        </w:rPr>
        <w:t> </w:t>
      </w:r>
      <w:r>
        <w:rPr/>
        <w:t>печени. УЗИ</w:t>
      </w:r>
      <w:r>
        <w:rPr>
          <w:spacing w:val="-3"/>
        </w:rPr>
        <w:t> </w:t>
      </w:r>
      <w:r>
        <w:rPr/>
        <w:t>забрюшинного пространства, в т.ч., УЗИ надпочечников может выявить кальцификаты надпочечников (у пациентов с БНЭХ – крайне редко, не более 5%).</w:t>
      </w:r>
    </w:p>
    <w:p>
      <w:pPr>
        <w:pStyle w:val="ListParagraph"/>
        <w:numPr>
          <w:ilvl w:val="3"/>
          <w:numId w:val="2"/>
        </w:numPr>
        <w:tabs>
          <w:tab w:pos="852" w:val="left" w:leader="none"/>
        </w:tabs>
        <w:spacing w:line="240" w:lineRule="auto" w:before="239" w:after="0"/>
        <w:ind w:left="139" w:right="136" w:firstLine="542"/>
        <w:jc w:val="both"/>
        <w:rPr>
          <w:sz w:val="24"/>
        </w:rPr>
      </w:pPr>
      <w:r>
        <w:rPr>
          <w:sz w:val="24"/>
        </w:rPr>
        <w:t>Рекомендуется пациентам с клиническими признаками БНЭХ проведение магнитно- резонансной томографии (МРТ) органов брюшной полости и эластографии печени (эластометрии печени) с целью контроля состояния печени при проведении ФЗТ [</w:t>
      </w:r>
      <w:hyperlink w:history="true" w:anchor="_bookmark20">
        <w:r>
          <w:rPr>
            <w:color w:val="0000FF"/>
            <w:sz w:val="24"/>
          </w:rPr>
          <w:t>21</w:t>
        </w:r>
      </w:hyperlink>
      <w:r>
        <w:rPr>
          <w:sz w:val="24"/>
        </w:rPr>
        <w:t>-</w:t>
      </w:r>
      <w:hyperlink w:history="true" w:anchor="_bookmark22">
        <w:r>
          <w:rPr>
            <w:color w:val="0000FF"/>
            <w:sz w:val="24"/>
          </w:rPr>
          <w:t>26</w:t>
        </w:r>
      </w:hyperlink>
      <w:r>
        <w:rPr>
          <w:sz w:val="24"/>
        </w:rPr>
        <w:t>, </w:t>
      </w:r>
      <w:hyperlink w:history="true" w:anchor="_bookmark30">
        <w:r>
          <w:rPr>
            <w:color w:val="0000FF"/>
            <w:sz w:val="24"/>
          </w:rPr>
          <w:t>38</w:t>
        </w:r>
      </w:hyperlink>
      <w:r>
        <w:rPr>
          <w:sz w:val="24"/>
        </w:rPr>
        <w:t>].</w:t>
      </w:r>
    </w:p>
    <w:p>
      <w:pPr>
        <w:pStyle w:val="BodyText"/>
        <w:spacing w:line="275" w:lineRule="exact" w:before="3"/>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35" w:firstLine="538"/>
      </w:pPr>
      <w:r>
        <w:rPr/>
        <w:t>Комментарии: проведение оценки степени выраженности жировой дистрофии печени (по МРТ) необходимо для последующего контроля эффективности ФЗТ. Частота исследований в среднем: МРТ органов брюшной полости – 1 р/год, эластографии печени – 1 р/6 мес.</w:t>
      </w:r>
    </w:p>
    <w:p>
      <w:pPr>
        <w:pStyle w:val="ListParagraph"/>
        <w:numPr>
          <w:ilvl w:val="3"/>
          <w:numId w:val="2"/>
        </w:numPr>
        <w:tabs>
          <w:tab w:pos="833" w:val="left" w:leader="none"/>
        </w:tabs>
        <w:spacing w:line="242" w:lineRule="auto" w:before="239" w:after="0"/>
        <w:ind w:left="139" w:right="145" w:firstLine="542"/>
        <w:jc w:val="both"/>
        <w:rPr>
          <w:sz w:val="24"/>
        </w:rPr>
      </w:pPr>
      <w:r>
        <w:rPr>
          <w:sz w:val="24"/>
        </w:rPr>
        <w:t>Рекомендуется пациентам с БНЭХ проведение эзофагогастродуоденоскопии (ЭГДС) с целью оценки состояния вен пищевода и желудка </w:t>
      </w:r>
      <w:hyperlink w:history="true" w:anchor="_bookmark14">
        <w:r>
          <w:rPr>
            <w:color w:val="0000FF"/>
            <w:sz w:val="24"/>
          </w:rPr>
          <w:t>[15]</w:t>
        </w:r>
      </w:hyperlink>
      <w:r>
        <w:rPr>
          <w:sz w:val="24"/>
        </w:rPr>
        <w:t>.</w:t>
      </w:r>
    </w:p>
    <w:p>
      <w:pPr>
        <w:pStyle w:val="BodyText"/>
        <w:spacing w:line="271"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2"/>
        <w:ind w:right="136" w:firstLine="538"/>
      </w:pPr>
      <w:r>
        <w:rPr/>
        <w:t>Комментарии: проведение ЭГДС у пациентов с фиброзом печени, признаками портальной гипертензии необходимо для оценки степени варикозного расширения вен пищевода и угрозы кровотечения</w:t>
      </w:r>
    </w:p>
    <w:p>
      <w:pPr>
        <w:pStyle w:val="ListParagraph"/>
        <w:numPr>
          <w:ilvl w:val="3"/>
          <w:numId w:val="2"/>
        </w:numPr>
        <w:tabs>
          <w:tab w:pos="968" w:val="left" w:leader="none"/>
        </w:tabs>
        <w:spacing w:line="240" w:lineRule="auto" w:before="238" w:after="0"/>
        <w:ind w:left="139" w:right="140" w:firstLine="542"/>
        <w:jc w:val="both"/>
        <w:rPr>
          <w:sz w:val="24"/>
        </w:rPr>
      </w:pPr>
      <w:r>
        <w:rPr>
          <w:sz w:val="24"/>
        </w:rPr>
        <w:t>Рекомендуется пациентам с БНЭХ регистрация электрокардиограммы (ЭКГ), проведение эхокардиографии (ЭХОКГ) для оценки состояния сердечно-сосудистой системы, в среднем, каждые 1-2 года [</w:t>
      </w:r>
      <w:hyperlink w:history="true" w:anchor="_bookmark2">
        <w:r>
          <w:rPr>
            <w:color w:val="0000FF"/>
            <w:sz w:val="24"/>
          </w:rPr>
          <w:t>2</w:t>
        </w:r>
      </w:hyperlink>
      <w:r>
        <w:rPr>
          <w:sz w:val="24"/>
        </w:rPr>
        <w:t>, </w:t>
      </w:r>
      <w:hyperlink w:history="true" w:anchor="_bookmark30">
        <w:r>
          <w:rPr>
            <w:color w:val="0000FF"/>
            <w:sz w:val="24"/>
          </w:rPr>
          <w:t>38</w:t>
        </w:r>
      </w:hyperlink>
      <w:r>
        <w:rPr>
          <w:sz w:val="24"/>
        </w:rPr>
        <w:t>].</w:t>
      </w:r>
    </w:p>
    <w:p>
      <w:pPr>
        <w:pStyle w:val="BodyText"/>
        <w:spacing w:line="237" w:lineRule="auto" w:before="5"/>
        <w:ind w:left="677" w:right="430"/>
      </w:pPr>
      <w:r>
        <w:rPr/>
        <w:t>Уровень</w:t>
      </w:r>
      <w:r>
        <w:rPr>
          <w:spacing w:val="-8"/>
        </w:rPr>
        <w:t> </w:t>
      </w:r>
      <w:r>
        <w:rPr/>
        <w:t>убедительности</w:t>
      </w:r>
      <w:r>
        <w:rPr>
          <w:spacing w:val="-3"/>
        </w:rPr>
        <w:t> </w:t>
      </w:r>
      <w:r>
        <w:rPr/>
        <w:t>рекомендации</w:t>
      </w:r>
      <w:r>
        <w:rPr>
          <w:spacing w:val="-3"/>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t>5). </w:t>
      </w:r>
      <w:r>
        <w:rPr>
          <w:spacing w:val="-2"/>
        </w:rPr>
        <w:t>Комментарий:</w:t>
      </w:r>
    </w:p>
    <w:p>
      <w:pPr>
        <w:pStyle w:val="BodyText"/>
        <w:ind w:right="137" w:firstLine="538"/>
      </w:pPr>
      <w:r>
        <w:rPr/>
        <w:t>При наличии аритмии необходимо проведение суточного мониторирования ЭКГ (Холтеровское мониторирование), по показаниям – стресс-теста (электрокардиография с физической нагрузкой) в соответствии с рекомендациями по ведению пациентов с атеросклерозом и аритмией.</w:t>
      </w:r>
    </w:p>
    <w:p>
      <w:pPr>
        <w:pStyle w:val="ListParagraph"/>
        <w:numPr>
          <w:ilvl w:val="3"/>
          <w:numId w:val="2"/>
        </w:numPr>
        <w:tabs>
          <w:tab w:pos="929" w:val="left" w:leader="none"/>
        </w:tabs>
        <w:spacing w:line="240" w:lineRule="auto" w:before="239" w:after="0"/>
        <w:ind w:left="139" w:right="141" w:firstLine="542"/>
        <w:jc w:val="both"/>
        <w:rPr>
          <w:sz w:val="24"/>
        </w:rPr>
      </w:pPr>
      <w:r>
        <w:rPr>
          <w:sz w:val="24"/>
        </w:rPr>
        <w:t>Рекомендуется всем пациентам с установленным диагнозом БНЭХ проведение ультразвукового допплерографического анализа сосудов головы и шеи: УЗИ брахиоцефальных структур (брахиоцефальный ствол, общая, внутренняя и наружная сонная артерии, позвоночная и подключичные артерии: оценка их диаметра, стенок, скорости кровотока, наличия/отсутствия их стенозирования, толщины комплекса интим-медиа (КИМ) для диагностики атеросклероза и оценки степени его выраженности [</w:t>
      </w:r>
      <w:hyperlink w:history="true" w:anchor="_bookmark12">
        <w:r>
          <w:rPr>
            <w:color w:val="0000FF"/>
            <w:sz w:val="24"/>
          </w:rPr>
          <w:t>13</w:t>
        </w:r>
      </w:hyperlink>
      <w:r>
        <w:rPr>
          <w:sz w:val="24"/>
        </w:rPr>
        <w:t>, </w:t>
      </w:r>
      <w:hyperlink w:history="true" w:anchor="_bookmark14">
        <w:r>
          <w:rPr>
            <w:color w:val="0000FF"/>
            <w:sz w:val="24"/>
          </w:rPr>
          <w:t>15</w:t>
        </w:r>
      </w:hyperlink>
      <w:r>
        <w:rPr>
          <w:sz w:val="24"/>
        </w:rPr>
        <w:t>, </w:t>
      </w:r>
      <w:hyperlink w:history="true" w:anchor="_bookmark19">
        <w:r>
          <w:rPr>
            <w:color w:val="0000FF"/>
            <w:sz w:val="24"/>
          </w:rPr>
          <w:t>20</w:t>
        </w:r>
      </w:hyperlink>
      <w:r>
        <w:rPr>
          <w:sz w:val="24"/>
        </w:rPr>
        <w:t>, </w:t>
      </w:r>
      <w:hyperlink w:history="true" w:anchor="_bookmark30">
        <w:r>
          <w:rPr>
            <w:color w:val="0000FF"/>
            <w:sz w:val="24"/>
          </w:rPr>
          <w:t>38</w:t>
        </w:r>
      </w:hyperlink>
      <w:r>
        <w:rPr>
          <w:sz w:val="24"/>
        </w:rPr>
        <w:t>, </w:t>
      </w:r>
      <w:hyperlink w:history="true" w:anchor="_bookmark32">
        <w:r>
          <w:rPr>
            <w:color w:val="0000FF"/>
            <w:sz w:val="24"/>
          </w:rPr>
          <w:t>40</w:t>
        </w:r>
      </w:hyperlink>
      <w:r>
        <w:rPr>
          <w:sz w:val="24"/>
        </w:rPr>
        <w:t>, </w:t>
      </w:r>
      <w:hyperlink w:history="true" w:anchor="_bookmark33">
        <w:r>
          <w:rPr>
            <w:color w:val="0000FF"/>
            <w:sz w:val="24"/>
          </w:rPr>
          <w:t>41</w:t>
        </w:r>
      </w:hyperlink>
      <w:r>
        <w:rPr>
          <w:sz w:val="24"/>
        </w:rPr>
        <w:t>].</w:t>
      </w:r>
    </w:p>
    <w:p>
      <w:pPr>
        <w:spacing w:after="0" w:line="240" w:lineRule="auto"/>
        <w:jc w:val="both"/>
        <w:rPr>
          <w:sz w:val="24"/>
        </w:rPr>
        <w:sectPr>
          <w:pgSz w:w="11910" w:h="16840"/>
          <w:pgMar w:header="572" w:footer="1177" w:top="1320" w:bottom="1360" w:left="1560" w:right="420"/>
        </w:sectPr>
      </w:pPr>
    </w:p>
    <w:p>
      <w:pPr>
        <w:pStyle w:val="BodyText"/>
        <w:spacing w:before="80"/>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2"/>
        <w:ind w:right="146" w:firstLine="538"/>
      </w:pPr>
      <w:r>
        <w:rPr/>
        <w:t>Комментарий: согласно приказу от 13.10.2017 N 804н "Об утверждении номенклатуры медицинских услуг": Дуплексное сканирование брахиоцефальных артерий с цветным допплеровским картированием кровотока, Дуплексное сканирование экстракраниальных отделов брахиоцефальных артерий, Дуплексное сканирование брахиоцефальных артерий, лучевых артерий с проведением ротационных проб.</w:t>
      </w:r>
    </w:p>
    <w:p>
      <w:pPr>
        <w:pStyle w:val="BodyText"/>
        <w:spacing w:line="242" w:lineRule="auto"/>
        <w:ind w:right="136" w:firstLine="538"/>
      </w:pPr>
      <w:r>
        <w:rPr/>
        <w:t>Дополнительно может</w:t>
      </w:r>
      <w:r>
        <w:rPr>
          <w:spacing w:val="-1"/>
        </w:rPr>
        <w:t> </w:t>
      </w:r>
      <w:r>
        <w:rPr/>
        <w:t>быть проведено</w:t>
      </w:r>
      <w:r>
        <w:rPr>
          <w:spacing w:val="-1"/>
        </w:rPr>
        <w:t> </w:t>
      </w:r>
      <w:r>
        <w:rPr/>
        <w:t>определение лодыжечно-плечевого (лодыжечно- брахиального) индекса, исследована кальцификация коронарных артерии </w:t>
      </w:r>
      <w:hyperlink w:history="true" w:anchor="_bookmark30">
        <w:r>
          <w:rPr>
            <w:color w:val="0000FF"/>
          </w:rPr>
          <w:t>[38]</w:t>
        </w:r>
      </w:hyperlink>
      <w:r>
        <w:rPr/>
        <w:t>.</w:t>
      </w:r>
    </w:p>
    <w:p>
      <w:pPr>
        <w:pStyle w:val="ListParagraph"/>
        <w:numPr>
          <w:ilvl w:val="3"/>
          <w:numId w:val="2"/>
        </w:numPr>
        <w:tabs>
          <w:tab w:pos="900" w:val="left" w:leader="none"/>
        </w:tabs>
        <w:spacing w:line="240" w:lineRule="auto" w:before="233" w:after="0"/>
        <w:ind w:left="139" w:right="136" w:firstLine="542"/>
        <w:jc w:val="both"/>
        <w:rPr>
          <w:sz w:val="24"/>
        </w:rPr>
      </w:pPr>
      <w:r>
        <w:rPr>
          <w:sz w:val="24"/>
        </w:rPr>
        <w:t>Рекомендуется взрослым пациентам с БНЭХ проведение при необходимости, по заключению врача-кардиолога, в соответствии</w:t>
      </w:r>
      <w:r>
        <w:rPr>
          <w:spacing w:val="-4"/>
          <w:sz w:val="24"/>
        </w:rPr>
        <w:t> </w:t>
      </w:r>
      <w:r>
        <w:rPr>
          <w:sz w:val="24"/>
        </w:rPr>
        <w:t>с общими принципами подхода к диагностике атеросклероза, компьютерно-томографической ангиографии сосудов головы (компьютерно- томографическая ангиография сосудов головного мозга) и шеи (компьютерно- томографическая ангиография брахиоцефальных артерий) для оценки состояния сердечно- сосудистой системы </w:t>
      </w:r>
      <w:hyperlink w:history="true" w:anchor="_bookmark30">
        <w:r>
          <w:rPr>
            <w:color w:val="0000FF"/>
            <w:sz w:val="24"/>
          </w:rPr>
          <w:t>[38]</w:t>
        </w:r>
      </w:hyperlink>
      <w:r>
        <w:rPr>
          <w:sz w:val="24"/>
        </w:rPr>
        <w:t>.</w:t>
      </w:r>
    </w:p>
    <w:p>
      <w:pPr>
        <w:pStyle w:val="BodyTex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ListParagraph"/>
        <w:numPr>
          <w:ilvl w:val="3"/>
          <w:numId w:val="2"/>
        </w:numPr>
        <w:tabs>
          <w:tab w:pos="857" w:val="left" w:leader="none"/>
        </w:tabs>
        <w:spacing w:line="237" w:lineRule="auto" w:before="246" w:after="0"/>
        <w:ind w:left="139" w:right="145" w:firstLine="542"/>
        <w:jc w:val="both"/>
        <w:rPr>
          <w:sz w:val="24"/>
        </w:rPr>
      </w:pPr>
      <w:r>
        <w:rPr>
          <w:sz w:val="24"/>
        </w:rPr>
        <w:t>Не рекомендована биопсия печени в качестве рутинного метода для подтверждения диагноза БНЭХ [</w:t>
      </w:r>
      <w:hyperlink w:history="true" w:anchor="_bookmark14">
        <w:r>
          <w:rPr>
            <w:color w:val="0000FF"/>
            <w:sz w:val="24"/>
          </w:rPr>
          <w:t>15</w:t>
        </w:r>
      </w:hyperlink>
      <w:r>
        <w:rPr>
          <w:sz w:val="24"/>
        </w:rPr>
        <w:t>, </w:t>
      </w:r>
      <w:hyperlink w:history="true" w:anchor="_bookmark18">
        <w:r>
          <w:rPr>
            <w:color w:val="0000FF"/>
            <w:sz w:val="24"/>
          </w:rPr>
          <w:t>19</w:t>
        </w:r>
      </w:hyperlink>
      <w:r>
        <w:rPr>
          <w:sz w:val="24"/>
        </w:rPr>
        <w:t>].</w:t>
      </w:r>
    </w:p>
    <w:p>
      <w:pPr>
        <w:pStyle w:val="BodyText"/>
        <w:spacing w:line="237" w:lineRule="auto" w:before="5"/>
        <w:ind w:left="677" w:right="153"/>
      </w:pPr>
      <w:r>
        <w:rPr/>
        <w:t>Уровень убедительности рекомендации </w:t>
      </w:r>
      <w:hyperlink w:history="true" w:anchor="_bookmark45">
        <w:r>
          <w:rPr>
            <w:color w:val="0000FF"/>
          </w:rPr>
          <w:t>C</w:t>
        </w:r>
      </w:hyperlink>
      <w:r>
        <w:rPr>
          <w:color w:val="0000FF"/>
        </w:rPr>
        <w:t> </w:t>
      </w:r>
      <w:r>
        <w:rPr/>
        <w:t>(уровень достоверности доказательств – 5). Комментарии:</w:t>
      </w:r>
      <w:r>
        <w:rPr>
          <w:spacing w:val="40"/>
        </w:rPr>
        <w:t>  </w:t>
      </w:r>
      <w:r>
        <w:rPr/>
        <w:t>может</w:t>
      </w:r>
      <w:r>
        <w:rPr>
          <w:spacing w:val="40"/>
        </w:rPr>
        <w:t>  </w:t>
      </w:r>
      <w:r>
        <w:rPr/>
        <w:t>проводиться</w:t>
      </w:r>
      <w:r>
        <w:rPr>
          <w:spacing w:val="40"/>
        </w:rPr>
        <w:t>  </w:t>
      </w:r>
      <w:r>
        <w:rPr/>
        <w:t>с</w:t>
      </w:r>
      <w:r>
        <w:rPr>
          <w:spacing w:val="40"/>
        </w:rPr>
        <w:t>  </w:t>
      </w:r>
      <w:r>
        <w:rPr/>
        <w:t>целью</w:t>
      </w:r>
      <w:r>
        <w:rPr>
          <w:spacing w:val="40"/>
        </w:rPr>
        <w:t>  </w:t>
      </w:r>
      <w:r>
        <w:rPr/>
        <w:t>оценки</w:t>
      </w:r>
      <w:r>
        <w:rPr>
          <w:spacing w:val="53"/>
        </w:rPr>
        <w:t>  </w:t>
      </w:r>
      <w:r>
        <w:rPr/>
        <w:t>состояния</w:t>
      </w:r>
      <w:r>
        <w:rPr>
          <w:spacing w:val="40"/>
        </w:rPr>
        <w:t>  </w:t>
      </w:r>
      <w:r>
        <w:rPr/>
        <w:t>ткани</w:t>
      </w:r>
      <w:r>
        <w:rPr>
          <w:spacing w:val="40"/>
        </w:rPr>
        <w:t>  </w:t>
      </w:r>
      <w:r>
        <w:rPr/>
        <w:t>печени,</w:t>
      </w:r>
    </w:p>
    <w:p>
      <w:pPr>
        <w:pStyle w:val="BodyText"/>
        <w:spacing w:line="275" w:lineRule="exact" w:before="3"/>
      </w:pPr>
      <w:r>
        <w:rPr/>
        <w:t>определения</w:t>
      </w:r>
      <w:r>
        <w:rPr>
          <w:spacing w:val="-8"/>
        </w:rPr>
        <w:t> </w:t>
      </w:r>
      <w:r>
        <w:rPr/>
        <w:t>наличия</w:t>
      </w:r>
      <w:r>
        <w:rPr>
          <w:spacing w:val="-6"/>
        </w:rPr>
        <w:t> </w:t>
      </w:r>
      <w:r>
        <w:rPr/>
        <w:t>и выраженности стеатоза,</w:t>
      </w:r>
      <w:r>
        <w:rPr>
          <w:spacing w:val="-4"/>
        </w:rPr>
        <w:t> </w:t>
      </w:r>
      <w:r>
        <w:rPr/>
        <w:t>стадии </w:t>
      </w:r>
      <w:r>
        <w:rPr>
          <w:spacing w:val="-2"/>
        </w:rPr>
        <w:t>фиброза.</w:t>
      </w:r>
    </w:p>
    <w:p>
      <w:pPr>
        <w:pStyle w:val="BodyText"/>
        <w:ind w:right="144" w:firstLine="538"/>
      </w:pPr>
      <w:r>
        <w:rPr/>
        <w:t>Макроскопически печень имеет желто-оранжевый цвет; гистологическая картина характеризуется наличием микровезикулярного стеатоза, "пенистых" клетки Купфера, признаков фиброза и цирроза печени [</w:t>
      </w:r>
      <w:hyperlink w:history="true" w:anchor="_bookmark12">
        <w:r>
          <w:rPr>
            <w:color w:val="0000FF"/>
          </w:rPr>
          <w:t>13</w:t>
        </w:r>
      </w:hyperlink>
      <w:r>
        <w:rPr/>
        <w:t>, </w:t>
      </w:r>
      <w:hyperlink w:history="true" w:anchor="_bookmark18">
        <w:r>
          <w:rPr>
            <w:color w:val="0000FF"/>
          </w:rPr>
          <w:t>19</w:t>
        </w:r>
      </w:hyperlink>
      <w:r>
        <w:rPr/>
        <w:t>].</w:t>
      </w:r>
    </w:p>
    <w:p>
      <w:pPr>
        <w:pStyle w:val="BodyText"/>
        <w:spacing w:before="2"/>
        <w:ind w:right="146" w:firstLine="538"/>
      </w:pPr>
      <w:r>
        <w:rPr/>
        <w:t>Предпочтительно использование неинвазивных методик, например, УЗИ, эластографии печени (эластометрии печени), магнитно-резонансной томографии органов брюшной</w:t>
      </w:r>
      <w:r>
        <w:rPr>
          <w:spacing w:val="40"/>
        </w:rPr>
        <w:t> </w:t>
      </w:r>
      <w:r>
        <w:rPr/>
        <w:t>полости </w:t>
      </w:r>
      <w:hyperlink w:history="true" w:anchor="_bookmark31">
        <w:r>
          <w:rPr>
            <w:color w:val="0000FF"/>
          </w:rPr>
          <w:t>[39]</w:t>
        </w:r>
      </w:hyperlink>
      <w:r>
        <w:rPr/>
        <w:t>.</w:t>
      </w:r>
    </w:p>
    <w:p>
      <w:pPr>
        <w:pStyle w:val="BodyText"/>
        <w:spacing w:before="6"/>
        <w:ind w:left="0"/>
        <w:jc w:val="left"/>
      </w:pPr>
    </w:p>
    <w:p>
      <w:pPr>
        <w:pStyle w:val="Heading1"/>
        <w:numPr>
          <w:ilvl w:val="1"/>
          <w:numId w:val="2"/>
        </w:numPr>
        <w:tabs>
          <w:tab w:pos="1175" w:val="left" w:leader="none"/>
        </w:tabs>
        <w:spacing w:line="240" w:lineRule="auto" w:before="0" w:after="0"/>
        <w:ind w:left="1175" w:right="0" w:hanging="493"/>
        <w:jc w:val="left"/>
      </w:pPr>
      <w:bookmarkStart w:name="2.5. Иные диагностические исследования" w:id="26"/>
      <w:bookmarkEnd w:id="26"/>
      <w:r>
        <w:rPr>
          <w:b w:val="0"/>
        </w:rPr>
      </w:r>
      <w:r>
        <w:rPr/>
        <w:t>Иные</w:t>
      </w:r>
      <w:r>
        <w:rPr>
          <w:spacing w:val="-15"/>
        </w:rPr>
        <w:t> </w:t>
      </w:r>
      <w:r>
        <w:rPr/>
        <w:t>диагностические</w:t>
      </w:r>
      <w:r>
        <w:rPr>
          <w:spacing w:val="-15"/>
        </w:rPr>
        <w:t> </w:t>
      </w:r>
      <w:r>
        <w:rPr>
          <w:spacing w:val="-2"/>
        </w:rPr>
        <w:t>исследования</w:t>
      </w:r>
    </w:p>
    <w:p>
      <w:pPr>
        <w:pStyle w:val="ListParagraph"/>
        <w:numPr>
          <w:ilvl w:val="2"/>
          <w:numId w:val="2"/>
        </w:numPr>
        <w:tabs>
          <w:tab w:pos="1428" w:val="left" w:leader="none"/>
        </w:tabs>
        <w:spacing w:line="240" w:lineRule="auto" w:before="274" w:after="0"/>
        <w:ind w:left="139" w:right="153" w:firstLine="542"/>
        <w:jc w:val="both"/>
        <w:rPr>
          <w:b/>
          <w:sz w:val="28"/>
        </w:rPr>
      </w:pPr>
      <w:bookmarkStart w:name="2.5.1. Иные диагностические исследования" w:id="27"/>
      <w:bookmarkEnd w:id="27"/>
      <w:r>
        <w:rPr/>
      </w:r>
      <w:r>
        <w:rPr>
          <w:b/>
          <w:sz w:val="28"/>
        </w:rPr>
        <w:t>Иные диагностические исследования при инфантильной форме ДЛКЛ (болезни Вольмана)</w:t>
      </w:r>
    </w:p>
    <w:p>
      <w:pPr>
        <w:pStyle w:val="ListParagraph"/>
        <w:numPr>
          <w:ilvl w:val="3"/>
          <w:numId w:val="2"/>
        </w:numPr>
        <w:tabs>
          <w:tab w:pos="1001" w:val="left" w:leader="none"/>
        </w:tabs>
        <w:spacing w:line="240" w:lineRule="auto" w:before="238" w:after="0"/>
        <w:ind w:left="139" w:right="144" w:firstLine="542"/>
        <w:jc w:val="both"/>
        <w:rPr>
          <w:sz w:val="24"/>
        </w:rPr>
      </w:pPr>
      <w:r>
        <w:rPr>
          <w:sz w:val="24"/>
        </w:rPr>
        <w:t>Рекомендуется в ведении пациентов с БВ на всех этапах использовать мультидисциплинарный подход ввиду того, что заболевание характеризуется поражением многих органов и систем, требует комплексной терапии, что диктует необходимость совместного ведения пациента специалистами разных профилей [</w:t>
      </w:r>
      <w:hyperlink w:history="true" w:anchor="_bookmark31">
        <w:r>
          <w:rPr>
            <w:color w:val="0000FF"/>
            <w:sz w:val="24"/>
          </w:rPr>
          <w:t>39</w:t>
        </w:r>
      </w:hyperlink>
      <w:r>
        <w:rPr>
          <w:sz w:val="24"/>
        </w:rPr>
        <w:t>, </w:t>
      </w:r>
      <w:hyperlink w:history="true" w:anchor="_bookmark34">
        <w:r>
          <w:rPr>
            <w:color w:val="0000FF"/>
            <w:sz w:val="24"/>
          </w:rPr>
          <w:t>42</w:t>
        </w:r>
      </w:hyperlink>
      <w:r>
        <w:rPr>
          <w:sz w:val="24"/>
        </w:rPr>
        <w:t>, </w:t>
      </w:r>
      <w:hyperlink w:history="true" w:anchor="_bookmark14">
        <w:r>
          <w:rPr>
            <w:color w:val="0000FF"/>
            <w:sz w:val="24"/>
          </w:rPr>
          <w:t>15</w:t>
        </w:r>
      </w:hyperlink>
      <w:r>
        <w:rPr>
          <w:sz w:val="24"/>
        </w:rPr>
        <w:t>].</w:t>
      </w:r>
    </w:p>
    <w:p>
      <w:pPr>
        <w:pStyle w:val="BodyText"/>
        <w:spacing w:line="271"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3"/>
        <w:ind w:right="135" w:firstLine="538"/>
      </w:pPr>
      <w:r>
        <w:rPr/>
        <w:t>Комментарий: пациентов с БВ наблюдает врач-гастроэнтеролог и/или врач-педиатр при диагностике и далее не реже 1 раза</w:t>
      </w:r>
      <w:r>
        <w:rPr>
          <w:spacing w:val="-1"/>
        </w:rPr>
        <w:t> </w:t>
      </w:r>
      <w:r>
        <w:rPr/>
        <w:t>в месяц, а</w:t>
      </w:r>
      <w:r>
        <w:rPr>
          <w:spacing w:val="-1"/>
        </w:rPr>
        <w:t> </w:t>
      </w:r>
      <w:r>
        <w:rPr/>
        <w:t>также врач-генетик. Необходима консультация врача-диетолога с целью назначения низкожировой диеты, коррекции мальабсорбции (прекращение грудного вскармливания, подбор специализированной диеты с ограничением животных жиров, применение детской смеси с формулой триглицеридов со средней длиной цепи подбор специализированной диеты с ограничением животных жиров, а в ряде ситуаций и парентерального питания.) [</w:t>
      </w:r>
      <w:hyperlink w:history="true" w:anchor="_bookmark2">
        <w:r>
          <w:rPr>
            <w:color w:val="0000FF"/>
          </w:rPr>
          <w:t>2</w:t>
        </w:r>
      </w:hyperlink>
      <w:r>
        <w:rPr/>
        <w:t>, </w:t>
      </w:r>
      <w:hyperlink w:history="true" w:anchor="_bookmark14">
        <w:r>
          <w:rPr>
            <w:color w:val="0000FF"/>
          </w:rPr>
          <w:t>15</w:t>
        </w:r>
      </w:hyperlink>
      <w:r>
        <w:rPr/>
        <w:t>], консультация врача-кардиолога детского с целью</w:t>
      </w:r>
      <w:r>
        <w:rPr>
          <w:spacing w:val="80"/>
        </w:rPr>
        <w:t> </w:t>
      </w:r>
      <w:r>
        <w:rPr/>
        <w:t>оценки нарушений сердечно-сосудистой системы и терапии [</w:t>
      </w:r>
      <w:hyperlink w:history="true" w:anchor="_bookmark2">
        <w:r>
          <w:rPr>
            <w:color w:val="0000FF"/>
          </w:rPr>
          <w:t>2</w:t>
        </w:r>
      </w:hyperlink>
      <w:r>
        <w:rPr/>
        <w:t>, </w:t>
      </w:r>
      <w:hyperlink w:history="true" w:anchor="_bookmark12">
        <w:r>
          <w:rPr>
            <w:color w:val="0000FF"/>
          </w:rPr>
          <w:t>13</w:t>
        </w:r>
      </w:hyperlink>
      <w:r>
        <w:rPr/>
        <w:t>, </w:t>
      </w:r>
      <w:hyperlink w:history="true" w:anchor="_bookmark14">
        <w:r>
          <w:rPr>
            <w:color w:val="0000FF"/>
          </w:rPr>
          <w:t>15</w:t>
        </w:r>
      </w:hyperlink>
      <w:r>
        <w:rPr/>
        <w:t>, </w:t>
      </w:r>
      <w:hyperlink w:history="true" w:anchor="_bookmark19">
        <w:r>
          <w:rPr>
            <w:color w:val="0000FF"/>
          </w:rPr>
          <w:t>20</w:t>
        </w:r>
      </w:hyperlink>
      <w:r>
        <w:rPr/>
        <w:t>, </w:t>
      </w:r>
      <w:hyperlink w:history="true" w:anchor="_bookmark22">
        <w:r>
          <w:rPr>
            <w:color w:val="0000FF"/>
          </w:rPr>
          <w:t>26</w:t>
        </w:r>
      </w:hyperlink>
      <w:r>
        <w:rPr/>
        <w:t>], врача – невролога с целью оценки нарушений нервной системы </w:t>
      </w:r>
      <w:hyperlink w:history="true" w:anchor="_bookmark13">
        <w:r>
          <w:rPr>
            <w:color w:val="0000FF"/>
          </w:rPr>
          <w:t>[14]</w:t>
        </w:r>
      </w:hyperlink>
      <w:r>
        <w:rPr/>
        <w:t>, консультация врача- трансплантолога при наличии показаний для проведения трансплантации печени. В жизнеугрожающих</w:t>
      </w:r>
      <w:r>
        <w:rPr>
          <w:spacing w:val="80"/>
        </w:rPr>
        <w:t> </w:t>
      </w:r>
      <w:r>
        <w:rPr/>
        <w:t>состояниях</w:t>
      </w:r>
      <w:r>
        <w:rPr>
          <w:spacing w:val="80"/>
        </w:rPr>
        <w:t> </w:t>
      </w:r>
      <w:r>
        <w:rPr/>
        <w:t>необходимо</w:t>
      </w:r>
      <w:r>
        <w:rPr>
          <w:spacing w:val="80"/>
        </w:rPr>
        <w:t> </w:t>
      </w:r>
      <w:r>
        <w:rPr/>
        <w:t>участие</w:t>
      </w:r>
      <w:r>
        <w:rPr>
          <w:spacing w:val="80"/>
        </w:rPr>
        <w:t> </w:t>
      </w:r>
      <w:r>
        <w:rPr/>
        <w:t>врача-анестезиолога-реаниматолога.</w:t>
      </w:r>
    </w:p>
    <w:p>
      <w:pPr>
        <w:spacing w:after="0"/>
        <w:sectPr>
          <w:pgSz w:w="11910" w:h="16840"/>
          <w:pgMar w:header="572" w:footer="1177" w:top="1320" w:bottom="1360" w:left="1560" w:right="420"/>
        </w:sectPr>
      </w:pPr>
    </w:p>
    <w:p>
      <w:pPr>
        <w:pStyle w:val="BodyText"/>
        <w:spacing w:before="80"/>
        <w:ind w:right="143"/>
      </w:pPr>
      <w:r>
        <w:rPr/>
        <w:t>Первичные и повторные консультации врачей иных специальностей, а также медицинского психолога показаны пациентам с БВ, имеющим нарушения функций других органов и </w:t>
      </w:r>
      <w:r>
        <w:rPr>
          <w:spacing w:val="-2"/>
        </w:rPr>
        <w:t>систем.</w:t>
      </w:r>
    </w:p>
    <w:p>
      <w:pPr>
        <w:pStyle w:val="ListParagraph"/>
        <w:numPr>
          <w:ilvl w:val="3"/>
          <w:numId w:val="2"/>
        </w:numPr>
        <w:tabs>
          <w:tab w:pos="862" w:val="left" w:leader="none"/>
        </w:tabs>
        <w:spacing w:line="240" w:lineRule="auto" w:before="243" w:after="0"/>
        <w:ind w:left="139" w:right="145" w:firstLine="542"/>
        <w:jc w:val="both"/>
        <w:rPr>
          <w:sz w:val="24"/>
        </w:rPr>
      </w:pPr>
      <w:r>
        <w:rPr>
          <w:sz w:val="24"/>
        </w:rPr>
        <w:t>Рекомендуется пациентам с установленным диагнозом БВ и наличием изменений в надпочечниках консультация врача-эндокринолога с целью оценки функции надпочечников</w:t>
      </w:r>
      <w:r>
        <w:rPr>
          <w:spacing w:val="40"/>
          <w:sz w:val="24"/>
        </w:rPr>
        <w:t> </w:t>
      </w:r>
      <w:r>
        <w:rPr>
          <w:sz w:val="24"/>
        </w:rPr>
        <w:t>и своевременного назначения гормонозаместительной терапии </w:t>
      </w:r>
      <w:hyperlink w:history="true" w:anchor="_bookmark14">
        <w:r>
          <w:rPr>
            <w:color w:val="0000FF"/>
            <w:sz w:val="24"/>
          </w:rPr>
          <w:t>[15]</w:t>
        </w:r>
      </w:hyperlink>
      <w:r>
        <w:rPr>
          <w:sz w:val="24"/>
        </w:rPr>
        <w:t>.</w:t>
      </w:r>
    </w:p>
    <w:p>
      <w:pPr>
        <w:pStyle w:val="BodyText"/>
        <w:spacing w:line="274"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5"/>
        <w:ind w:left="0"/>
        <w:jc w:val="left"/>
      </w:pPr>
    </w:p>
    <w:p>
      <w:pPr>
        <w:pStyle w:val="Heading1"/>
        <w:numPr>
          <w:ilvl w:val="2"/>
          <w:numId w:val="2"/>
        </w:numPr>
        <w:tabs>
          <w:tab w:pos="1457" w:val="left" w:leader="none"/>
        </w:tabs>
        <w:spacing w:line="240" w:lineRule="auto" w:before="0" w:after="0"/>
        <w:ind w:left="139" w:right="148" w:firstLine="542"/>
        <w:jc w:val="both"/>
      </w:pPr>
      <w:bookmarkStart w:name="2.5.2. Иные диагностические исследования" w:id="28"/>
      <w:bookmarkEnd w:id="28"/>
      <w:r>
        <w:rPr>
          <w:b w:val="0"/>
        </w:rPr>
      </w:r>
      <w:r>
        <w:rPr/>
        <w:t>Иные диагностические исследования при болезни накопления эфиров холестерина (БНЭХ)</w:t>
      </w:r>
    </w:p>
    <w:p>
      <w:pPr>
        <w:pStyle w:val="ListParagraph"/>
        <w:numPr>
          <w:ilvl w:val="3"/>
          <w:numId w:val="2"/>
        </w:numPr>
        <w:tabs>
          <w:tab w:pos="939" w:val="left" w:leader="none"/>
        </w:tabs>
        <w:spacing w:line="240" w:lineRule="auto" w:before="239" w:after="0"/>
        <w:ind w:left="139" w:right="145" w:firstLine="542"/>
        <w:jc w:val="both"/>
        <w:rPr>
          <w:sz w:val="24"/>
        </w:rPr>
      </w:pPr>
      <w:r>
        <w:rPr>
          <w:sz w:val="24"/>
        </w:rPr>
        <w:t>Рекомендуется при ведении пациентов с БНЭХ на всех этапах использовать мультидисциплинарный подход ввиду того, что заболевание характеризуется поражением многих органов и систем, требует комплексной терапии, что диктует необходимость совместного ведения пациента специалистами разных профилей [</w:t>
      </w:r>
      <w:hyperlink w:history="true" w:anchor="_bookmark14">
        <w:r>
          <w:rPr>
            <w:color w:val="0000FF"/>
            <w:sz w:val="24"/>
          </w:rPr>
          <w:t>15</w:t>
        </w:r>
      </w:hyperlink>
      <w:r>
        <w:rPr>
          <w:sz w:val="24"/>
        </w:rPr>
        <w:t>, </w:t>
      </w:r>
      <w:hyperlink w:history="true" w:anchor="_bookmark30">
        <w:r>
          <w:rPr>
            <w:color w:val="0000FF"/>
            <w:sz w:val="24"/>
          </w:rPr>
          <w:t>38</w:t>
        </w:r>
      </w:hyperlink>
      <w:r>
        <w:rPr>
          <w:sz w:val="24"/>
        </w:rPr>
        <w:t>, </w:t>
      </w:r>
      <w:hyperlink w:history="true" w:anchor="_bookmark31">
        <w:r>
          <w:rPr>
            <w:color w:val="0000FF"/>
            <w:sz w:val="24"/>
          </w:rPr>
          <w:t>39</w:t>
        </w:r>
      </w:hyperlink>
      <w:r>
        <w:rPr>
          <w:sz w:val="24"/>
        </w:rPr>
        <w:t>, </w:t>
      </w:r>
      <w:hyperlink w:history="true" w:anchor="_bookmark34">
        <w:r>
          <w:rPr>
            <w:color w:val="0000FF"/>
            <w:sz w:val="24"/>
          </w:rPr>
          <w:t>42</w:t>
        </w:r>
      </w:hyperlink>
      <w:r>
        <w:rPr>
          <w:sz w:val="24"/>
        </w:rPr>
        <w:t>].</w:t>
      </w:r>
    </w:p>
    <w:p>
      <w:pPr>
        <w:pStyle w:val="BodyText"/>
        <w:spacing w:line="275" w:lineRule="exact" w:before="1"/>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36" w:firstLine="538"/>
      </w:pPr>
      <w:r>
        <w:rPr/>
        <w:t>Комментарий: пациентов с БНЭХ наблюдает врач-гастроэнтеролог, врач-терапевт (в детской практике врач-педиатр), а также врач-генетик, необходима консультация врача- диетолога с целью назначения низкожировой диеты (подбор специализированной диеты с ограничением животных жиров) [</w:t>
      </w:r>
      <w:hyperlink w:history="true" w:anchor="_bookmark2">
        <w:r>
          <w:rPr>
            <w:color w:val="0000FF"/>
          </w:rPr>
          <w:t>2</w:t>
        </w:r>
      </w:hyperlink>
      <w:r>
        <w:rPr/>
        <w:t>, </w:t>
      </w:r>
      <w:hyperlink w:history="true" w:anchor="_bookmark14">
        <w:r>
          <w:rPr>
            <w:color w:val="0000FF"/>
          </w:rPr>
          <w:t>15</w:t>
        </w:r>
      </w:hyperlink>
      <w:r>
        <w:rPr/>
        <w:t>], консультация врача-кардиолога (врача-кардиолога детского) с целью оценки нарушений сердечно-сосудистой системы и терапии (оценка сосудистого риска, назначение лечения, первично и в последующем каждые 6 месяцев) [</w:t>
      </w:r>
      <w:hyperlink w:history="true" w:anchor="_bookmark2">
        <w:r>
          <w:rPr>
            <w:color w:val="0000FF"/>
          </w:rPr>
          <w:t>2</w:t>
        </w:r>
      </w:hyperlink>
      <w:r>
        <w:rPr/>
        <w:t>,</w:t>
      </w:r>
      <w:r>
        <w:rPr>
          <w:spacing w:val="40"/>
        </w:rPr>
        <w:t> </w:t>
      </w:r>
      <w:hyperlink w:history="true" w:anchor="_bookmark12">
        <w:r>
          <w:rPr>
            <w:color w:val="0000FF"/>
          </w:rPr>
          <w:t>13</w:t>
        </w:r>
        <w:r>
          <w:rPr/>
          <w:t>,</w:t>
        </w:r>
      </w:hyperlink>
      <w:r>
        <w:rPr/>
        <w:t> </w:t>
      </w:r>
      <w:hyperlink w:history="true" w:anchor="_bookmark14">
        <w:r>
          <w:rPr>
            <w:color w:val="0000FF"/>
          </w:rPr>
          <w:t>15</w:t>
        </w:r>
      </w:hyperlink>
      <w:r>
        <w:rPr/>
        <w:t>, </w:t>
      </w:r>
      <w:hyperlink w:history="true" w:anchor="_bookmark19">
        <w:r>
          <w:rPr>
            <w:color w:val="0000FF"/>
          </w:rPr>
          <w:t>20</w:t>
        </w:r>
        <w:r>
          <w:rPr/>
          <w:t>,</w:t>
        </w:r>
      </w:hyperlink>
      <w:r>
        <w:rPr/>
        <w:t> </w:t>
      </w:r>
      <w:hyperlink w:history="true" w:anchor="_bookmark22">
        <w:r>
          <w:rPr>
            <w:color w:val="0000FF"/>
          </w:rPr>
          <w:t>26</w:t>
        </w:r>
      </w:hyperlink>
      <w:r>
        <w:rPr/>
        <w:t>], консультация врача-трансплантолога при наличии показаний для трансплантации печени, консультация врача-невролога при наличии показаний. В жизнеугрожающих состояниях необходимо участие врача-анестезиолога-реаниматолога.</w:t>
      </w:r>
    </w:p>
    <w:p>
      <w:pPr>
        <w:pStyle w:val="ListParagraph"/>
        <w:numPr>
          <w:ilvl w:val="3"/>
          <w:numId w:val="2"/>
        </w:numPr>
        <w:tabs>
          <w:tab w:pos="824" w:val="left" w:leader="none"/>
        </w:tabs>
        <w:spacing w:line="242" w:lineRule="auto" w:before="237" w:after="0"/>
        <w:ind w:left="139" w:right="141" w:firstLine="542"/>
        <w:jc w:val="both"/>
        <w:rPr>
          <w:sz w:val="24"/>
        </w:rPr>
      </w:pPr>
      <w:r>
        <w:rPr>
          <w:sz w:val="24"/>
        </w:rPr>
        <w:t>Рекомендуется</w:t>
      </w:r>
      <w:r>
        <w:rPr>
          <w:spacing w:val="-2"/>
          <w:sz w:val="24"/>
        </w:rPr>
        <w:t> </w:t>
      </w:r>
      <w:r>
        <w:rPr>
          <w:sz w:val="24"/>
        </w:rPr>
        <w:t>консультации других</w:t>
      </w:r>
      <w:r>
        <w:rPr>
          <w:spacing w:val="-6"/>
          <w:sz w:val="24"/>
        </w:rPr>
        <w:t> </w:t>
      </w:r>
      <w:r>
        <w:rPr>
          <w:sz w:val="24"/>
        </w:rPr>
        <w:t>специалистов пациентам с</w:t>
      </w:r>
      <w:r>
        <w:rPr>
          <w:spacing w:val="-2"/>
          <w:sz w:val="24"/>
        </w:rPr>
        <w:t> </w:t>
      </w:r>
      <w:r>
        <w:rPr>
          <w:sz w:val="24"/>
        </w:rPr>
        <w:t>подозрением на</w:t>
      </w:r>
      <w:r>
        <w:rPr>
          <w:spacing w:val="-7"/>
          <w:sz w:val="24"/>
        </w:rPr>
        <w:t> </w:t>
      </w:r>
      <w:r>
        <w:rPr>
          <w:sz w:val="24"/>
        </w:rPr>
        <w:t>БНЭХ или с установленным диагнозом по показаниям </w:t>
      </w:r>
      <w:hyperlink w:history="true" w:anchor="_bookmark14">
        <w:r>
          <w:rPr>
            <w:color w:val="0000FF"/>
            <w:sz w:val="24"/>
          </w:rPr>
          <w:t>[15]</w:t>
        </w:r>
      </w:hyperlink>
      <w:r>
        <w:rPr>
          <w:sz w:val="24"/>
        </w:rPr>
        <w:t>.</w:t>
      </w:r>
    </w:p>
    <w:p>
      <w:pPr>
        <w:pStyle w:val="BodyText"/>
        <w:spacing w:line="271" w:lineRule="exact"/>
        <w:ind w:left="677"/>
      </w:pPr>
      <w:r>
        <w:rPr/>
        <w:t>Уровень</w:t>
      </w:r>
      <w:r>
        <w:rPr>
          <w:spacing w:val="-10"/>
        </w:rPr>
        <w:t> </w:t>
      </w:r>
      <w:r>
        <w:rPr/>
        <w:t>убедительности</w:t>
      </w:r>
      <w:r>
        <w:rPr>
          <w:spacing w:val="-3"/>
        </w:rPr>
        <w:t> </w:t>
      </w:r>
      <w:r>
        <w:rPr/>
        <w:t>рекомендации</w:t>
      </w:r>
      <w:r>
        <w:rPr>
          <w:spacing w:val="-3"/>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6"/>
        <w:ind w:left="0"/>
        <w:jc w:val="left"/>
      </w:pPr>
    </w:p>
    <w:p>
      <w:pPr>
        <w:pStyle w:val="Heading1"/>
        <w:numPr>
          <w:ilvl w:val="0"/>
          <w:numId w:val="2"/>
        </w:numPr>
        <w:tabs>
          <w:tab w:pos="967" w:val="left" w:leader="none"/>
        </w:tabs>
        <w:spacing w:line="242" w:lineRule="auto" w:before="0" w:after="0"/>
        <w:ind w:left="139" w:right="146" w:firstLine="542"/>
        <w:jc w:val="both"/>
      </w:pPr>
      <w:bookmarkStart w:name="3. Лечение, включая медикаментозную и не" w:id="29"/>
      <w:bookmarkEnd w:id="29"/>
      <w:r>
        <w:rPr>
          <w:b w:val="0"/>
        </w:rPr>
      </w:r>
      <w:r>
        <w:rPr/>
        <w:t>Лечение, включая</w:t>
      </w:r>
      <w:r>
        <w:rPr>
          <w:spacing w:val="-3"/>
        </w:rPr>
        <w:t> </w:t>
      </w:r>
      <w:r>
        <w:rPr/>
        <w:t>медикаментозную</w:t>
      </w:r>
      <w:r>
        <w:rPr>
          <w:spacing w:val="-2"/>
        </w:rPr>
        <w:t> </w:t>
      </w:r>
      <w:r>
        <w:rPr/>
        <w:t>и немедикаментозную терапии, диетотерапию, обезболивание, медицинские показания и</w:t>
      </w:r>
      <w:r>
        <w:rPr>
          <w:spacing w:val="40"/>
        </w:rPr>
        <w:t> </w:t>
      </w:r>
      <w:r>
        <w:rPr/>
        <w:t>противопоказания к применению методов лечения</w:t>
      </w:r>
    </w:p>
    <w:p>
      <w:pPr>
        <w:pStyle w:val="BodyText"/>
        <w:spacing w:before="262"/>
        <w:ind w:right="136" w:firstLine="542"/>
      </w:pPr>
      <w:r>
        <w:rPr/>
        <w:t>Лечение ДЛКЛ включает как патогенетическую терапию – назначение ФЗТ, так и проведение симптоматической терапии. Ведение пациентов с ДЛКЛ предполагает мультидисциплинарный подход</w:t>
      </w:r>
      <w:r>
        <w:rPr>
          <w:spacing w:val="-1"/>
        </w:rPr>
        <w:t> </w:t>
      </w:r>
      <w:r>
        <w:rPr/>
        <w:t>с обязательным участием врачей-гастроэнтерологов, врачей- педиатров/врачей-терапевтов, врачей-генетиков, врачей-диетологов, врачей-кардиологов и врачей других специальностей, имеющих опыт в лечении этого редкого заболевания.</w:t>
      </w:r>
    </w:p>
    <w:p>
      <w:pPr>
        <w:pStyle w:val="BodyText"/>
        <w:spacing w:before="6"/>
        <w:ind w:left="0"/>
        <w:jc w:val="left"/>
      </w:pPr>
    </w:p>
    <w:p>
      <w:pPr>
        <w:pStyle w:val="Heading1"/>
        <w:numPr>
          <w:ilvl w:val="1"/>
          <w:numId w:val="2"/>
        </w:numPr>
        <w:tabs>
          <w:tab w:pos="1175" w:val="left" w:leader="none"/>
        </w:tabs>
        <w:spacing w:line="240" w:lineRule="auto" w:before="0" w:after="0"/>
        <w:ind w:left="1175" w:right="0" w:hanging="493"/>
        <w:jc w:val="left"/>
      </w:pPr>
      <w:bookmarkStart w:name="3.1. Патогенетическое лечение" w:id="30"/>
      <w:bookmarkEnd w:id="30"/>
      <w:r>
        <w:rPr>
          <w:b w:val="0"/>
        </w:rPr>
      </w:r>
      <w:r>
        <w:rPr>
          <w:spacing w:val="-2"/>
        </w:rPr>
        <w:t>Патогенетическое</w:t>
      </w:r>
      <w:r>
        <w:rPr>
          <w:spacing w:val="3"/>
        </w:rPr>
        <w:t> </w:t>
      </w:r>
      <w:r>
        <w:rPr>
          <w:spacing w:val="-2"/>
        </w:rPr>
        <w:t>лечение</w:t>
      </w:r>
    </w:p>
    <w:p>
      <w:pPr>
        <w:pStyle w:val="ListParagraph"/>
        <w:numPr>
          <w:ilvl w:val="2"/>
          <w:numId w:val="2"/>
        </w:numPr>
        <w:tabs>
          <w:tab w:pos="1510" w:val="left" w:leader="none"/>
        </w:tabs>
        <w:spacing w:line="240" w:lineRule="auto" w:before="278" w:after="0"/>
        <w:ind w:left="139" w:right="154" w:firstLine="542"/>
        <w:jc w:val="both"/>
        <w:rPr>
          <w:b/>
          <w:sz w:val="28"/>
        </w:rPr>
      </w:pPr>
      <w:bookmarkStart w:name="3.1.1. Патогенетическое лечение при инфа" w:id="31"/>
      <w:bookmarkEnd w:id="31"/>
      <w:r>
        <w:rPr/>
      </w:r>
      <w:r>
        <w:rPr>
          <w:b/>
          <w:sz w:val="28"/>
        </w:rPr>
        <w:t>Патогенетическое лечение при инфантильной форме ДЛКЛ (болезни Вольмана)</w:t>
      </w:r>
    </w:p>
    <w:p>
      <w:pPr>
        <w:pStyle w:val="ListParagraph"/>
        <w:numPr>
          <w:ilvl w:val="3"/>
          <w:numId w:val="2"/>
        </w:numPr>
        <w:tabs>
          <w:tab w:pos="972" w:val="left" w:leader="none"/>
        </w:tabs>
        <w:spacing w:line="240" w:lineRule="auto" w:before="234" w:after="0"/>
        <w:ind w:left="139" w:right="140" w:firstLine="542"/>
        <w:jc w:val="both"/>
        <w:rPr>
          <w:sz w:val="24"/>
        </w:rPr>
      </w:pPr>
      <w:r>
        <w:rPr>
          <w:sz w:val="24"/>
        </w:rPr>
        <w:t>Рекомендовано проведение ферментной заместительной терапии (ФЗТ) всем пациентам с установленным диагнозом БВ с целью замедления прогрессирования заболевания, уменьшения размеров печени и селезенки, регресса или стабилизации фиброза</w:t>
      </w:r>
    </w:p>
    <w:p>
      <w:pPr>
        <w:spacing w:after="0" w:line="240" w:lineRule="auto"/>
        <w:jc w:val="both"/>
        <w:rPr>
          <w:sz w:val="24"/>
        </w:rPr>
        <w:sectPr>
          <w:pgSz w:w="11910" w:h="16840"/>
          <w:pgMar w:header="572" w:footer="1177" w:top="1320" w:bottom="1360" w:left="1560" w:right="420"/>
        </w:sectPr>
      </w:pPr>
    </w:p>
    <w:p>
      <w:pPr>
        <w:pStyle w:val="BodyText"/>
        <w:spacing w:line="242" w:lineRule="auto" w:before="80"/>
        <w:ind w:right="143"/>
      </w:pPr>
      <w:r>
        <w:rPr/>
        <w:t>печени, устранения дислипидемии, уменьшения накопления эфиров холестерина в органах и тканях [</w:t>
      </w:r>
      <w:hyperlink w:history="true" w:anchor="_bookmark20">
        <w:r>
          <w:rPr>
            <w:color w:val="0000FF"/>
          </w:rPr>
          <w:t>21</w:t>
        </w:r>
      </w:hyperlink>
      <w:r>
        <w:rPr/>
        <w:t>-</w:t>
      </w:r>
      <w:hyperlink w:history="true" w:anchor="_bookmark21">
        <w:r>
          <w:rPr>
            <w:color w:val="0000FF"/>
          </w:rPr>
          <w:t>25</w:t>
        </w:r>
      </w:hyperlink>
      <w:r>
        <w:rPr/>
        <w:t>].</w:t>
      </w:r>
    </w:p>
    <w:p>
      <w:pPr>
        <w:pStyle w:val="BodyText"/>
        <w:spacing w:line="271"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4">
        <w:r>
          <w:rPr>
            <w:color w:val="0000FF"/>
          </w:rPr>
          <w:t>B</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2).</w:t>
      </w:r>
    </w:p>
    <w:p>
      <w:pPr>
        <w:pStyle w:val="BodyText"/>
        <w:spacing w:before="2"/>
        <w:ind w:right="136" w:firstLine="538"/>
      </w:pPr>
      <w:r>
        <w:rPr/>
        <w:t>Комментарии: Препаратом для ФЗТ является Себелипаза альфа**. В 1 мл раствора содержится себелипазы альфа** 2 мг. Это рекомбинантная форма человеческой лизосомной кислой липазы, производимая с использованием технологии рекомбинантной ДНК в клеточной культуре куриного яйца. ФЗТ предназначена для восстановления уровня энзиматической</w:t>
      </w:r>
      <w:r>
        <w:rPr>
          <w:spacing w:val="-2"/>
        </w:rPr>
        <w:t> </w:t>
      </w:r>
      <w:r>
        <w:rPr/>
        <w:t>активности,</w:t>
      </w:r>
      <w:r>
        <w:rPr>
          <w:spacing w:val="-1"/>
        </w:rPr>
        <w:t> </w:t>
      </w:r>
      <w:r>
        <w:rPr/>
        <w:t>достаточного для</w:t>
      </w:r>
      <w:r>
        <w:rPr>
          <w:spacing w:val="-3"/>
        </w:rPr>
        <w:t> </w:t>
      </w:r>
      <w:r>
        <w:rPr/>
        <w:t>гидролиза</w:t>
      </w:r>
      <w:r>
        <w:rPr>
          <w:spacing w:val="-4"/>
        </w:rPr>
        <w:t> </w:t>
      </w:r>
      <w:r>
        <w:rPr/>
        <w:t>накопленных</w:t>
      </w:r>
      <w:r>
        <w:rPr>
          <w:spacing w:val="-3"/>
        </w:rPr>
        <w:t> </w:t>
      </w:r>
      <w:r>
        <w:rPr/>
        <w:t>эфиров холестерина и для предотвращения их дальнейшего накопления. После введения себелипаза альфа**</w:t>
      </w:r>
      <w:r>
        <w:rPr>
          <w:spacing w:val="40"/>
        </w:rPr>
        <w:t> </w:t>
      </w:r>
      <w:r>
        <w:rPr/>
        <w:t>быстро выводится из системного кровотока и поглощается клетками, поступая в их</w:t>
      </w:r>
      <w:r>
        <w:rPr>
          <w:spacing w:val="80"/>
        </w:rPr>
        <w:t> </w:t>
      </w:r>
      <w:r>
        <w:rPr/>
        <w:t>лизосомы через маннозо-6-фосфатные рецепторы.</w:t>
      </w:r>
    </w:p>
    <w:p>
      <w:pPr>
        <w:pStyle w:val="BodyText"/>
        <w:spacing w:before="1"/>
        <w:ind w:right="139" w:firstLine="538"/>
      </w:pPr>
      <w:r>
        <w:rPr/>
        <w:t>Введение препарата осуществляется парентерально в виде внутривенных инфузий. Введение</w:t>
      </w:r>
      <w:r>
        <w:rPr>
          <w:spacing w:val="-4"/>
        </w:rPr>
        <w:t> </w:t>
      </w:r>
      <w:r>
        <w:rPr/>
        <w:t>осуществляется</w:t>
      </w:r>
      <w:r>
        <w:rPr>
          <w:spacing w:val="-4"/>
        </w:rPr>
        <w:t> </w:t>
      </w:r>
      <w:r>
        <w:rPr/>
        <w:t>через</w:t>
      </w:r>
      <w:r>
        <w:rPr>
          <w:spacing w:val="-2"/>
        </w:rPr>
        <w:t> </w:t>
      </w:r>
      <w:r>
        <w:rPr/>
        <w:t>периферический</w:t>
      </w:r>
      <w:r>
        <w:rPr>
          <w:spacing w:val="-2"/>
        </w:rPr>
        <w:t> </w:t>
      </w:r>
      <w:r>
        <w:rPr/>
        <w:t>венозный</w:t>
      </w:r>
      <w:r>
        <w:rPr>
          <w:spacing w:val="-7"/>
        </w:rPr>
        <w:t> </w:t>
      </w:r>
      <w:r>
        <w:rPr/>
        <w:t>катетер</w:t>
      </w:r>
      <w:r>
        <w:rPr>
          <w:spacing w:val="-4"/>
        </w:rPr>
        <w:t> </w:t>
      </w:r>
      <w:r>
        <w:rPr/>
        <w:t>(катетер</w:t>
      </w:r>
      <w:r>
        <w:rPr>
          <w:spacing w:val="-4"/>
        </w:rPr>
        <w:t> </w:t>
      </w:r>
      <w:r>
        <w:rPr/>
        <w:t>периферический) или через порт-систему (порт инфузионный/инъекционный, имплантируемый***), которые устанавливаются согласно методическим руководствам "Венозный доступ, 2019 (https://msestra.ru/download/file.php?id=4763) с использованием необходимых лекарственных средств. Порт-системы устанавливаются согласно Распоряжению Правительства Российской Федерации от 31.12.2018 N 3053-р "Об утверждении перечня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а также перечня медицинских изделий, отпускаемых по рецептам на медицинские изделия при предоставлении набора социальных услуг".</w:t>
      </w:r>
    </w:p>
    <w:p>
      <w:pPr>
        <w:pStyle w:val="BodyText"/>
        <w:tabs>
          <w:tab w:pos="959" w:val="left" w:leader="none"/>
          <w:tab w:pos="2005" w:val="left" w:leader="none"/>
          <w:tab w:pos="3176" w:val="left" w:leader="none"/>
          <w:tab w:pos="4547" w:val="left" w:leader="none"/>
          <w:tab w:pos="5565" w:val="left" w:leader="none"/>
          <w:tab w:pos="6204" w:val="left" w:leader="none"/>
          <w:tab w:pos="6957" w:val="left" w:leader="none"/>
          <w:tab w:pos="8583" w:val="left" w:leader="none"/>
          <w:tab w:pos="9484" w:val="left" w:leader="none"/>
        </w:tabs>
        <w:ind w:right="137" w:firstLine="538"/>
        <w:jc w:val="left"/>
      </w:pPr>
      <w:r>
        <w:rPr/>
        <w:t>Рекомендованный</w:t>
      </w:r>
      <w:r>
        <w:rPr>
          <w:spacing w:val="80"/>
        </w:rPr>
        <w:t> </w:t>
      </w:r>
      <w:r>
        <w:rPr/>
        <w:t>режим</w:t>
      </w:r>
      <w:r>
        <w:rPr>
          <w:spacing w:val="80"/>
        </w:rPr>
        <w:t> </w:t>
      </w:r>
      <w:r>
        <w:rPr/>
        <w:t>дозирования</w:t>
      </w:r>
      <w:r>
        <w:rPr>
          <w:spacing w:val="80"/>
        </w:rPr>
        <w:t> </w:t>
      </w:r>
      <w:r>
        <w:rPr/>
        <w:t>зависит</w:t>
      </w:r>
      <w:r>
        <w:rPr>
          <w:spacing w:val="80"/>
        </w:rPr>
        <w:t> </w:t>
      </w:r>
      <w:r>
        <w:rPr/>
        <w:t>от</w:t>
      </w:r>
      <w:r>
        <w:rPr>
          <w:spacing w:val="80"/>
        </w:rPr>
        <w:t> </w:t>
      </w:r>
      <w:r>
        <w:rPr/>
        <w:t>возраста.</w:t>
      </w:r>
      <w:r>
        <w:rPr>
          <w:spacing w:val="80"/>
        </w:rPr>
        <w:t> </w:t>
      </w:r>
      <w:r>
        <w:rPr/>
        <w:t>Детям</w:t>
      </w:r>
      <w:r>
        <w:rPr>
          <w:spacing w:val="80"/>
        </w:rPr>
        <w:t> </w:t>
      </w:r>
      <w:r>
        <w:rPr/>
        <w:t>до</w:t>
      </w:r>
      <w:r>
        <w:rPr>
          <w:spacing w:val="80"/>
        </w:rPr>
        <w:t> </w:t>
      </w:r>
      <w:r>
        <w:rPr/>
        <w:t>6</w:t>
      </w:r>
      <w:r>
        <w:rPr>
          <w:spacing w:val="80"/>
        </w:rPr>
        <w:t> </w:t>
      </w:r>
      <w:r>
        <w:rPr/>
        <w:t>месяцев рекомендуемая начальная доза составляет 1 мг/кг, в последующем, в случае недостаточного эффекта после проведения, как минимум, 4 инфузий, следует рассмотреть увеличение дозы до</w:t>
      </w:r>
      <w:r>
        <w:rPr>
          <w:spacing w:val="80"/>
        </w:rPr>
        <w:t> </w:t>
      </w:r>
      <w:r>
        <w:rPr/>
        <w:t>3</w:t>
      </w:r>
      <w:r>
        <w:rPr>
          <w:spacing w:val="80"/>
        </w:rPr>
        <w:t> </w:t>
      </w:r>
      <w:r>
        <w:rPr/>
        <w:t>мг/кг</w:t>
      </w:r>
      <w:r>
        <w:rPr>
          <w:spacing w:val="80"/>
        </w:rPr>
        <w:t> </w:t>
      </w:r>
      <w:r>
        <w:rPr/>
        <w:t>внутривенно</w:t>
      </w:r>
      <w:r>
        <w:rPr>
          <w:spacing w:val="80"/>
        </w:rPr>
        <w:t> </w:t>
      </w:r>
      <w:r>
        <w:rPr/>
        <w:t>1</w:t>
      </w:r>
      <w:r>
        <w:rPr>
          <w:spacing w:val="80"/>
        </w:rPr>
        <w:t> </w:t>
      </w:r>
      <w:r>
        <w:rPr/>
        <w:t>раз</w:t>
      </w:r>
      <w:r>
        <w:rPr>
          <w:spacing w:val="80"/>
        </w:rPr>
        <w:t> </w:t>
      </w:r>
      <w:r>
        <w:rPr/>
        <w:t>в</w:t>
      </w:r>
      <w:r>
        <w:rPr>
          <w:spacing w:val="80"/>
        </w:rPr>
        <w:t> </w:t>
      </w:r>
      <w:r>
        <w:rPr/>
        <w:t>неделю</w:t>
      </w:r>
      <w:r>
        <w:rPr>
          <w:spacing w:val="80"/>
        </w:rPr>
        <w:t> </w:t>
      </w:r>
      <w:r>
        <w:rPr/>
        <w:t>[Инструкция</w:t>
      </w:r>
      <w:r>
        <w:rPr>
          <w:spacing w:val="80"/>
        </w:rPr>
        <w:t> </w:t>
      </w:r>
      <w:r>
        <w:rPr/>
        <w:t>по</w:t>
      </w:r>
      <w:r>
        <w:rPr>
          <w:spacing w:val="80"/>
        </w:rPr>
        <w:t> </w:t>
      </w:r>
      <w:r>
        <w:rPr/>
        <w:t>медицинскому</w:t>
      </w:r>
      <w:r>
        <w:rPr>
          <w:spacing w:val="80"/>
        </w:rPr>
        <w:t> </w:t>
      </w:r>
      <w:r>
        <w:rPr/>
        <w:t>применению препарата</w:t>
      </w:r>
      <w:r>
        <w:rPr>
          <w:spacing w:val="40"/>
        </w:rPr>
        <w:t> </w:t>
      </w:r>
      <w:r>
        <w:rPr/>
        <w:t>себелипаза</w:t>
      </w:r>
      <w:r>
        <w:rPr>
          <w:spacing w:val="40"/>
        </w:rPr>
        <w:t> </w:t>
      </w:r>
      <w:r>
        <w:rPr/>
        <w:t>альфа**].</w:t>
      </w:r>
      <w:r>
        <w:rPr>
          <w:spacing w:val="40"/>
        </w:rPr>
        <w:t> </w:t>
      </w:r>
      <w:r>
        <w:rPr/>
        <w:t>Дальнейшее</w:t>
      </w:r>
      <w:r>
        <w:rPr>
          <w:spacing w:val="40"/>
        </w:rPr>
        <w:t> </w:t>
      </w:r>
      <w:r>
        <w:rPr/>
        <w:t>увеличение</w:t>
      </w:r>
      <w:r>
        <w:rPr>
          <w:spacing w:val="40"/>
        </w:rPr>
        <w:t> </w:t>
      </w:r>
      <w:r>
        <w:rPr/>
        <w:t>дозы</w:t>
      </w:r>
      <w:r>
        <w:rPr>
          <w:spacing w:val="40"/>
        </w:rPr>
        <w:t> </w:t>
      </w:r>
      <w:r>
        <w:rPr/>
        <w:t>до</w:t>
      </w:r>
      <w:r>
        <w:rPr>
          <w:spacing w:val="40"/>
        </w:rPr>
        <w:t> </w:t>
      </w:r>
      <w:r>
        <w:rPr/>
        <w:t>5</w:t>
      </w:r>
      <w:r>
        <w:rPr>
          <w:spacing w:val="40"/>
        </w:rPr>
        <w:t> </w:t>
      </w:r>
      <w:r>
        <w:rPr/>
        <w:t>мг/кг</w:t>
      </w:r>
      <w:r>
        <w:rPr>
          <w:spacing w:val="40"/>
        </w:rPr>
        <w:t> </w:t>
      </w:r>
      <w:r>
        <w:rPr/>
        <w:t>1</w:t>
      </w:r>
      <w:r>
        <w:rPr>
          <w:spacing w:val="40"/>
        </w:rPr>
        <w:t> </w:t>
      </w:r>
      <w:r>
        <w:rPr/>
        <w:t>раз</w:t>
      </w:r>
      <w:r>
        <w:rPr>
          <w:spacing w:val="40"/>
        </w:rPr>
        <w:t> </w:t>
      </w:r>
      <w:r>
        <w:rPr/>
        <w:t>в</w:t>
      </w:r>
      <w:r>
        <w:rPr>
          <w:spacing w:val="40"/>
        </w:rPr>
        <w:t> </w:t>
      </w:r>
      <w:r>
        <w:rPr/>
        <w:t>неделю следует</w:t>
      </w:r>
      <w:r>
        <w:rPr>
          <w:spacing w:val="40"/>
        </w:rPr>
        <w:t> </w:t>
      </w:r>
      <w:r>
        <w:rPr/>
        <w:t>рассмотреть</w:t>
      </w:r>
      <w:r>
        <w:rPr>
          <w:spacing w:val="40"/>
        </w:rPr>
        <w:t> </w:t>
      </w:r>
      <w:r>
        <w:rPr/>
        <w:t>в</w:t>
      </w:r>
      <w:r>
        <w:rPr>
          <w:spacing w:val="40"/>
        </w:rPr>
        <w:t> </w:t>
      </w:r>
      <w:r>
        <w:rPr/>
        <w:t>случае</w:t>
      </w:r>
      <w:r>
        <w:rPr>
          <w:spacing w:val="40"/>
        </w:rPr>
        <w:t> </w:t>
      </w:r>
      <w:r>
        <w:rPr/>
        <w:t>недостаточного</w:t>
      </w:r>
      <w:r>
        <w:rPr>
          <w:spacing w:val="40"/>
        </w:rPr>
        <w:t> </w:t>
      </w:r>
      <w:r>
        <w:rPr/>
        <w:t>ответа</w:t>
      </w:r>
      <w:r>
        <w:rPr>
          <w:spacing w:val="40"/>
        </w:rPr>
        <w:t> </w:t>
      </w:r>
      <w:r>
        <w:rPr/>
        <w:t>после</w:t>
      </w:r>
      <w:r>
        <w:rPr>
          <w:spacing w:val="40"/>
        </w:rPr>
        <w:t> </w:t>
      </w:r>
      <w:r>
        <w:rPr/>
        <w:t>проведения,</w:t>
      </w:r>
      <w:r>
        <w:rPr>
          <w:spacing w:val="40"/>
        </w:rPr>
        <w:t> </w:t>
      </w:r>
      <w:r>
        <w:rPr/>
        <w:t>как</w:t>
      </w:r>
      <w:r>
        <w:rPr>
          <w:spacing w:val="40"/>
        </w:rPr>
        <w:t> </w:t>
      </w:r>
      <w:r>
        <w:rPr/>
        <w:t>минимум,</w:t>
      </w:r>
      <w:r>
        <w:rPr>
          <w:spacing w:val="40"/>
        </w:rPr>
        <w:t> </w:t>
      </w:r>
      <w:r>
        <w:rPr/>
        <w:t>4 дополнительных</w:t>
      </w:r>
      <w:r>
        <w:rPr>
          <w:spacing w:val="-8"/>
        </w:rPr>
        <w:t> </w:t>
      </w:r>
      <w:r>
        <w:rPr/>
        <w:t>инфузий.</w:t>
      </w:r>
      <w:r>
        <w:rPr>
          <w:spacing w:val="-1"/>
        </w:rPr>
        <w:t> </w:t>
      </w:r>
      <w:r>
        <w:rPr/>
        <w:t>Последующие</w:t>
      </w:r>
      <w:r>
        <w:rPr>
          <w:spacing w:val="-4"/>
        </w:rPr>
        <w:t> </w:t>
      </w:r>
      <w:r>
        <w:rPr/>
        <w:t>коррекции</w:t>
      </w:r>
      <w:r>
        <w:rPr>
          <w:spacing w:val="-2"/>
        </w:rPr>
        <w:t> </w:t>
      </w:r>
      <w:r>
        <w:rPr/>
        <w:t>дозы</w:t>
      </w:r>
      <w:r>
        <w:rPr>
          <w:spacing w:val="-6"/>
        </w:rPr>
        <w:t> </w:t>
      </w:r>
      <w:r>
        <w:rPr/>
        <w:t>можно проводить</w:t>
      </w:r>
      <w:r>
        <w:rPr>
          <w:spacing w:val="-2"/>
        </w:rPr>
        <w:t> </w:t>
      </w:r>
      <w:r>
        <w:rPr/>
        <w:t>индивидуально</w:t>
      </w:r>
      <w:r>
        <w:rPr>
          <w:spacing w:val="-3"/>
        </w:rPr>
        <w:t> </w:t>
      </w:r>
      <w:r>
        <w:rPr/>
        <w:t>в зависимости</w:t>
      </w:r>
      <w:r>
        <w:rPr>
          <w:spacing w:val="-3"/>
        </w:rPr>
        <w:t> </w:t>
      </w:r>
      <w:r>
        <w:rPr/>
        <w:t>от</w:t>
      </w:r>
      <w:r>
        <w:rPr>
          <w:spacing w:val="-1"/>
        </w:rPr>
        <w:t> </w:t>
      </w:r>
      <w:r>
        <w:rPr/>
        <w:t>достижения</w:t>
      </w:r>
      <w:r>
        <w:rPr>
          <w:spacing w:val="-5"/>
        </w:rPr>
        <w:t> </w:t>
      </w:r>
      <w:r>
        <w:rPr/>
        <w:t>и поддержания</w:t>
      </w:r>
      <w:r>
        <w:rPr>
          <w:spacing w:val="-1"/>
        </w:rPr>
        <w:t> </w:t>
      </w:r>
      <w:r>
        <w:rPr/>
        <w:t>терапевтических</w:t>
      </w:r>
      <w:r>
        <w:rPr>
          <w:spacing w:val="-5"/>
        </w:rPr>
        <w:t> </w:t>
      </w:r>
      <w:r>
        <w:rPr/>
        <w:t>целей, возможно применение</w:t>
      </w:r>
      <w:r>
        <w:rPr>
          <w:spacing w:val="-2"/>
        </w:rPr>
        <w:t> </w:t>
      </w:r>
      <w:r>
        <w:rPr/>
        <w:t>до </w:t>
      </w:r>
      <w:r>
        <w:rPr>
          <w:spacing w:val="-4"/>
        </w:rPr>
        <w:t>7,5</w:t>
      </w:r>
      <w:r>
        <w:rPr/>
        <w:tab/>
      </w:r>
      <w:r>
        <w:rPr>
          <w:spacing w:val="-2"/>
        </w:rPr>
        <w:t>мг/кг</w:t>
      </w:r>
      <w:r>
        <w:rPr/>
        <w:tab/>
      </w:r>
      <w:r>
        <w:rPr>
          <w:spacing w:val="-2"/>
        </w:rPr>
        <w:t>(более</w:t>
      </w:r>
      <w:r>
        <w:rPr/>
        <w:tab/>
      </w:r>
      <w:r>
        <w:rPr>
          <w:spacing w:val="-2"/>
        </w:rPr>
        <w:t>высокие</w:t>
      </w:r>
      <w:r>
        <w:rPr/>
        <w:tab/>
      </w:r>
      <w:r>
        <w:rPr>
          <w:spacing w:val="-4"/>
        </w:rPr>
        <w:t>дозы</w:t>
      </w:r>
      <w:r>
        <w:rPr/>
        <w:tab/>
      </w:r>
      <w:r>
        <w:rPr>
          <w:spacing w:val="-10"/>
        </w:rPr>
        <w:t>–</w:t>
      </w:r>
      <w:r>
        <w:rPr/>
        <w:tab/>
      </w:r>
      <w:r>
        <w:rPr>
          <w:spacing w:val="-6"/>
        </w:rPr>
        <w:t>не</w:t>
      </w:r>
      <w:r>
        <w:rPr/>
        <w:tab/>
      </w:r>
      <w:r>
        <w:rPr>
          <w:spacing w:val="-2"/>
        </w:rPr>
        <w:t>изучались)</w:t>
      </w:r>
      <w:r>
        <w:rPr/>
        <w:tab/>
      </w:r>
      <w:r>
        <w:rPr>
          <w:spacing w:val="-4"/>
        </w:rPr>
        <w:t>[</w:t>
      </w:r>
      <w:hyperlink w:history="true" w:anchor="_bookmark20">
        <w:r>
          <w:rPr>
            <w:color w:val="0000FF"/>
            <w:spacing w:val="-4"/>
          </w:rPr>
          <w:t>21</w:t>
        </w:r>
      </w:hyperlink>
      <w:r>
        <w:rPr>
          <w:spacing w:val="-4"/>
        </w:rPr>
        <w:t>,</w:t>
      </w:r>
      <w:r>
        <w:rPr/>
        <w:tab/>
      </w:r>
      <w:hyperlink w:history="true" w:anchor="_bookmark35">
        <w:r>
          <w:rPr>
            <w:color w:val="0000FF"/>
            <w:spacing w:val="-4"/>
          </w:rPr>
          <w:t>43</w:t>
        </w:r>
      </w:hyperlink>
      <w:r>
        <w:rPr>
          <w:spacing w:val="-4"/>
        </w:rPr>
        <w:t>, </w:t>
      </w:r>
      <w:r>
        <w:rPr>
          <w:spacing w:val="-2"/>
        </w:rPr>
        <w:t>https://grls.rosminzdrav.ru/Grls_View_v2.aspx?routingGuid=1eaa9c5e-20c6-4a75-a48c- 44f5271fcf4d].</w:t>
      </w:r>
    </w:p>
    <w:p>
      <w:pPr>
        <w:pStyle w:val="BodyText"/>
        <w:spacing w:before="2"/>
        <w:ind w:right="147" w:firstLine="538"/>
      </w:pPr>
      <w:r>
        <w:rPr/>
        <w:t>Необходимый объем препарата медленно разводят в нужном объеме раствора натрия хлорида** согласно весу </w:t>
      </w:r>
      <w:hyperlink w:history="true" w:anchor="_bookmark46">
        <w:r>
          <w:rPr>
            <w:color w:val="0000FF"/>
          </w:rPr>
          <w:t>(приложение А3)</w:t>
        </w:r>
      </w:hyperlink>
      <w:r>
        <w:rPr/>
        <w:t>. Весь необходимый объем раствора должен быть введен не менее чем в течение 2 часов.</w:t>
      </w:r>
    </w:p>
    <w:p>
      <w:pPr>
        <w:pStyle w:val="BodyText"/>
        <w:ind w:right="152" w:firstLine="538"/>
      </w:pPr>
      <w:r>
        <w:rPr/>
        <w:t>Следует обращать внимание на соблюдение интервалов между инфузиями и недопустимость перерывов в терапии, т.к. нарушение режима лечения сопровождается потенциальным риском ухудшения состояния пациента и прогрессирования симптомов БВ.</w:t>
      </w:r>
    </w:p>
    <w:p>
      <w:pPr>
        <w:pStyle w:val="BodyText"/>
        <w:tabs>
          <w:tab w:pos="9040" w:val="left" w:leader="none"/>
        </w:tabs>
        <w:spacing w:before="1"/>
        <w:ind w:right="143" w:firstLine="538"/>
      </w:pPr>
      <w:r>
        <w:rPr/>
        <w:t>Необходим мониторинг основных параметров течения заболевания: оценка</w:t>
      </w:r>
      <w:r>
        <w:rPr>
          <w:spacing w:val="-1"/>
        </w:rPr>
        <w:t> </w:t>
      </w:r>
      <w:r>
        <w:rPr/>
        <w:t>окружности средней части плеча, определение активности аланинаминотрансферазы, аспартатаминотрансферазы в крови, исследование уровня ферритина в крови, исследование уровня C-реактивного белка в сыворотке крови, коагулограмма (ориентировочное исследование системы гемостаза), стойкая или ухудшающаяся органомегалия, частые интеркуррентные инфекции и стойкое ухудшение других симптомов (например, со стороны желудочно-</w:t>
      </w:r>
      <w:r>
        <w:rPr>
          <w:spacing w:val="-2"/>
        </w:rPr>
        <w:t>кишечного</w:t>
      </w:r>
      <w:r>
        <w:rPr/>
        <w:tab/>
      </w:r>
      <w:r>
        <w:rPr>
          <w:spacing w:val="-2"/>
        </w:rPr>
        <w:t>тракта)</w:t>
      </w:r>
    </w:p>
    <w:p>
      <w:pPr>
        <w:pStyle w:val="BodyText"/>
        <w:spacing w:line="242" w:lineRule="auto"/>
        <w:jc w:val="left"/>
      </w:pPr>
      <w:r>
        <w:rPr>
          <w:spacing w:val="-2"/>
        </w:rPr>
        <w:t>[https://grls.rosminzdrav.ru/Grls_View_v2.aspx?routingGuid=1eaa9c5e-20c6-4a75-a48c- 44f5271fcf4d].</w:t>
      </w:r>
    </w:p>
    <w:p>
      <w:pPr>
        <w:pStyle w:val="ListParagraph"/>
        <w:numPr>
          <w:ilvl w:val="3"/>
          <w:numId w:val="2"/>
        </w:numPr>
        <w:tabs>
          <w:tab w:pos="980" w:val="left" w:leader="none"/>
          <w:tab w:pos="2759" w:val="left" w:leader="none"/>
          <w:tab w:pos="4063" w:val="left" w:leader="none"/>
          <w:tab w:pos="4380" w:val="left" w:leader="none"/>
          <w:tab w:pos="4888" w:val="left" w:leader="none"/>
          <w:tab w:pos="6279" w:val="left" w:leader="none"/>
          <w:tab w:pos="8302" w:val="left" w:leader="none"/>
        </w:tabs>
        <w:spacing w:line="240" w:lineRule="auto" w:before="233" w:after="0"/>
        <w:ind w:left="980" w:right="0" w:hanging="298"/>
        <w:jc w:val="left"/>
        <w:rPr>
          <w:sz w:val="24"/>
        </w:rPr>
      </w:pPr>
      <w:r>
        <w:rPr>
          <w:spacing w:val="-2"/>
          <w:sz w:val="24"/>
        </w:rPr>
        <w:t>Рекомендовано</w:t>
      </w:r>
      <w:r>
        <w:rPr>
          <w:sz w:val="24"/>
        </w:rPr>
        <w:tab/>
      </w:r>
      <w:r>
        <w:rPr>
          <w:spacing w:val="-2"/>
          <w:sz w:val="24"/>
        </w:rPr>
        <w:t>пациентам</w:t>
      </w:r>
      <w:r>
        <w:rPr>
          <w:sz w:val="24"/>
        </w:rPr>
        <w:tab/>
      </w:r>
      <w:r>
        <w:rPr>
          <w:spacing w:val="-10"/>
          <w:sz w:val="24"/>
        </w:rPr>
        <w:t>с</w:t>
      </w:r>
      <w:r>
        <w:rPr>
          <w:sz w:val="24"/>
        </w:rPr>
        <w:tab/>
      </w:r>
      <w:r>
        <w:rPr>
          <w:spacing w:val="-5"/>
          <w:sz w:val="24"/>
        </w:rPr>
        <w:t>БВ</w:t>
      </w:r>
      <w:r>
        <w:rPr>
          <w:sz w:val="24"/>
        </w:rPr>
        <w:tab/>
      </w:r>
      <w:r>
        <w:rPr>
          <w:spacing w:val="-2"/>
          <w:sz w:val="24"/>
        </w:rPr>
        <w:t>проведение</w:t>
      </w:r>
      <w:r>
        <w:rPr>
          <w:sz w:val="24"/>
        </w:rPr>
        <w:tab/>
      </w:r>
      <w:r>
        <w:rPr>
          <w:spacing w:val="-2"/>
          <w:sz w:val="24"/>
        </w:rPr>
        <w:t>медикаментозной</w:t>
      </w:r>
      <w:r>
        <w:rPr>
          <w:sz w:val="24"/>
        </w:rPr>
        <w:tab/>
      </w:r>
      <w:r>
        <w:rPr>
          <w:spacing w:val="-2"/>
          <w:sz w:val="24"/>
        </w:rPr>
        <w:t>премедикации</w:t>
      </w:r>
    </w:p>
    <w:p>
      <w:pPr>
        <w:spacing w:after="0" w:line="240" w:lineRule="auto"/>
        <w:jc w:val="left"/>
        <w:rPr>
          <w:sz w:val="24"/>
        </w:rPr>
        <w:sectPr>
          <w:pgSz w:w="11910" w:h="16840"/>
          <w:pgMar w:header="572" w:footer="1177" w:top="1320" w:bottom="1360" w:left="1560" w:right="420"/>
        </w:sectPr>
      </w:pPr>
    </w:p>
    <w:p>
      <w:pPr>
        <w:pStyle w:val="BodyText"/>
        <w:spacing w:before="80"/>
        <w:ind w:right="142"/>
      </w:pPr>
      <w:r>
        <w:rPr/>
        <w:t>антигистаминными средствами системного действия и/или нестероидными противовоспалительными и противоревматическими препаратами/препаратами группы другие анальгетики и антипиретики согласно инструкции по применению лекарственных препаратов при появлении побочных реакций с последующей инфузией себелипазы альфа** [</w:t>
      </w:r>
      <w:hyperlink w:history="true" w:anchor="_bookmark20">
        <w:r>
          <w:rPr>
            <w:color w:val="0000FF"/>
          </w:rPr>
          <w:t>21</w:t>
        </w:r>
      </w:hyperlink>
      <w:r>
        <w:rPr/>
        <w:t>-</w:t>
      </w:r>
      <w:hyperlink w:history="true" w:anchor="_bookmark21">
        <w:r>
          <w:rPr>
            <w:color w:val="0000FF"/>
          </w:rPr>
          <w:t>25</w:t>
        </w:r>
      </w:hyperlink>
      <w:r>
        <w:rPr/>
        <w:t>, </w:t>
      </w:r>
      <w:hyperlink w:history="true" w:anchor="_bookmark39">
        <w:r>
          <w:rPr>
            <w:color w:val="0000FF"/>
          </w:rPr>
          <w:t>47</w:t>
        </w:r>
      </w:hyperlink>
      <w:r>
        <w:rPr/>
        <w:t>, </w:t>
      </w:r>
      <w:hyperlink w:history="true" w:anchor="_bookmark40">
        <w:r>
          <w:rPr>
            <w:color w:val="0000FF"/>
          </w:rPr>
          <w:t>48</w:t>
        </w:r>
      </w:hyperlink>
      <w:r>
        <w:rPr/>
        <w:t>].</w:t>
      </w:r>
    </w:p>
    <w:p>
      <w:pPr>
        <w:pStyle w:val="BodyText"/>
        <w:spacing w:line="275" w:lineRule="exact" w:before="3"/>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4)</w:t>
      </w:r>
    </w:p>
    <w:p>
      <w:pPr>
        <w:pStyle w:val="BodyText"/>
        <w:ind w:right="139" w:firstLine="538"/>
      </w:pPr>
      <w:r>
        <w:rPr/>
        <w:t>Комментарии: у пациентов с БВ, получающих ФЗТ, как и при в/в введении любого другого белкового препарата, могут развиться побочные реакции (лихорадка, озноб, рвота, крапивница, тяжелые реакции гиперчувствительности аллергического типа), происходящие во время инфузии или в течение дня после проведения инфузии. При появлении побочных реакций во время/после инфузии рекомендуется соответствующее лечение, при котором необходимо следовать современным рекомендациям.</w:t>
      </w:r>
    </w:p>
    <w:p>
      <w:pPr>
        <w:pStyle w:val="BodyText"/>
        <w:spacing w:before="7"/>
        <w:ind w:left="0"/>
        <w:jc w:val="left"/>
      </w:pPr>
    </w:p>
    <w:p>
      <w:pPr>
        <w:pStyle w:val="Heading1"/>
        <w:numPr>
          <w:ilvl w:val="2"/>
          <w:numId w:val="2"/>
        </w:numPr>
        <w:tabs>
          <w:tab w:pos="1522" w:val="left" w:leader="none"/>
          <w:tab w:pos="4020" w:val="left" w:leader="none"/>
          <w:tab w:pos="5237" w:val="left" w:leader="none"/>
          <w:tab w:pos="5918" w:val="left" w:leader="none"/>
          <w:tab w:pos="7122" w:val="left" w:leader="none"/>
          <w:tab w:pos="8843" w:val="left" w:leader="none"/>
        </w:tabs>
        <w:spacing w:line="240" w:lineRule="auto" w:before="0" w:after="0"/>
        <w:ind w:left="139" w:right="156" w:firstLine="542"/>
        <w:jc w:val="left"/>
      </w:pPr>
      <w:bookmarkStart w:name="3.1.2. Патогенетическое лечение при боле" w:id="32"/>
      <w:bookmarkEnd w:id="32"/>
      <w:r>
        <w:rPr>
          <w:b w:val="0"/>
        </w:rPr>
      </w:r>
      <w:r>
        <w:rPr>
          <w:spacing w:val="-2"/>
        </w:rPr>
        <w:t>Патогенетическое</w:t>
      </w:r>
      <w:r>
        <w:rPr/>
        <w:tab/>
      </w:r>
      <w:r>
        <w:rPr>
          <w:spacing w:val="-2"/>
        </w:rPr>
        <w:t>лечение</w:t>
      </w:r>
      <w:r>
        <w:rPr/>
        <w:tab/>
      </w:r>
      <w:r>
        <w:rPr>
          <w:spacing w:val="-4"/>
        </w:rPr>
        <w:t>при</w:t>
      </w:r>
      <w:r>
        <w:rPr/>
        <w:tab/>
      </w:r>
      <w:r>
        <w:rPr>
          <w:spacing w:val="-2"/>
        </w:rPr>
        <w:t>болезни</w:t>
      </w:r>
      <w:r>
        <w:rPr/>
        <w:tab/>
      </w:r>
      <w:r>
        <w:rPr>
          <w:spacing w:val="-2"/>
        </w:rPr>
        <w:t>накопления</w:t>
      </w:r>
      <w:r>
        <w:rPr/>
        <w:tab/>
      </w:r>
      <w:r>
        <w:rPr>
          <w:spacing w:val="-2"/>
        </w:rPr>
        <w:t>эфиров </w:t>
      </w:r>
      <w:r>
        <w:rPr/>
        <w:t>холестерина (БНЭХ), в возрасте старше 6 месяцев</w:t>
      </w:r>
    </w:p>
    <w:p>
      <w:pPr>
        <w:pStyle w:val="ListParagraph"/>
        <w:numPr>
          <w:ilvl w:val="3"/>
          <w:numId w:val="2"/>
        </w:numPr>
        <w:tabs>
          <w:tab w:pos="857" w:val="left" w:leader="none"/>
        </w:tabs>
        <w:spacing w:line="240" w:lineRule="auto" w:before="234" w:after="0"/>
        <w:ind w:left="139" w:right="145" w:firstLine="542"/>
        <w:jc w:val="both"/>
        <w:rPr>
          <w:sz w:val="24"/>
        </w:rPr>
      </w:pPr>
      <w:r>
        <w:rPr>
          <w:sz w:val="24"/>
        </w:rPr>
        <w:t>Рекомендовано проведение ферментной заместительной терапии (ФЗТ) пациентам с установленным диагнозом БНЭХ с целью замедления прогрессирования заболевания, уменьшения размеров печени и селезенки, регресса или стабилизации фиброза печени, устранения дислипидемии, уменьшения накопления эфиров холестерина в органах и тканях </w:t>
      </w:r>
      <w:r>
        <w:rPr>
          <w:spacing w:val="-2"/>
          <w:sz w:val="24"/>
        </w:rPr>
        <w:t>[</w:t>
      </w:r>
      <w:hyperlink w:history="true" w:anchor="_bookmark20">
        <w:r>
          <w:rPr>
            <w:color w:val="0000FF"/>
            <w:spacing w:val="-2"/>
            <w:sz w:val="24"/>
          </w:rPr>
          <w:t>21</w:t>
        </w:r>
      </w:hyperlink>
      <w:r>
        <w:rPr>
          <w:spacing w:val="-2"/>
          <w:sz w:val="24"/>
        </w:rPr>
        <w:t>-</w:t>
      </w:r>
      <w:hyperlink w:history="true" w:anchor="_bookmark21">
        <w:r>
          <w:rPr>
            <w:color w:val="0000FF"/>
            <w:spacing w:val="-2"/>
            <w:sz w:val="24"/>
          </w:rPr>
          <w:t>25</w:t>
        </w:r>
      </w:hyperlink>
      <w:r>
        <w:rPr>
          <w:spacing w:val="-2"/>
          <w:sz w:val="24"/>
        </w:rPr>
        <w:t>].</w:t>
      </w:r>
    </w:p>
    <w:p>
      <w:pPr>
        <w:pStyle w:val="BodyText"/>
        <w:spacing w:line="274"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4">
        <w:r>
          <w:rPr>
            <w:color w:val="0000FF"/>
          </w:rPr>
          <w:t>B</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2).</w:t>
      </w:r>
    </w:p>
    <w:p>
      <w:pPr>
        <w:pStyle w:val="BodyText"/>
        <w:spacing w:before="3"/>
        <w:ind w:right="140" w:firstLine="538"/>
      </w:pPr>
      <w:r>
        <w:rPr/>
        <w:t>Комментарии: Препаратом для ФЗТ является себелипаза альфа**. В 1 мл раствора содержится себелипазы альфа** 2 мг. Это рекомбинантная форма человеческой лизосомной кислой липазы, производимая с использованием технологии рекомбинантной ДНК в клеточной культуре куриного яйца. ФЗТ предназначена для восстановления уровня энзиматической</w:t>
      </w:r>
      <w:r>
        <w:rPr>
          <w:spacing w:val="-1"/>
        </w:rPr>
        <w:t> </w:t>
      </w:r>
      <w:r>
        <w:rPr/>
        <w:t>активности, достаточного для</w:t>
      </w:r>
      <w:r>
        <w:rPr>
          <w:spacing w:val="-2"/>
        </w:rPr>
        <w:t> </w:t>
      </w:r>
      <w:r>
        <w:rPr/>
        <w:t>гидролиза</w:t>
      </w:r>
      <w:r>
        <w:rPr>
          <w:spacing w:val="-3"/>
        </w:rPr>
        <w:t> </w:t>
      </w:r>
      <w:r>
        <w:rPr/>
        <w:t>накопленных</w:t>
      </w:r>
      <w:r>
        <w:rPr>
          <w:spacing w:val="-2"/>
        </w:rPr>
        <w:t> </w:t>
      </w:r>
      <w:r>
        <w:rPr/>
        <w:t>эфиров холестерина и для предотвращения их дальнейшего накопления. После введения себелипаза альфа**</w:t>
      </w:r>
      <w:r>
        <w:rPr>
          <w:spacing w:val="40"/>
        </w:rPr>
        <w:t> </w:t>
      </w:r>
      <w:r>
        <w:rPr/>
        <w:t>быстро выводится из системного кровотока и поглощается клетками, поступая в их</w:t>
      </w:r>
      <w:r>
        <w:rPr>
          <w:spacing w:val="80"/>
        </w:rPr>
        <w:t> </w:t>
      </w:r>
      <w:r>
        <w:rPr/>
        <w:t>лизосомы через маннозо-6-фосфатные рецепторы.</w:t>
      </w:r>
    </w:p>
    <w:p>
      <w:pPr>
        <w:pStyle w:val="BodyText"/>
        <w:spacing w:before="1"/>
        <w:ind w:right="142" w:firstLine="538"/>
      </w:pPr>
      <w:r>
        <w:rPr/>
        <w:t>Введение препарата осуществляется парентерально в виде внутривенных инфузий. Введение</w:t>
      </w:r>
      <w:r>
        <w:rPr>
          <w:spacing w:val="-5"/>
        </w:rPr>
        <w:t> </w:t>
      </w:r>
      <w:r>
        <w:rPr/>
        <w:t>осуществляется</w:t>
      </w:r>
      <w:r>
        <w:rPr>
          <w:spacing w:val="-5"/>
        </w:rPr>
        <w:t> </w:t>
      </w:r>
      <w:r>
        <w:rPr/>
        <w:t>через</w:t>
      </w:r>
      <w:r>
        <w:rPr>
          <w:spacing w:val="-3"/>
        </w:rPr>
        <w:t> </w:t>
      </w:r>
      <w:r>
        <w:rPr/>
        <w:t>периферический</w:t>
      </w:r>
      <w:r>
        <w:rPr>
          <w:spacing w:val="-3"/>
        </w:rPr>
        <w:t> </w:t>
      </w:r>
      <w:r>
        <w:rPr/>
        <w:t>венозный</w:t>
      </w:r>
      <w:r>
        <w:rPr>
          <w:spacing w:val="-7"/>
        </w:rPr>
        <w:t> </w:t>
      </w:r>
      <w:r>
        <w:rPr/>
        <w:t>катетер</w:t>
      </w:r>
      <w:r>
        <w:rPr>
          <w:spacing w:val="-5"/>
        </w:rPr>
        <w:t> </w:t>
      </w:r>
      <w:r>
        <w:rPr/>
        <w:t>(катетер</w:t>
      </w:r>
      <w:r>
        <w:rPr>
          <w:spacing w:val="-5"/>
        </w:rPr>
        <w:t> </w:t>
      </w:r>
      <w:r>
        <w:rPr/>
        <w:t>периферический) или через порт-систему (порт инфузионный/инъекционный, имплантируемый***), которые устанавливаются согласно методическим руководствам "Венозный доступ, 2019 (https://msestra.ru/download/file.php?id=4763) с использованием необходимых лекарственных средств. Порт-системы устанавливаются согласно Распоряжению Правительства Российской Федерации от 31.12.2018 N 3053-р "Об утверждении перечня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а также перечня медицинских изделий, отпускаемых по рецептам на медицинские изделия при предоставлении набора социальных услуг".</w:t>
      </w:r>
    </w:p>
    <w:p>
      <w:pPr>
        <w:pStyle w:val="BodyText"/>
        <w:ind w:right="145" w:firstLine="538"/>
      </w:pPr>
      <w:r>
        <w:rPr/>
        <w:t>Детям старше 6 месяцев и взрослым препарат вводят из расчета 1 мг/кг каждые 2 недели. Разрешено увеличение дозы до 3 мг/кг 1 раз в 2 недели исходя из клинического ответа. Необходимый объем препарата медленно разводят в нужном объеме раствора натрия хлорида** согласно весу </w:t>
      </w:r>
      <w:hyperlink w:history="true" w:anchor="_bookmark46">
        <w:r>
          <w:rPr>
            <w:color w:val="0000FF"/>
          </w:rPr>
          <w:t>(приложение А3)</w:t>
        </w:r>
      </w:hyperlink>
      <w:r>
        <w:rPr/>
        <w:t>. Весь необходимый объем раствора следует вводить приблизительно в течение 2 часов. При хорошей переносимости препарата пациентом, может быть рассмотрен переход на проведение инфузии в течение 1 часа. В случае повышения дозы длительность инфузии может быть увеличена.</w:t>
      </w:r>
    </w:p>
    <w:p>
      <w:pPr>
        <w:pStyle w:val="BodyText"/>
        <w:spacing w:line="237" w:lineRule="auto" w:before="4"/>
        <w:ind w:right="152" w:firstLine="538"/>
      </w:pPr>
      <w:r>
        <w:rPr/>
        <w:t>Следует обращать внимание на соблюдение интервалов между инфузиями и недопустимость</w:t>
      </w:r>
      <w:r>
        <w:rPr>
          <w:spacing w:val="80"/>
        </w:rPr>
        <w:t> </w:t>
      </w:r>
      <w:r>
        <w:rPr/>
        <w:t>перерывов</w:t>
      </w:r>
      <w:r>
        <w:rPr>
          <w:spacing w:val="80"/>
        </w:rPr>
        <w:t> </w:t>
      </w:r>
      <w:r>
        <w:rPr/>
        <w:t>в</w:t>
      </w:r>
      <w:r>
        <w:rPr>
          <w:spacing w:val="80"/>
        </w:rPr>
        <w:t> </w:t>
      </w:r>
      <w:r>
        <w:rPr/>
        <w:t>терапии,</w:t>
      </w:r>
      <w:r>
        <w:rPr>
          <w:spacing w:val="80"/>
        </w:rPr>
        <w:t> </w:t>
      </w:r>
      <w:r>
        <w:rPr/>
        <w:t>т.к.</w:t>
      </w:r>
      <w:r>
        <w:rPr>
          <w:spacing w:val="80"/>
        </w:rPr>
        <w:t> </w:t>
      </w:r>
      <w:r>
        <w:rPr/>
        <w:t>нарушение</w:t>
      </w:r>
      <w:r>
        <w:rPr>
          <w:spacing w:val="80"/>
        </w:rPr>
        <w:t> </w:t>
      </w:r>
      <w:r>
        <w:rPr/>
        <w:t>режима</w:t>
      </w:r>
      <w:r>
        <w:rPr>
          <w:spacing w:val="80"/>
        </w:rPr>
        <w:t> </w:t>
      </w:r>
      <w:r>
        <w:rPr/>
        <w:t>лечения</w:t>
      </w:r>
      <w:r>
        <w:rPr>
          <w:spacing w:val="78"/>
        </w:rPr>
        <w:t> </w:t>
      </w:r>
      <w:r>
        <w:rPr/>
        <w:t>сопровождается</w:t>
      </w:r>
    </w:p>
    <w:p>
      <w:pPr>
        <w:spacing w:after="0" w:line="237" w:lineRule="auto"/>
        <w:sectPr>
          <w:pgSz w:w="11910" w:h="16840"/>
          <w:pgMar w:header="572" w:footer="1177" w:top="1320" w:bottom="1360" w:left="1560" w:right="420"/>
        </w:sectPr>
      </w:pPr>
    </w:p>
    <w:p>
      <w:pPr>
        <w:pStyle w:val="BodyText"/>
        <w:spacing w:line="242" w:lineRule="auto" w:before="80"/>
        <w:jc w:val="left"/>
      </w:pPr>
      <w:r>
        <w:rPr/>
        <w:t>потенциальным</w:t>
      </w:r>
      <w:r>
        <w:rPr>
          <w:spacing w:val="40"/>
        </w:rPr>
        <w:t> </w:t>
      </w:r>
      <w:r>
        <w:rPr/>
        <w:t>риском</w:t>
      </w:r>
      <w:r>
        <w:rPr>
          <w:spacing w:val="40"/>
        </w:rPr>
        <w:t> </w:t>
      </w:r>
      <w:r>
        <w:rPr/>
        <w:t>ухудшения</w:t>
      </w:r>
      <w:r>
        <w:rPr>
          <w:spacing w:val="40"/>
        </w:rPr>
        <w:t> </w:t>
      </w:r>
      <w:r>
        <w:rPr/>
        <w:t>состояния</w:t>
      </w:r>
      <w:r>
        <w:rPr>
          <w:spacing w:val="40"/>
        </w:rPr>
        <w:t> </w:t>
      </w:r>
      <w:r>
        <w:rPr/>
        <w:t>пациента</w:t>
      </w:r>
      <w:r>
        <w:rPr>
          <w:spacing w:val="40"/>
        </w:rPr>
        <w:t> </w:t>
      </w:r>
      <w:r>
        <w:rPr/>
        <w:t>и</w:t>
      </w:r>
      <w:r>
        <w:rPr>
          <w:spacing w:val="40"/>
        </w:rPr>
        <w:t> </w:t>
      </w:r>
      <w:r>
        <w:rPr/>
        <w:t>прогрессирования</w:t>
      </w:r>
      <w:r>
        <w:rPr>
          <w:spacing w:val="40"/>
        </w:rPr>
        <w:t> </w:t>
      </w:r>
      <w:r>
        <w:rPr/>
        <w:t>симптомов</w:t>
      </w:r>
      <w:r>
        <w:rPr>
          <w:spacing w:val="80"/>
        </w:rPr>
        <w:t> </w:t>
      </w:r>
      <w:r>
        <w:rPr>
          <w:spacing w:val="-2"/>
        </w:rPr>
        <w:t>БНЭХ.</w:t>
      </w:r>
    </w:p>
    <w:p>
      <w:pPr>
        <w:pStyle w:val="BodyText"/>
        <w:spacing w:line="271" w:lineRule="exact"/>
        <w:ind w:left="677"/>
      </w:pPr>
      <w:r>
        <w:rPr/>
        <w:t>Необходим</w:t>
      </w:r>
      <w:r>
        <w:rPr>
          <w:spacing w:val="-5"/>
        </w:rPr>
        <w:t> </w:t>
      </w:r>
      <w:r>
        <w:rPr/>
        <w:t>мониторинг</w:t>
      </w:r>
      <w:r>
        <w:rPr>
          <w:spacing w:val="-6"/>
        </w:rPr>
        <w:t> </w:t>
      </w:r>
      <w:r>
        <w:rPr/>
        <w:t>основных</w:t>
      </w:r>
      <w:r>
        <w:rPr>
          <w:spacing w:val="-9"/>
        </w:rPr>
        <w:t> </w:t>
      </w:r>
      <w:r>
        <w:rPr/>
        <w:t>параметров</w:t>
      </w:r>
      <w:r>
        <w:rPr>
          <w:spacing w:val="-6"/>
        </w:rPr>
        <w:t> </w:t>
      </w:r>
      <w:r>
        <w:rPr/>
        <w:t>течения</w:t>
      </w:r>
      <w:r>
        <w:rPr>
          <w:spacing w:val="-3"/>
        </w:rPr>
        <w:t> </w:t>
      </w:r>
      <w:r>
        <w:rPr>
          <w:spacing w:val="-2"/>
        </w:rPr>
        <w:t>заболевания.</w:t>
      </w:r>
    </w:p>
    <w:p>
      <w:pPr>
        <w:pStyle w:val="BodyText"/>
        <w:spacing w:before="2"/>
        <w:ind w:right="151" w:firstLine="538"/>
      </w:pPr>
      <w:r>
        <w:rPr/>
        <w:t>При обследовании сиблингов (братьев и сестер пробанда) могут быть выявлены дети с ДЛКЛ, не имеющие клинических проявлений. Такие пациенты нуждаются в обследовании и наблюдении, начинать их лечение необходимо при появлении первых клинических или лабораторных симптомов болезни.</w:t>
      </w:r>
    </w:p>
    <w:p>
      <w:pPr>
        <w:pStyle w:val="ListParagraph"/>
        <w:numPr>
          <w:ilvl w:val="3"/>
          <w:numId w:val="2"/>
        </w:numPr>
        <w:tabs>
          <w:tab w:pos="924" w:val="left" w:leader="none"/>
        </w:tabs>
        <w:spacing w:line="240" w:lineRule="auto" w:before="241" w:after="0"/>
        <w:ind w:left="139" w:right="147" w:firstLine="542"/>
        <w:jc w:val="both"/>
        <w:rPr>
          <w:sz w:val="24"/>
        </w:rPr>
      </w:pPr>
      <w:r>
        <w:rPr>
          <w:sz w:val="24"/>
        </w:rPr>
        <w:t>Рекомендовано пациентам с БНЭХ проведение медикаментозной премедикации антигистаминными средствами системного действия и/или нестероидными противовоспалительными и противоревматическими препаратами/препаратами группы другие анальгетики и антипиретики согласно инструкции по применению лекарственных препаратов при появлении побочных аллергических реакций с последующей инфузией себелипазы альфа** [</w:t>
      </w:r>
      <w:hyperlink w:history="true" w:anchor="_bookmark20">
        <w:r>
          <w:rPr>
            <w:color w:val="0000FF"/>
            <w:sz w:val="24"/>
          </w:rPr>
          <w:t>21</w:t>
        </w:r>
      </w:hyperlink>
      <w:r>
        <w:rPr>
          <w:sz w:val="24"/>
        </w:rPr>
        <w:t>-</w:t>
      </w:r>
      <w:hyperlink w:history="true" w:anchor="_bookmark21">
        <w:r>
          <w:rPr>
            <w:color w:val="0000FF"/>
            <w:sz w:val="24"/>
          </w:rPr>
          <w:t>25</w:t>
        </w:r>
      </w:hyperlink>
      <w:r>
        <w:rPr>
          <w:sz w:val="24"/>
        </w:rPr>
        <w:t>, </w:t>
      </w:r>
      <w:hyperlink w:history="true" w:anchor="_bookmark39">
        <w:r>
          <w:rPr>
            <w:color w:val="0000FF"/>
            <w:sz w:val="24"/>
          </w:rPr>
          <w:t>47</w:t>
        </w:r>
      </w:hyperlink>
      <w:r>
        <w:rPr>
          <w:sz w:val="24"/>
        </w:rPr>
        <w:t>, </w:t>
      </w:r>
      <w:hyperlink w:history="true" w:anchor="_bookmark40">
        <w:r>
          <w:rPr>
            <w:color w:val="0000FF"/>
            <w:sz w:val="24"/>
          </w:rPr>
          <w:t>48</w:t>
        </w:r>
      </w:hyperlink>
      <w:r>
        <w:rPr>
          <w:sz w:val="24"/>
        </w:rPr>
        <w:t>].</w:t>
      </w:r>
    </w:p>
    <w:p>
      <w:pPr>
        <w:pStyle w:val="BodyText"/>
        <w:spacing w:line="275"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4)</w:t>
      </w:r>
    </w:p>
    <w:p>
      <w:pPr>
        <w:pStyle w:val="BodyText"/>
        <w:ind w:right="143" w:firstLine="538"/>
      </w:pPr>
      <w:r>
        <w:rPr/>
        <w:t>Комментарии: у пациентов с БНЭХ, получающих ФЗТ, как и при в/в введении любого другого белкового препарата, могут развиться побочные реакции (лихорадка, озноб, рвота, крапивница, тяжелые реакции гиперчувствительности аллергического типа), происходящие во время инфузии или</w:t>
      </w:r>
      <w:r>
        <w:rPr>
          <w:spacing w:val="-1"/>
        </w:rPr>
        <w:t> </w:t>
      </w:r>
      <w:r>
        <w:rPr/>
        <w:t>в</w:t>
      </w:r>
      <w:r>
        <w:rPr>
          <w:spacing w:val="-1"/>
        </w:rPr>
        <w:t> </w:t>
      </w:r>
      <w:r>
        <w:rPr/>
        <w:t>течение дня проведения инфузии. При появлении</w:t>
      </w:r>
      <w:r>
        <w:rPr>
          <w:spacing w:val="-1"/>
        </w:rPr>
        <w:t> </w:t>
      </w:r>
      <w:r>
        <w:rPr/>
        <w:t>побочных</w:t>
      </w:r>
      <w:r>
        <w:rPr>
          <w:spacing w:val="-2"/>
        </w:rPr>
        <w:t> </w:t>
      </w:r>
      <w:r>
        <w:rPr/>
        <w:t>реакций во время/после инфузии рекомендуется соответствующее лечение, при котором необходимо следовать современным рекомендациям.</w:t>
      </w:r>
    </w:p>
    <w:p>
      <w:pPr>
        <w:pStyle w:val="BodyText"/>
        <w:spacing w:before="8"/>
        <w:ind w:left="0"/>
        <w:jc w:val="left"/>
      </w:pPr>
    </w:p>
    <w:p>
      <w:pPr>
        <w:pStyle w:val="Heading1"/>
        <w:numPr>
          <w:ilvl w:val="1"/>
          <w:numId w:val="2"/>
        </w:numPr>
        <w:tabs>
          <w:tab w:pos="1175" w:val="left" w:leader="none"/>
        </w:tabs>
        <w:spacing w:line="240" w:lineRule="auto" w:before="0" w:after="0"/>
        <w:ind w:left="1175" w:right="0" w:hanging="493"/>
        <w:jc w:val="left"/>
      </w:pPr>
      <w:bookmarkStart w:name="3.2. Симптоматическое лечение" w:id="33"/>
      <w:bookmarkEnd w:id="33"/>
      <w:r>
        <w:rPr>
          <w:b w:val="0"/>
        </w:rPr>
      </w:r>
      <w:r>
        <w:rPr>
          <w:spacing w:val="-2"/>
        </w:rPr>
        <w:t>Симптоматическое</w:t>
      </w:r>
      <w:r>
        <w:rPr>
          <w:spacing w:val="2"/>
        </w:rPr>
        <w:t> </w:t>
      </w:r>
      <w:r>
        <w:rPr>
          <w:spacing w:val="-2"/>
        </w:rPr>
        <w:t>лечение</w:t>
      </w:r>
    </w:p>
    <w:p>
      <w:pPr>
        <w:pStyle w:val="BodyText"/>
        <w:spacing w:line="237" w:lineRule="auto" w:before="236"/>
        <w:ind w:right="145" w:firstLine="542"/>
      </w:pPr>
      <w:r>
        <w:rPr/>
        <w:t>Включает назначение диеты с ограниченным содержанием жиров, лечение сопутствующей патологии.</w:t>
      </w:r>
    </w:p>
    <w:p>
      <w:pPr>
        <w:pStyle w:val="BodyText"/>
        <w:spacing w:before="7"/>
        <w:ind w:left="0"/>
        <w:jc w:val="left"/>
      </w:pPr>
    </w:p>
    <w:p>
      <w:pPr>
        <w:pStyle w:val="Heading1"/>
        <w:numPr>
          <w:ilvl w:val="2"/>
          <w:numId w:val="2"/>
        </w:numPr>
        <w:tabs>
          <w:tab w:pos="1486" w:val="left" w:leader="none"/>
        </w:tabs>
        <w:spacing w:line="240" w:lineRule="auto" w:before="0" w:after="0"/>
        <w:ind w:left="139" w:right="154" w:firstLine="542"/>
        <w:jc w:val="both"/>
      </w:pPr>
      <w:bookmarkStart w:name="3.2.1. Симптоматическое лечение при инфа" w:id="34"/>
      <w:bookmarkEnd w:id="34"/>
      <w:r>
        <w:rPr>
          <w:b w:val="0"/>
        </w:rPr>
      </w:r>
      <w:r>
        <w:rPr/>
        <w:t>Симптоматическое лечение при инфантильной форме ДЛКЛ (болезни Вольмана)</w:t>
      </w:r>
    </w:p>
    <w:p>
      <w:pPr>
        <w:pStyle w:val="ListParagraph"/>
        <w:numPr>
          <w:ilvl w:val="3"/>
          <w:numId w:val="2"/>
        </w:numPr>
        <w:tabs>
          <w:tab w:pos="862" w:val="left" w:leader="none"/>
        </w:tabs>
        <w:spacing w:line="240" w:lineRule="auto" w:before="239" w:after="0"/>
        <w:ind w:left="139" w:right="147" w:firstLine="542"/>
        <w:jc w:val="both"/>
        <w:rPr>
          <w:sz w:val="24"/>
        </w:rPr>
      </w:pPr>
      <w:r>
        <w:rPr>
          <w:sz w:val="24"/>
        </w:rPr>
        <w:t>Рекомендовано пациентам с БВ назначение витаминов в связи с недостаточным их усвоением из пищи,</w:t>
      </w:r>
      <w:r>
        <w:rPr>
          <w:spacing w:val="-4"/>
          <w:sz w:val="24"/>
        </w:rPr>
        <w:t> </w:t>
      </w:r>
      <w:r>
        <w:rPr>
          <w:sz w:val="24"/>
        </w:rPr>
        <w:t>обусловленным нарушением кишечного всасывания</w:t>
      </w:r>
      <w:r>
        <w:rPr>
          <w:spacing w:val="-1"/>
          <w:sz w:val="24"/>
        </w:rPr>
        <w:t> </w:t>
      </w:r>
      <w:r>
        <w:rPr>
          <w:sz w:val="24"/>
        </w:rPr>
        <w:t>у</w:t>
      </w:r>
      <w:r>
        <w:rPr>
          <w:spacing w:val="-6"/>
          <w:sz w:val="24"/>
        </w:rPr>
        <w:t> </w:t>
      </w:r>
      <w:r>
        <w:rPr>
          <w:sz w:val="24"/>
        </w:rPr>
        <w:t>части пациентов с БВ с целью восполнения их дефицита </w:t>
      </w:r>
      <w:hyperlink w:history="true" w:anchor="_bookmark14">
        <w:r>
          <w:rPr>
            <w:color w:val="0000FF"/>
            <w:sz w:val="24"/>
          </w:rPr>
          <w:t>[15]</w:t>
        </w:r>
      </w:hyperlink>
      <w:r>
        <w:rPr>
          <w:sz w:val="24"/>
        </w:rPr>
        <w:t>.</w:t>
      </w:r>
    </w:p>
    <w:p>
      <w:pPr>
        <w:pStyle w:val="BodyText"/>
        <w:spacing w:line="274"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3"/>
        <w:ind w:right="141" w:firstLine="538"/>
      </w:pPr>
      <w:r>
        <w:rPr/>
        <w:t>Комментарии: для диагностики гиповитаминоза и рассмотрения вопроса о необходимости назначения терапии необходим прием (осмотр, консультация) врача- эндокринолога и/или врача-гастроэнтеролога и/или врача-диетолога.</w:t>
      </w:r>
    </w:p>
    <w:p>
      <w:pPr>
        <w:pStyle w:val="ListParagraph"/>
        <w:numPr>
          <w:ilvl w:val="3"/>
          <w:numId w:val="2"/>
        </w:numPr>
        <w:tabs>
          <w:tab w:pos="881" w:val="left" w:leader="none"/>
        </w:tabs>
        <w:spacing w:line="240" w:lineRule="auto" w:before="238" w:after="0"/>
        <w:ind w:left="139" w:right="143" w:firstLine="542"/>
        <w:jc w:val="both"/>
        <w:rPr>
          <w:sz w:val="24"/>
        </w:rPr>
      </w:pPr>
      <w:r>
        <w:rPr>
          <w:sz w:val="24"/>
        </w:rPr>
        <w:t>Рекомендовано пациентам с БВ и надпочечниковой недостаточностью проведение заместительной терапии препаратами группы кортикостероиды системного действия (минералокортикоиды и/или глюкокортикоиды) согласно соответствующим рекомендациям</w:t>
      </w:r>
      <w:r>
        <w:rPr>
          <w:spacing w:val="40"/>
          <w:sz w:val="24"/>
        </w:rPr>
        <w:t> </w:t>
      </w:r>
      <w:r>
        <w:rPr>
          <w:sz w:val="24"/>
        </w:rPr>
        <w:t>с целью коррекции надпочечниковой недостаточности </w:t>
      </w:r>
      <w:hyperlink w:history="true" w:anchor="_bookmark14">
        <w:r>
          <w:rPr>
            <w:color w:val="0000FF"/>
            <w:sz w:val="24"/>
          </w:rPr>
          <w:t>[15]</w:t>
        </w:r>
      </w:hyperlink>
      <w:r>
        <w:rPr>
          <w:sz w:val="24"/>
        </w:rPr>
        <w:t>.</w:t>
      </w:r>
    </w:p>
    <w:p>
      <w:pPr>
        <w:pStyle w:val="BodyTex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6"/>
        <w:ind w:left="0"/>
        <w:jc w:val="left"/>
      </w:pPr>
    </w:p>
    <w:p>
      <w:pPr>
        <w:pStyle w:val="Heading1"/>
        <w:numPr>
          <w:ilvl w:val="2"/>
          <w:numId w:val="2"/>
        </w:numPr>
        <w:tabs>
          <w:tab w:pos="1495" w:val="left" w:leader="none"/>
        </w:tabs>
        <w:spacing w:line="240" w:lineRule="auto" w:before="0" w:after="0"/>
        <w:ind w:left="139" w:right="156" w:firstLine="542"/>
        <w:jc w:val="both"/>
      </w:pPr>
      <w:bookmarkStart w:name="3.2.2. Симптоматическое лечение при боле" w:id="35"/>
      <w:bookmarkEnd w:id="35"/>
      <w:r>
        <w:rPr>
          <w:b w:val="0"/>
        </w:rPr>
      </w:r>
      <w:r>
        <w:rPr/>
        <w:t>Симптоматическое лечение при болезни накопления эфиров холестерина (БНЭХ)</w:t>
      </w:r>
    </w:p>
    <w:p>
      <w:pPr>
        <w:pStyle w:val="ListParagraph"/>
        <w:numPr>
          <w:ilvl w:val="3"/>
          <w:numId w:val="2"/>
        </w:numPr>
        <w:tabs>
          <w:tab w:pos="828" w:val="left" w:leader="none"/>
        </w:tabs>
        <w:spacing w:line="242" w:lineRule="auto" w:before="234" w:after="0"/>
        <w:ind w:left="139" w:right="147" w:firstLine="542"/>
        <w:jc w:val="both"/>
        <w:rPr>
          <w:sz w:val="24"/>
        </w:rPr>
      </w:pPr>
      <w:r>
        <w:rPr>
          <w:sz w:val="24"/>
        </w:rPr>
        <w:t>Рекомендован рацион питания со сниженным содержанием жира пациентам с БНЭХ с целью коррекции дислипидемии [</w:t>
      </w:r>
      <w:hyperlink w:history="true" w:anchor="_bookmark2">
        <w:r>
          <w:rPr>
            <w:color w:val="0000FF"/>
            <w:sz w:val="24"/>
          </w:rPr>
          <w:t>2</w:t>
        </w:r>
      </w:hyperlink>
      <w:r>
        <w:rPr>
          <w:sz w:val="24"/>
        </w:rPr>
        <w:t>, </w:t>
      </w:r>
      <w:hyperlink w:history="true" w:anchor="_bookmark14">
        <w:r>
          <w:rPr>
            <w:color w:val="0000FF"/>
            <w:sz w:val="24"/>
          </w:rPr>
          <w:t>15</w:t>
        </w:r>
      </w:hyperlink>
      <w:r>
        <w:rPr>
          <w:sz w:val="24"/>
        </w:rPr>
        <w:t>].</w:t>
      </w:r>
    </w:p>
    <w:p>
      <w:pPr>
        <w:pStyle w:val="BodyText"/>
        <w:spacing w:line="270"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spacing w:after="0" w:line="270" w:lineRule="exact"/>
        <w:sectPr>
          <w:pgSz w:w="11910" w:h="16840"/>
          <w:pgMar w:header="572" w:footer="1177" w:top="1320" w:bottom="1360" w:left="1560" w:right="420"/>
        </w:sectPr>
      </w:pPr>
    </w:p>
    <w:p>
      <w:pPr>
        <w:pStyle w:val="BodyText"/>
        <w:spacing w:before="80"/>
        <w:ind w:right="135" w:firstLine="538"/>
      </w:pPr>
      <w:r>
        <w:rPr/>
        <w:t>Комментарии: В РФ приняты методические рекомендации МР 2.3.1.2432-08 Нормы физиологических потребностей в энергии и пищевых веществах для различных групп населения Российской Федерации. Допускается ограничение в рационе жиров до 30% от энергетической ценности суточного рациона. Доли насыщенных, моно- и полинасыщенных жиров должны быть равными. Максимально допустимое количество холестерина – 300 мг/сут, возможно его снижение до 200 мг/сут. Уровень белка должен соответствовать физиологической норме потребления в зависимости от возраста с увеличением доли растительных белков. Рекомендуемое соотношение растительных и животных белков соответствует 1:1. Из животных белков следует отдавать предпочтение рыбе. Необходимо ограничение легкоусвояемых углеводов и увеличение сложных углеводов и растительной клетчатки. В целом, доля углеводов должна составлять 50-60% от энергетической ценности рациона. Из них 7-10% – на долю легкоусвояемых.</w:t>
      </w:r>
    </w:p>
    <w:p>
      <w:pPr>
        <w:pStyle w:val="ListParagraph"/>
        <w:numPr>
          <w:ilvl w:val="3"/>
          <w:numId w:val="2"/>
        </w:numPr>
        <w:tabs>
          <w:tab w:pos="833" w:val="left" w:leader="none"/>
        </w:tabs>
        <w:spacing w:line="240" w:lineRule="auto" w:before="241" w:after="0"/>
        <w:ind w:left="139" w:right="137" w:firstLine="542"/>
        <w:jc w:val="both"/>
        <w:rPr>
          <w:sz w:val="24"/>
        </w:rPr>
      </w:pPr>
      <w:r>
        <w:rPr>
          <w:sz w:val="24"/>
        </w:rPr>
        <w:t>Рекомендовано пациентам с БНЭХ назначение витаминов в связи с недостаточным их усвоением, обусловленным нарушением кишечного всасывания, с целью коррекции их дефицита </w:t>
      </w:r>
      <w:hyperlink w:history="true" w:anchor="_bookmark14">
        <w:r>
          <w:rPr>
            <w:color w:val="0000FF"/>
            <w:sz w:val="24"/>
          </w:rPr>
          <w:t>[15]</w:t>
        </w:r>
      </w:hyperlink>
      <w:r>
        <w:rPr>
          <w:sz w:val="24"/>
        </w:rPr>
        <w:t>.</w:t>
      </w:r>
    </w:p>
    <w:p>
      <w:pPr>
        <w:pStyle w:val="BodyText"/>
        <w:spacing w:line="275" w:lineRule="exact" w:before="3"/>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41" w:firstLine="538"/>
      </w:pPr>
      <w:r>
        <w:rPr/>
        <w:t>Комментарии: для диагностики гиповитаминоза и рассмотрения вопроса о необходимости назначения терапии необходим прием (осмотр, консультация) врача- эндокринолога и/или врача-гастроэнтеролога и/или врача-диетолога.</w:t>
      </w:r>
    </w:p>
    <w:p>
      <w:pPr>
        <w:pStyle w:val="BodyText"/>
        <w:spacing w:before="4"/>
        <w:ind w:left="0"/>
        <w:jc w:val="left"/>
      </w:pPr>
    </w:p>
    <w:p>
      <w:pPr>
        <w:pStyle w:val="Heading1"/>
        <w:numPr>
          <w:ilvl w:val="1"/>
          <w:numId w:val="5"/>
        </w:numPr>
        <w:tabs>
          <w:tab w:pos="1103" w:val="left" w:leader="none"/>
        </w:tabs>
        <w:spacing w:line="240" w:lineRule="auto" w:before="1" w:after="0"/>
        <w:ind w:left="1103" w:right="0" w:hanging="421"/>
        <w:jc w:val="left"/>
      </w:pPr>
      <w:bookmarkStart w:name="3.3 Хирургическое лечение" w:id="36"/>
      <w:bookmarkEnd w:id="36"/>
      <w:r>
        <w:rPr>
          <w:b w:val="0"/>
        </w:rPr>
      </w:r>
      <w:r>
        <w:rPr>
          <w:spacing w:val="-2"/>
        </w:rPr>
        <w:t>Хирургическое</w:t>
      </w:r>
      <w:r>
        <w:rPr>
          <w:spacing w:val="4"/>
        </w:rPr>
        <w:t> </w:t>
      </w:r>
      <w:r>
        <w:rPr>
          <w:spacing w:val="-2"/>
        </w:rPr>
        <w:t>лечение</w:t>
      </w:r>
    </w:p>
    <w:p>
      <w:pPr>
        <w:pStyle w:val="ListParagraph"/>
        <w:numPr>
          <w:ilvl w:val="2"/>
          <w:numId w:val="5"/>
        </w:numPr>
        <w:tabs>
          <w:tab w:pos="1575" w:val="left" w:leader="none"/>
          <w:tab w:pos="3757" w:val="left" w:leader="none"/>
          <w:tab w:pos="5023" w:val="left" w:leader="none"/>
          <w:tab w:pos="5761" w:val="left" w:leader="none"/>
          <w:tab w:pos="7895" w:val="left" w:leader="none"/>
          <w:tab w:pos="8969" w:val="left" w:leader="none"/>
        </w:tabs>
        <w:spacing w:line="240" w:lineRule="auto" w:before="278" w:after="0"/>
        <w:ind w:left="139" w:right="144" w:firstLine="542"/>
        <w:jc w:val="left"/>
        <w:rPr>
          <w:b/>
          <w:sz w:val="28"/>
        </w:rPr>
      </w:pPr>
      <w:bookmarkStart w:name="3.3.1. Хирургическое лечение при инфанти" w:id="37"/>
      <w:bookmarkEnd w:id="37"/>
      <w:r>
        <w:rPr/>
      </w:r>
      <w:r>
        <w:rPr>
          <w:b/>
          <w:spacing w:val="-2"/>
          <w:sz w:val="28"/>
        </w:rPr>
        <w:t>Хирургическое</w:t>
      </w:r>
      <w:r>
        <w:rPr>
          <w:b/>
          <w:sz w:val="28"/>
        </w:rPr>
        <w:tab/>
      </w:r>
      <w:r>
        <w:rPr>
          <w:b/>
          <w:spacing w:val="-2"/>
          <w:sz w:val="28"/>
        </w:rPr>
        <w:t>лечение</w:t>
      </w:r>
      <w:r>
        <w:rPr>
          <w:b/>
          <w:sz w:val="28"/>
        </w:rPr>
        <w:tab/>
      </w:r>
      <w:r>
        <w:rPr>
          <w:b/>
          <w:spacing w:val="-4"/>
          <w:sz w:val="28"/>
        </w:rPr>
        <w:t>при</w:t>
      </w:r>
      <w:r>
        <w:rPr>
          <w:b/>
          <w:sz w:val="28"/>
        </w:rPr>
        <w:tab/>
      </w:r>
      <w:r>
        <w:rPr>
          <w:b/>
          <w:spacing w:val="-2"/>
          <w:sz w:val="28"/>
        </w:rPr>
        <w:t>инфантильной</w:t>
      </w:r>
      <w:r>
        <w:rPr>
          <w:b/>
          <w:sz w:val="28"/>
        </w:rPr>
        <w:tab/>
      </w:r>
      <w:r>
        <w:rPr>
          <w:b/>
          <w:spacing w:val="-2"/>
          <w:sz w:val="28"/>
        </w:rPr>
        <w:t>форме</w:t>
      </w:r>
      <w:r>
        <w:rPr>
          <w:b/>
          <w:sz w:val="28"/>
        </w:rPr>
        <w:tab/>
      </w:r>
      <w:r>
        <w:rPr>
          <w:b/>
          <w:spacing w:val="-4"/>
          <w:sz w:val="28"/>
        </w:rPr>
        <w:t>ДЛКЛ </w:t>
      </w:r>
      <w:r>
        <w:rPr>
          <w:b/>
          <w:sz w:val="28"/>
        </w:rPr>
        <w:t>(болезни Вольмана)</w:t>
      </w:r>
    </w:p>
    <w:p>
      <w:pPr>
        <w:pStyle w:val="ListParagraph"/>
        <w:numPr>
          <w:ilvl w:val="3"/>
          <w:numId w:val="5"/>
        </w:numPr>
        <w:tabs>
          <w:tab w:pos="843" w:val="left" w:leader="none"/>
        </w:tabs>
        <w:spacing w:line="240" w:lineRule="auto" w:before="233" w:after="0"/>
        <w:ind w:left="139" w:right="148" w:firstLine="542"/>
        <w:jc w:val="both"/>
        <w:rPr>
          <w:sz w:val="24"/>
        </w:rPr>
      </w:pPr>
      <w:r>
        <w:rPr>
          <w:sz w:val="24"/>
        </w:rPr>
        <w:t>Рекомендуется пациентам с БВ на стадии декомпенсированного цирроза печени, при невозможности или неэффективности проведения патогенетической терапии рассмотреть вопрос о проведении трансплантации печени </w:t>
      </w:r>
      <w:hyperlink w:history="true" w:anchor="_bookmark14">
        <w:r>
          <w:rPr>
            <w:color w:val="0000FF"/>
            <w:sz w:val="24"/>
          </w:rPr>
          <w:t>[15]</w:t>
        </w:r>
      </w:hyperlink>
      <w:r>
        <w:rPr>
          <w:sz w:val="24"/>
        </w:rPr>
        <w:t>.</w:t>
      </w:r>
    </w:p>
    <w:p>
      <w:pPr>
        <w:pStyle w:val="BodyText"/>
        <w:spacing w:line="275" w:lineRule="exact" w:before="3"/>
        <w:ind w:left="677"/>
      </w:pPr>
      <w:r>
        <w:rPr/>
        <w:t>Уровень</w:t>
      </w:r>
      <w:r>
        <w:rPr>
          <w:spacing w:val="-11"/>
        </w:rPr>
        <w:t> </w:t>
      </w:r>
      <w:r>
        <w:rPr/>
        <w:t>убедительности</w:t>
      </w:r>
      <w:r>
        <w:rPr>
          <w:spacing w:val="-4"/>
        </w:rPr>
        <w:t> </w:t>
      </w:r>
      <w:r>
        <w:rPr/>
        <w:t>рекомендации</w:t>
      </w:r>
      <w:r>
        <w:rPr>
          <w:spacing w:val="-5"/>
        </w:rPr>
        <w:t> </w:t>
      </w:r>
      <w:hyperlink w:history="true" w:anchor="_bookmark45">
        <w:r>
          <w:rPr>
            <w:color w:val="0000FF"/>
          </w:rPr>
          <w:t>C</w:t>
        </w:r>
      </w:hyperlink>
      <w:r>
        <w:rPr>
          <w:color w:val="0000FF"/>
          <w:spacing w:val="-6"/>
        </w:rPr>
        <w:t> </w:t>
      </w:r>
      <w:r>
        <w:rPr/>
        <w:t>(уровень</w:t>
      </w:r>
      <w:r>
        <w:rPr>
          <w:spacing w:val="-6"/>
        </w:rPr>
        <w:t> </w:t>
      </w:r>
      <w:r>
        <w:rPr/>
        <w:t>достоверности</w:t>
      </w:r>
      <w:r>
        <w:rPr>
          <w:spacing w:val="-4"/>
        </w:rPr>
        <w:t> </w:t>
      </w:r>
      <w:r>
        <w:rPr/>
        <w:t>доказательств</w:t>
      </w:r>
      <w:r>
        <w:rPr>
          <w:spacing w:val="-7"/>
        </w:rPr>
        <w:t> </w:t>
      </w:r>
      <w:r>
        <w:rPr>
          <w:spacing w:val="-5"/>
        </w:rPr>
        <w:t>5)</w:t>
      </w:r>
    </w:p>
    <w:p>
      <w:pPr>
        <w:pStyle w:val="BodyText"/>
        <w:ind w:right="136" w:firstLine="538"/>
      </w:pPr>
      <w:r>
        <w:rPr/>
        <w:t>Комментарии: Трансплантация печени также ассоциирована с высоким риском осложнений и не оказывает влияния на системные проявления заболевания. Трансплантация печени не останавливает прогрессию БВ и поражение других органов-мишеней. Кроме того, нельзя исключить риск повреждения трансплантированной печени, так как уровень ЛКЛ по- прежнему остается низким.</w:t>
      </w:r>
    </w:p>
    <w:p>
      <w:pPr>
        <w:pStyle w:val="ListParagraph"/>
        <w:numPr>
          <w:ilvl w:val="3"/>
          <w:numId w:val="5"/>
        </w:numPr>
        <w:tabs>
          <w:tab w:pos="825" w:val="left" w:leader="none"/>
        </w:tabs>
        <w:spacing w:line="240" w:lineRule="auto" w:before="242" w:after="0"/>
        <w:ind w:left="825" w:right="0" w:hanging="143"/>
        <w:jc w:val="both"/>
        <w:rPr>
          <w:sz w:val="24"/>
        </w:rPr>
      </w:pPr>
      <w:r>
        <w:rPr>
          <w:sz w:val="24"/>
        </w:rPr>
        <w:t>Не</w:t>
      </w:r>
      <w:r>
        <w:rPr>
          <w:spacing w:val="-6"/>
          <w:sz w:val="24"/>
        </w:rPr>
        <w:t> </w:t>
      </w:r>
      <w:r>
        <w:rPr>
          <w:sz w:val="24"/>
        </w:rPr>
        <w:t>рекомендовано</w:t>
      </w:r>
      <w:r>
        <w:rPr>
          <w:spacing w:val="2"/>
          <w:sz w:val="24"/>
        </w:rPr>
        <w:t> </w:t>
      </w:r>
      <w:r>
        <w:rPr>
          <w:sz w:val="24"/>
        </w:rPr>
        <w:t>пациентам</w:t>
      </w:r>
      <w:r>
        <w:rPr>
          <w:spacing w:val="-1"/>
          <w:sz w:val="24"/>
        </w:rPr>
        <w:t> </w:t>
      </w:r>
      <w:r>
        <w:rPr>
          <w:sz w:val="24"/>
        </w:rPr>
        <w:t>с</w:t>
      </w:r>
      <w:r>
        <w:rPr>
          <w:spacing w:val="-7"/>
          <w:sz w:val="24"/>
        </w:rPr>
        <w:t> </w:t>
      </w:r>
      <w:r>
        <w:rPr>
          <w:sz w:val="24"/>
        </w:rPr>
        <w:t>БВ</w:t>
      </w:r>
      <w:r>
        <w:rPr>
          <w:spacing w:val="-4"/>
          <w:sz w:val="24"/>
        </w:rPr>
        <w:t> </w:t>
      </w:r>
      <w:r>
        <w:rPr>
          <w:sz w:val="24"/>
        </w:rPr>
        <w:t>проведение</w:t>
      </w:r>
      <w:r>
        <w:rPr>
          <w:spacing w:val="-2"/>
          <w:sz w:val="24"/>
        </w:rPr>
        <w:t> </w:t>
      </w:r>
      <w:r>
        <w:rPr>
          <w:sz w:val="24"/>
        </w:rPr>
        <w:t>ТГСК</w:t>
      </w:r>
      <w:r>
        <w:rPr>
          <w:spacing w:val="2"/>
          <w:sz w:val="24"/>
        </w:rPr>
        <w:t> </w:t>
      </w:r>
      <w:r>
        <w:rPr>
          <w:sz w:val="24"/>
        </w:rPr>
        <w:t>в</w:t>
      </w:r>
      <w:r>
        <w:rPr>
          <w:spacing w:val="-1"/>
          <w:sz w:val="24"/>
        </w:rPr>
        <w:t> </w:t>
      </w:r>
      <w:r>
        <w:rPr>
          <w:sz w:val="24"/>
        </w:rPr>
        <w:t>качестве</w:t>
      </w:r>
      <w:r>
        <w:rPr>
          <w:spacing w:val="-3"/>
          <w:sz w:val="24"/>
        </w:rPr>
        <w:t> </w:t>
      </w:r>
      <w:r>
        <w:rPr>
          <w:sz w:val="24"/>
        </w:rPr>
        <w:t>первой</w:t>
      </w:r>
      <w:r>
        <w:rPr>
          <w:spacing w:val="-1"/>
          <w:sz w:val="24"/>
        </w:rPr>
        <w:t> </w:t>
      </w:r>
      <w:r>
        <w:rPr>
          <w:sz w:val="24"/>
        </w:rPr>
        <w:t>линии </w:t>
      </w:r>
      <w:r>
        <w:rPr>
          <w:spacing w:val="-2"/>
          <w:sz w:val="24"/>
        </w:rPr>
        <w:t>терапии</w:t>
      </w:r>
    </w:p>
    <w:p>
      <w:pPr>
        <w:spacing w:after="0" w:line="240" w:lineRule="auto"/>
        <w:jc w:val="both"/>
        <w:rPr>
          <w:sz w:val="24"/>
        </w:rPr>
        <w:sectPr>
          <w:pgSz w:w="11910" w:h="16840"/>
          <w:pgMar w:header="572" w:footer="1177" w:top="1320" w:bottom="1360" w:left="1560" w:right="420"/>
        </w:sectPr>
      </w:pPr>
    </w:p>
    <w:p>
      <w:pPr>
        <w:pStyle w:val="BodyText"/>
        <w:spacing w:line="274" w:lineRule="exact"/>
        <w:jc w:val="left"/>
      </w:pPr>
      <w:hyperlink w:history="true" w:anchor="_bookmark36">
        <w:r>
          <w:rPr>
            <w:color w:val="0000FF"/>
            <w:spacing w:val="-2"/>
          </w:rPr>
          <w:t>[44]</w:t>
        </w:r>
      </w:hyperlink>
      <w:r>
        <w:rPr>
          <w:spacing w:val="-2"/>
        </w:rPr>
        <w:t>.</w:t>
      </w:r>
    </w:p>
    <w:p>
      <w:pPr>
        <w:pStyle w:val="BodyText"/>
        <w:spacing w:line="242" w:lineRule="auto" w:before="271"/>
        <w:ind w:left="34" w:right="150"/>
        <w:jc w:val="left"/>
      </w:pPr>
      <w:r>
        <w:rPr/>
        <w:br w:type="column"/>
      </w:r>
      <w:r>
        <w:rPr/>
        <w:t>Уровень убедительности рекомендации C, уровень достоверности доказательств – 5 Комментарий:</w:t>
      </w:r>
      <w:r>
        <w:rPr>
          <w:spacing w:val="79"/>
        </w:rPr>
        <w:t> </w:t>
      </w:r>
      <w:r>
        <w:rPr/>
        <w:t>Небольшое</w:t>
      </w:r>
      <w:r>
        <w:rPr>
          <w:spacing w:val="77"/>
        </w:rPr>
        <w:t> </w:t>
      </w:r>
      <w:r>
        <w:rPr/>
        <w:t>число</w:t>
      </w:r>
      <w:r>
        <w:rPr>
          <w:spacing w:val="78"/>
        </w:rPr>
        <w:t> </w:t>
      </w:r>
      <w:r>
        <w:rPr/>
        <w:t>клинических</w:t>
      </w:r>
      <w:r>
        <w:rPr>
          <w:spacing w:val="74"/>
        </w:rPr>
        <w:t> </w:t>
      </w:r>
      <w:r>
        <w:rPr/>
        <w:t>случаев,</w:t>
      </w:r>
      <w:r>
        <w:rPr>
          <w:spacing w:val="80"/>
        </w:rPr>
        <w:t> </w:t>
      </w:r>
      <w:r>
        <w:rPr/>
        <w:t>доступных</w:t>
      </w:r>
      <w:r>
        <w:rPr>
          <w:spacing w:val="74"/>
        </w:rPr>
        <w:t> </w:t>
      </w:r>
      <w:r>
        <w:rPr/>
        <w:t>для</w:t>
      </w:r>
      <w:r>
        <w:rPr>
          <w:spacing w:val="79"/>
        </w:rPr>
        <w:t> </w:t>
      </w:r>
      <w:r>
        <w:rPr/>
        <w:t>анализа,</w:t>
      </w:r>
      <w:r>
        <w:rPr>
          <w:spacing w:val="80"/>
        </w:rPr>
        <w:t> </w:t>
      </w:r>
      <w:r>
        <w:rPr/>
        <w:t>не</w:t>
      </w:r>
    </w:p>
    <w:p>
      <w:pPr>
        <w:spacing w:after="0" w:line="242" w:lineRule="auto"/>
        <w:jc w:val="left"/>
        <w:sectPr>
          <w:type w:val="continuous"/>
          <w:pgSz w:w="11910" w:h="16840"/>
          <w:pgMar w:header="572" w:footer="1177" w:top="1320" w:bottom="1360" w:left="1560" w:right="420"/>
          <w:cols w:num="2" w:equalWidth="0">
            <w:col w:w="604" w:space="40"/>
            <w:col w:w="9286"/>
          </w:cols>
        </w:sectPr>
      </w:pPr>
    </w:p>
    <w:p>
      <w:pPr>
        <w:pStyle w:val="BodyText"/>
        <w:ind w:right="151"/>
      </w:pPr>
      <w:r>
        <w:rPr/>
        <w:t>позволяет сделать однозначного вывода об эффективности и безопасности данной терапии. Кроме того, процедура ТГСК ассоциирована с высоким риском развития</w:t>
      </w:r>
      <w:r>
        <w:rPr>
          <w:spacing w:val="-2"/>
        </w:rPr>
        <w:t> </w:t>
      </w:r>
      <w:r>
        <w:rPr/>
        <w:t>осложнений, таких, например, как отторжение трансплантата, реакция "трансплантат против хозяина" и другие постоперационные осложнения. В связи с этим ТГСК не рекомендована как рутинная терапевтическая опция для пациентов с БВ [</w:t>
      </w:r>
      <w:hyperlink w:history="true" w:anchor="_bookmark26">
        <w:r>
          <w:rPr>
            <w:color w:val="0000FF"/>
          </w:rPr>
          <w:t>33</w:t>
        </w:r>
      </w:hyperlink>
      <w:r>
        <w:rPr/>
        <w:t>-</w:t>
      </w:r>
      <w:hyperlink w:history="true" w:anchor="_bookmark28">
        <w:r>
          <w:rPr>
            <w:color w:val="0000FF"/>
          </w:rPr>
          <w:t>36</w:t>
        </w:r>
      </w:hyperlink>
      <w:r>
        <w:rPr/>
        <w:t>].</w:t>
      </w:r>
    </w:p>
    <w:p>
      <w:pPr>
        <w:pStyle w:val="BodyText"/>
        <w:spacing w:before="25"/>
        <w:ind w:left="0"/>
        <w:jc w:val="left"/>
        <w:rPr>
          <w:sz w:val="20"/>
        </w:rPr>
      </w:pPr>
      <w:r>
        <w:rPr/>
        <mc:AlternateContent>
          <mc:Choice Requires="wps">
            <w:drawing>
              <wp:anchor distT="0" distB="0" distL="0" distR="0" allowOverlap="1" layoutInCell="1" locked="0" behindDoc="1" simplePos="0" relativeHeight="487587840">
                <wp:simplePos x="0" y="0"/>
                <wp:positionH relativeFrom="page">
                  <wp:posOffset>1079296</wp:posOffset>
                </wp:positionH>
                <wp:positionV relativeFrom="paragraph">
                  <wp:posOffset>177152</wp:posOffset>
                </wp:positionV>
                <wp:extent cx="6123305" cy="497205"/>
                <wp:effectExtent l="0" t="0" r="0" b="0"/>
                <wp:wrapTopAndBottom/>
                <wp:docPr id="4" name="Group 4"/>
                <wp:cNvGraphicFramePr>
                  <a:graphicFrameLocks/>
                </wp:cNvGraphicFramePr>
                <a:graphic>
                  <a:graphicData uri="http://schemas.microsoft.com/office/word/2010/wordprocessingGroup">
                    <wpg:wgp>
                      <wpg:cNvPr id="4" name="Group 4"/>
                      <wpg:cNvGrpSpPr/>
                      <wpg:grpSpPr>
                        <a:xfrm>
                          <a:off x="0" y="0"/>
                          <a:ext cx="6123305" cy="497205"/>
                          <a:chExt cx="6123305" cy="497205"/>
                        </a:xfrm>
                      </wpg:grpSpPr>
                      <wps:wsp>
                        <wps:cNvPr id="5" name="Graphic 5"/>
                        <wps:cNvSpPr/>
                        <wps:spPr>
                          <a:xfrm>
                            <a:off x="0" y="73507"/>
                            <a:ext cx="40005" cy="350520"/>
                          </a:xfrm>
                          <a:custGeom>
                            <a:avLst/>
                            <a:gdLst/>
                            <a:ahLst/>
                            <a:cxnLst/>
                            <a:rect l="l" t="t" r="r" b="b"/>
                            <a:pathLst>
                              <a:path w="40005" h="350520">
                                <a:moveTo>
                                  <a:pt x="39624" y="0"/>
                                </a:moveTo>
                                <a:lnTo>
                                  <a:pt x="0" y="0"/>
                                </a:lnTo>
                                <a:lnTo>
                                  <a:pt x="0" y="173736"/>
                                </a:lnTo>
                                <a:lnTo>
                                  <a:pt x="0" y="350520"/>
                                </a:lnTo>
                                <a:lnTo>
                                  <a:pt x="39624" y="350520"/>
                                </a:lnTo>
                                <a:lnTo>
                                  <a:pt x="39624" y="173736"/>
                                </a:lnTo>
                                <a:lnTo>
                                  <a:pt x="39624" y="0"/>
                                </a:lnTo>
                                <a:close/>
                              </a:path>
                            </a:pathLst>
                          </a:custGeom>
                          <a:solidFill>
                            <a:srgbClr val="CED2F0"/>
                          </a:solidFill>
                        </wps:spPr>
                        <wps:bodyPr wrap="square" lIns="0" tIns="0" rIns="0" bIns="0" rtlCol="0">
                          <a:prstTxWarp prst="textNoShape">
                            <a:avLst/>
                          </a:prstTxWarp>
                          <a:noAutofit/>
                        </wps:bodyPr>
                      </wps:wsp>
                      <wps:wsp>
                        <wps:cNvPr id="6" name="Graphic 6"/>
                        <wps:cNvSpPr/>
                        <wps:spPr>
                          <a:xfrm>
                            <a:off x="39624" y="0"/>
                            <a:ext cx="6083300" cy="497205"/>
                          </a:xfrm>
                          <a:custGeom>
                            <a:avLst/>
                            <a:gdLst/>
                            <a:ahLst/>
                            <a:cxnLst/>
                            <a:rect l="l" t="t" r="r" b="b"/>
                            <a:pathLst>
                              <a:path w="6083300" h="497205">
                                <a:moveTo>
                                  <a:pt x="6013120" y="0"/>
                                </a:moveTo>
                                <a:lnTo>
                                  <a:pt x="70408" y="0"/>
                                </a:lnTo>
                                <a:lnTo>
                                  <a:pt x="70408" y="73507"/>
                                </a:lnTo>
                                <a:lnTo>
                                  <a:pt x="0" y="73507"/>
                                </a:lnTo>
                                <a:lnTo>
                                  <a:pt x="0" y="247243"/>
                                </a:lnTo>
                                <a:lnTo>
                                  <a:pt x="0" y="424027"/>
                                </a:lnTo>
                                <a:lnTo>
                                  <a:pt x="70408" y="424027"/>
                                </a:lnTo>
                                <a:lnTo>
                                  <a:pt x="70408" y="497128"/>
                                </a:lnTo>
                                <a:lnTo>
                                  <a:pt x="6013120" y="497128"/>
                                </a:lnTo>
                                <a:lnTo>
                                  <a:pt x="6013120" y="0"/>
                                </a:lnTo>
                                <a:close/>
                              </a:path>
                              <a:path w="6083300" h="497205">
                                <a:moveTo>
                                  <a:pt x="6083249" y="73507"/>
                                </a:moveTo>
                                <a:lnTo>
                                  <a:pt x="6013145" y="73507"/>
                                </a:lnTo>
                                <a:lnTo>
                                  <a:pt x="6013145" y="247243"/>
                                </a:lnTo>
                                <a:lnTo>
                                  <a:pt x="6013145" y="424027"/>
                                </a:lnTo>
                                <a:lnTo>
                                  <a:pt x="6083249" y="424027"/>
                                </a:lnTo>
                                <a:lnTo>
                                  <a:pt x="6083249" y="247243"/>
                                </a:lnTo>
                                <a:lnTo>
                                  <a:pt x="6083249" y="73507"/>
                                </a:lnTo>
                                <a:close/>
                              </a:path>
                            </a:pathLst>
                          </a:custGeom>
                          <a:solidFill>
                            <a:srgbClr val="F4F3F8"/>
                          </a:solidFill>
                        </wps:spPr>
                        <wps:bodyPr wrap="square" lIns="0" tIns="0" rIns="0" bIns="0" rtlCol="0">
                          <a:prstTxWarp prst="textNoShape">
                            <a:avLst/>
                          </a:prstTxWarp>
                          <a:noAutofit/>
                        </wps:bodyPr>
                      </wps:wsp>
                      <wps:wsp>
                        <wps:cNvPr id="7" name="Graphic 7"/>
                        <wps:cNvSpPr/>
                        <wps:spPr>
                          <a:xfrm>
                            <a:off x="0" y="50"/>
                            <a:ext cx="40005" cy="73660"/>
                          </a:xfrm>
                          <a:custGeom>
                            <a:avLst/>
                            <a:gdLst/>
                            <a:ahLst/>
                            <a:cxnLst/>
                            <a:rect l="l" t="t" r="r" b="b"/>
                            <a:pathLst>
                              <a:path w="40005" h="73660">
                                <a:moveTo>
                                  <a:pt x="39624" y="0"/>
                                </a:moveTo>
                                <a:lnTo>
                                  <a:pt x="0" y="0"/>
                                </a:lnTo>
                                <a:lnTo>
                                  <a:pt x="0" y="73456"/>
                                </a:lnTo>
                                <a:lnTo>
                                  <a:pt x="39624" y="73456"/>
                                </a:lnTo>
                                <a:lnTo>
                                  <a:pt x="39624" y="0"/>
                                </a:lnTo>
                                <a:close/>
                              </a:path>
                            </a:pathLst>
                          </a:custGeom>
                          <a:solidFill>
                            <a:srgbClr val="CED2F0"/>
                          </a:solidFill>
                        </wps:spPr>
                        <wps:bodyPr wrap="square" lIns="0" tIns="0" rIns="0" bIns="0" rtlCol="0">
                          <a:prstTxWarp prst="textNoShape">
                            <a:avLst/>
                          </a:prstTxWarp>
                          <a:noAutofit/>
                        </wps:bodyPr>
                      </wps:wsp>
                      <wps:wsp>
                        <wps:cNvPr id="8" name="Graphic 8"/>
                        <wps:cNvSpPr/>
                        <wps:spPr>
                          <a:xfrm>
                            <a:off x="39624" y="50"/>
                            <a:ext cx="6083300" cy="73660"/>
                          </a:xfrm>
                          <a:custGeom>
                            <a:avLst/>
                            <a:gdLst/>
                            <a:ahLst/>
                            <a:cxnLst/>
                            <a:rect l="l" t="t" r="r" b="b"/>
                            <a:pathLst>
                              <a:path w="6083300" h="73660">
                                <a:moveTo>
                                  <a:pt x="70408" y="0"/>
                                </a:moveTo>
                                <a:lnTo>
                                  <a:pt x="0" y="0"/>
                                </a:lnTo>
                                <a:lnTo>
                                  <a:pt x="0" y="73456"/>
                                </a:lnTo>
                                <a:lnTo>
                                  <a:pt x="70408" y="73456"/>
                                </a:lnTo>
                                <a:lnTo>
                                  <a:pt x="70408" y="0"/>
                                </a:lnTo>
                                <a:close/>
                              </a:path>
                              <a:path w="6083300" h="73660">
                                <a:moveTo>
                                  <a:pt x="6083249" y="0"/>
                                </a:moveTo>
                                <a:lnTo>
                                  <a:pt x="6010097" y="0"/>
                                </a:lnTo>
                                <a:lnTo>
                                  <a:pt x="6010097" y="73456"/>
                                </a:lnTo>
                                <a:lnTo>
                                  <a:pt x="6083249" y="73456"/>
                                </a:lnTo>
                                <a:lnTo>
                                  <a:pt x="6083249" y="0"/>
                                </a:lnTo>
                                <a:close/>
                              </a:path>
                            </a:pathLst>
                          </a:custGeom>
                          <a:solidFill>
                            <a:srgbClr val="F4F3F8"/>
                          </a:solidFill>
                        </wps:spPr>
                        <wps:bodyPr wrap="square" lIns="0" tIns="0" rIns="0" bIns="0" rtlCol="0">
                          <a:prstTxWarp prst="textNoShape">
                            <a:avLst/>
                          </a:prstTxWarp>
                          <a:noAutofit/>
                        </wps:bodyPr>
                      </wps:wsp>
                      <wps:wsp>
                        <wps:cNvPr id="9" name="Graphic 9"/>
                        <wps:cNvSpPr/>
                        <wps:spPr>
                          <a:xfrm>
                            <a:off x="0" y="423978"/>
                            <a:ext cx="40005" cy="73660"/>
                          </a:xfrm>
                          <a:custGeom>
                            <a:avLst/>
                            <a:gdLst/>
                            <a:ahLst/>
                            <a:cxnLst/>
                            <a:rect l="l" t="t" r="r" b="b"/>
                            <a:pathLst>
                              <a:path w="40005" h="73660">
                                <a:moveTo>
                                  <a:pt x="39624" y="0"/>
                                </a:moveTo>
                                <a:lnTo>
                                  <a:pt x="0" y="0"/>
                                </a:lnTo>
                                <a:lnTo>
                                  <a:pt x="0" y="73150"/>
                                </a:lnTo>
                                <a:lnTo>
                                  <a:pt x="39624" y="73150"/>
                                </a:lnTo>
                                <a:lnTo>
                                  <a:pt x="39624" y="0"/>
                                </a:lnTo>
                                <a:close/>
                              </a:path>
                            </a:pathLst>
                          </a:custGeom>
                          <a:solidFill>
                            <a:srgbClr val="CED2F0"/>
                          </a:solidFill>
                        </wps:spPr>
                        <wps:bodyPr wrap="square" lIns="0" tIns="0" rIns="0" bIns="0" rtlCol="0">
                          <a:prstTxWarp prst="textNoShape">
                            <a:avLst/>
                          </a:prstTxWarp>
                          <a:noAutofit/>
                        </wps:bodyPr>
                      </wps:wsp>
                      <wps:wsp>
                        <wps:cNvPr id="10" name="Graphic 10"/>
                        <wps:cNvSpPr/>
                        <wps:spPr>
                          <a:xfrm>
                            <a:off x="39624" y="423989"/>
                            <a:ext cx="6083300" cy="73660"/>
                          </a:xfrm>
                          <a:custGeom>
                            <a:avLst/>
                            <a:gdLst/>
                            <a:ahLst/>
                            <a:cxnLst/>
                            <a:rect l="l" t="t" r="r" b="b"/>
                            <a:pathLst>
                              <a:path w="6083300" h="73660">
                                <a:moveTo>
                                  <a:pt x="70408" y="0"/>
                                </a:moveTo>
                                <a:lnTo>
                                  <a:pt x="0" y="0"/>
                                </a:lnTo>
                                <a:lnTo>
                                  <a:pt x="0" y="73139"/>
                                </a:lnTo>
                                <a:lnTo>
                                  <a:pt x="70408" y="73139"/>
                                </a:lnTo>
                                <a:lnTo>
                                  <a:pt x="70408" y="0"/>
                                </a:lnTo>
                                <a:close/>
                              </a:path>
                              <a:path w="6083300" h="73660">
                                <a:moveTo>
                                  <a:pt x="6083249" y="0"/>
                                </a:moveTo>
                                <a:lnTo>
                                  <a:pt x="6010097" y="0"/>
                                </a:lnTo>
                                <a:lnTo>
                                  <a:pt x="6010097" y="73139"/>
                                </a:lnTo>
                                <a:lnTo>
                                  <a:pt x="6083249" y="73139"/>
                                </a:lnTo>
                                <a:lnTo>
                                  <a:pt x="6083249" y="0"/>
                                </a:lnTo>
                                <a:close/>
                              </a:path>
                            </a:pathLst>
                          </a:custGeom>
                          <a:solidFill>
                            <a:srgbClr val="F4F3F8"/>
                          </a:solidFill>
                        </wps:spPr>
                        <wps:bodyPr wrap="square" lIns="0" tIns="0" rIns="0" bIns="0" rtlCol="0">
                          <a:prstTxWarp prst="textNoShape">
                            <a:avLst/>
                          </a:prstTxWarp>
                          <a:noAutofit/>
                        </wps:bodyPr>
                      </wps:wsp>
                      <wps:wsp>
                        <wps:cNvPr id="11" name="Textbox 11"/>
                        <wps:cNvSpPr txBox="1"/>
                        <wps:spPr>
                          <a:xfrm>
                            <a:off x="39623" y="0"/>
                            <a:ext cx="6083300" cy="497205"/>
                          </a:xfrm>
                          <a:prstGeom prst="rect">
                            <a:avLst/>
                          </a:prstGeom>
                        </wps:spPr>
                        <wps:txbx>
                          <w:txbxContent>
                            <w:p>
                              <w:pPr>
                                <w:spacing w:line="275" w:lineRule="exact" w:before="107"/>
                                <w:ind w:left="110" w:right="0" w:firstLine="0"/>
                                <w:jc w:val="left"/>
                                <w:rPr>
                                  <w:sz w:val="24"/>
                                </w:rPr>
                              </w:pPr>
                              <w:r>
                                <w:rPr>
                                  <w:color w:val="392C69"/>
                                  <w:spacing w:val="-2"/>
                                  <w:sz w:val="24"/>
                                </w:rPr>
                                <w:t>Примечание.</w:t>
                              </w:r>
                            </w:p>
                            <w:p>
                              <w:pPr>
                                <w:spacing w:line="275" w:lineRule="exact" w:before="0"/>
                                <w:ind w:left="110" w:right="0" w:firstLine="0"/>
                                <w:jc w:val="left"/>
                                <w:rPr>
                                  <w:sz w:val="24"/>
                                </w:rPr>
                              </w:pPr>
                              <w:r>
                                <w:rPr>
                                  <w:color w:val="392C69"/>
                                  <w:sz w:val="24"/>
                                </w:rPr>
                                <w:t>Нумерация</w:t>
                              </w:r>
                              <w:r>
                                <w:rPr>
                                  <w:color w:val="392C69"/>
                                  <w:spacing w:val="-5"/>
                                  <w:sz w:val="24"/>
                                </w:rPr>
                                <w:t> </w:t>
                              </w:r>
                              <w:r>
                                <w:rPr>
                                  <w:color w:val="392C69"/>
                                  <w:sz w:val="24"/>
                                </w:rPr>
                                <w:t>подпунктов</w:t>
                              </w:r>
                              <w:r>
                                <w:rPr>
                                  <w:color w:val="392C69"/>
                                  <w:spacing w:val="-1"/>
                                  <w:sz w:val="24"/>
                                </w:rPr>
                                <w:t> </w:t>
                              </w:r>
                              <w:r>
                                <w:rPr>
                                  <w:color w:val="392C69"/>
                                  <w:sz w:val="24"/>
                                </w:rPr>
                                <w:t>дана</w:t>
                              </w:r>
                              <w:r>
                                <w:rPr>
                                  <w:color w:val="392C69"/>
                                  <w:spacing w:val="-3"/>
                                  <w:sz w:val="24"/>
                                </w:rPr>
                                <w:t> </w:t>
                              </w:r>
                              <w:r>
                                <w:rPr>
                                  <w:color w:val="392C69"/>
                                  <w:sz w:val="24"/>
                                </w:rPr>
                                <w:t>в</w:t>
                              </w:r>
                              <w:r>
                                <w:rPr>
                                  <w:color w:val="392C69"/>
                                  <w:spacing w:val="-5"/>
                                  <w:sz w:val="24"/>
                                </w:rPr>
                                <w:t> </w:t>
                              </w:r>
                              <w:r>
                                <w:rPr>
                                  <w:color w:val="392C69"/>
                                  <w:sz w:val="24"/>
                                </w:rPr>
                                <w:t>соответствии</w:t>
                              </w:r>
                              <w:r>
                                <w:rPr>
                                  <w:color w:val="392C69"/>
                                  <w:spacing w:val="-1"/>
                                  <w:sz w:val="24"/>
                                </w:rPr>
                                <w:t> </w:t>
                              </w:r>
                              <w:r>
                                <w:rPr>
                                  <w:color w:val="392C69"/>
                                  <w:sz w:val="24"/>
                                </w:rPr>
                                <w:t>с</w:t>
                              </w:r>
                              <w:r>
                                <w:rPr>
                                  <w:color w:val="392C69"/>
                                  <w:spacing w:val="-12"/>
                                  <w:sz w:val="24"/>
                                </w:rPr>
                                <w:t> </w:t>
                              </w:r>
                              <w:r>
                                <w:rPr>
                                  <w:color w:val="392C69"/>
                                  <w:sz w:val="24"/>
                                </w:rPr>
                                <w:t>официальным</w:t>
                              </w:r>
                              <w:r>
                                <w:rPr>
                                  <w:color w:val="392C69"/>
                                  <w:spacing w:val="-5"/>
                                  <w:sz w:val="24"/>
                                </w:rPr>
                                <w:t> </w:t>
                              </w:r>
                              <w:r>
                                <w:rPr>
                                  <w:color w:val="392C69"/>
                                  <w:sz w:val="24"/>
                                </w:rPr>
                                <w:t>текстом</w:t>
                              </w:r>
                              <w:r>
                                <w:rPr>
                                  <w:color w:val="392C69"/>
                                  <w:spacing w:val="-1"/>
                                  <w:sz w:val="24"/>
                                </w:rPr>
                                <w:t> </w:t>
                              </w:r>
                              <w:r>
                                <w:rPr>
                                  <w:color w:val="392C69"/>
                                  <w:spacing w:val="-2"/>
                                  <w:sz w:val="24"/>
                                </w:rPr>
                                <w:t>документа.</w:t>
                              </w:r>
                            </w:p>
                          </w:txbxContent>
                        </wps:txbx>
                        <wps:bodyPr wrap="square" lIns="0" tIns="0" rIns="0" bIns="0" rtlCol="0">
                          <a:noAutofit/>
                        </wps:bodyPr>
                      </wps:wsp>
                    </wpg:wgp>
                  </a:graphicData>
                </a:graphic>
              </wp:anchor>
            </w:drawing>
          </mc:Choice>
          <mc:Fallback>
            <w:pict>
              <v:group style="position:absolute;margin-left:84.984001pt;margin-top:13.949023pt;width:482.15pt;height:39.15pt;mso-position-horizontal-relative:page;mso-position-vertical-relative:paragraph;z-index:-15728640;mso-wrap-distance-left:0;mso-wrap-distance-right:0" id="docshapegroup4" coordorigin="1700,279" coordsize="9643,783">
                <v:shape style="position:absolute;left:1699;top:394;width:63;height:552" id="docshape5" coordorigin="1700,395" coordsize="63,552" path="m1762,395l1700,395,1700,668,1700,947,1762,947,1762,668,1762,395xe" filled="true" fillcolor="#ced2f0" stroked="false">
                  <v:path arrowok="t"/>
                  <v:fill type="solid"/>
                </v:shape>
                <v:shape style="position:absolute;left:1762;top:278;width:9580;height:783" id="docshape6" coordorigin="1762,279" coordsize="9580,783" path="m11232,279l1873,279,1873,395,1762,395,1762,668,1762,947,1873,947,1873,1062,11232,1062,11232,279xm11342,395l11232,395,11232,668,11232,947,11342,947,11342,668,11342,395xe" filled="true" fillcolor="#f4f3f8" stroked="false">
                  <v:path arrowok="t"/>
                  <v:fill type="solid"/>
                </v:shape>
                <v:rect style="position:absolute;left:1699;top:279;width:63;height:116" id="docshape7" filled="true" fillcolor="#ced2f0" stroked="false">
                  <v:fill type="solid"/>
                </v:rect>
                <v:shape style="position:absolute;left:1762;top:279;width:9580;height:116" id="docshape8" coordorigin="1762,279" coordsize="9580,116" path="m1873,279l1762,279,1762,395,1873,395,1873,279xm11342,279l11227,279,11227,395,11342,395,11342,279xe" filled="true" fillcolor="#f4f3f8" stroked="false">
                  <v:path arrowok="t"/>
                  <v:fill type="solid"/>
                </v:shape>
                <v:rect style="position:absolute;left:1699;top:946;width:63;height:116" id="docshape9" filled="true" fillcolor="#ced2f0" stroked="false">
                  <v:fill type="solid"/>
                </v:rect>
                <v:shape style="position:absolute;left:1762;top:946;width:9580;height:116" id="docshape10" coordorigin="1762,947" coordsize="9580,116" path="m1873,947l1762,947,1762,1062,1873,1062,1873,947xm11342,947l11227,947,11227,1062,11342,1062,11342,947xe" filled="true" fillcolor="#f4f3f8" stroked="false">
                  <v:path arrowok="t"/>
                  <v:fill type="solid"/>
                </v:shape>
                <v:shape style="position:absolute;left:1762;top:278;width:9580;height:783" type="#_x0000_t202" id="docshape11" filled="false" stroked="false">
                  <v:textbox inset="0,0,0,0">
                    <w:txbxContent>
                      <w:p>
                        <w:pPr>
                          <w:spacing w:line="275" w:lineRule="exact" w:before="107"/>
                          <w:ind w:left="110" w:right="0" w:firstLine="0"/>
                          <w:jc w:val="left"/>
                          <w:rPr>
                            <w:sz w:val="24"/>
                          </w:rPr>
                        </w:pPr>
                        <w:r>
                          <w:rPr>
                            <w:color w:val="392C69"/>
                            <w:spacing w:val="-2"/>
                            <w:sz w:val="24"/>
                          </w:rPr>
                          <w:t>Примечание.</w:t>
                        </w:r>
                      </w:p>
                      <w:p>
                        <w:pPr>
                          <w:spacing w:line="275" w:lineRule="exact" w:before="0"/>
                          <w:ind w:left="110" w:right="0" w:firstLine="0"/>
                          <w:jc w:val="left"/>
                          <w:rPr>
                            <w:sz w:val="24"/>
                          </w:rPr>
                        </w:pPr>
                        <w:r>
                          <w:rPr>
                            <w:color w:val="392C69"/>
                            <w:sz w:val="24"/>
                          </w:rPr>
                          <w:t>Нумерация</w:t>
                        </w:r>
                        <w:r>
                          <w:rPr>
                            <w:color w:val="392C69"/>
                            <w:spacing w:val="-5"/>
                            <w:sz w:val="24"/>
                          </w:rPr>
                          <w:t> </w:t>
                        </w:r>
                        <w:r>
                          <w:rPr>
                            <w:color w:val="392C69"/>
                            <w:sz w:val="24"/>
                          </w:rPr>
                          <w:t>подпунктов</w:t>
                        </w:r>
                        <w:r>
                          <w:rPr>
                            <w:color w:val="392C69"/>
                            <w:spacing w:val="-1"/>
                            <w:sz w:val="24"/>
                          </w:rPr>
                          <w:t> </w:t>
                        </w:r>
                        <w:r>
                          <w:rPr>
                            <w:color w:val="392C69"/>
                            <w:sz w:val="24"/>
                          </w:rPr>
                          <w:t>дана</w:t>
                        </w:r>
                        <w:r>
                          <w:rPr>
                            <w:color w:val="392C69"/>
                            <w:spacing w:val="-3"/>
                            <w:sz w:val="24"/>
                          </w:rPr>
                          <w:t> </w:t>
                        </w:r>
                        <w:r>
                          <w:rPr>
                            <w:color w:val="392C69"/>
                            <w:sz w:val="24"/>
                          </w:rPr>
                          <w:t>в</w:t>
                        </w:r>
                        <w:r>
                          <w:rPr>
                            <w:color w:val="392C69"/>
                            <w:spacing w:val="-5"/>
                            <w:sz w:val="24"/>
                          </w:rPr>
                          <w:t> </w:t>
                        </w:r>
                        <w:r>
                          <w:rPr>
                            <w:color w:val="392C69"/>
                            <w:sz w:val="24"/>
                          </w:rPr>
                          <w:t>соответствии</w:t>
                        </w:r>
                        <w:r>
                          <w:rPr>
                            <w:color w:val="392C69"/>
                            <w:spacing w:val="-1"/>
                            <w:sz w:val="24"/>
                          </w:rPr>
                          <w:t> </w:t>
                        </w:r>
                        <w:r>
                          <w:rPr>
                            <w:color w:val="392C69"/>
                            <w:sz w:val="24"/>
                          </w:rPr>
                          <w:t>с</w:t>
                        </w:r>
                        <w:r>
                          <w:rPr>
                            <w:color w:val="392C69"/>
                            <w:spacing w:val="-12"/>
                            <w:sz w:val="24"/>
                          </w:rPr>
                          <w:t> </w:t>
                        </w:r>
                        <w:r>
                          <w:rPr>
                            <w:color w:val="392C69"/>
                            <w:sz w:val="24"/>
                          </w:rPr>
                          <w:t>официальным</w:t>
                        </w:r>
                        <w:r>
                          <w:rPr>
                            <w:color w:val="392C69"/>
                            <w:spacing w:val="-5"/>
                            <w:sz w:val="24"/>
                          </w:rPr>
                          <w:t> </w:t>
                        </w:r>
                        <w:r>
                          <w:rPr>
                            <w:color w:val="392C69"/>
                            <w:sz w:val="24"/>
                          </w:rPr>
                          <w:t>текстом</w:t>
                        </w:r>
                        <w:r>
                          <w:rPr>
                            <w:color w:val="392C69"/>
                            <w:spacing w:val="-1"/>
                            <w:sz w:val="24"/>
                          </w:rPr>
                          <w:t> </w:t>
                        </w:r>
                        <w:r>
                          <w:rPr>
                            <w:color w:val="392C69"/>
                            <w:spacing w:val="-2"/>
                            <w:sz w:val="24"/>
                          </w:rPr>
                          <w:t>документа.</w:t>
                        </w:r>
                      </w:p>
                    </w:txbxContent>
                  </v:textbox>
                  <w10:wrap type="none"/>
                </v:shape>
                <w10:wrap type="topAndBottom"/>
              </v:group>
            </w:pict>
          </mc:Fallback>
        </mc:AlternateContent>
      </w:r>
    </w:p>
    <w:p>
      <w:pPr>
        <w:spacing w:after="0"/>
        <w:jc w:val="left"/>
        <w:rPr>
          <w:sz w:val="20"/>
        </w:rPr>
        <w:sectPr>
          <w:type w:val="continuous"/>
          <w:pgSz w:w="11910" w:h="16840"/>
          <w:pgMar w:header="572" w:footer="1177" w:top="1320" w:bottom="1360" w:left="1560" w:right="420"/>
        </w:sectPr>
      </w:pPr>
    </w:p>
    <w:p>
      <w:pPr>
        <w:pStyle w:val="Heading1"/>
        <w:tabs>
          <w:tab w:pos="1585" w:val="left" w:leader="none"/>
          <w:tab w:pos="3777" w:val="left" w:leader="none"/>
          <w:tab w:pos="5056" w:val="left" w:leader="none"/>
          <w:tab w:pos="5804" w:val="left" w:leader="none"/>
          <w:tab w:pos="7066" w:val="left" w:leader="none"/>
          <w:tab w:pos="8850" w:val="left" w:leader="none"/>
        </w:tabs>
        <w:spacing w:before="85"/>
        <w:ind w:right="153"/>
      </w:pPr>
      <w:bookmarkStart w:name="3.2.2. Хирургическое лечение при болезни" w:id="38"/>
      <w:bookmarkEnd w:id="38"/>
      <w:r>
        <w:rPr>
          <w:b w:val="0"/>
        </w:rPr>
      </w:r>
      <w:r>
        <w:rPr>
          <w:spacing w:val="-2"/>
        </w:rPr>
        <w:t>3.2.2.</w:t>
      </w:r>
      <w:r>
        <w:rPr/>
        <w:tab/>
      </w:r>
      <w:r>
        <w:rPr>
          <w:spacing w:val="-2"/>
        </w:rPr>
        <w:t>Хирургическое</w:t>
      </w:r>
      <w:r>
        <w:rPr/>
        <w:tab/>
      </w:r>
      <w:r>
        <w:rPr>
          <w:spacing w:val="-2"/>
        </w:rPr>
        <w:t>лечение</w:t>
      </w:r>
      <w:r>
        <w:rPr/>
        <w:tab/>
      </w:r>
      <w:r>
        <w:rPr>
          <w:spacing w:val="-4"/>
        </w:rPr>
        <w:t>при</w:t>
      </w:r>
      <w:r>
        <w:rPr/>
        <w:tab/>
      </w:r>
      <w:r>
        <w:rPr>
          <w:spacing w:val="-2"/>
        </w:rPr>
        <w:t>болезни</w:t>
      </w:r>
      <w:r>
        <w:rPr/>
        <w:tab/>
      </w:r>
      <w:r>
        <w:rPr>
          <w:spacing w:val="-2"/>
        </w:rPr>
        <w:t>накопления</w:t>
      </w:r>
      <w:r>
        <w:rPr/>
        <w:tab/>
      </w:r>
      <w:r>
        <w:rPr>
          <w:spacing w:val="-2"/>
        </w:rPr>
        <w:t>эфиро</w:t>
      </w:r>
      <w:r>
        <w:rPr>
          <w:spacing w:val="-2"/>
        </w:rPr>
        <w:t>в</w:t>
      </w:r>
      <w:r>
        <w:rPr>
          <w:spacing w:val="-2"/>
        </w:rPr>
        <w:t> </w:t>
      </w:r>
      <w:r>
        <w:rPr/>
        <w:t>холестерина (БНЭХ), с дебютом в возрасте старше 6 месяцев</w:t>
      </w:r>
    </w:p>
    <w:p>
      <w:pPr>
        <w:pStyle w:val="BodyText"/>
        <w:spacing w:before="239"/>
        <w:ind w:right="141" w:firstLine="542"/>
      </w:pPr>
      <w:r>
        <w:rPr/>
        <w:t>- Рекомендуется пациентам с БНЭХ на стадии декомпенсированного цирроза печени, при невозможности или неэффективности проведения патогенетической терапии</w:t>
      </w:r>
      <w:r>
        <w:rPr>
          <w:spacing w:val="40"/>
        </w:rPr>
        <w:t> </w:t>
      </w:r>
      <w:r>
        <w:rPr/>
        <w:t>рассмотреть вопрос о проведении трансплантации печени [</w:t>
      </w:r>
      <w:hyperlink w:history="true" w:anchor="_bookmark14">
        <w:r>
          <w:rPr>
            <w:color w:val="0000FF"/>
          </w:rPr>
          <w:t>15</w:t>
        </w:r>
        <w:r>
          <w:rPr/>
          <w:t>,</w:t>
        </w:r>
      </w:hyperlink>
      <w:r>
        <w:rPr/>
        <w:t> </w:t>
      </w:r>
      <w:hyperlink w:history="true" w:anchor="_bookmark23">
        <w:r>
          <w:rPr>
            <w:color w:val="0000FF"/>
          </w:rPr>
          <w:t>29</w:t>
        </w:r>
        <w:r>
          <w:rPr/>
          <w:t>,</w:t>
        </w:r>
      </w:hyperlink>
      <w:r>
        <w:rPr/>
        <w:t> </w:t>
      </w:r>
      <w:hyperlink w:history="true" w:anchor="_bookmark30">
        <w:r>
          <w:rPr>
            <w:color w:val="0000FF"/>
          </w:rPr>
          <w:t>38</w:t>
        </w:r>
      </w:hyperlink>
      <w:r>
        <w:rPr/>
        <w:t>].</w:t>
      </w:r>
    </w:p>
    <w:p>
      <w:pPr>
        <w:pStyle w:val="BodyText"/>
        <w:spacing w:line="274" w:lineRule="exact"/>
        <w:ind w:left="677"/>
      </w:pPr>
      <w:r>
        <w:rPr/>
        <w:t>Уровень</w:t>
      </w:r>
      <w:r>
        <w:rPr>
          <w:spacing w:val="-11"/>
        </w:rPr>
        <w:t> </w:t>
      </w:r>
      <w:r>
        <w:rPr/>
        <w:t>убедительности</w:t>
      </w:r>
      <w:r>
        <w:rPr>
          <w:spacing w:val="-4"/>
        </w:rPr>
        <w:t> </w:t>
      </w:r>
      <w:r>
        <w:rPr/>
        <w:t>рекомендации</w:t>
      </w:r>
      <w:r>
        <w:rPr>
          <w:spacing w:val="-5"/>
        </w:rPr>
        <w:t> </w:t>
      </w:r>
      <w:hyperlink w:history="true" w:anchor="_bookmark45">
        <w:r>
          <w:rPr>
            <w:color w:val="0000FF"/>
          </w:rPr>
          <w:t>C</w:t>
        </w:r>
      </w:hyperlink>
      <w:r>
        <w:rPr>
          <w:color w:val="0000FF"/>
          <w:spacing w:val="-6"/>
        </w:rPr>
        <w:t> </w:t>
      </w:r>
      <w:r>
        <w:rPr/>
        <w:t>(уровень</w:t>
      </w:r>
      <w:r>
        <w:rPr>
          <w:spacing w:val="-6"/>
        </w:rPr>
        <w:t> </w:t>
      </w:r>
      <w:r>
        <w:rPr/>
        <w:t>достоверности</w:t>
      </w:r>
      <w:r>
        <w:rPr>
          <w:spacing w:val="-4"/>
        </w:rPr>
        <w:t> </w:t>
      </w:r>
      <w:r>
        <w:rPr/>
        <w:t>доказательств</w:t>
      </w:r>
      <w:r>
        <w:rPr>
          <w:spacing w:val="-7"/>
        </w:rPr>
        <w:t> </w:t>
      </w:r>
      <w:r>
        <w:rPr>
          <w:spacing w:val="-5"/>
        </w:rPr>
        <w:t>5)</w:t>
      </w:r>
    </w:p>
    <w:p>
      <w:pPr>
        <w:pStyle w:val="BodyText"/>
        <w:spacing w:before="3"/>
        <w:ind w:right="136" w:firstLine="538"/>
      </w:pPr>
      <w:r>
        <w:rPr/>
        <w:t>Комментарии: Трансплантация печени также ассоциирована с высоким риском осложнений и не оказывает влияния на системные проявления заболевания. Трансплантация печени не останавливает прогрессию БНЭХ и поражение других органов-мишеней. Кроме того, нельзя исключить риск повреждения трансплантированной печени, так как уровень ЛКЛ по-прежнему остается низким. [</w:t>
      </w:r>
      <w:hyperlink w:history="true" w:anchor="_bookmark24">
        <w:r>
          <w:rPr>
            <w:color w:val="0000FF"/>
          </w:rPr>
          <w:t>30</w:t>
        </w:r>
      </w:hyperlink>
      <w:r>
        <w:rPr/>
        <w:t>-</w:t>
      </w:r>
      <w:hyperlink w:history="true" w:anchor="_bookmark25">
        <w:r>
          <w:rPr>
            <w:color w:val="0000FF"/>
          </w:rPr>
          <w:t>32</w:t>
        </w:r>
      </w:hyperlink>
      <w:r>
        <w:rPr/>
        <w:t>, </w:t>
      </w:r>
      <w:hyperlink w:history="true" w:anchor="_bookmark30">
        <w:r>
          <w:rPr>
            <w:color w:val="0000FF"/>
          </w:rPr>
          <w:t>38</w:t>
        </w:r>
      </w:hyperlink>
      <w:r>
        <w:rPr/>
        <w:t>].</w:t>
      </w:r>
    </w:p>
    <w:p>
      <w:pPr>
        <w:pStyle w:val="BodyText"/>
        <w:spacing w:before="6"/>
        <w:ind w:left="0"/>
        <w:jc w:val="left"/>
      </w:pPr>
    </w:p>
    <w:p>
      <w:pPr>
        <w:pStyle w:val="Heading1"/>
        <w:ind w:left="682" w:firstLine="0"/>
      </w:pPr>
      <w:bookmarkStart w:name="3.4. Паллиативная помощь" w:id="39"/>
      <w:bookmarkEnd w:id="39"/>
      <w:r>
        <w:rPr>
          <w:b w:val="0"/>
        </w:rPr>
      </w:r>
      <w:r>
        <w:rPr/>
        <w:t>3.4.</w:t>
      </w:r>
      <w:r>
        <w:rPr>
          <w:spacing w:val="-8"/>
        </w:rPr>
        <w:t> </w:t>
      </w:r>
      <w:r>
        <w:rPr/>
        <w:t>Паллиативная</w:t>
      </w:r>
      <w:r>
        <w:rPr>
          <w:spacing w:val="-12"/>
        </w:rPr>
        <w:t> </w:t>
      </w:r>
      <w:r>
        <w:rPr>
          <w:spacing w:val="-2"/>
        </w:rPr>
        <w:t>помощь</w:t>
      </w:r>
    </w:p>
    <w:p>
      <w:pPr>
        <w:pStyle w:val="BodyText"/>
        <w:spacing w:line="237" w:lineRule="auto" w:before="237"/>
        <w:ind w:right="151" w:firstLine="542"/>
      </w:pPr>
      <w:r>
        <w:rPr/>
        <w:t>Паллиативная помощь пациентам с ДЛКЛ оказывается на основании соответствующих нормативных документов (см. </w:t>
      </w:r>
      <w:hyperlink w:history="true" w:anchor="_bookmark46">
        <w:r>
          <w:rPr>
            <w:color w:val="0000FF"/>
          </w:rPr>
          <w:t>Приложение А3</w:t>
        </w:r>
      </w:hyperlink>
      <w:r>
        <w:rPr/>
        <w:t>).</w:t>
      </w:r>
    </w:p>
    <w:p>
      <w:pPr>
        <w:pStyle w:val="BodyText"/>
        <w:spacing w:before="6"/>
        <w:ind w:left="0"/>
        <w:jc w:val="left"/>
      </w:pPr>
    </w:p>
    <w:p>
      <w:pPr>
        <w:pStyle w:val="Heading1"/>
        <w:numPr>
          <w:ilvl w:val="0"/>
          <w:numId w:val="2"/>
        </w:numPr>
        <w:tabs>
          <w:tab w:pos="1315" w:val="left" w:leader="none"/>
          <w:tab w:pos="3483" w:val="left" w:leader="none"/>
          <w:tab w:pos="5765" w:val="left" w:leader="none"/>
          <w:tab w:pos="7856" w:val="left" w:leader="none"/>
          <w:tab w:pos="9606" w:val="left" w:leader="none"/>
        </w:tabs>
        <w:spacing w:line="240" w:lineRule="auto" w:before="0" w:after="0"/>
        <w:ind w:left="139" w:right="154" w:firstLine="542"/>
        <w:jc w:val="left"/>
      </w:pPr>
      <w:bookmarkStart w:name="4. Медицинская реабилитация, медицинские" w:id="40"/>
      <w:bookmarkEnd w:id="40"/>
      <w:r>
        <w:rPr>
          <w:b w:val="0"/>
        </w:rPr>
      </w:r>
      <w:r>
        <w:rPr>
          <w:spacing w:val="-2"/>
        </w:rPr>
        <w:t>Медицинская</w:t>
      </w:r>
      <w:r>
        <w:rPr/>
        <w:tab/>
      </w:r>
      <w:r>
        <w:rPr>
          <w:spacing w:val="-2"/>
        </w:rPr>
        <w:t>реабилитация,</w:t>
      </w:r>
      <w:r>
        <w:rPr/>
        <w:tab/>
      </w:r>
      <w:r>
        <w:rPr>
          <w:spacing w:val="-2"/>
        </w:rPr>
        <w:t>медицинские</w:t>
      </w:r>
      <w:r>
        <w:rPr/>
        <w:tab/>
      </w:r>
      <w:r>
        <w:rPr>
          <w:spacing w:val="-2"/>
        </w:rPr>
        <w:t>показания</w:t>
      </w:r>
      <w:r>
        <w:rPr/>
        <w:tab/>
      </w:r>
      <w:r>
        <w:rPr>
          <w:spacing w:val="-10"/>
        </w:rPr>
        <w:t>и </w:t>
      </w:r>
      <w:r>
        <w:rPr/>
        <w:t>противопоказания к применению методов реабилитации</w:t>
      </w:r>
    </w:p>
    <w:p>
      <w:pPr>
        <w:pStyle w:val="BodyText"/>
        <w:spacing w:before="273"/>
        <w:ind w:right="142" w:firstLine="542"/>
      </w:pPr>
      <w:r>
        <w:rPr/>
        <w:t>Пациентам с ДЛКЛ (БВ, БНЭХ) и членам их семей необходимы консультации психолога/медицинского психолога, поскольку заболевание носит прогрессирующий характер, нужно помочь пациенту "принять" диагноз, адаптировать его к жизни для максимальной реализации его способности к обучению и самостоятельной жизни в дальнейшем </w:t>
      </w:r>
      <w:hyperlink w:history="true" w:anchor="_bookmark14">
        <w:r>
          <w:rPr>
            <w:color w:val="0000FF"/>
          </w:rPr>
          <w:t>[15]</w:t>
        </w:r>
      </w:hyperlink>
      <w:r>
        <w:rPr/>
        <w:t>.</w:t>
      </w:r>
    </w:p>
    <w:p>
      <w:pPr>
        <w:pStyle w:val="BodyText"/>
        <w:spacing w:before="6"/>
        <w:ind w:left="0"/>
        <w:jc w:val="left"/>
      </w:pPr>
    </w:p>
    <w:p>
      <w:pPr>
        <w:pStyle w:val="Heading1"/>
        <w:numPr>
          <w:ilvl w:val="0"/>
          <w:numId w:val="2"/>
        </w:numPr>
        <w:tabs>
          <w:tab w:pos="972" w:val="left" w:leader="none"/>
        </w:tabs>
        <w:spacing w:line="240" w:lineRule="auto" w:before="0" w:after="0"/>
        <w:ind w:left="139" w:right="144" w:firstLine="542"/>
        <w:jc w:val="left"/>
      </w:pPr>
      <w:bookmarkStart w:name="5. Профилактика и диспансерное наблюдени" w:id="41"/>
      <w:bookmarkEnd w:id="41"/>
      <w:r>
        <w:rPr>
          <w:b w:val="0"/>
        </w:rPr>
      </w:r>
      <w:r>
        <w:rPr/>
        <w:t>Профилактика и диспансерное наблюдение, медицинские показания и противопоказания к применению методов профилактики</w:t>
      </w:r>
    </w:p>
    <w:p>
      <w:pPr>
        <w:pStyle w:val="ListParagraph"/>
        <w:numPr>
          <w:ilvl w:val="1"/>
          <w:numId w:val="2"/>
        </w:numPr>
        <w:tabs>
          <w:tab w:pos="1175" w:val="left" w:leader="none"/>
        </w:tabs>
        <w:spacing w:line="240" w:lineRule="auto" w:before="273" w:after="0"/>
        <w:ind w:left="1175" w:right="0" w:hanging="493"/>
        <w:jc w:val="left"/>
        <w:rPr>
          <w:b/>
          <w:sz w:val="28"/>
        </w:rPr>
      </w:pPr>
      <w:bookmarkStart w:name="5.1. Профилактика" w:id="42"/>
      <w:bookmarkEnd w:id="42"/>
      <w:r>
        <w:rPr/>
      </w:r>
      <w:r>
        <w:rPr>
          <w:b/>
          <w:spacing w:val="-2"/>
          <w:sz w:val="28"/>
        </w:rPr>
        <w:t>Профилактика</w:t>
      </w:r>
    </w:p>
    <w:p>
      <w:pPr>
        <w:pStyle w:val="BodyText"/>
        <w:spacing w:before="234"/>
        <w:ind w:right="144" w:firstLine="542"/>
      </w:pPr>
      <w:r>
        <w:rPr/>
        <w:t>- Рекомендуется консультация врача-генетика после установления диагноза ДЛКЛ (БВ, БНЭХ) пациенту и/или его официальным представителям, с целью разъяснений генетического риска, обсуждения возможностей пренатальной и преимплантационной диагностики </w:t>
      </w:r>
      <w:hyperlink w:history="true" w:anchor="_bookmark14">
        <w:r>
          <w:rPr>
            <w:color w:val="0000FF"/>
          </w:rPr>
          <w:t>[15]</w:t>
        </w:r>
      </w:hyperlink>
      <w:r>
        <w:rPr/>
        <w:t>.</w:t>
      </w:r>
    </w:p>
    <w:p>
      <w:pPr>
        <w:pStyle w:val="BodyText"/>
        <w:spacing w:line="242" w:lineRule="auto"/>
        <w:ind w:left="677" w:right="141"/>
      </w:pPr>
      <w:r>
        <w:rPr/>
        <w:t>Уровень убедительности рекомендации </w:t>
      </w:r>
      <w:hyperlink w:history="true" w:anchor="_bookmark45">
        <w:r>
          <w:rPr>
            <w:color w:val="0000FF"/>
          </w:rPr>
          <w:t>C</w:t>
        </w:r>
      </w:hyperlink>
      <w:r>
        <w:rPr>
          <w:color w:val="0000FF"/>
        </w:rPr>
        <w:t> </w:t>
      </w:r>
      <w:r>
        <w:rPr/>
        <w:t>(уровень достоверности доказательств – 5). Комментарий:</w:t>
      </w:r>
      <w:r>
        <w:rPr>
          <w:spacing w:val="72"/>
          <w:w w:val="150"/>
        </w:rPr>
        <w:t> </w:t>
      </w:r>
      <w:r>
        <w:rPr/>
        <w:t>Семьям</w:t>
      </w:r>
      <w:r>
        <w:rPr>
          <w:spacing w:val="76"/>
          <w:w w:val="150"/>
        </w:rPr>
        <w:t> </w:t>
      </w:r>
      <w:r>
        <w:rPr/>
        <w:t>с</w:t>
      </w:r>
      <w:r>
        <w:rPr>
          <w:spacing w:val="72"/>
          <w:w w:val="150"/>
        </w:rPr>
        <w:t> </w:t>
      </w:r>
      <w:r>
        <w:rPr/>
        <w:t>детьми</w:t>
      </w:r>
      <w:r>
        <w:rPr>
          <w:spacing w:val="75"/>
          <w:w w:val="150"/>
        </w:rPr>
        <w:t> </w:t>
      </w:r>
      <w:r>
        <w:rPr/>
        <w:t>с</w:t>
      </w:r>
      <w:r>
        <w:rPr>
          <w:spacing w:val="72"/>
          <w:w w:val="150"/>
        </w:rPr>
        <w:t> </w:t>
      </w:r>
      <w:r>
        <w:rPr/>
        <w:t>ДЛКЛ</w:t>
      </w:r>
      <w:r>
        <w:rPr>
          <w:spacing w:val="70"/>
          <w:w w:val="150"/>
        </w:rPr>
        <w:t> </w:t>
      </w:r>
      <w:r>
        <w:rPr/>
        <w:t>(БВ</w:t>
      </w:r>
      <w:r>
        <w:rPr>
          <w:spacing w:val="73"/>
          <w:w w:val="150"/>
        </w:rPr>
        <w:t> </w:t>
      </w:r>
      <w:r>
        <w:rPr/>
        <w:t>и</w:t>
      </w:r>
      <w:r>
        <w:rPr>
          <w:spacing w:val="74"/>
          <w:w w:val="150"/>
        </w:rPr>
        <w:t> </w:t>
      </w:r>
      <w:r>
        <w:rPr/>
        <w:t>БНЭХ)</w:t>
      </w:r>
      <w:r>
        <w:rPr>
          <w:spacing w:val="76"/>
          <w:w w:val="150"/>
        </w:rPr>
        <w:t> </w:t>
      </w:r>
      <w:r>
        <w:rPr/>
        <w:t>рекомендуется</w:t>
      </w:r>
      <w:r>
        <w:rPr>
          <w:spacing w:val="74"/>
          <w:w w:val="150"/>
        </w:rPr>
        <w:t> </w:t>
      </w:r>
      <w:r>
        <w:rPr>
          <w:spacing w:val="-2"/>
        </w:rPr>
        <w:t>медико-</w:t>
      </w:r>
    </w:p>
    <w:p>
      <w:pPr>
        <w:pStyle w:val="BodyText"/>
        <w:ind w:right="147"/>
      </w:pPr>
      <w:r>
        <w:rPr/>
        <w:t>генетическое консультирование с целью</w:t>
      </w:r>
      <w:r>
        <w:rPr>
          <w:spacing w:val="-3"/>
        </w:rPr>
        <w:t> </w:t>
      </w:r>
      <w:r>
        <w:rPr/>
        <w:t>определения генетического риска. Как и при других аутосомно-рецессивных заболеваниях, при ДЛКЛ (БВ, БНЭХ) для каждой беременности</w:t>
      </w:r>
      <w:r>
        <w:rPr>
          <w:spacing w:val="40"/>
        </w:rPr>
        <w:t> </w:t>
      </w:r>
      <w:r>
        <w:rPr/>
        <w:t>риск рождения ребенка составляет 25%. В семьях, где есть ребенок с ДЛКЛ, возможно проведение пренатальной и преимплантационной диагностики. Для этого родителей необходимо направить в специализированные диагностические лаборатории и медицинские </w:t>
      </w:r>
      <w:r>
        <w:rPr>
          <w:spacing w:val="-2"/>
        </w:rPr>
        <w:t>центры.</w:t>
      </w:r>
    </w:p>
    <w:p>
      <w:pPr>
        <w:pStyle w:val="BodyText"/>
        <w:spacing w:before="4"/>
        <w:ind w:left="0"/>
        <w:jc w:val="left"/>
      </w:pPr>
    </w:p>
    <w:p>
      <w:pPr>
        <w:pStyle w:val="Heading1"/>
        <w:ind w:left="682" w:firstLine="0"/>
        <w:jc w:val="both"/>
      </w:pPr>
      <w:bookmarkStart w:name="Пренатальная диагностика ДЛКЛ" w:id="43"/>
      <w:bookmarkEnd w:id="43"/>
      <w:r>
        <w:rPr>
          <w:b w:val="0"/>
        </w:rPr>
      </w:r>
      <w:r>
        <w:rPr/>
        <w:t>Пренатальная</w:t>
      </w:r>
      <w:r>
        <w:rPr>
          <w:spacing w:val="-17"/>
        </w:rPr>
        <w:t> </w:t>
      </w:r>
      <w:r>
        <w:rPr/>
        <w:t>диагностика</w:t>
      </w:r>
      <w:r>
        <w:rPr>
          <w:spacing w:val="-16"/>
        </w:rPr>
        <w:t> </w:t>
      </w:r>
      <w:r>
        <w:rPr>
          <w:spacing w:val="-4"/>
        </w:rPr>
        <w:t>ДЛКЛ</w:t>
      </w:r>
    </w:p>
    <w:p>
      <w:pPr>
        <w:pStyle w:val="BodyText"/>
        <w:spacing w:line="237" w:lineRule="auto" w:before="236"/>
        <w:ind w:firstLine="542"/>
        <w:jc w:val="left"/>
      </w:pPr>
      <w:r>
        <w:rPr/>
        <w:t>-</w:t>
      </w:r>
      <w:r>
        <w:rPr>
          <w:spacing w:val="80"/>
        </w:rPr>
        <w:t> </w:t>
      </w:r>
      <w:r>
        <w:rPr/>
        <w:t>Рекомендуется</w:t>
      </w:r>
      <w:r>
        <w:rPr>
          <w:spacing w:val="80"/>
        </w:rPr>
        <w:t> </w:t>
      </w:r>
      <w:r>
        <w:rPr/>
        <w:t>проведение</w:t>
      </w:r>
      <w:r>
        <w:rPr>
          <w:spacing w:val="80"/>
        </w:rPr>
        <w:t> </w:t>
      </w:r>
      <w:r>
        <w:rPr/>
        <w:t>пренатальной</w:t>
      </w:r>
      <w:r>
        <w:rPr>
          <w:spacing w:val="80"/>
        </w:rPr>
        <w:t> </w:t>
      </w:r>
      <w:r>
        <w:rPr/>
        <w:t>диагностики</w:t>
      </w:r>
      <w:r>
        <w:rPr>
          <w:spacing w:val="80"/>
        </w:rPr>
        <w:t> </w:t>
      </w:r>
      <w:r>
        <w:rPr/>
        <w:t>для</w:t>
      </w:r>
      <w:r>
        <w:rPr>
          <w:spacing w:val="80"/>
        </w:rPr>
        <w:t> </w:t>
      </w:r>
      <w:r>
        <w:rPr/>
        <w:t>любой</w:t>
      </w:r>
      <w:r>
        <w:rPr>
          <w:spacing w:val="80"/>
        </w:rPr>
        <w:t> </w:t>
      </w:r>
      <w:r>
        <w:rPr/>
        <w:t>последующей беременности</w:t>
      </w:r>
      <w:r>
        <w:rPr>
          <w:spacing w:val="-2"/>
        </w:rPr>
        <w:t> </w:t>
      </w:r>
      <w:r>
        <w:rPr/>
        <w:t>в</w:t>
      </w:r>
      <w:r>
        <w:rPr>
          <w:spacing w:val="1"/>
        </w:rPr>
        <w:t> </w:t>
      </w:r>
      <w:r>
        <w:rPr/>
        <w:t>семьях, отягощенных</w:t>
      </w:r>
      <w:r>
        <w:rPr>
          <w:spacing w:val="-1"/>
        </w:rPr>
        <w:t> </w:t>
      </w:r>
      <w:r>
        <w:rPr/>
        <w:t>хотя</w:t>
      </w:r>
      <w:r>
        <w:rPr>
          <w:spacing w:val="-2"/>
        </w:rPr>
        <w:t> </w:t>
      </w:r>
      <w:r>
        <w:rPr/>
        <w:t>бы</w:t>
      </w:r>
      <w:r>
        <w:rPr>
          <w:spacing w:val="-4"/>
        </w:rPr>
        <w:t> </w:t>
      </w:r>
      <w:r>
        <w:rPr/>
        <w:t>одним случаем</w:t>
      </w:r>
      <w:r>
        <w:rPr>
          <w:spacing w:val="4"/>
        </w:rPr>
        <w:t> </w:t>
      </w:r>
      <w:r>
        <w:rPr/>
        <w:t>ДЛКЛ</w:t>
      </w:r>
      <w:r>
        <w:rPr>
          <w:spacing w:val="3"/>
        </w:rPr>
        <w:t> </w:t>
      </w:r>
      <w:r>
        <w:rPr/>
        <w:t>(БВ,</w:t>
      </w:r>
      <w:r>
        <w:rPr>
          <w:spacing w:val="1"/>
        </w:rPr>
        <w:t> </w:t>
      </w:r>
      <w:r>
        <w:rPr/>
        <w:t>БНЭХ),</w:t>
      </w:r>
      <w:r>
        <w:rPr>
          <w:spacing w:val="-4"/>
        </w:rPr>
        <w:t> </w:t>
      </w:r>
      <w:r>
        <w:rPr/>
        <w:t>но</w:t>
      </w:r>
      <w:r>
        <w:rPr>
          <w:spacing w:val="2"/>
        </w:rPr>
        <w:t> </w:t>
      </w:r>
      <w:r>
        <w:rPr/>
        <w:t>в</w:t>
      </w:r>
      <w:r>
        <w:rPr>
          <w:spacing w:val="1"/>
        </w:rPr>
        <w:t> </w:t>
      </w:r>
      <w:r>
        <w:rPr>
          <w:spacing w:val="-2"/>
        </w:rPr>
        <w:t>случае</w:t>
      </w:r>
    </w:p>
    <w:p>
      <w:pPr>
        <w:spacing w:after="0" w:line="237" w:lineRule="auto"/>
        <w:jc w:val="left"/>
        <w:sectPr>
          <w:pgSz w:w="11910" w:h="16840"/>
          <w:pgMar w:header="572" w:footer="1177" w:top="1320" w:bottom="1360" w:left="1560" w:right="420"/>
        </w:sectPr>
      </w:pPr>
    </w:p>
    <w:p>
      <w:pPr>
        <w:pStyle w:val="BodyText"/>
        <w:spacing w:line="242" w:lineRule="auto" w:before="80"/>
        <w:ind w:right="146"/>
      </w:pPr>
      <w:r>
        <w:rPr/>
        <w:t>легких форм болезни, решение о ее проведении должно быть принято после подробного обсуждения с семьей всех рисков </w:t>
      </w:r>
      <w:hyperlink w:history="true" w:anchor="_bookmark14">
        <w:r>
          <w:rPr>
            <w:color w:val="0000FF"/>
          </w:rPr>
          <w:t>[15]</w:t>
        </w:r>
      </w:hyperlink>
      <w:r>
        <w:rPr/>
        <w:t>.</w:t>
      </w:r>
    </w:p>
    <w:p>
      <w:pPr>
        <w:pStyle w:val="BodyText"/>
        <w:spacing w:line="271" w:lineRule="exac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2"/>
        <w:ind w:right="139" w:firstLine="538"/>
      </w:pPr>
      <w:r>
        <w:rPr/>
        <w:t>Комментарий: пренатальная диагностика проводится молекулярно-генетическими или биохимическими методами, путем исследования ДНК, выделенной из биоптата ворсин хориона на 9-11 неделе беременности и/или клеток амниотической жидкости, плодной крови на 20-22 неделе беременности.</w:t>
      </w:r>
    </w:p>
    <w:p>
      <w:pPr>
        <w:pStyle w:val="BodyText"/>
        <w:spacing w:before="4"/>
        <w:ind w:left="0"/>
        <w:jc w:val="left"/>
      </w:pPr>
    </w:p>
    <w:p>
      <w:pPr>
        <w:pStyle w:val="Heading1"/>
        <w:numPr>
          <w:ilvl w:val="1"/>
          <w:numId w:val="2"/>
        </w:numPr>
        <w:tabs>
          <w:tab w:pos="1175" w:val="left" w:leader="none"/>
        </w:tabs>
        <w:spacing w:line="240" w:lineRule="auto" w:before="0" w:after="0"/>
        <w:ind w:left="1175" w:right="0" w:hanging="493"/>
        <w:jc w:val="left"/>
      </w:pPr>
      <w:bookmarkStart w:name="5.2. Диспансерное наблюдение" w:id="44"/>
      <w:bookmarkEnd w:id="44"/>
      <w:r>
        <w:rPr>
          <w:b w:val="0"/>
        </w:rPr>
      </w:r>
      <w:r>
        <w:rPr>
          <w:spacing w:val="-2"/>
        </w:rPr>
        <w:t>Диспансерное</w:t>
      </w:r>
      <w:r>
        <w:rPr/>
        <w:t> </w:t>
      </w:r>
      <w:r>
        <w:rPr>
          <w:spacing w:val="-2"/>
        </w:rPr>
        <w:t>наблюдение</w:t>
      </w:r>
    </w:p>
    <w:p>
      <w:pPr>
        <w:pStyle w:val="ListParagraph"/>
        <w:numPr>
          <w:ilvl w:val="2"/>
          <w:numId w:val="2"/>
        </w:numPr>
        <w:tabs>
          <w:tab w:pos="1386" w:val="left" w:leader="none"/>
        </w:tabs>
        <w:spacing w:line="240" w:lineRule="auto" w:before="279" w:after="0"/>
        <w:ind w:left="1386" w:right="0" w:hanging="704"/>
        <w:jc w:val="left"/>
        <w:rPr>
          <w:b/>
          <w:sz w:val="28"/>
        </w:rPr>
      </w:pPr>
      <w:bookmarkStart w:name="5.2.1. Диспансерное наблюдение у пациент" w:id="45"/>
      <w:bookmarkEnd w:id="45"/>
      <w:r>
        <w:rPr/>
      </w:r>
      <w:r>
        <w:rPr>
          <w:b/>
          <w:sz w:val="28"/>
        </w:rPr>
        <w:t>Диспансерное</w:t>
      </w:r>
      <w:r>
        <w:rPr>
          <w:b/>
          <w:spacing w:val="-10"/>
          <w:sz w:val="28"/>
        </w:rPr>
        <w:t> </w:t>
      </w:r>
      <w:r>
        <w:rPr>
          <w:b/>
          <w:sz w:val="28"/>
        </w:rPr>
        <w:t>наблюдение</w:t>
      </w:r>
      <w:r>
        <w:rPr>
          <w:b/>
          <w:spacing w:val="-9"/>
          <w:sz w:val="28"/>
        </w:rPr>
        <w:t> </w:t>
      </w:r>
      <w:r>
        <w:rPr>
          <w:b/>
          <w:sz w:val="28"/>
        </w:rPr>
        <w:t>у</w:t>
      </w:r>
      <w:r>
        <w:rPr>
          <w:b/>
          <w:spacing w:val="-10"/>
          <w:sz w:val="28"/>
        </w:rPr>
        <w:t> </w:t>
      </w:r>
      <w:r>
        <w:rPr>
          <w:b/>
          <w:sz w:val="28"/>
        </w:rPr>
        <w:t>пациентов</w:t>
      </w:r>
      <w:r>
        <w:rPr>
          <w:b/>
          <w:spacing w:val="-11"/>
          <w:sz w:val="28"/>
        </w:rPr>
        <w:t> </w:t>
      </w:r>
      <w:r>
        <w:rPr>
          <w:b/>
          <w:sz w:val="28"/>
        </w:rPr>
        <w:t>с</w:t>
      </w:r>
      <w:r>
        <w:rPr>
          <w:b/>
          <w:spacing w:val="-9"/>
          <w:sz w:val="28"/>
        </w:rPr>
        <w:t> </w:t>
      </w:r>
      <w:r>
        <w:rPr>
          <w:b/>
          <w:spacing w:val="-5"/>
          <w:sz w:val="28"/>
        </w:rPr>
        <w:t>БВ</w:t>
      </w:r>
    </w:p>
    <w:p>
      <w:pPr>
        <w:pStyle w:val="ListParagraph"/>
        <w:numPr>
          <w:ilvl w:val="3"/>
          <w:numId w:val="2"/>
        </w:numPr>
        <w:tabs>
          <w:tab w:pos="915" w:val="left" w:leader="none"/>
        </w:tabs>
        <w:spacing w:line="240" w:lineRule="auto" w:before="233" w:after="0"/>
        <w:ind w:left="139" w:right="145" w:firstLine="542"/>
        <w:jc w:val="both"/>
        <w:rPr>
          <w:sz w:val="24"/>
        </w:rPr>
      </w:pPr>
      <w:r>
        <w:rPr>
          <w:sz w:val="24"/>
        </w:rPr>
        <w:t>Рекомендован анализ крови биохимический общетерапевтический (Исследование уровня холестерина липопротеинов высокой плотности, альбумина, общего билирубина, билирубина</w:t>
      </w:r>
      <w:r>
        <w:rPr>
          <w:spacing w:val="-1"/>
          <w:sz w:val="24"/>
        </w:rPr>
        <w:t> </w:t>
      </w:r>
      <w:r>
        <w:rPr>
          <w:sz w:val="24"/>
        </w:rPr>
        <w:t>связанного</w:t>
      </w:r>
      <w:r>
        <w:rPr>
          <w:spacing w:val="-3"/>
          <w:sz w:val="24"/>
        </w:rPr>
        <w:t> </w:t>
      </w:r>
      <w:r>
        <w:rPr>
          <w:sz w:val="24"/>
        </w:rPr>
        <w:t>(конъюгированного),</w:t>
      </w:r>
      <w:r>
        <w:rPr>
          <w:spacing w:val="-5"/>
          <w:sz w:val="24"/>
        </w:rPr>
        <w:t> </w:t>
      </w:r>
      <w:r>
        <w:rPr>
          <w:sz w:val="24"/>
        </w:rPr>
        <w:t>билирубина</w:t>
      </w:r>
      <w:r>
        <w:rPr>
          <w:spacing w:val="-3"/>
          <w:sz w:val="24"/>
        </w:rPr>
        <w:t> </w:t>
      </w:r>
      <w:r>
        <w:rPr>
          <w:sz w:val="24"/>
        </w:rPr>
        <w:t>свободного</w:t>
      </w:r>
      <w:r>
        <w:rPr>
          <w:spacing w:val="-6"/>
          <w:sz w:val="24"/>
        </w:rPr>
        <w:t> </w:t>
      </w:r>
      <w:r>
        <w:rPr>
          <w:sz w:val="24"/>
        </w:rPr>
        <w:t>(неконъюгированного), триглицеридов, холестерина, холестерина липопротеинов низкой плотности в крови, определение активности аспартатаминотрансферазы, аланинаминотрансферазы в крови, гамма-глютамилтрансферазы в крови) пациентам с БВ в процессе динамического</w:t>
      </w:r>
      <w:r>
        <w:rPr>
          <w:spacing w:val="40"/>
          <w:sz w:val="24"/>
        </w:rPr>
        <w:t> </w:t>
      </w:r>
      <w:r>
        <w:rPr>
          <w:sz w:val="24"/>
        </w:rPr>
        <w:t>наблюдения для определения функционального состояния печени, которая является одним</w:t>
      </w:r>
      <w:r>
        <w:rPr>
          <w:spacing w:val="80"/>
          <w:sz w:val="24"/>
        </w:rPr>
        <w:t> </w:t>
      </w:r>
      <w:r>
        <w:rPr>
          <w:sz w:val="24"/>
        </w:rPr>
        <w:t>из органов-мишеней при БВ, и выявления дислипидемии в крови. [</w:t>
      </w:r>
      <w:hyperlink w:history="true" w:anchor="_bookmark14">
        <w:r>
          <w:rPr>
            <w:color w:val="0000FF"/>
            <w:sz w:val="24"/>
          </w:rPr>
          <w:t>15</w:t>
        </w:r>
      </w:hyperlink>
      <w:r>
        <w:rPr>
          <w:sz w:val="24"/>
        </w:rPr>
        <w:t>, </w:t>
      </w:r>
      <w:hyperlink w:history="true" w:anchor="_bookmark15">
        <w:r>
          <w:rPr>
            <w:color w:val="0000FF"/>
            <w:sz w:val="24"/>
          </w:rPr>
          <w:t>16</w:t>
        </w:r>
      </w:hyperlink>
      <w:r>
        <w:rPr>
          <w:sz w:val="24"/>
        </w:rPr>
        <w:t>].</w:t>
      </w:r>
    </w:p>
    <w:p>
      <w:pPr>
        <w:pStyle w:val="BodyText"/>
        <w:spacing w:line="275" w:lineRule="exact" w:before="1"/>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43" w:firstLine="538"/>
      </w:pPr>
      <w:r>
        <w:rPr/>
        <w:t>Комментарии: для пациентов с БВ характерно значительное повышение активности трансаминаз (АЛТ, АСТ), гиперхолестеринемия, гипербилирубинемия, возможна гипертриглицеридемия; увеличение концентрации ЛПНП, у многих пациентов снижено количество ЛПВП в крови. При анализе аполипопротеинограммы у большинства пациентов выявляют повышение уровня основного аполипопротеина ЛПНП – аполипопротеина B.</w:t>
      </w:r>
    </w:p>
    <w:p>
      <w:pPr>
        <w:pStyle w:val="BodyText"/>
        <w:spacing w:before="2"/>
        <w:ind w:right="147" w:firstLine="538"/>
      </w:pPr>
      <w:r>
        <w:rPr/>
        <w:t>Учитывая крайнюю</w:t>
      </w:r>
      <w:r>
        <w:rPr>
          <w:spacing w:val="-5"/>
        </w:rPr>
        <w:t> </w:t>
      </w:r>
      <w:r>
        <w:rPr/>
        <w:t>редкость</w:t>
      </w:r>
      <w:r>
        <w:rPr>
          <w:spacing w:val="-2"/>
        </w:rPr>
        <w:t> </w:t>
      </w:r>
      <w:r>
        <w:rPr/>
        <w:t>встречаемости</w:t>
      </w:r>
      <w:r>
        <w:rPr>
          <w:spacing w:val="-1"/>
        </w:rPr>
        <w:t> </w:t>
      </w:r>
      <w:r>
        <w:rPr/>
        <w:t>БВ, ранний</w:t>
      </w:r>
      <w:r>
        <w:rPr>
          <w:spacing w:val="-2"/>
        </w:rPr>
        <w:t> </w:t>
      </w:r>
      <w:r>
        <w:rPr/>
        <w:t>дебют, позднюю диагностику</w:t>
      </w:r>
      <w:r>
        <w:rPr>
          <w:spacing w:val="-8"/>
        </w:rPr>
        <w:t> </w:t>
      </w:r>
      <w:r>
        <w:rPr/>
        <w:t>и тяжелое течение болезни достоверных данных о необходимой частоте проведения исследования нет. Частота исследования анализа крови биохимического общетерапевтического диктуется состоянием пациента.</w:t>
      </w:r>
    </w:p>
    <w:p>
      <w:pPr>
        <w:pStyle w:val="BodyText"/>
        <w:ind w:right="136" w:firstLine="538"/>
      </w:pPr>
      <w:r>
        <w:rPr/>
        <w:t>В динамике проводят определение активности аланинаминотрансферазы, аспартатаминотрансферазы в крови, исследование уровня общего билирубина, билирубина связанного (конъюгированного), холестерина, холестерина липопротеинов низкой</w:t>
      </w:r>
      <w:r>
        <w:rPr>
          <w:spacing w:val="40"/>
        </w:rPr>
        <w:t> </w:t>
      </w:r>
      <w:r>
        <w:rPr/>
        <w:t>плотности, холестерина липопротеинов высокой плотности, триглицеридов в крови (не</w:t>
      </w:r>
      <w:r>
        <w:rPr>
          <w:spacing w:val="80"/>
        </w:rPr>
        <w:t> </w:t>
      </w:r>
      <w:r>
        <w:rPr/>
        <w:t>менее 1 раза в месяц).</w:t>
      </w:r>
    </w:p>
    <w:p>
      <w:pPr>
        <w:pStyle w:val="ListParagraph"/>
        <w:numPr>
          <w:ilvl w:val="3"/>
          <w:numId w:val="2"/>
        </w:numPr>
        <w:tabs>
          <w:tab w:pos="944" w:val="left" w:leader="none"/>
        </w:tabs>
        <w:spacing w:line="240" w:lineRule="auto" w:before="239" w:after="0"/>
        <w:ind w:left="139" w:right="144" w:firstLine="542"/>
        <w:jc w:val="both"/>
        <w:rPr>
          <w:sz w:val="24"/>
        </w:rPr>
      </w:pPr>
      <w:r>
        <w:rPr>
          <w:sz w:val="24"/>
        </w:rPr>
        <w:t>Рекомендуется всем пациентам с БВ в динамике проведение коагулограммы (ориентировочного исследования системы гемостаза), определение протромбинового (тромбопластинового) времени в крови или в плазме, международного нормализованного отношения (МНО), активированного частичного тромбопластинового времени (АЧТВ) с целью своевременного выявления нарушений гемостаза. [</w:t>
      </w:r>
      <w:hyperlink w:history="true" w:anchor="_bookmark9">
        <w:r>
          <w:rPr>
            <w:color w:val="0000FF"/>
            <w:sz w:val="24"/>
          </w:rPr>
          <w:t>10</w:t>
        </w:r>
        <w:r>
          <w:rPr>
            <w:sz w:val="24"/>
          </w:rPr>
          <w:t>,</w:t>
        </w:r>
      </w:hyperlink>
      <w:r>
        <w:rPr>
          <w:sz w:val="24"/>
        </w:rPr>
        <w:t> </w:t>
      </w:r>
      <w:hyperlink w:history="true" w:anchor="_bookmark29">
        <w:r>
          <w:rPr>
            <w:color w:val="0000FF"/>
            <w:sz w:val="24"/>
          </w:rPr>
          <w:t>37</w:t>
        </w:r>
      </w:hyperlink>
      <w:r>
        <w:rPr>
          <w:sz w:val="24"/>
        </w:rPr>
        <w:t>, </w:t>
      </w:r>
      <w:hyperlink w:history="true" w:anchor="_bookmark37">
        <w:r>
          <w:rPr>
            <w:color w:val="0000FF"/>
            <w:sz w:val="24"/>
          </w:rPr>
          <w:t>45</w:t>
        </w:r>
      </w:hyperlink>
      <w:r>
        <w:rPr>
          <w:sz w:val="24"/>
        </w:rPr>
        <w:t>].</w:t>
      </w:r>
    </w:p>
    <w:p>
      <w:pPr>
        <w:pStyle w:val="BodyText"/>
        <w:spacing w:line="237" w:lineRule="auto" w:before="5"/>
        <w:ind w:left="677" w:right="153"/>
      </w:pPr>
      <w:r>
        <w:rPr/>
        <w:t>Уровень убедительности рекомендации </w:t>
      </w:r>
      <w:hyperlink w:history="true" w:anchor="_bookmark45">
        <w:r>
          <w:rPr>
            <w:color w:val="0000FF"/>
          </w:rPr>
          <w:t>C</w:t>
        </w:r>
      </w:hyperlink>
      <w:r>
        <w:rPr>
          <w:color w:val="0000FF"/>
        </w:rPr>
        <w:t> </w:t>
      </w:r>
      <w:r>
        <w:rPr/>
        <w:t>(уровень достоверности доказательств – 4) Комментарий:</w:t>
      </w:r>
      <w:r>
        <w:rPr>
          <w:spacing w:val="40"/>
        </w:rPr>
        <w:t> </w:t>
      </w:r>
      <w:r>
        <w:rPr/>
        <w:t>при</w:t>
      </w:r>
      <w:r>
        <w:rPr>
          <w:spacing w:val="40"/>
        </w:rPr>
        <w:t> </w:t>
      </w:r>
      <w:r>
        <w:rPr/>
        <w:t>необходимости</w:t>
      </w:r>
      <w:r>
        <w:rPr>
          <w:spacing w:val="65"/>
        </w:rPr>
        <w:t> </w:t>
      </w:r>
      <w:r>
        <w:rPr/>
        <w:t>так</w:t>
      </w:r>
      <w:r>
        <w:rPr>
          <w:spacing w:val="40"/>
        </w:rPr>
        <w:t> </w:t>
      </w:r>
      <w:r>
        <w:rPr/>
        <w:t>же</w:t>
      </w:r>
      <w:r>
        <w:rPr>
          <w:spacing w:val="40"/>
        </w:rPr>
        <w:t> </w:t>
      </w:r>
      <w:r>
        <w:rPr/>
        <w:t>определяют</w:t>
      </w:r>
      <w:r>
        <w:rPr>
          <w:spacing w:val="65"/>
        </w:rPr>
        <w:t> </w:t>
      </w:r>
      <w:r>
        <w:rPr/>
        <w:t>тромбиновое</w:t>
      </w:r>
      <w:r>
        <w:rPr>
          <w:spacing w:val="63"/>
        </w:rPr>
        <w:t> </w:t>
      </w:r>
      <w:r>
        <w:rPr/>
        <w:t>время</w:t>
      </w:r>
      <w:r>
        <w:rPr>
          <w:spacing w:val="40"/>
        </w:rPr>
        <w:t> </w:t>
      </w:r>
      <w:r>
        <w:rPr/>
        <w:t>в</w:t>
      </w:r>
      <w:r>
        <w:rPr>
          <w:spacing w:val="66"/>
        </w:rPr>
        <w:t> </w:t>
      </w:r>
      <w:r>
        <w:rPr/>
        <w:t>крови,</w:t>
      </w:r>
    </w:p>
    <w:p>
      <w:pPr>
        <w:pStyle w:val="BodyText"/>
        <w:spacing w:before="3"/>
        <w:ind w:right="139"/>
      </w:pPr>
      <w:r>
        <w:rPr/>
        <w:t>исследование уровня фибриногена в крови. Данные показатели позволяют контролировать синтетическую функцию печени,</w:t>
      </w:r>
      <w:r>
        <w:rPr>
          <w:spacing w:val="-1"/>
        </w:rPr>
        <w:t> </w:t>
      </w:r>
      <w:r>
        <w:rPr/>
        <w:t>выявлять</w:t>
      </w:r>
      <w:r>
        <w:rPr>
          <w:spacing w:val="-2"/>
        </w:rPr>
        <w:t> </w:t>
      </w:r>
      <w:r>
        <w:rPr/>
        <w:t>синдром</w:t>
      </w:r>
      <w:r>
        <w:rPr>
          <w:spacing w:val="-2"/>
        </w:rPr>
        <w:t> </w:t>
      </w:r>
      <w:r>
        <w:rPr/>
        <w:t>печеночно-клеточной</w:t>
      </w:r>
      <w:r>
        <w:rPr>
          <w:spacing w:val="-2"/>
        </w:rPr>
        <w:t> </w:t>
      </w:r>
      <w:r>
        <w:rPr/>
        <w:t>недостаточности</w:t>
      </w:r>
      <w:r>
        <w:rPr>
          <w:spacing w:val="-1"/>
        </w:rPr>
        <w:t> </w:t>
      </w:r>
      <w:r>
        <w:rPr/>
        <w:t>и своевременно предупреждать осложнения, связанные с нарушением гемостаза </w:t>
      </w:r>
      <w:hyperlink w:history="true" w:anchor="_bookmark41">
        <w:r>
          <w:rPr>
            <w:color w:val="0000FF"/>
          </w:rPr>
          <w:t>[49]</w:t>
        </w:r>
      </w:hyperlink>
      <w:r>
        <w:rPr/>
        <w:t>.</w:t>
      </w:r>
    </w:p>
    <w:p>
      <w:pPr>
        <w:pStyle w:val="ListParagraph"/>
        <w:numPr>
          <w:ilvl w:val="3"/>
          <w:numId w:val="2"/>
        </w:numPr>
        <w:tabs>
          <w:tab w:pos="867" w:val="left" w:leader="none"/>
        </w:tabs>
        <w:spacing w:line="240" w:lineRule="auto" w:before="238" w:after="0"/>
        <w:ind w:left="139" w:right="146" w:firstLine="542"/>
        <w:jc w:val="both"/>
        <w:rPr>
          <w:sz w:val="24"/>
        </w:rPr>
      </w:pPr>
      <w:r>
        <w:rPr>
          <w:sz w:val="24"/>
        </w:rPr>
        <w:t>Рекомендовано проведение ультразвукового исследования (УЗИ) брюшной полости (Ультразвуковое исследование органов брюшной полости (комплексное)) и забрюшинного пространства</w:t>
      </w:r>
      <w:r>
        <w:rPr>
          <w:spacing w:val="40"/>
          <w:sz w:val="24"/>
        </w:rPr>
        <w:t> </w:t>
      </w:r>
      <w:r>
        <w:rPr>
          <w:sz w:val="24"/>
        </w:rPr>
        <w:t>(в</w:t>
      </w:r>
      <w:r>
        <w:rPr>
          <w:spacing w:val="40"/>
          <w:sz w:val="24"/>
        </w:rPr>
        <w:t> </w:t>
      </w:r>
      <w:r>
        <w:rPr>
          <w:sz w:val="24"/>
        </w:rPr>
        <w:t>т.ч.,</w:t>
      </w:r>
      <w:r>
        <w:rPr>
          <w:spacing w:val="40"/>
          <w:sz w:val="24"/>
        </w:rPr>
        <w:t> </w:t>
      </w:r>
      <w:r>
        <w:rPr>
          <w:sz w:val="24"/>
        </w:rPr>
        <w:t>Ультразвуковое</w:t>
      </w:r>
      <w:r>
        <w:rPr>
          <w:spacing w:val="40"/>
          <w:sz w:val="24"/>
        </w:rPr>
        <w:t> </w:t>
      </w:r>
      <w:r>
        <w:rPr>
          <w:sz w:val="24"/>
        </w:rPr>
        <w:t>исследование</w:t>
      </w:r>
      <w:r>
        <w:rPr>
          <w:spacing w:val="40"/>
          <w:sz w:val="24"/>
        </w:rPr>
        <w:t> </w:t>
      </w:r>
      <w:r>
        <w:rPr>
          <w:sz w:val="24"/>
        </w:rPr>
        <w:t>надпочечников),</w:t>
      </w:r>
      <w:r>
        <w:rPr>
          <w:spacing w:val="40"/>
          <w:sz w:val="24"/>
        </w:rPr>
        <w:t> </w:t>
      </w:r>
      <w:r>
        <w:rPr>
          <w:sz w:val="24"/>
        </w:rPr>
        <w:t>а</w:t>
      </w:r>
      <w:r>
        <w:rPr>
          <w:spacing w:val="40"/>
          <w:sz w:val="24"/>
        </w:rPr>
        <w:t> </w:t>
      </w:r>
      <w:r>
        <w:rPr>
          <w:sz w:val="24"/>
        </w:rPr>
        <w:t>также</w:t>
      </w:r>
      <w:r>
        <w:rPr>
          <w:spacing w:val="40"/>
          <w:sz w:val="24"/>
        </w:rPr>
        <w:t> </w:t>
      </w:r>
      <w:r>
        <w:rPr>
          <w:sz w:val="24"/>
        </w:rPr>
        <w:t>Дуплексное</w:t>
      </w:r>
    </w:p>
    <w:p>
      <w:pPr>
        <w:spacing w:after="0" w:line="240" w:lineRule="auto"/>
        <w:jc w:val="both"/>
        <w:rPr>
          <w:sz w:val="24"/>
        </w:rPr>
        <w:sectPr>
          <w:pgSz w:w="11910" w:h="16840"/>
          <w:pgMar w:header="572" w:footer="1177" w:top="1320" w:bottom="1360" w:left="1560" w:right="420"/>
        </w:sectPr>
      </w:pPr>
    </w:p>
    <w:p>
      <w:pPr>
        <w:pStyle w:val="BodyText"/>
        <w:spacing w:before="80"/>
        <w:ind w:right="148"/>
      </w:pPr>
      <w:r>
        <w:rPr/>
        <w:t>сканирование сосудов печени (Дуплексное сканирование сосудов гепатобилиарной зоны), Дуплексное сканирование сосудов селезенки всем пациентам с БВ с целью контроля состояния внутренних органов </w:t>
      </w:r>
      <w:hyperlink w:history="true" w:anchor="_bookmark2">
        <w:r>
          <w:rPr>
            <w:color w:val="0000FF"/>
          </w:rPr>
          <w:t>[2</w:t>
        </w:r>
      </w:hyperlink>
      <w:r>
        <w:rPr/>
        <w:t>, </w:t>
      </w:r>
      <w:hyperlink w:history="true" w:anchor="_bookmark8">
        <w:r>
          <w:rPr>
            <w:color w:val="0000FF"/>
          </w:rPr>
          <w:t>9</w:t>
        </w:r>
      </w:hyperlink>
      <w:r>
        <w:rPr/>
        <w:t>, </w:t>
      </w:r>
      <w:hyperlink w:history="true" w:anchor="_bookmark12">
        <w:r>
          <w:rPr>
            <w:color w:val="0000FF"/>
          </w:rPr>
          <w:t>13</w:t>
        </w:r>
      </w:hyperlink>
      <w:r>
        <w:rPr/>
        <w:t>, </w:t>
      </w:r>
      <w:hyperlink w:history="true" w:anchor="_bookmark14">
        <w:r>
          <w:rPr>
            <w:color w:val="0000FF"/>
          </w:rPr>
          <w:t>15</w:t>
        </w:r>
      </w:hyperlink>
      <w:r>
        <w:rPr/>
        <w:t>].</w:t>
      </w:r>
    </w:p>
    <w:p>
      <w:pPr>
        <w:pStyle w:val="BodyText"/>
        <w:spacing w:line="275" w:lineRule="exact" w:before="2"/>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49" w:firstLine="538"/>
      </w:pPr>
      <w:r>
        <w:rPr/>
        <w:t>Комментарии: УЗИ брюшной полости позволяют определить размеры печени и селезенки, определить диаметр воротной и селезеночной вен, наличие стеатоза, фиброза или цирроза печени, кальцификатов надпочечников.</w:t>
      </w:r>
    </w:p>
    <w:p>
      <w:pPr>
        <w:pStyle w:val="BodyText"/>
        <w:spacing w:before="2"/>
        <w:ind w:right="138" w:firstLine="538"/>
      </w:pPr>
      <w:r>
        <w:rPr/>
        <w:t>Частота проведения ультразвукового исследования органов брюшной полости (комплексного) и забрюшинного пространства (в т.ч., ультразвукового исследование надпочечников) диктуется состоянием пациента, но частота не менее 1 раза в месяц)</w:t>
      </w:r>
    </w:p>
    <w:p>
      <w:pPr>
        <w:pStyle w:val="ListParagraph"/>
        <w:numPr>
          <w:ilvl w:val="3"/>
          <w:numId w:val="2"/>
        </w:numPr>
        <w:tabs>
          <w:tab w:pos="896" w:val="left" w:leader="none"/>
        </w:tabs>
        <w:spacing w:line="240" w:lineRule="auto" w:before="238" w:after="0"/>
        <w:ind w:left="139" w:right="147" w:firstLine="542"/>
        <w:jc w:val="both"/>
        <w:rPr>
          <w:sz w:val="24"/>
        </w:rPr>
      </w:pPr>
      <w:r>
        <w:rPr>
          <w:sz w:val="24"/>
        </w:rPr>
        <w:t>Рекомендовано пациентам с БВ при наличии признаков портальной гипертензии проведение эзофагогастродуоденоскопии (ЭГДС) для оценки состояния вен пищевода и желудка </w:t>
      </w:r>
      <w:hyperlink w:history="true" w:anchor="_bookmark14">
        <w:r>
          <w:rPr>
            <w:color w:val="0000FF"/>
            <w:sz w:val="24"/>
          </w:rPr>
          <w:t>[15]</w:t>
        </w:r>
      </w:hyperlink>
      <w:r>
        <w:rPr>
          <w:sz w:val="24"/>
        </w:rPr>
        <w:t>.</w:t>
      </w:r>
    </w:p>
    <w:p>
      <w:pPr>
        <w:pStyle w:val="BodyText"/>
        <w:spacing w:line="275" w:lineRule="exact" w:before="2"/>
        <w:ind w:left="677"/>
      </w:pPr>
      <w:r>
        <w:rPr/>
        <w:t>Уровень</w:t>
      </w:r>
      <w:r>
        <w:rPr>
          <w:spacing w:val="-10"/>
        </w:rPr>
        <w:t> </w:t>
      </w:r>
      <w:r>
        <w:rPr/>
        <w:t>убедительности</w:t>
      </w:r>
      <w:r>
        <w:rPr>
          <w:spacing w:val="-3"/>
        </w:rPr>
        <w:t> </w:t>
      </w:r>
      <w:r>
        <w:rPr/>
        <w:t>рекомендации</w:t>
      </w:r>
      <w:r>
        <w:rPr>
          <w:spacing w:val="-3"/>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3"/>
        </w:rPr>
        <w:t> </w:t>
      </w:r>
      <w:r>
        <w:rPr/>
        <w:t>–</w:t>
      </w:r>
      <w:r>
        <w:rPr>
          <w:spacing w:val="-2"/>
        </w:rPr>
        <w:t> </w:t>
      </w:r>
      <w:r>
        <w:rPr>
          <w:spacing w:val="-5"/>
        </w:rPr>
        <w:t>5).</w:t>
      </w:r>
    </w:p>
    <w:p>
      <w:pPr>
        <w:pStyle w:val="BodyText"/>
        <w:ind w:right="148" w:firstLine="538"/>
      </w:pPr>
      <w:r>
        <w:rPr/>
        <w:t>Комментарии: проведение ЭГДС у пациентов с фиброзом печени, признаками портальной гипертензии необходимо для оценки степени варикозного расширения вен пищевода и угрозы кровотечения.</w:t>
      </w:r>
    </w:p>
    <w:p>
      <w:pPr>
        <w:pStyle w:val="ListParagraph"/>
        <w:numPr>
          <w:ilvl w:val="3"/>
          <w:numId w:val="2"/>
        </w:numPr>
        <w:tabs>
          <w:tab w:pos="1001" w:val="left" w:leader="none"/>
        </w:tabs>
        <w:spacing w:line="240" w:lineRule="auto" w:before="242" w:after="0"/>
        <w:ind w:left="139" w:right="140" w:firstLine="542"/>
        <w:jc w:val="both"/>
        <w:rPr>
          <w:sz w:val="24"/>
        </w:rPr>
      </w:pPr>
      <w:r>
        <w:rPr>
          <w:sz w:val="24"/>
        </w:rPr>
        <w:t>Рекомендуется в ведении пациентов с БВ на всех этапах использовать мультидисциплинарный подход ввиду того, что заболевание характеризуется поражением многих органов и систем, требует комплексной терапии, что диктует необходимость совместного ведения пациента специалистами разных профилей [</w:t>
      </w:r>
      <w:hyperlink w:history="true" w:anchor="_bookmark31">
        <w:r>
          <w:rPr>
            <w:color w:val="0000FF"/>
            <w:sz w:val="24"/>
          </w:rPr>
          <w:t>39</w:t>
        </w:r>
      </w:hyperlink>
      <w:r>
        <w:rPr>
          <w:sz w:val="24"/>
        </w:rPr>
        <w:t>, </w:t>
      </w:r>
      <w:hyperlink w:history="true" w:anchor="_bookmark34">
        <w:r>
          <w:rPr>
            <w:color w:val="0000FF"/>
            <w:sz w:val="24"/>
          </w:rPr>
          <w:t>42</w:t>
        </w:r>
      </w:hyperlink>
      <w:r>
        <w:rPr>
          <w:sz w:val="24"/>
        </w:rPr>
        <w:t>, </w:t>
      </w:r>
      <w:hyperlink w:history="true" w:anchor="_bookmark14">
        <w:r>
          <w:rPr>
            <w:color w:val="0000FF"/>
            <w:sz w:val="24"/>
          </w:rPr>
          <w:t>15</w:t>
        </w:r>
      </w:hyperlink>
      <w:r>
        <w:rPr>
          <w:sz w:val="24"/>
        </w:rPr>
        <w:t>].</w:t>
      </w:r>
    </w:p>
    <w:p>
      <w:pPr>
        <w:pStyle w:val="BodyText"/>
        <w:spacing w:line="275" w:lineRule="exact"/>
        <w:ind w:left="677"/>
      </w:pPr>
      <w:r>
        <w:rPr/>
        <w:t>Уровень</w:t>
      </w:r>
      <w:r>
        <w:rPr>
          <w:spacing w:val="-10"/>
        </w:rPr>
        <w:t> </w:t>
      </w:r>
      <w:r>
        <w:rPr/>
        <w:t>убедительности рекомендации</w:t>
      </w:r>
      <w:r>
        <w:rPr>
          <w:spacing w:val="-6"/>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38" w:firstLine="538"/>
      </w:pPr>
      <w:r>
        <w:rPr/>
        <w:t>Комментарий: пациентов с БВ наблюдает врач-гастроэнтеролог и/или врач-педиатр (не реже 1 раза в месяц), а также врач-генетик, необходима консультация врача-диетолога с целью назначения низкожировой диеты, коррекции мальабсорбции (подбор специализированной диеты с ограничением животных жиров, а в ряде ситуаций и парентерального питания.) [</w:t>
      </w:r>
      <w:hyperlink w:history="true" w:anchor="_bookmark2">
        <w:r>
          <w:rPr>
            <w:color w:val="0000FF"/>
          </w:rPr>
          <w:t>2</w:t>
        </w:r>
      </w:hyperlink>
      <w:r>
        <w:rPr/>
        <w:t>, </w:t>
      </w:r>
      <w:hyperlink w:history="true" w:anchor="_bookmark14">
        <w:r>
          <w:rPr>
            <w:color w:val="0000FF"/>
          </w:rPr>
          <w:t>15</w:t>
        </w:r>
      </w:hyperlink>
      <w:r>
        <w:rPr/>
        <w:t>], консультация врача-кардиолога детского с целью оценки нарушений сердечно-сосудистой системы и терапии [</w:t>
      </w:r>
      <w:hyperlink w:history="true" w:anchor="_bookmark2">
        <w:r>
          <w:rPr>
            <w:color w:val="0000FF"/>
          </w:rPr>
          <w:t>2</w:t>
        </w:r>
      </w:hyperlink>
      <w:r>
        <w:rPr/>
        <w:t>, </w:t>
      </w:r>
      <w:hyperlink w:history="true" w:anchor="_bookmark12">
        <w:r>
          <w:rPr>
            <w:color w:val="0000FF"/>
          </w:rPr>
          <w:t>13</w:t>
        </w:r>
      </w:hyperlink>
      <w:r>
        <w:rPr/>
        <w:t>, </w:t>
      </w:r>
      <w:hyperlink w:history="true" w:anchor="_bookmark14">
        <w:r>
          <w:rPr>
            <w:color w:val="0000FF"/>
          </w:rPr>
          <w:t>15</w:t>
        </w:r>
      </w:hyperlink>
      <w:r>
        <w:rPr/>
        <w:t>, </w:t>
      </w:r>
      <w:hyperlink w:history="true" w:anchor="_bookmark19">
        <w:r>
          <w:rPr>
            <w:color w:val="0000FF"/>
          </w:rPr>
          <w:t>20</w:t>
        </w:r>
      </w:hyperlink>
      <w:r>
        <w:rPr/>
        <w:t>, </w:t>
      </w:r>
      <w:hyperlink w:history="true" w:anchor="_bookmark22">
        <w:r>
          <w:rPr>
            <w:color w:val="0000FF"/>
          </w:rPr>
          <w:t>26</w:t>
        </w:r>
      </w:hyperlink>
      <w:r>
        <w:rPr/>
        <w:t>], врача – невролога с целью оценки нарушений нервной системы </w:t>
      </w:r>
      <w:hyperlink w:history="true" w:anchor="_bookmark13">
        <w:r>
          <w:rPr>
            <w:color w:val="0000FF"/>
          </w:rPr>
          <w:t>[14]</w:t>
        </w:r>
      </w:hyperlink>
      <w:r>
        <w:rPr/>
        <w:t>, консультация врача-трансплантолога при наличии показаний для проведения трансплантации печени. В жизнеугрожающих</w:t>
      </w:r>
      <w:r>
        <w:rPr>
          <w:spacing w:val="80"/>
        </w:rPr>
        <w:t> </w:t>
      </w:r>
      <w:r>
        <w:rPr/>
        <w:t>состояниях необходимо участие врача-анестезиолога-реаниматолога.</w:t>
      </w:r>
    </w:p>
    <w:p>
      <w:pPr>
        <w:pStyle w:val="BodyText"/>
        <w:spacing w:before="6"/>
        <w:ind w:left="0"/>
        <w:jc w:val="left"/>
      </w:pPr>
    </w:p>
    <w:p>
      <w:pPr>
        <w:pStyle w:val="Heading1"/>
        <w:numPr>
          <w:ilvl w:val="2"/>
          <w:numId w:val="2"/>
        </w:numPr>
        <w:tabs>
          <w:tab w:pos="1386" w:val="left" w:leader="none"/>
        </w:tabs>
        <w:spacing w:line="240" w:lineRule="auto" w:before="0" w:after="0"/>
        <w:ind w:left="1386" w:right="0" w:hanging="704"/>
        <w:jc w:val="left"/>
      </w:pPr>
      <w:bookmarkStart w:name="5.2.2. Диспансерное наблюдение у пациент" w:id="46"/>
      <w:bookmarkEnd w:id="46"/>
      <w:r>
        <w:rPr>
          <w:b w:val="0"/>
        </w:rPr>
      </w:r>
      <w:r>
        <w:rPr/>
        <w:t>Диспансерное</w:t>
      </w:r>
      <w:r>
        <w:rPr>
          <w:spacing w:val="-10"/>
        </w:rPr>
        <w:t> </w:t>
      </w:r>
      <w:r>
        <w:rPr/>
        <w:t>наблюдение</w:t>
      </w:r>
      <w:r>
        <w:rPr>
          <w:spacing w:val="-9"/>
        </w:rPr>
        <w:t> </w:t>
      </w:r>
      <w:r>
        <w:rPr/>
        <w:t>у</w:t>
      </w:r>
      <w:r>
        <w:rPr>
          <w:spacing w:val="-10"/>
        </w:rPr>
        <w:t> </w:t>
      </w:r>
      <w:r>
        <w:rPr/>
        <w:t>пациентов</w:t>
      </w:r>
      <w:r>
        <w:rPr>
          <w:spacing w:val="-11"/>
        </w:rPr>
        <w:t> </w:t>
      </w:r>
      <w:r>
        <w:rPr/>
        <w:t>с</w:t>
      </w:r>
      <w:r>
        <w:rPr>
          <w:spacing w:val="-9"/>
        </w:rPr>
        <w:t> </w:t>
      </w:r>
      <w:r>
        <w:rPr>
          <w:spacing w:val="-4"/>
        </w:rPr>
        <w:t>БНЭХ</w:t>
      </w:r>
    </w:p>
    <w:p>
      <w:pPr>
        <w:pStyle w:val="ListParagraph"/>
        <w:numPr>
          <w:ilvl w:val="3"/>
          <w:numId w:val="2"/>
        </w:numPr>
        <w:tabs>
          <w:tab w:pos="852" w:val="left" w:leader="none"/>
        </w:tabs>
        <w:spacing w:line="240" w:lineRule="auto" w:before="234" w:after="0"/>
        <w:ind w:left="139" w:right="140" w:firstLine="542"/>
        <w:jc w:val="both"/>
        <w:rPr>
          <w:sz w:val="24"/>
        </w:rPr>
      </w:pPr>
      <w:r>
        <w:rPr>
          <w:sz w:val="24"/>
        </w:rPr>
        <w:t>Рекомендуется проведение общего (клинического) анализа крови, развернутого всем пациентам с БНЭХ в динамике, в среднем, не реже 1 раза в 6 месяцев с целью выявления анемии, лейкопении, тромбоцитопении [</w:t>
      </w:r>
      <w:hyperlink w:history="true" w:anchor="_bookmark8">
        <w:r>
          <w:rPr>
            <w:color w:val="0000FF"/>
            <w:sz w:val="24"/>
          </w:rPr>
          <w:t>9</w:t>
        </w:r>
      </w:hyperlink>
      <w:r>
        <w:rPr>
          <w:sz w:val="24"/>
        </w:rPr>
        <w:t>, </w:t>
      </w:r>
      <w:hyperlink w:history="true" w:anchor="_bookmark12">
        <w:r>
          <w:rPr>
            <w:color w:val="0000FF"/>
            <w:sz w:val="24"/>
          </w:rPr>
          <w:t>13</w:t>
        </w:r>
      </w:hyperlink>
      <w:r>
        <w:rPr>
          <w:sz w:val="24"/>
        </w:rPr>
        <w:t>, </w:t>
      </w:r>
      <w:hyperlink w:history="true" w:anchor="_bookmark14">
        <w:r>
          <w:rPr>
            <w:color w:val="0000FF"/>
            <w:sz w:val="24"/>
          </w:rPr>
          <w:t>15</w:t>
        </w:r>
      </w:hyperlink>
      <w:r>
        <w:rPr>
          <w:sz w:val="24"/>
        </w:rPr>
        <w:t>].</w:t>
      </w:r>
    </w:p>
    <w:p>
      <w:pPr>
        <w:pStyle w:val="BodyText"/>
        <w:spacing w:line="275" w:lineRule="exact" w:before="3"/>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3"/>
        </w:rPr>
        <w:t> </w:t>
      </w:r>
      <w:r>
        <w:rPr/>
        <w:t>достоверности</w:t>
      </w:r>
      <w:r>
        <w:rPr>
          <w:spacing w:val="-3"/>
        </w:rPr>
        <w:t> </w:t>
      </w:r>
      <w:r>
        <w:rPr/>
        <w:t>доказательств</w:t>
      </w:r>
      <w:r>
        <w:rPr>
          <w:spacing w:val="-3"/>
        </w:rPr>
        <w:t> </w:t>
      </w:r>
      <w:r>
        <w:rPr/>
        <w:t>–</w:t>
      </w:r>
      <w:r>
        <w:rPr>
          <w:spacing w:val="-2"/>
        </w:rPr>
        <w:t> </w:t>
      </w:r>
      <w:r>
        <w:rPr>
          <w:spacing w:val="-5"/>
        </w:rPr>
        <w:t>5).</w:t>
      </w:r>
    </w:p>
    <w:p>
      <w:pPr>
        <w:pStyle w:val="BodyText"/>
        <w:ind w:right="142" w:firstLine="538"/>
      </w:pPr>
      <w:r>
        <w:rPr/>
        <w:t>Комментарии: В рамках общего (клинического) анализа крови развернутого необходимо: исследование уровня общего гемоглобина, эритроцитов, лейкоцитов, тромбоцитов в крови, дифференцированный подсчет лейкоцитов (лейкоцитарная формула), просмотр мазка крови для анализа аномалий морфологии эритроцитов, тромбоцитов и лейкоцитов, определение цветового показателя, определение размеров эритроцитов, исследование скорости оседания эритроцитов. Патогенетические механизмы формирования анемии и тромбоцитопении не до конца изучены. Одним из возможных</w:t>
      </w:r>
      <w:r>
        <w:rPr>
          <w:spacing w:val="-1"/>
        </w:rPr>
        <w:t> </w:t>
      </w:r>
      <w:r>
        <w:rPr/>
        <w:t>механизмов является накопление эфиров холестерина и триглицеридов в клетках макрофагально-моноцитарной системы. Кроме того, анемия может иметь как алиментарный дефицитный характер, так и являться</w:t>
      </w:r>
      <w:r>
        <w:rPr>
          <w:spacing w:val="69"/>
        </w:rPr>
        <w:t>   </w:t>
      </w:r>
      <w:r>
        <w:rPr/>
        <w:t>следствием</w:t>
      </w:r>
      <w:r>
        <w:rPr>
          <w:spacing w:val="68"/>
        </w:rPr>
        <w:t>   </w:t>
      </w:r>
      <w:r>
        <w:rPr/>
        <w:t>гиперспленизма.</w:t>
      </w:r>
      <w:r>
        <w:rPr>
          <w:spacing w:val="68"/>
        </w:rPr>
        <w:t>   </w:t>
      </w:r>
      <w:r>
        <w:rPr/>
        <w:t>Тромбоцитопения</w:t>
      </w:r>
      <w:r>
        <w:rPr>
          <w:spacing w:val="69"/>
        </w:rPr>
        <w:t>   </w:t>
      </w:r>
      <w:r>
        <w:rPr/>
        <w:t>является</w:t>
      </w:r>
      <w:r>
        <w:rPr>
          <w:spacing w:val="69"/>
        </w:rPr>
        <w:t>   </w:t>
      </w:r>
      <w:r>
        <w:rPr/>
        <w:t>следствием</w:t>
      </w:r>
    </w:p>
    <w:p>
      <w:pPr>
        <w:spacing w:after="0"/>
        <w:sectPr>
          <w:pgSz w:w="11910" w:h="16840"/>
          <w:pgMar w:header="572" w:footer="1177" w:top="1320" w:bottom="1360" w:left="1560" w:right="420"/>
        </w:sectPr>
      </w:pPr>
    </w:p>
    <w:p>
      <w:pPr>
        <w:pStyle w:val="BodyText"/>
        <w:spacing w:line="242" w:lineRule="auto" w:before="80"/>
        <w:ind w:right="159"/>
      </w:pPr>
      <w:r>
        <w:rPr/>
        <w:t>гиперспленизма при формировании портальной гипертензии, наряду с этим описаны случаи вторичного гемофагоцитарного лимфогистиоцитоза.</w:t>
      </w:r>
    </w:p>
    <w:p>
      <w:pPr>
        <w:pStyle w:val="ListParagraph"/>
        <w:numPr>
          <w:ilvl w:val="3"/>
          <w:numId w:val="2"/>
        </w:numPr>
        <w:tabs>
          <w:tab w:pos="857" w:val="left" w:leader="none"/>
        </w:tabs>
        <w:spacing w:line="240" w:lineRule="auto" w:before="234" w:after="0"/>
        <w:ind w:left="139" w:right="143" w:firstLine="542"/>
        <w:jc w:val="both"/>
        <w:rPr>
          <w:sz w:val="24"/>
        </w:rPr>
      </w:pPr>
      <w:r>
        <w:rPr>
          <w:sz w:val="24"/>
        </w:rPr>
        <w:t>Рекомендован анализ крови биохимический общетерапевтический всем пациентам с БНЭХ в процессе динамического наблюдения, в среднем, каждые 3-6 мес. для определения функционального состояния печени, которая является одним из органов-мишеней при</w:t>
      </w:r>
      <w:r>
        <w:rPr>
          <w:spacing w:val="80"/>
          <w:sz w:val="24"/>
        </w:rPr>
        <w:t> </w:t>
      </w:r>
      <w:r>
        <w:rPr>
          <w:sz w:val="24"/>
        </w:rPr>
        <w:t>ДЛКЛ, и определения дислипидемии в крови. Проводят определение активности аланинаминотрансферазы, аспартатаминотрансферазы, гамма-глютамилтрансферазы в</w:t>
      </w:r>
      <w:r>
        <w:rPr>
          <w:spacing w:val="80"/>
          <w:sz w:val="24"/>
        </w:rPr>
        <w:t> </w:t>
      </w:r>
      <w:r>
        <w:rPr>
          <w:sz w:val="24"/>
        </w:rPr>
        <w:t>крови, щелочной фосфатазы в крови, исследование уровня общего билирубина в крови, билирубина связанного (конъюгированного), холестерина в крови, холестерина липопротеинов высокой плотности, холестерина липопротеинов низкой плотности, триглицеридов в крови, альбуминов в крови. [</w:t>
      </w:r>
      <w:hyperlink w:history="true" w:anchor="_bookmark14">
        <w:r>
          <w:rPr>
            <w:color w:val="0000FF"/>
            <w:sz w:val="24"/>
          </w:rPr>
          <w:t>15</w:t>
        </w:r>
      </w:hyperlink>
      <w:r>
        <w:rPr>
          <w:sz w:val="24"/>
        </w:rPr>
        <w:t>, </w:t>
      </w:r>
      <w:hyperlink w:history="true" w:anchor="_bookmark15">
        <w:r>
          <w:rPr>
            <w:color w:val="0000FF"/>
            <w:sz w:val="24"/>
          </w:rPr>
          <w:t>16</w:t>
        </w:r>
      </w:hyperlink>
      <w:r>
        <w:rPr>
          <w:sz w:val="24"/>
        </w:rPr>
        <w:t>, </w:t>
      </w:r>
      <w:hyperlink w:history="true" w:anchor="_bookmark30">
        <w:r>
          <w:rPr>
            <w:color w:val="0000FF"/>
            <w:sz w:val="24"/>
          </w:rPr>
          <w:t>38</w:t>
        </w:r>
      </w:hyperlink>
      <w:r>
        <w:rPr>
          <w:sz w:val="24"/>
        </w:rPr>
        <w:t>].</w:t>
      </w:r>
    </w:p>
    <w:p>
      <w:pPr>
        <w:pStyle w:val="BodyText"/>
        <w:spacing w:line="275" w:lineRule="exact" w:before="4"/>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38" w:firstLine="538"/>
      </w:pPr>
      <w:r>
        <w:rPr/>
        <w:t>Комментарии: у большинства пациентов с БНЭХ выявляют повышение активности трансаминаз (АЛТ, АСТ), гиперхолестеринемию, гипертриглицеридемию; увеличение концентрации ЛПНП, у многих пациентов снижено количество ЛПВП в крови. При анализе аполипопротеинограммы выявляют повышение уровня</w:t>
      </w:r>
      <w:r>
        <w:rPr>
          <w:spacing w:val="-4"/>
        </w:rPr>
        <w:t> </w:t>
      </w:r>
      <w:r>
        <w:rPr/>
        <w:t>основного аполипопротеина ЛПНП – аполипопротеина B.</w:t>
      </w:r>
    </w:p>
    <w:p>
      <w:pPr>
        <w:pStyle w:val="ListParagraph"/>
        <w:numPr>
          <w:ilvl w:val="3"/>
          <w:numId w:val="2"/>
        </w:numPr>
        <w:tabs>
          <w:tab w:pos="900" w:val="left" w:leader="none"/>
        </w:tabs>
        <w:spacing w:line="240" w:lineRule="auto" w:before="242" w:after="0"/>
        <w:ind w:left="139" w:right="148" w:firstLine="542"/>
        <w:jc w:val="both"/>
        <w:rPr>
          <w:sz w:val="24"/>
        </w:rPr>
      </w:pPr>
      <w:r>
        <w:rPr>
          <w:sz w:val="24"/>
        </w:rPr>
        <w:t>Рекомендовано всем пациентам с БНЭХ в процессе динамического наблюдения, ежегодно, проведение коагулограммы (ориентировочного исследования системы гемостаза): определение протромбинового (тромбопластинового) времени в крови или в плазме и международного нормализованного отношения (МНО), активированного частичного тромбопластинового времени (АЧТВ) с целью своевременного выявления нарушений гемостаза [</w:t>
      </w:r>
      <w:hyperlink w:history="true" w:anchor="_bookmark9">
        <w:r>
          <w:rPr>
            <w:color w:val="0000FF"/>
            <w:sz w:val="24"/>
          </w:rPr>
          <w:t>10</w:t>
        </w:r>
      </w:hyperlink>
      <w:r>
        <w:rPr>
          <w:sz w:val="24"/>
        </w:rPr>
        <w:t>, </w:t>
      </w:r>
      <w:hyperlink w:history="true" w:anchor="_bookmark30">
        <w:r>
          <w:rPr>
            <w:color w:val="0000FF"/>
            <w:sz w:val="24"/>
          </w:rPr>
          <w:t>38</w:t>
        </w:r>
      </w:hyperlink>
      <w:r>
        <w:rPr>
          <w:sz w:val="24"/>
        </w:rPr>
        <w:t>, </w:t>
      </w:r>
      <w:hyperlink w:history="true" w:anchor="_bookmark41">
        <w:r>
          <w:rPr>
            <w:color w:val="0000FF"/>
            <w:sz w:val="24"/>
          </w:rPr>
          <w:t>49</w:t>
        </w:r>
      </w:hyperlink>
      <w:r>
        <w:rPr>
          <w:sz w:val="24"/>
        </w:rPr>
        <w:t>].</w:t>
      </w:r>
    </w:p>
    <w:p>
      <w:pPr>
        <w:pStyle w:val="BodyText"/>
        <w:spacing w:line="237" w:lineRule="auto" w:before="2"/>
        <w:ind w:left="677" w:right="153"/>
      </w:pPr>
      <w:r>
        <w:rPr/>
        <w:t>Уровень убедительности рекомендации </w:t>
      </w:r>
      <w:hyperlink w:history="true" w:anchor="_bookmark45">
        <w:r>
          <w:rPr>
            <w:color w:val="0000FF"/>
          </w:rPr>
          <w:t>C</w:t>
        </w:r>
      </w:hyperlink>
      <w:r>
        <w:rPr>
          <w:color w:val="0000FF"/>
        </w:rPr>
        <w:t> </w:t>
      </w:r>
      <w:r>
        <w:rPr/>
        <w:t>(уровень достоверности доказательств – 4) Комментарий:</w:t>
      </w:r>
      <w:r>
        <w:rPr>
          <w:spacing w:val="40"/>
        </w:rPr>
        <w:t> </w:t>
      </w:r>
      <w:r>
        <w:rPr/>
        <w:t>при</w:t>
      </w:r>
      <w:r>
        <w:rPr>
          <w:spacing w:val="40"/>
        </w:rPr>
        <w:t> </w:t>
      </w:r>
      <w:r>
        <w:rPr/>
        <w:t>необходимости</w:t>
      </w:r>
      <w:r>
        <w:rPr>
          <w:spacing w:val="65"/>
        </w:rPr>
        <w:t> </w:t>
      </w:r>
      <w:r>
        <w:rPr/>
        <w:t>так</w:t>
      </w:r>
      <w:r>
        <w:rPr>
          <w:spacing w:val="40"/>
        </w:rPr>
        <w:t> </w:t>
      </w:r>
      <w:r>
        <w:rPr/>
        <w:t>же</w:t>
      </w:r>
      <w:r>
        <w:rPr>
          <w:spacing w:val="40"/>
        </w:rPr>
        <w:t> </w:t>
      </w:r>
      <w:r>
        <w:rPr/>
        <w:t>определяют</w:t>
      </w:r>
      <w:r>
        <w:rPr>
          <w:spacing w:val="65"/>
        </w:rPr>
        <w:t> </w:t>
      </w:r>
      <w:r>
        <w:rPr/>
        <w:t>тромбиновое</w:t>
      </w:r>
      <w:r>
        <w:rPr>
          <w:spacing w:val="63"/>
        </w:rPr>
        <w:t> </w:t>
      </w:r>
      <w:r>
        <w:rPr/>
        <w:t>время</w:t>
      </w:r>
      <w:r>
        <w:rPr>
          <w:spacing w:val="40"/>
        </w:rPr>
        <w:t> </w:t>
      </w:r>
      <w:r>
        <w:rPr/>
        <w:t>в</w:t>
      </w:r>
      <w:r>
        <w:rPr>
          <w:spacing w:val="66"/>
        </w:rPr>
        <w:t> </w:t>
      </w:r>
      <w:r>
        <w:rPr/>
        <w:t>крови,</w:t>
      </w:r>
    </w:p>
    <w:p>
      <w:pPr>
        <w:pStyle w:val="BodyText"/>
        <w:spacing w:before="4"/>
        <w:ind w:right="139"/>
      </w:pPr>
      <w:r>
        <w:rPr/>
        <w:t>исследование уровня фибриногена в крови. Данные показатели позволяют контролировать синтетическую функцию печени,</w:t>
      </w:r>
      <w:r>
        <w:rPr>
          <w:spacing w:val="-1"/>
        </w:rPr>
        <w:t> </w:t>
      </w:r>
      <w:r>
        <w:rPr/>
        <w:t>выявлять</w:t>
      </w:r>
      <w:r>
        <w:rPr>
          <w:spacing w:val="-2"/>
        </w:rPr>
        <w:t> </w:t>
      </w:r>
      <w:r>
        <w:rPr/>
        <w:t>синдром</w:t>
      </w:r>
      <w:r>
        <w:rPr>
          <w:spacing w:val="-2"/>
        </w:rPr>
        <w:t> </w:t>
      </w:r>
      <w:r>
        <w:rPr/>
        <w:t>печеночно-клеточной</w:t>
      </w:r>
      <w:r>
        <w:rPr>
          <w:spacing w:val="-2"/>
        </w:rPr>
        <w:t> </w:t>
      </w:r>
      <w:r>
        <w:rPr/>
        <w:t>недостаточности</w:t>
      </w:r>
      <w:r>
        <w:rPr>
          <w:spacing w:val="-1"/>
        </w:rPr>
        <w:t> </w:t>
      </w:r>
      <w:r>
        <w:rPr/>
        <w:t>и своевременно предупреждать осложнения, связанные с нарушением гемостаза </w:t>
      </w:r>
      <w:hyperlink w:history="true" w:anchor="_bookmark41">
        <w:r>
          <w:rPr>
            <w:color w:val="0000FF"/>
          </w:rPr>
          <w:t>[49]</w:t>
        </w:r>
      </w:hyperlink>
      <w:r>
        <w:rPr/>
        <w:t>.</w:t>
      </w:r>
    </w:p>
    <w:p>
      <w:pPr>
        <w:pStyle w:val="ListParagraph"/>
        <w:numPr>
          <w:ilvl w:val="3"/>
          <w:numId w:val="2"/>
        </w:numPr>
        <w:tabs>
          <w:tab w:pos="867" w:val="left" w:leader="none"/>
        </w:tabs>
        <w:spacing w:line="240" w:lineRule="auto" w:before="238" w:after="0"/>
        <w:ind w:left="139" w:right="137" w:firstLine="542"/>
        <w:jc w:val="both"/>
        <w:rPr>
          <w:sz w:val="24"/>
        </w:rPr>
      </w:pPr>
      <w:r>
        <w:rPr>
          <w:sz w:val="24"/>
        </w:rPr>
        <w:t>Рекомендовано проведение ультразвукового исследования (УЗИ) брюшной полости (Ультразвуковое исследование органов брюшной полости (комплексное)) и забрюшинного пространства, а также Дуплексное сканирование сосудов печени (Дуплексное сканирование сосудов гепатобилиарной зоны), Дуплексное сканирование сосудов селезенки всем пациентам с БНЭХ</w:t>
      </w:r>
      <w:r>
        <w:rPr>
          <w:spacing w:val="-1"/>
          <w:sz w:val="24"/>
        </w:rPr>
        <w:t> </w:t>
      </w:r>
      <w:r>
        <w:rPr>
          <w:sz w:val="24"/>
        </w:rPr>
        <w:t>с целью</w:t>
      </w:r>
      <w:r>
        <w:rPr>
          <w:spacing w:val="-2"/>
          <w:sz w:val="24"/>
        </w:rPr>
        <w:t> </w:t>
      </w:r>
      <w:r>
        <w:rPr>
          <w:sz w:val="24"/>
        </w:rPr>
        <w:t>динамического контроля состояния внутренних органов [</w:t>
      </w:r>
      <w:hyperlink w:history="true" w:anchor="_bookmark2">
        <w:r>
          <w:rPr>
            <w:color w:val="0000FF"/>
            <w:sz w:val="24"/>
          </w:rPr>
          <w:t>2</w:t>
        </w:r>
      </w:hyperlink>
      <w:r>
        <w:rPr>
          <w:sz w:val="24"/>
        </w:rPr>
        <w:t>, </w:t>
      </w:r>
      <w:hyperlink w:history="true" w:anchor="_bookmark8">
        <w:r>
          <w:rPr>
            <w:color w:val="0000FF"/>
            <w:sz w:val="24"/>
          </w:rPr>
          <w:t>9</w:t>
        </w:r>
      </w:hyperlink>
      <w:r>
        <w:rPr>
          <w:sz w:val="24"/>
        </w:rPr>
        <w:t>, </w:t>
      </w:r>
      <w:hyperlink w:history="true" w:anchor="_bookmark12">
        <w:r>
          <w:rPr>
            <w:color w:val="0000FF"/>
            <w:sz w:val="24"/>
          </w:rPr>
          <w:t>13</w:t>
        </w:r>
      </w:hyperlink>
      <w:r>
        <w:rPr>
          <w:sz w:val="24"/>
        </w:rPr>
        <w:t>, </w:t>
      </w:r>
      <w:hyperlink w:history="true" w:anchor="_bookmark14">
        <w:r>
          <w:rPr>
            <w:color w:val="0000FF"/>
            <w:spacing w:val="-4"/>
            <w:sz w:val="24"/>
          </w:rPr>
          <w:t>15</w:t>
        </w:r>
      </w:hyperlink>
      <w:r>
        <w:rPr>
          <w:spacing w:val="-4"/>
          <w:sz w:val="24"/>
        </w:rPr>
        <w:t>].</w:t>
      </w:r>
    </w:p>
    <w:p>
      <w:pPr>
        <w:pStyle w:val="BodyTex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3"/>
        <w:ind w:right="142" w:firstLine="538"/>
      </w:pPr>
      <w:r>
        <w:rPr/>
        <w:t>Комментарии: УЗИ печени и селезенки позволяют выявить увеличение печени и реже селезенки, наличие</w:t>
      </w:r>
      <w:r>
        <w:rPr>
          <w:spacing w:val="-3"/>
        </w:rPr>
        <w:t> </w:t>
      </w:r>
      <w:r>
        <w:rPr/>
        <w:t>стеатоза, фиброза</w:t>
      </w:r>
      <w:r>
        <w:rPr>
          <w:spacing w:val="-3"/>
        </w:rPr>
        <w:t> </w:t>
      </w:r>
      <w:r>
        <w:rPr/>
        <w:t>или</w:t>
      </w:r>
      <w:r>
        <w:rPr>
          <w:spacing w:val="-1"/>
        </w:rPr>
        <w:t> </w:t>
      </w:r>
      <w:r>
        <w:rPr/>
        <w:t>цирроза</w:t>
      </w:r>
      <w:r>
        <w:rPr>
          <w:spacing w:val="-3"/>
        </w:rPr>
        <w:t> </w:t>
      </w:r>
      <w:r>
        <w:rPr/>
        <w:t>печени. УЗИ</w:t>
      </w:r>
      <w:r>
        <w:rPr>
          <w:spacing w:val="-3"/>
        </w:rPr>
        <w:t> </w:t>
      </w:r>
      <w:r>
        <w:rPr/>
        <w:t>забрюшинного пространства, в т.ч., УЗИ надпочечников может выявить кальцификаты надпочечников (у пациентов с БНЭХ – крайне редко, не более 5%).</w:t>
      </w:r>
    </w:p>
    <w:p>
      <w:pPr>
        <w:pStyle w:val="ListParagraph"/>
        <w:numPr>
          <w:ilvl w:val="3"/>
          <w:numId w:val="2"/>
        </w:numPr>
        <w:tabs>
          <w:tab w:pos="886" w:val="left" w:leader="none"/>
        </w:tabs>
        <w:spacing w:line="240" w:lineRule="auto" w:before="240" w:after="0"/>
        <w:ind w:left="139" w:right="139" w:firstLine="542"/>
        <w:jc w:val="both"/>
        <w:rPr>
          <w:sz w:val="24"/>
        </w:rPr>
      </w:pPr>
      <w:r>
        <w:rPr>
          <w:sz w:val="24"/>
        </w:rPr>
        <w:t>Рекомендовано пациентам с БНЭХ проведение магнитно-резонансной томографии (МРТ) органов брюшной полости и эластографии печени (эластометрии печени) с целью контроля состояния печени при проведении ФЗТ [</w:t>
      </w:r>
      <w:hyperlink w:history="true" w:anchor="_bookmark20">
        <w:r>
          <w:rPr>
            <w:color w:val="0000FF"/>
            <w:sz w:val="24"/>
          </w:rPr>
          <w:t>21</w:t>
        </w:r>
      </w:hyperlink>
      <w:r>
        <w:rPr>
          <w:sz w:val="24"/>
        </w:rPr>
        <w:t>-</w:t>
      </w:r>
      <w:hyperlink w:history="true" w:anchor="_bookmark22">
        <w:r>
          <w:rPr>
            <w:color w:val="0000FF"/>
            <w:sz w:val="24"/>
          </w:rPr>
          <w:t>26</w:t>
        </w:r>
      </w:hyperlink>
      <w:r>
        <w:rPr>
          <w:sz w:val="24"/>
        </w:rPr>
        <w:t>, </w:t>
      </w:r>
      <w:hyperlink w:history="true" w:anchor="_bookmark30">
        <w:r>
          <w:rPr>
            <w:color w:val="0000FF"/>
            <w:sz w:val="24"/>
          </w:rPr>
          <w:t>38</w:t>
        </w:r>
      </w:hyperlink>
      <w:r>
        <w:rPr>
          <w:sz w:val="24"/>
        </w:rPr>
        <w:t>].</w:t>
      </w:r>
    </w:p>
    <w:p>
      <w:pPr>
        <w:pStyle w:val="BodyText"/>
        <w:spacing w:line="242" w:lineRule="auto"/>
        <w:ind w:left="677" w:right="143"/>
      </w:pPr>
      <w:r>
        <w:rPr/>
        <w:t>Уровень убедительности рекомендации </w:t>
      </w:r>
      <w:hyperlink w:history="true" w:anchor="_bookmark45">
        <w:r>
          <w:rPr>
            <w:color w:val="0000FF"/>
          </w:rPr>
          <w:t>C</w:t>
        </w:r>
      </w:hyperlink>
      <w:r>
        <w:rPr>
          <w:color w:val="0000FF"/>
        </w:rPr>
        <w:t> </w:t>
      </w:r>
      <w:r>
        <w:rPr/>
        <w:t>(уровень достоверности доказательств – 5) Комментарии:</w:t>
      </w:r>
      <w:r>
        <w:rPr>
          <w:spacing w:val="2"/>
        </w:rPr>
        <w:t> </w:t>
      </w:r>
      <w:r>
        <w:rPr/>
        <w:t>для</w:t>
      </w:r>
      <w:r>
        <w:rPr>
          <w:spacing w:val="3"/>
        </w:rPr>
        <w:t> </w:t>
      </w:r>
      <w:r>
        <w:rPr/>
        <w:t>оценки</w:t>
      </w:r>
      <w:r>
        <w:rPr>
          <w:spacing w:val="7"/>
        </w:rPr>
        <w:t> </w:t>
      </w:r>
      <w:r>
        <w:rPr/>
        <w:t>степени</w:t>
      </w:r>
      <w:r>
        <w:rPr>
          <w:spacing w:val="3"/>
        </w:rPr>
        <w:t> </w:t>
      </w:r>
      <w:r>
        <w:rPr/>
        <w:t>выраженности</w:t>
      </w:r>
      <w:r>
        <w:rPr>
          <w:spacing w:val="3"/>
        </w:rPr>
        <w:t> </w:t>
      </w:r>
      <w:r>
        <w:rPr/>
        <w:t>жировой</w:t>
      </w:r>
      <w:r>
        <w:rPr>
          <w:spacing w:val="7"/>
        </w:rPr>
        <w:t> </w:t>
      </w:r>
      <w:r>
        <w:rPr/>
        <w:t>дистрофии</w:t>
      </w:r>
      <w:r>
        <w:rPr>
          <w:spacing w:val="4"/>
        </w:rPr>
        <w:t> </w:t>
      </w:r>
      <w:r>
        <w:rPr/>
        <w:t>печени</w:t>
      </w:r>
      <w:r>
        <w:rPr>
          <w:spacing w:val="3"/>
        </w:rPr>
        <w:t> </w:t>
      </w:r>
      <w:r>
        <w:rPr/>
        <w:t>(по</w:t>
      </w:r>
      <w:r>
        <w:rPr>
          <w:spacing w:val="12"/>
        </w:rPr>
        <w:t> </w:t>
      </w:r>
      <w:r>
        <w:rPr>
          <w:spacing w:val="-4"/>
        </w:rPr>
        <w:t>МРТ)</w:t>
      </w:r>
    </w:p>
    <w:p>
      <w:pPr>
        <w:pStyle w:val="BodyText"/>
        <w:spacing w:line="242" w:lineRule="auto"/>
        <w:ind w:right="153"/>
      </w:pPr>
      <w:r>
        <w:rPr/>
        <w:t>необходимо для последующего контроля эффективности ФЗТ. Частота исследований в среднем: МРТ органов брюшной полости – 1 р/год, эластографии печени – 1 р/6 мес.</w:t>
      </w:r>
    </w:p>
    <w:p>
      <w:pPr>
        <w:spacing w:after="0" w:line="242" w:lineRule="auto"/>
        <w:sectPr>
          <w:pgSz w:w="11910" w:h="16840"/>
          <w:pgMar w:header="572" w:footer="1177" w:top="1320" w:bottom="1360" w:left="1560" w:right="420"/>
        </w:sectPr>
      </w:pPr>
    </w:p>
    <w:p>
      <w:pPr>
        <w:pStyle w:val="ListParagraph"/>
        <w:numPr>
          <w:ilvl w:val="3"/>
          <w:numId w:val="2"/>
        </w:numPr>
        <w:tabs>
          <w:tab w:pos="852" w:val="left" w:leader="none"/>
        </w:tabs>
        <w:spacing w:line="240" w:lineRule="auto" w:before="80" w:after="0"/>
        <w:ind w:left="139" w:right="147" w:firstLine="542"/>
        <w:jc w:val="both"/>
        <w:rPr>
          <w:sz w:val="24"/>
        </w:rPr>
      </w:pPr>
      <w:r>
        <w:rPr>
          <w:sz w:val="24"/>
        </w:rPr>
        <w:t>Рекомендовано пациентам с БНЭХ проведение эзофагогастродуоденоскопии (ЭГДС) при наличии признаков портальной гипертензии, жалоб на боли в животе или наличие сопутствующей гастроэнтерологической патологии с целью оценки состояния верхних отделов ЖКТ </w:t>
      </w:r>
      <w:hyperlink w:history="true" w:anchor="_bookmark14">
        <w:r>
          <w:rPr>
            <w:color w:val="0000FF"/>
            <w:sz w:val="24"/>
          </w:rPr>
          <w:t>[15]</w:t>
        </w:r>
        <w:r>
          <w:rPr>
            <w:sz w:val="24"/>
          </w:rPr>
          <w:t>.</w:t>
        </w:r>
      </w:hyperlink>
    </w:p>
    <w:p>
      <w:pPr>
        <w:pStyle w:val="BodyText"/>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spacing w:before="3"/>
        <w:ind w:right="137" w:firstLine="538"/>
      </w:pPr>
      <w:r>
        <w:rPr/>
        <w:t>Комментарии: проведение ЭГДС у пациентов с фиброзом печени, признаками портальной гипертензии необходимо для оценки степени варикозного расширения вен пищевода и угрозы кровотечения</w:t>
      </w:r>
    </w:p>
    <w:p>
      <w:pPr>
        <w:pStyle w:val="ListParagraph"/>
        <w:numPr>
          <w:ilvl w:val="3"/>
          <w:numId w:val="2"/>
        </w:numPr>
        <w:tabs>
          <w:tab w:pos="968" w:val="left" w:leader="none"/>
        </w:tabs>
        <w:spacing w:line="240" w:lineRule="auto" w:before="237" w:after="0"/>
        <w:ind w:left="139" w:right="140" w:firstLine="542"/>
        <w:jc w:val="both"/>
        <w:rPr>
          <w:sz w:val="24"/>
        </w:rPr>
      </w:pPr>
      <w:r>
        <w:rPr>
          <w:sz w:val="24"/>
        </w:rPr>
        <w:t>Рекомендовано пациентам с БНЭХ регистрация электрокардиографии (ЭКГ), проведение эхокардиографии (ЭХОКГ) для оценки состояния сердечно-сосудистой системы, в среднем, каждые 1-2 года [</w:t>
      </w:r>
      <w:hyperlink w:history="true" w:anchor="_bookmark2">
        <w:r>
          <w:rPr>
            <w:color w:val="0000FF"/>
            <w:sz w:val="24"/>
          </w:rPr>
          <w:t>2</w:t>
        </w:r>
      </w:hyperlink>
      <w:r>
        <w:rPr>
          <w:sz w:val="24"/>
        </w:rPr>
        <w:t>, </w:t>
      </w:r>
      <w:hyperlink w:history="true" w:anchor="_bookmark30">
        <w:r>
          <w:rPr>
            <w:color w:val="0000FF"/>
            <w:sz w:val="24"/>
          </w:rPr>
          <w:t>38</w:t>
        </w:r>
      </w:hyperlink>
      <w:r>
        <w:rPr>
          <w:sz w:val="24"/>
        </w:rPr>
        <w:t>].</w:t>
      </w:r>
    </w:p>
    <w:p>
      <w:pPr>
        <w:pStyle w:val="BodyText"/>
        <w:spacing w:line="237" w:lineRule="auto" w:before="5"/>
        <w:ind w:left="677" w:right="496"/>
      </w:pPr>
      <w:r>
        <w:rPr/>
        <w:t>Уровень</w:t>
      </w:r>
      <w:r>
        <w:rPr>
          <w:spacing w:val="-8"/>
        </w:rPr>
        <w:t> </w:t>
      </w:r>
      <w:r>
        <w:rPr/>
        <w:t>убедительности</w:t>
      </w:r>
      <w:r>
        <w:rPr>
          <w:spacing w:val="-4"/>
        </w:rPr>
        <w:t> </w:t>
      </w:r>
      <w:r>
        <w:rPr/>
        <w:t>рекомендации</w:t>
      </w:r>
      <w:r>
        <w:rPr>
          <w:spacing w:val="-4"/>
        </w:rPr>
        <w:t> </w:t>
      </w:r>
      <w:hyperlink w:history="true" w:anchor="_bookmark45">
        <w:r>
          <w:rPr>
            <w:color w:val="0000FF"/>
          </w:rPr>
          <w:t>C</w:t>
        </w:r>
      </w:hyperlink>
      <w:r>
        <w:rPr>
          <w:color w:val="0000FF"/>
          <w:spacing w:val="-7"/>
        </w:rPr>
        <w:t> </w:t>
      </w:r>
      <w:r>
        <w:rPr/>
        <w:t>(уровень</w:t>
      </w:r>
      <w:r>
        <w:rPr>
          <w:spacing w:val="-5"/>
        </w:rPr>
        <w:t> </w:t>
      </w:r>
      <w:r>
        <w:rPr/>
        <w:t>достоверности</w:t>
      </w:r>
      <w:r>
        <w:rPr>
          <w:spacing w:val="-4"/>
        </w:rPr>
        <w:t> </w:t>
      </w:r>
      <w:r>
        <w:rPr/>
        <w:t>доказательств</w:t>
      </w:r>
      <w:r>
        <w:rPr>
          <w:spacing w:val="-3"/>
        </w:rPr>
        <w:t> </w:t>
      </w:r>
      <w:r>
        <w:rPr/>
        <w:t>–</w:t>
      </w:r>
      <w:r>
        <w:rPr>
          <w:spacing w:val="-4"/>
        </w:rPr>
        <w:t> </w:t>
      </w:r>
      <w:r>
        <w:rPr/>
        <w:t>5) </w:t>
      </w:r>
      <w:r>
        <w:rPr>
          <w:spacing w:val="-2"/>
        </w:rPr>
        <w:t>Комментарий:</w:t>
      </w:r>
    </w:p>
    <w:p>
      <w:pPr>
        <w:pStyle w:val="BodyText"/>
        <w:spacing w:before="4"/>
        <w:ind w:right="137" w:firstLine="538"/>
      </w:pPr>
      <w:r>
        <w:rPr/>
        <w:t>При наличии аритмии необходимо проведение суточного мониторирования ЭКГ (Холтеровское мониторирование), по показаниям – стресс-теста (Электрокардиография с физической нагрузкой) в соответствии с рекомендациями по ведению пациентов с атеросклерозом и аритмией.</w:t>
      </w:r>
    </w:p>
    <w:p>
      <w:pPr>
        <w:pStyle w:val="ListParagraph"/>
        <w:numPr>
          <w:ilvl w:val="3"/>
          <w:numId w:val="2"/>
        </w:numPr>
        <w:tabs>
          <w:tab w:pos="939" w:val="left" w:leader="none"/>
        </w:tabs>
        <w:spacing w:line="240" w:lineRule="auto" w:before="240" w:after="0"/>
        <w:ind w:left="139" w:right="139" w:firstLine="542"/>
        <w:jc w:val="both"/>
        <w:rPr>
          <w:sz w:val="24"/>
        </w:rPr>
      </w:pPr>
      <w:r>
        <w:rPr>
          <w:sz w:val="24"/>
        </w:rPr>
        <w:t>Рекомендуется при ведении пациентов с БНЭХ на всех этапах использовать мультидисциплинарный подход ввиду того, что заболевание характеризуется поражением многих органов и систем, требует комплексной терапии, что диктует необходимость совместного ведения пациента специалистами разных профилей [</w:t>
      </w:r>
      <w:hyperlink w:history="true" w:anchor="_bookmark14">
        <w:r>
          <w:rPr>
            <w:color w:val="0000FF"/>
            <w:sz w:val="24"/>
          </w:rPr>
          <w:t>15</w:t>
        </w:r>
      </w:hyperlink>
      <w:r>
        <w:rPr>
          <w:sz w:val="24"/>
        </w:rPr>
        <w:t>, </w:t>
      </w:r>
      <w:hyperlink w:history="true" w:anchor="_bookmark30">
        <w:r>
          <w:rPr>
            <w:color w:val="0000FF"/>
            <w:sz w:val="24"/>
          </w:rPr>
          <w:t>38</w:t>
        </w:r>
      </w:hyperlink>
      <w:r>
        <w:rPr>
          <w:sz w:val="24"/>
        </w:rPr>
        <w:t>, </w:t>
      </w:r>
      <w:hyperlink w:history="true" w:anchor="_bookmark31">
        <w:r>
          <w:rPr>
            <w:color w:val="0000FF"/>
            <w:sz w:val="24"/>
          </w:rPr>
          <w:t>39</w:t>
        </w:r>
      </w:hyperlink>
      <w:r>
        <w:rPr>
          <w:sz w:val="24"/>
        </w:rPr>
        <w:t>, </w:t>
      </w:r>
      <w:hyperlink w:history="true" w:anchor="_bookmark34">
        <w:r>
          <w:rPr>
            <w:color w:val="0000FF"/>
            <w:sz w:val="24"/>
          </w:rPr>
          <w:t>42</w:t>
        </w:r>
      </w:hyperlink>
      <w:r>
        <w:rPr>
          <w:sz w:val="24"/>
        </w:rPr>
        <w:t>].</w:t>
      </w:r>
    </w:p>
    <w:p>
      <w:pPr>
        <w:pStyle w:val="BodyText"/>
        <w:spacing w:line="275" w:lineRule="exact" w:before="1"/>
        <w:ind w:left="677"/>
      </w:pPr>
      <w:r>
        <w:rPr/>
        <w:t>Уровень</w:t>
      </w:r>
      <w:r>
        <w:rPr>
          <w:spacing w:val="-10"/>
        </w:rPr>
        <w:t> </w:t>
      </w:r>
      <w:r>
        <w:rPr/>
        <w:t>убедительности</w:t>
      </w:r>
      <w:r>
        <w:rPr>
          <w:spacing w:val="-3"/>
        </w:rPr>
        <w:t> </w:t>
      </w:r>
      <w:r>
        <w:rPr/>
        <w:t>рекомендации</w:t>
      </w:r>
      <w:r>
        <w:rPr>
          <w:spacing w:val="-4"/>
        </w:rPr>
        <w:t> </w:t>
      </w:r>
      <w:hyperlink w:history="true" w:anchor="_bookmark45">
        <w:r>
          <w:rPr>
            <w:color w:val="0000FF"/>
          </w:rPr>
          <w:t>C</w:t>
        </w:r>
      </w:hyperlink>
      <w:r>
        <w:rPr>
          <w:color w:val="0000FF"/>
          <w:spacing w:val="-6"/>
        </w:rPr>
        <w:t> </w:t>
      </w:r>
      <w:r>
        <w:rPr/>
        <w:t>(уровень</w:t>
      </w:r>
      <w:r>
        <w:rPr>
          <w:spacing w:val="-4"/>
        </w:rPr>
        <w:t> </w:t>
      </w:r>
      <w:r>
        <w:rPr/>
        <w:t>достоверности</w:t>
      </w:r>
      <w:r>
        <w:rPr>
          <w:spacing w:val="-3"/>
        </w:rPr>
        <w:t> </w:t>
      </w:r>
      <w:r>
        <w:rPr/>
        <w:t>доказательств</w:t>
      </w:r>
      <w:r>
        <w:rPr>
          <w:spacing w:val="-2"/>
        </w:rPr>
        <w:t> </w:t>
      </w:r>
      <w:r>
        <w:rPr/>
        <w:t>–</w:t>
      </w:r>
      <w:r>
        <w:rPr>
          <w:spacing w:val="-3"/>
        </w:rPr>
        <w:t> </w:t>
      </w:r>
      <w:r>
        <w:rPr>
          <w:spacing w:val="-5"/>
        </w:rPr>
        <w:t>5)</w:t>
      </w:r>
    </w:p>
    <w:p>
      <w:pPr>
        <w:pStyle w:val="BodyText"/>
        <w:ind w:right="136" w:firstLine="538"/>
      </w:pPr>
      <w:r>
        <w:rPr/>
        <w:t>Комментарий: пациентов с БНЭХ наблюдает врач-гастроэнтеролог, врач-терапевт (в детской практике врач-педиатр), а также врач-генетик, необходима консультация врача- диетолога с целью назначения низкожировой диеты (подбор специализированной диеты с ограничением животных жиров) [</w:t>
      </w:r>
      <w:hyperlink w:history="true" w:anchor="_bookmark2">
        <w:r>
          <w:rPr>
            <w:color w:val="0000FF"/>
          </w:rPr>
          <w:t>2</w:t>
        </w:r>
      </w:hyperlink>
      <w:r>
        <w:rPr/>
        <w:t>, </w:t>
      </w:r>
      <w:hyperlink w:history="true" w:anchor="_bookmark14">
        <w:r>
          <w:rPr>
            <w:color w:val="0000FF"/>
          </w:rPr>
          <w:t>15</w:t>
        </w:r>
      </w:hyperlink>
      <w:r>
        <w:rPr/>
        <w:t>], консультация врача-кардиолога (врача-кардиолога детского) с целью оценки нарушений сердечно-сосудистой системы и терапии (оценка сосудистого риска, назначение лечения, первично и в последующем каждые 6 месяцев) [</w:t>
      </w:r>
      <w:hyperlink w:history="true" w:anchor="_bookmark2">
        <w:r>
          <w:rPr>
            <w:color w:val="0000FF"/>
          </w:rPr>
          <w:t>2</w:t>
        </w:r>
      </w:hyperlink>
      <w:r>
        <w:rPr/>
        <w:t>,</w:t>
      </w:r>
      <w:r>
        <w:rPr>
          <w:spacing w:val="40"/>
        </w:rPr>
        <w:t> </w:t>
      </w:r>
      <w:hyperlink w:history="true" w:anchor="_bookmark12">
        <w:r>
          <w:rPr>
            <w:color w:val="0000FF"/>
          </w:rPr>
          <w:t>13</w:t>
        </w:r>
        <w:r>
          <w:rPr/>
          <w:t>,</w:t>
        </w:r>
      </w:hyperlink>
      <w:r>
        <w:rPr/>
        <w:t> </w:t>
      </w:r>
      <w:hyperlink w:history="true" w:anchor="_bookmark14">
        <w:r>
          <w:rPr>
            <w:color w:val="0000FF"/>
          </w:rPr>
          <w:t>15</w:t>
        </w:r>
      </w:hyperlink>
      <w:r>
        <w:rPr/>
        <w:t>, </w:t>
      </w:r>
      <w:hyperlink w:history="true" w:anchor="_bookmark19">
        <w:r>
          <w:rPr>
            <w:color w:val="0000FF"/>
          </w:rPr>
          <w:t>20</w:t>
        </w:r>
        <w:r>
          <w:rPr/>
          <w:t>,</w:t>
        </w:r>
      </w:hyperlink>
      <w:r>
        <w:rPr/>
        <w:t> </w:t>
      </w:r>
      <w:hyperlink w:history="true" w:anchor="_bookmark22">
        <w:r>
          <w:rPr>
            <w:color w:val="0000FF"/>
          </w:rPr>
          <w:t>26</w:t>
        </w:r>
      </w:hyperlink>
      <w:r>
        <w:rPr/>
        <w:t>], консультация врача-трансплантолога при наличии показаний для трансплантации печени. При наличии неврологических нарушений: консультация врача- невролога (первично и далее ежегодно). В жизнеугрожающих состояниях необходимо участие врача-анестезиолога-реаниматолога. Первичные и повторные консультации врачей иных</w:t>
      </w:r>
      <w:r>
        <w:rPr>
          <w:spacing w:val="-1"/>
        </w:rPr>
        <w:t> </w:t>
      </w:r>
      <w:r>
        <w:rPr/>
        <w:t>специальностей, а также</w:t>
      </w:r>
      <w:r>
        <w:rPr>
          <w:spacing w:val="-2"/>
        </w:rPr>
        <w:t> </w:t>
      </w:r>
      <w:r>
        <w:rPr/>
        <w:t>медицинского психолога показаны пациентам с</w:t>
      </w:r>
      <w:r>
        <w:rPr>
          <w:spacing w:val="-2"/>
        </w:rPr>
        <w:t> </w:t>
      </w:r>
      <w:r>
        <w:rPr/>
        <w:t>БВ, имеющим нарушения функций других органов и систем.</w:t>
      </w:r>
    </w:p>
    <w:p>
      <w:pPr>
        <w:pStyle w:val="BodyText"/>
        <w:spacing w:before="8"/>
        <w:ind w:left="0"/>
        <w:jc w:val="left"/>
      </w:pPr>
    </w:p>
    <w:p>
      <w:pPr>
        <w:pStyle w:val="Heading1"/>
        <w:numPr>
          <w:ilvl w:val="0"/>
          <w:numId w:val="2"/>
        </w:numPr>
        <w:tabs>
          <w:tab w:pos="964" w:val="left" w:leader="none"/>
        </w:tabs>
        <w:spacing w:line="444" w:lineRule="auto" w:before="0" w:after="0"/>
        <w:ind w:left="682" w:right="3180" w:firstLine="0"/>
        <w:jc w:val="left"/>
      </w:pPr>
      <w:bookmarkStart w:name="6. Организация оказания медицинской помо" w:id="47"/>
      <w:bookmarkEnd w:id="47"/>
      <w:r>
        <w:rPr>
          <w:b w:val="0"/>
        </w:rPr>
      </w:r>
      <w:r>
        <w:rPr/>
        <w:t>Организация</w:t>
      </w:r>
      <w:r>
        <w:rPr>
          <w:spacing w:val="-11"/>
        </w:rPr>
        <w:t> </w:t>
      </w:r>
      <w:r>
        <w:rPr/>
        <w:t>оказания</w:t>
      </w:r>
      <w:r>
        <w:rPr>
          <w:spacing w:val="-15"/>
        </w:rPr>
        <w:t> </w:t>
      </w:r>
      <w:r>
        <w:rPr/>
        <w:t>медицинской</w:t>
      </w:r>
      <w:r>
        <w:rPr>
          <w:spacing w:val="-15"/>
        </w:rPr>
        <w:t> </w:t>
      </w:r>
      <w:r>
        <w:rPr/>
        <w:t>помощи </w:t>
      </w:r>
      <w:bookmarkStart w:name="Показания для плановой госпитализации:" w:id="48"/>
      <w:bookmarkEnd w:id="48"/>
      <w:r>
        <w:rPr/>
        <w:t>П</w:t>
      </w:r>
      <w:r>
        <w:rPr/>
        <w:t>оказания для плановой госпитализации:</w:t>
      </w:r>
    </w:p>
    <w:p>
      <w:pPr>
        <w:pStyle w:val="ListParagraph"/>
        <w:numPr>
          <w:ilvl w:val="0"/>
          <w:numId w:val="6"/>
        </w:numPr>
        <w:tabs>
          <w:tab w:pos="930" w:val="left" w:leader="none"/>
        </w:tabs>
        <w:spacing w:line="236" w:lineRule="exact" w:before="0" w:after="0"/>
        <w:ind w:left="930" w:right="0" w:hanging="248"/>
        <w:jc w:val="left"/>
        <w:rPr>
          <w:sz w:val="24"/>
        </w:rPr>
      </w:pPr>
      <w:r>
        <w:rPr>
          <w:sz w:val="24"/>
        </w:rPr>
        <w:t>проведение</w:t>
      </w:r>
      <w:r>
        <w:rPr>
          <w:spacing w:val="69"/>
          <w:w w:val="150"/>
          <w:sz w:val="24"/>
        </w:rPr>
        <w:t> </w:t>
      </w:r>
      <w:r>
        <w:rPr>
          <w:sz w:val="24"/>
        </w:rPr>
        <w:t>диагностики</w:t>
      </w:r>
      <w:r>
        <w:rPr>
          <w:spacing w:val="72"/>
          <w:w w:val="150"/>
          <w:sz w:val="24"/>
        </w:rPr>
        <w:t> </w:t>
      </w:r>
      <w:r>
        <w:rPr>
          <w:sz w:val="24"/>
        </w:rPr>
        <w:t>и</w:t>
      </w:r>
      <w:r>
        <w:rPr>
          <w:spacing w:val="70"/>
          <w:w w:val="150"/>
          <w:sz w:val="24"/>
        </w:rPr>
        <w:t> </w:t>
      </w:r>
      <w:r>
        <w:rPr>
          <w:sz w:val="24"/>
        </w:rPr>
        <w:t>лечения,</w:t>
      </w:r>
      <w:r>
        <w:rPr>
          <w:spacing w:val="70"/>
          <w:w w:val="150"/>
          <w:sz w:val="24"/>
        </w:rPr>
        <w:t> </w:t>
      </w:r>
      <w:r>
        <w:rPr>
          <w:sz w:val="24"/>
        </w:rPr>
        <w:t>требующих</w:t>
      </w:r>
      <w:r>
        <w:rPr>
          <w:spacing w:val="67"/>
          <w:w w:val="150"/>
          <w:sz w:val="24"/>
        </w:rPr>
        <w:t> </w:t>
      </w:r>
      <w:r>
        <w:rPr>
          <w:sz w:val="24"/>
        </w:rPr>
        <w:t>круглосуточного</w:t>
      </w:r>
      <w:r>
        <w:rPr>
          <w:spacing w:val="77"/>
          <w:w w:val="150"/>
          <w:sz w:val="24"/>
        </w:rPr>
        <w:t> </w:t>
      </w:r>
      <w:r>
        <w:rPr>
          <w:spacing w:val="-2"/>
          <w:sz w:val="24"/>
        </w:rPr>
        <w:t>медицинского</w:t>
      </w:r>
    </w:p>
    <w:p>
      <w:pPr>
        <w:pStyle w:val="BodyText"/>
        <w:spacing w:line="275" w:lineRule="exact" w:before="3"/>
        <w:jc w:val="left"/>
      </w:pPr>
      <w:r>
        <w:rPr>
          <w:spacing w:val="-2"/>
        </w:rPr>
        <w:t>наблюдения;</w:t>
      </w:r>
    </w:p>
    <w:p>
      <w:pPr>
        <w:pStyle w:val="ListParagraph"/>
        <w:numPr>
          <w:ilvl w:val="0"/>
          <w:numId w:val="6"/>
        </w:numPr>
        <w:tabs>
          <w:tab w:pos="989" w:val="left" w:leader="none"/>
          <w:tab w:pos="2308" w:val="left" w:leader="none"/>
          <w:tab w:pos="3680" w:val="left" w:leader="none"/>
          <w:tab w:pos="4951" w:val="left" w:leader="none"/>
          <w:tab w:pos="5997" w:val="left" w:leader="none"/>
          <w:tab w:pos="6356" w:val="left" w:leader="none"/>
          <w:tab w:pos="8313" w:val="left" w:leader="none"/>
        </w:tabs>
        <w:spacing w:line="242" w:lineRule="auto" w:before="0" w:after="0"/>
        <w:ind w:left="139" w:right="155" w:firstLine="538"/>
        <w:jc w:val="left"/>
        <w:rPr>
          <w:sz w:val="24"/>
        </w:rPr>
      </w:pPr>
      <w:r>
        <w:rPr>
          <w:spacing w:val="-2"/>
          <w:sz w:val="24"/>
        </w:rPr>
        <w:t>состояние,</w:t>
      </w:r>
      <w:r>
        <w:rPr>
          <w:sz w:val="24"/>
        </w:rPr>
        <w:tab/>
      </w:r>
      <w:r>
        <w:rPr>
          <w:spacing w:val="-2"/>
          <w:sz w:val="24"/>
        </w:rPr>
        <w:t>требующее</w:t>
      </w:r>
      <w:r>
        <w:rPr>
          <w:sz w:val="24"/>
        </w:rPr>
        <w:tab/>
      </w:r>
      <w:r>
        <w:rPr>
          <w:spacing w:val="-2"/>
          <w:sz w:val="24"/>
        </w:rPr>
        <w:t>активного</w:t>
      </w:r>
      <w:r>
        <w:rPr>
          <w:sz w:val="24"/>
        </w:rPr>
        <w:tab/>
      </w:r>
      <w:r>
        <w:rPr>
          <w:spacing w:val="-2"/>
          <w:sz w:val="24"/>
        </w:rPr>
        <w:t>лечения</w:t>
      </w:r>
      <w:r>
        <w:rPr>
          <w:sz w:val="24"/>
        </w:rPr>
        <w:tab/>
      </w:r>
      <w:r>
        <w:rPr>
          <w:spacing w:val="-10"/>
          <w:sz w:val="24"/>
        </w:rPr>
        <w:t>и</w:t>
      </w:r>
      <w:r>
        <w:rPr>
          <w:sz w:val="24"/>
        </w:rPr>
        <w:tab/>
      </w:r>
      <w:r>
        <w:rPr>
          <w:spacing w:val="-2"/>
          <w:sz w:val="24"/>
        </w:rPr>
        <w:t>круглосуточного</w:t>
      </w:r>
      <w:r>
        <w:rPr>
          <w:sz w:val="24"/>
        </w:rPr>
        <w:tab/>
      </w:r>
      <w:r>
        <w:rPr>
          <w:spacing w:val="-2"/>
          <w:sz w:val="24"/>
        </w:rPr>
        <w:t>медицинского наблюдения;</w:t>
      </w:r>
    </w:p>
    <w:p>
      <w:pPr>
        <w:pStyle w:val="ListParagraph"/>
        <w:numPr>
          <w:ilvl w:val="0"/>
          <w:numId w:val="6"/>
        </w:numPr>
        <w:tabs>
          <w:tab w:pos="820" w:val="left" w:leader="none"/>
        </w:tabs>
        <w:spacing w:line="271" w:lineRule="exact" w:before="0" w:after="0"/>
        <w:ind w:left="820" w:right="0" w:hanging="143"/>
        <w:jc w:val="left"/>
        <w:rPr>
          <w:sz w:val="24"/>
        </w:rPr>
      </w:pPr>
      <w:r>
        <w:rPr>
          <w:sz w:val="24"/>
        </w:rPr>
        <w:t>состояние,</w:t>
      </w:r>
      <w:r>
        <w:rPr>
          <w:spacing w:val="-9"/>
          <w:sz w:val="24"/>
        </w:rPr>
        <w:t> </w:t>
      </w:r>
      <w:r>
        <w:rPr>
          <w:sz w:val="24"/>
        </w:rPr>
        <w:t>требующее</w:t>
      </w:r>
      <w:r>
        <w:rPr>
          <w:spacing w:val="-4"/>
          <w:sz w:val="24"/>
        </w:rPr>
        <w:t> </w:t>
      </w:r>
      <w:r>
        <w:rPr>
          <w:sz w:val="24"/>
        </w:rPr>
        <w:t>проведения</w:t>
      </w:r>
      <w:r>
        <w:rPr>
          <w:spacing w:val="-8"/>
          <w:sz w:val="24"/>
        </w:rPr>
        <w:t> </w:t>
      </w:r>
      <w:r>
        <w:rPr>
          <w:sz w:val="24"/>
        </w:rPr>
        <w:t>высокотехнологичных</w:t>
      </w:r>
      <w:r>
        <w:rPr>
          <w:spacing w:val="-8"/>
          <w:sz w:val="24"/>
        </w:rPr>
        <w:t> </w:t>
      </w:r>
      <w:r>
        <w:rPr>
          <w:sz w:val="24"/>
        </w:rPr>
        <w:t>методов</w:t>
      </w:r>
      <w:r>
        <w:rPr>
          <w:spacing w:val="-6"/>
          <w:sz w:val="24"/>
        </w:rPr>
        <w:t> </w:t>
      </w:r>
      <w:r>
        <w:rPr>
          <w:spacing w:val="-2"/>
          <w:sz w:val="24"/>
        </w:rPr>
        <w:t>лечения;</w:t>
      </w:r>
    </w:p>
    <w:p>
      <w:pPr>
        <w:pStyle w:val="ListParagraph"/>
        <w:numPr>
          <w:ilvl w:val="0"/>
          <w:numId w:val="6"/>
        </w:numPr>
        <w:tabs>
          <w:tab w:pos="829" w:val="left" w:leader="none"/>
        </w:tabs>
        <w:spacing w:line="237" w:lineRule="auto" w:before="4" w:after="0"/>
        <w:ind w:left="139" w:right="147" w:firstLine="538"/>
        <w:jc w:val="left"/>
        <w:rPr>
          <w:sz w:val="24"/>
        </w:rPr>
      </w:pPr>
      <w:r>
        <w:rPr>
          <w:sz w:val="24"/>
        </w:rPr>
        <w:t>отсутствие возможности обеспечения ФЗТ в амбулаторных и стационар замещающих </w:t>
      </w:r>
      <w:r>
        <w:rPr>
          <w:spacing w:val="-2"/>
          <w:sz w:val="24"/>
        </w:rPr>
        <w:t>условиях;</w:t>
      </w:r>
    </w:p>
    <w:p>
      <w:pPr>
        <w:pStyle w:val="ListParagraph"/>
        <w:numPr>
          <w:ilvl w:val="0"/>
          <w:numId w:val="6"/>
        </w:numPr>
        <w:tabs>
          <w:tab w:pos="970" w:val="left" w:leader="none"/>
          <w:tab w:pos="2740" w:val="left" w:leader="none"/>
          <w:tab w:pos="4130" w:val="left" w:leader="none"/>
          <w:tab w:pos="5435" w:val="left" w:leader="none"/>
          <w:tab w:pos="6241" w:val="left" w:leader="none"/>
          <w:tab w:pos="7459" w:val="left" w:leader="none"/>
          <w:tab w:pos="8039" w:val="left" w:leader="none"/>
          <w:tab w:pos="9655" w:val="left" w:leader="none"/>
        </w:tabs>
        <w:spacing w:line="237" w:lineRule="auto" w:before="5" w:after="0"/>
        <w:ind w:left="139" w:right="152" w:firstLine="538"/>
        <w:jc w:val="left"/>
        <w:rPr>
          <w:sz w:val="24"/>
        </w:rPr>
      </w:pPr>
      <w:r>
        <w:rPr>
          <w:spacing w:val="-2"/>
          <w:sz w:val="24"/>
        </w:rPr>
        <w:t>необходимость</w:t>
      </w:r>
      <w:r>
        <w:rPr>
          <w:sz w:val="24"/>
        </w:rPr>
        <w:tab/>
      </w:r>
      <w:r>
        <w:rPr>
          <w:spacing w:val="-2"/>
          <w:sz w:val="24"/>
        </w:rPr>
        <w:t>проведения</w:t>
      </w:r>
      <w:r>
        <w:rPr>
          <w:sz w:val="24"/>
        </w:rPr>
        <w:tab/>
      </w:r>
      <w:r>
        <w:rPr>
          <w:spacing w:val="-2"/>
          <w:sz w:val="24"/>
        </w:rPr>
        <w:t>различных</w:t>
      </w:r>
      <w:r>
        <w:rPr>
          <w:sz w:val="24"/>
        </w:rPr>
        <w:tab/>
      </w:r>
      <w:r>
        <w:rPr>
          <w:spacing w:val="-2"/>
          <w:sz w:val="24"/>
        </w:rPr>
        <w:t>видов</w:t>
      </w:r>
      <w:r>
        <w:rPr>
          <w:sz w:val="24"/>
        </w:rPr>
        <w:tab/>
      </w:r>
      <w:r>
        <w:rPr>
          <w:spacing w:val="-2"/>
          <w:sz w:val="24"/>
        </w:rPr>
        <w:t>экспертиз</w:t>
      </w:r>
      <w:r>
        <w:rPr>
          <w:sz w:val="24"/>
        </w:rPr>
        <w:tab/>
      </w:r>
      <w:r>
        <w:rPr>
          <w:spacing w:val="-4"/>
          <w:sz w:val="24"/>
        </w:rPr>
        <w:t>или</w:t>
      </w:r>
      <w:r>
        <w:rPr>
          <w:sz w:val="24"/>
        </w:rPr>
        <w:tab/>
      </w:r>
      <w:r>
        <w:rPr>
          <w:spacing w:val="-2"/>
          <w:sz w:val="24"/>
        </w:rPr>
        <w:t>обследования</w:t>
      </w:r>
      <w:r>
        <w:rPr>
          <w:sz w:val="24"/>
        </w:rPr>
        <w:tab/>
      </w:r>
      <w:r>
        <w:rPr>
          <w:spacing w:val="-10"/>
          <w:sz w:val="24"/>
        </w:rPr>
        <w:t>в </w:t>
      </w:r>
      <w:r>
        <w:rPr>
          <w:sz w:val="24"/>
        </w:rPr>
        <w:t>медицинской</w:t>
      </w:r>
      <w:r>
        <w:rPr>
          <w:spacing w:val="52"/>
          <w:sz w:val="24"/>
        </w:rPr>
        <w:t> </w:t>
      </w:r>
      <w:r>
        <w:rPr>
          <w:sz w:val="24"/>
        </w:rPr>
        <w:t>организации</w:t>
      </w:r>
      <w:r>
        <w:rPr>
          <w:spacing w:val="56"/>
          <w:sz w:val="24"/>
        </w:rPr>
        <w:t> </w:t>
      </w:r>
      <w:r>
        <w:rPr>
          <w:sz w:val="24"/>
        </w:rPr>
        <w:t>при</w:t>
      </w:r>
      <w:r>
        <w:rPr>
          <w:spacing w:val="61"/>
          <w:sz w:val="24"/>
        </w:rPr>
        <w:t> </w:t>
      </w:r>
      <w:r>
        <w:rPr>
          <w:sz w:val="24"/>
        </w:rPr>
        <w:t>невозможности</w:t>
      </w:r>
      <w:r>
        <w:rPr>
          <w:spacing w:val="61"/>
          <w:sz w:val="24"/>
        </w:rPr>
        <w:t> </w:t>
      </w:r>
      <w:r>
        <w:rPr>
          <w:sz w:val="24"/>
        </w:rPr>
        <w:t>проведения</w:t>
      </w:r>
      <w:r>
        <w:rPr>
          <w:spacing w:val="60"/>
          <w:sz w:val="24"/>
        </w:rPr>
        <w:t> </w:t>
      </w:r>
      <w:r>
        <w:rPr>
          <w:sz w:val="24"/>
        </w:rPr>
        <w:t>их</w:t>
      </w:r>
      <w:r>
        <w:rPr>
          <w:spacing w:val="55"/>
          <w:sz w:val="24"/>
        </w:rPr>
        <w:t> </w:t>
      </w:r>
      <w:r>
        <w:rPr>
          <w:sz w:val="24"/>
        </w:rPr>
        <w:t>в</w:t>
      </w:r>
      <w:r>
        <w:rPr>
          <w:spacing w:val="62"/>
          <w:sz w:val="24"/>
        </w:rPr>
        <w:t> </w:t>
      </w:r>
      <w:r>
        <w:rPr>
          <w:sz w:val="24"/>
        </w:rPr>
        <w:t>амбулаторных</w:t>
      </w:r>
      <w:r>
        <w:rPr>
          <w:spacing w:val="60"/>
          <w:sz w:val="24"/>
        </w:rPr>
        <w:t> </w:t>
      </w:r>
      <w:r>
        <w:rPr>
          <w:spacing w:val="-2"/>
          <w:sz w:val="24"/>
        </w:rPr>
        <w:t>условиях,</w:t>
      </w:r>
    </w:p>
    <w:p>
      <w:pPr>
        <w:spacing w:after="0" w:line="237" w:lineRule="auto"/>
        <w:jc w:val="left"/>
        <w:rPr>
          <w:sz w:val="24"/>
        </w:rPr>
        <w:sectPr>
          <w:pgSz w:w="11910" w:h="16840"/>
          <w:pgMar w:header="572" w:footer="1177" w:top="1320" w:bottom="1360" w:left="1560" w:right="420"/>
        </w:sectPr>
      </w:pPr>
    </w:p>
    <w:p>
      <w:pPr>
        <w:pStyle w:val="BodyText"/>
        <w:spacing w:line="242" w:lineRule="auto" w:before="80"/>
        <w:jc w:val="left"/>
      </w:pPr>
      <w:r>
        <w:rPr/>
        <w:t>требующих динамического наблюдения (в том числе оформление заключения федерального </w:t>
      </w:r>
      <w:r>
        <w:rPr>
          <w:spacing w:val="-2"/>
        </w:rPr>
        <w:t>консилиума).</w:t>
      </w:r>
    </w:p>
    <w:p>
      <w:pPr>
        <w:pStyle w:val="BodyText"/>
        <w:spacing w:before="3"/>
        <w:ind w:left="0"/>
        <w:jc w:val="left"/>
      </w:pPr>
    </w:p>
    <w:p>
      <w:pPr>
        <w:pStyle w:val="Heading1"/>
        <w:ind w:left="682" w:firstLine="0"/>
      </w:pPr>
      <w:bookmarkStart w:name="Показания для экстренной госпитализации:" w:id="49"/>
      <w:bookmarkEnd w:id="49"/>
      <w:r>
        <w:rPr>
          <w:b w:val="0"/>
        </w:rPr>
      </w:r>
      <w:r>
        <w:rPr/>
        <w:t>Показания</w:t>
      </w:r>
      <w:r>
        <w:rPr>
          <w:spacing w:val="-12"/>
        </w:rPr>
        <w:t> </w:t>
      </w:r>
      <w:r>
        <w:rPr/>
        <w:t>для</w:t>
      </w:r>
      <w:r>
        <w:rPr>
          <w:spacing w:val="-12"/>
        </w:rPr>
        <w:t> </w:t>
      </w:r>
      <w:r>
        <w:rPr/>
        <w:t>экстренной</w:t>
      </w:r>
      <w:r>
        <w:rPr>
          <w:spacing w:val="-11"/>
        </w:rPr>
        <w:t> </w:t>
      </w:r>
      <w:r>
        <w:rPr>
          <w:spacing w:val="-2"/>
        </w:rPr>
        <w:t>госпитализации:</w:t>
      </w:r>
    </w:p>
    <w:p>
      <w:pPr>
        <w:pStyle w:val="ListParagraph"/>
        <w:numPr>
          <w:ilvl w:val="0"/>
          <w:numId w:val="6"/>
        </w:numPr>
        <w:tabs>
          <w:tab w:pos="820" w:val="left" w:leader="none"/>
        </w:tabs>
        <w:spacing w:line="275" w:lineRule="exact" w:before="234" w:after="0"/>
        <w:ind w:left="820" w:right="0" w:hanging="138"/>
        <w:jc w:val="both"/>
        <w:rPr>
          <w:sz w:val="24"/>
        </w:rPr>
      </w:pPr>
      <w:r>
        <w:rPr>
          <w:sz w:val="24"/>
        </w:rPr>
        <w:t>острые</w:t>
      </w:r>
      <w:r>
        <w:rPr>
          <w:spacing w:val="1"/>
          <w:sz w:val="24"/>
        </w:rPr>
        <w:t> </w:t>
      </w:r>
      <w:r>
        <w:rPr>
          <w:spacing w:val="-2"/>
          <w:sz w:val="24"/>
        </w:rPr>
        <w:t>заболевания;</w:t>
      </w:r>
    </w:p>
    <w:p>
      <w:pPr>
        <w:pStyle w:val="ListParagraph"/>
        <w:numPr>
          <w:ilvl w:val="0"/>
          <w:numId w:val="6"/>
        </w:numPr>
        <w:tabs>
          <w:tab w:pos="815" w:val="left" w:leader="none"/>
        </w:tabs>
        <w:spacing w:line="275" w:lineRule="exact" w:before="0" w:after="0"/>
        <w:ind w:left="815" w:right="0" w:hanging="138"/>
        <w:jc w:val="both"/>
        <w:rPr>
          <w:sz w:val="24"/>
        </w:rPr>
      </w:pPr>
      <w:r>
        <w:rPr>
          <w:sz w:val="24"/>
        </w:rPr>
        <w:t>обострения</w:t>
      </w:r>
      <w:r>
        <w:rPr>
          <w:spacing w:val="-5"/>
          <w:sz w:val="24"/>
        </w:rPr>
        <w:t> </w:t>
      </w:r>
      <w:r>
        <w:rPr>
          <w:sz w:val="24"/>
        </w:rPr>
        <w:t>хронических</w:t>
      </w:r>
      <w:r>
        <w:rPr>
          <w:spacing w:val="-9"/>
          <w:sz w:val="24"/>
        </w:rPr>
        <w:t> </w:t>
      </w:r>
      <w:r>
        <w:rPr>
          <w:spacing w:val="-2"/>
          <w:sz w:val="24"/>
        </w:rPr>
        <w:t>болезней;</w:t>
      </w:r>
    </w:p>
    <w:p>
      <w:pPr>
        <w:pStyle w:val="ListParagraph"/>
        <w:numPr>
          <w:ilvl w:val="0"/>
          <w:numId w:val="6"/>
        </w:numPr>
        <w:tabs>
          <w:tab w:pos="887" w:val="left" w:leader="none"/>
        </w:tabs>
        <w:spacing w:line="240" w:lineRule="auto" w:before="2" w:after="0"/>
        <w:ind w:left="139" w:right="148" w:firstLine="538"/>
        <w:jc w:val="both"/>
        <w:rPr>
          <w:sz w:val="24"/>
        </w:rPr>
      </w:pPr>
      <w:r>
        <w:rPr>
          <w:sz w:val="24"/>
        </w:rPr>
        <w:t>отравления и травмы, состояния, требующие интенсивной терапии и перевода в реанимационные отделения или отделения интенсивной терапии (в том числе побочные реакции,</w:t>
      </w:r>
      <w:r>
        <w:rPr>
          <w:spacing w:val="-1"/>
          <w:sz w:val="24"/>
        </w:rPr>
        <w:t> </w:t>
      </w:r>
      <w:r>
        <w:rPr>
          <w:sz w:val="24"/>
        </w:rPr>
        <w:t>происходящие</w:t>
      </w:r>
      <w:r>
        <w:rPr>
          <w:spacing w:val="-4"/>
          <w:sz w:val="24"/>
        </w:rPr>
        <w:t> </w:t>
      </w:r>
      <w:r>
        <w:rPr>
          <w:sz w:val="24"/>
        </w:rPr>
        <w:t>в</w:t>
      </w:r>
      <w:r>
        <w:rPr>
          <w:spacing w:val="-1"/>
          <w:sz w:val="24"/>
        </w:rPr>
        <w:t> </w:t>
      </w:r>
      <w:r>
        <w:rPr>
          <w:sz w:val="24"/>
        </w:rPr>
        <w:t>процессе инфузии или</w:t>
      </w:r>
      <w:r>
        <w:rPr>
          <w:spacing w:val="-2"/>
          <w:sz w:val="24"/>
        </w:rPr>
        <w:t> </w:t>
      </w:r>
      <w:r>
        <w:rPr>
          <w:sz w:val="24"/>
        </w:rPr>
        <w:t>в</w:t>
      </w:r>
      <w:r>
        <w:rPr>
          <w:spacing w:val="-2"/>
          <w:sz w:val="24"/>
        </w:rPr>
        <w:t> </w:t>
      </w:r>
      <w:r>
        <w:rPr>
          <w:sz w:val="24"/>
        </w:rPr>
        <w:t>течение суток проведения инфузии ФЗТ,</w:t>
      </w:r>
      <w:r>
        <w:rPr>
          <w:spacing w:val="-5"/>
          <w:sz w:val="24"/>
        </w:rPr>
        <w:t> </w:t>
      </w:r>
      <w:r>
        <w:rPr>
          <w:sz w:val="24"/>
        </w:rPr>
        <w:t>и другие угрожающие жизни острые состояния), а также круглосуточного медицинского наблюдении и проведения специальных видов обследования и лечения.</w:t>
      </w:r>
    </w:p>
    <w:p>
      <w:pPr>
        <w:pStyle w:val="BodyText"/>
        <w:spacing w:before="6"/>
        <w:ind w:left="0"/>
        <w:jc w:val="left"/>
      </w:pPr>
    </w:p>
    <w:p>
      <w:pPr>
        <w:pStyle w:val="Heading1"/>
        <w:spacing w:before="1"/>
        <w:ind w:left="682" w:firstLine="0"/>
      </w:pPr>
      <w:bookmarkStart w:name="Показания к выписке пациента из медицинс" w:id="50"/>
      <w:bookmarkEnd w:id="50"/>
      <w:r>
        <w:rPr>
          <w:b w:val="0"/>
        </w:rPr>
      </w:r>
      <w:r>
        <w:rPr/>
        <w:t>Показания</w:t>
      </w:r>
      <w:r>
        <w:rPr>
          <w:spacing w:val="-10"/>
        </w:rPr>
        <w:t> </w:t>
      </w:r>
      <w:r>
        <w:rPr/>
        <w:t>к</w:t>
      </w:r>
      <w:r>
        <w:rPr>
          <w:spacing w:val="-10"/>
        </w:rPr>
        <w:t> </w:t>
      </w:r>
      <w:r>
        <w:rPr/>
        <w:t>выписке</w:t>
      </w:r>
      <w:r>
        <w:rPr>
          <w:spacing w:val="-7"/>
        </w:rPr>
        <w:t> </w:t>
      </w:r>
      <w:r>
        <w:rPr/>
        <w:t>пациента</w:t>
      </w:r>
      <w:r>
        <w:rPr>
          <w:spacing w:val="-8"/>
        </w:rPr>
        <w:t> </w:t>
      </w:r>
      <w:r>
        <w:rPr/>
        <w:t>из</w:t>
      </w:r>
      <w:r>
        <w:rPr>
          <w:spacing w:val="-8"/>
        </w:rPr>
        <w:t> </w:t>
      </w:r>
      <w:r>
        <w:rPr/>
        <w:t>медицинской</w:t>
      </w:r>
      <w:r>
        <w:rPr>
          <w:spacing w:val="-5"/>
        </w:rPr>
        <w:t> </w:t>
      </w:r>
      <w:r>
        <w:rPr>
          <w:spacing w:val="-2"/>
        </w:rPr>
        <w:t>организации:</w:t>
      </w:r>
    </w:p>
    <w:p>
      <w:pPr>
        <w:pStyle w:val="ListParagraph"/>
        <w:numPr>
          <w:ilvl w:val="0"/>
          <w:numId w:val="6"/>
        </w:numPr>
        <w:tabs>
          <w:tab w:pos="820" w:val="left" w:leader="none"/>
        </w:tabs>
        <w:spacing w:line="240" w:lineRule="auto" w:before="233" w:after="0"/>
        <w:ind w:left="820" w:right="0" w:hanging="138"/>
        <w:jc w:val="left"/>
        <w:rPr>
          <w:sz w:val="24"/>
        </w:rPr>
      </w:pPr>
      <w:r>
        <w:rPr>
          <w:sz w:val="24"/>
        </w:rPr>
        <w:t>отсутствие угрозы</w:t>
      </w:r>
      <w:r>
        <w:rPr>
          <w:spacing w:val="-5"/>
          <w:sz w:val="24"/>
        </w:rPr>
        <w:t> </w:t>
      </w:r>
      <w:r>
        <w:rPr>
          <w:sz w:val="24"/>
        </w:rPr>
        <w:t>жизни</w:t>
      </w:r>
      <w:r>
        <w:rPr>
          <w:spacing w:val="-6"/>
          <w:sz w:val="24"/>
        </w:rPr>
        <w:t> </w:t>
      </w:r>
      <w:r>
        <w:rPr>
          <w:spacing w:val="-2"/>
          <w:sz w:val="24"/>
        </w:rPr>
        <w:t>пациента;</w:t>
      </w:r>
    </w:p>
    <w:p>
      <w:pPr>
        <w:pStyle w:val="ListParagraph"/>
        <w:numPr>
          <w:ilvl w:val="0"/>
          <w:numId w:val="6"/>
        </w:numPr>
        <w:tabs>
          <w:tab w:pos="815" w:val="left" w:leader="none"/>
        </w:tabs>
        <w:spacing w:line="275" w:lineRule="exact" w:before="3" w:after="0"/>
        <w:ind w:left="815" w:right="0" w:hanging="138"/>
        <w:jc w:val="left"/>
        <w:rPr>
          <w:sz w:val="24"/>
        </w:rPr>
      </w:pPr>
      <w:r>
        <w:rPr>
          <w:sz w:val="24"/>
        </w:rPr>
        <w:t>отсутствие угрозы</w:t>
      </w:r>
      <w:r>
        <w:rPr>
          <w:spacing w:val="-6"/>
          <w:sz w:val="24"/>
        </w:rPr>
        <w:t> </w:t>
      </w:r>
      <w:r>
        <w:rPr>
          <w:sz w:val="24"/>
        </w:rPr>
        <w:t>развития</w:t>
      </w:r>
      <w:r>
        <w:rPr>
          <w:spacing w:val="-7"/>
          <w:sz w:val="24"/>
        </w:rPr>
        <w:t> </w:t>
      </w:r>
      <w:r>
        <w:rPr>
          <w:sz w:val="24"/>
        </w:rPr>
        <w:t>осложнений,</w:t>
      </w:r>
      <w:r>
        <w:rPr>
          <w:spacing w:val="-2"/>
          <w:sz w:val="24"/>
        </w:rPr>
        <w:t> </w:t>
      </w:r>
      <w:r>
        <w:rPr>
          <w:sz w:val="24"/>
        </w:rPr>
        <w:t>требующих</w:t>
      </w:r>
      <w:r>
        <w:rPr>
          <w:spacing w:val="-7"/>
          <w:sz w:val="24"/>
        </w:rPr>
        <w:t> </w:t>
      </w:r>
      <w:r>
        <w:rPr>
          <w:sz w:val="24"/>
        </w:rPr>
        <w:t>неотложного</w:t>
      </w:r>
      <w:r>
        <w:rPr>
          <w:spacing w:val="-3"/>
          <w:sz w:val="24"/>
        </w:rPr>
        <w:t> </w:t>
      </w:r>
      <w:r>
        <w:rPr>
          <w:spacing w:val="-2"/>
          <w:sz w:val="24"/>
        </w:rPr>
        <w:t>лечения;</w:t>
      </w:r>
    </w:p>
    <w:p>
      <w:pPr>
        <w:pStyle w:val="ListParagraph"/>
        <w:numPr>
          <w:ilvl w:val="0"/>
          <w:numId w:val="6"/>
        </w:numPr>
        <w:tabs>
          <w:tab w:pos="1071" w:val="left" w:leader="none"/>
          <w:tab w:pos="2759" w:val="left" w:leader="none"/>
          <w:tab w:pos="4102" w:val="left" w:leader="none"/>
          <w:tab w:pos="4534" w:val="left" w:leader="none"/>
          <w:tab w:pos="5843" w:val="left" w:leader="none"/>
          <w:tab w:pos="8541" w:val="left" w:leader="none"/>
        </w:tabs>
        <w:spacing w:line="242" w:lineRule="auto" w:before="0" w:after="0"/>
        <w:ind w:left="139" w:right="143" w:firstLine="538"/>
        <w:jc w:val="left"/>
        <w:rPr>
          <w:sz w:val="24"/>
        </w:rPr>
      </w:pPr>
      <w:r>
        <w:rPr>
          <w:spacing w:val="-2"/>
          <w:sz w:val="24"/>
        </w:rPr>
        <w:t>стабилизация</w:t>
      </w:r>
      <w:r>
        <w:rPr>
          <w:sz w:val="24"/>
        </w:rPr>
        <w:tab/>
      </w:r>
      <w:r>
        <w:rPr>
          <w:spacing w:val="-2"/>
          <w:sz w:val="24"/>
        </w:rPr>
        <w:t>состояния</w:t>
      </w:r>
      <w:r>
        <w:rPr>
          <w:sz w:val="24"/>
        </w:rPr>
        <w:tab/>
      </w:r>
      <w:r>
        <w:rPr>
          <w:spacing w:val="-10"/>
          <w:sz w:val="24"/>
        </w:rPr>
        <w:t>и</w:t>
      </w:r>
      <w:r>
        <w:rPr>
          <w:sz w:val="24"/>
        </w:rPr>
        <w:tab/>
      </w:r>
      <w:r>
        <w:rPr>
          <w:spacing w:val="-2"/>
          <w:sz w:val="24"/>
        </w:rPr>
        <w:t>основных</w:t>
      </w:r>
      <w:r>
        <w:rPr>
          <w:sz w:val="24"/>
        </w:rPr>
        <w:tab/>
      </w:r>
      <w:r>
        <w:rPr>
          <w:spacing w:val="-2"/>
          <w:sz w:val="24"/>
        </w:rPr>
        <w:t>клинико-лабораторных</w:t>
      </w:r>
      <w:r>
        <w:rPr>
          <w:sz w:val="24"/>
        </w:rPr>
        <w:tab/>
      </w:r>
      <w:r>
        <w:rPr>
          <w:spacing w:val="-2"/>
          <w:sz w:val="24"/>
        </w:rPr>
        <w:t>показателей </w:t>
      </w:r>
      <w:r>
        <w:rPr>
          <w:sz w:val="24"/>
        </w:rPr>
        <w:t>патологического процесса по основному заболеванию;</w:t>
      </w:r>
    </w:p>
    <w:p>
      <w:pPr>
        <w:pStyle w:val="ListParagraph"/>
        <w:numPr>
          <w:ilvl w:val="0"/>
          <w:numId w:val="6"/>
        </w:numPr>
        <w:tabs>
          <w:tab w:pos="844" w:val="left" w:leader="none"/>
        </w:tabs>
        <w:spacing w:line="237" w:lineRule="auto" w:before="0" w:after="0"/>
        <w:ind w:left="139" w:right="149" w:firstLine="538"/>
        <w:jc w:val="left"/>
        <w:rPr>
          <w:sz w:val="24"/>
        </w:rPr>
      </w:pPr>
      <w:r>
        <w:rPr>
          <w:sz w:val="24"/>
        </w:rPr>
        <w:t>отсутствие необходимости в постоянном врачебном и круглосуточном медицинском наблюдении по основному заболеванию;</w:t>
      </w:r>
    </w:p>
    <w:p>
      <w:pPr>
        <w:pStyle w:val="ListParagraph"/>
        <w:numPr>
          <w:ilvl w:val="0"/>
          <w:numId w:val="6"/>
        </w:numPr>
        <w:tabs>
          <w:tab w:pos="853" w:val="left" w:leader="none"/>
        </w:tabs>
        <w:spacing w:line="240" w:lineRule="auto" w:before="0" w:after="0"/>
        <w:ind w:left="139" w:right="152" w:firstLine="538"/>
        <w:jc w:val="left"/>
        <w:rPr>
          <w:sz w:val="24"/>
        </w:rPr>
      </w:pPr>
      <w:r>
        <w:rPr>
          <w:sz w:val="24"/>
        </w:rPr>
        <w:t>необходимости перевода</w:t>
      </w:r>
      <w:r>
        <w:rPr>
          <w:spacing w:val="29"/>
          <w:sz w:val="24"/>
        </w:rPr>
        <w:t> </w:t>
      </w:r>
      <w:r>
        <w:rPr>
          <w:sz w:val="24"/>
        </w:rPr>
        <w:t>пациента в другую</w:t>
      </w:r>
      <w:r>
        <w:rPr>
          <w:spacing w:val="33"/>
          <w:sz w:val="24"/>
        </w:rPr>
        <w:t> </w:t>
      </w:r>
      <w:r>
        <w:rPr>
          <w:sz w:val="24"/>
        </w:rPr>
        <w:t>больницу или</w:t>
      </w:r>
      <w:r>
        <w:rPr>
          <w:spacing w:val="31"/>
          <w:sz w:val="24"/>
        </w:rPr>
        <w:t> </w:t>
      </w:r>
      <w:r>
        <w:rPr>
          <w:sz w:val="24"/>
        </w:rPr>
        <w:t>учреждение</w:t>
      </w:r>
      <w:r>
        <w:rPr>
          <w:spacing w:val="29"/>
          <w:sz w:val="24"/>
        </w:rPr>
        <w:t> </w:t>
      </w:r>
      <w:r>
        <w:rPr>
          <w:sz w:val="24"/>
        </w:rPr>
        <w:t>социального </w:t>
      </w:r>
      <w:r>
        <w:rPr>
          <w:spacing w:val="-2"/>
          <w:sz w:val="24"/>
        </w:rPr>
        <w:t>обеспечения.</w:t>
      </w:r>
    </w:p>
    <w:p>
      <w:pPr>
        <w:pStyle w:val="BodyText"/>
        <w:spacing w:before="3"/>
        <w:ind w:left="0"/>
        <w:jc w:val="left"/>
      </w:pPr>
    </w:p>
    <w:p>
      <w:pPr>
        <w:pStyle w:val="Heading1"/>
        <w:ind w:left="682" w:firstLine="0"/>
      </w:pPr>
      <w:bookmarkStart w:name="Принципы организации медицинской помощи " w:id="51"/>
      <w:bookmarkEnd w:id="51"/>
      <w:r>
        <w:rPr>
          <w:b w:val="0"/>
        </w:rPr>
      </w:r>
      <w:r>
        <w:rPr/>
        <w:t>Принципы</w:t>
      </w:r>
      <w:r>
        <w:rPr>
          <w:spacing w:val="-8"/>
        </w:rPr>
        <w:t> </w:t>
      </w:r>
      <w:r>
        <w:rPr/>
        <w:t>организации</w:t>
      </w:r>
      <w:r>
        <w:rPr>
          <w:spacing w:val="-13"/>
        </w:rPr>
        <w:t> </w:t>
      </w:r>
      <w:r>
        <w:rPr/>
        <w:t>медицинской</w:t>
      </w:r>
      <w:r>
        <w:rPr>
          <w:spacing w:val="-9"/>
        </w:rPr>
        <w:t> </w:t>
      </w:r>
      <w:r>
        <w:rPr/>
        <w:t>помощи</w:t>
      </w:r>
      <w:r>
        <w:rPr>
          <w:spacing w:val="-12"/>
        </w:rPr>
        <w:t> </w:t>
      </w:r>
      <w:r>
        <w:rPr/>
        <w:t>пациентам</w:t>
      </w:r>
      <w:r>
        <w:rPr>
          <w:spacing w:val="-9"/>
        </w:rPr>
        <w:t> </w:t>
      </w:r>
      <w:r>
        <w:rPr/>
        <w:t>с</w:t>
      </w:r>
      <w:r>
        <w:rPr>
          <w:spacing w:val="-10"/>
        </w:rPr>
        <w:t> </w:t>
      </w:r>
      <w:r>
        <w:rPr>
          <w:spacing w:val="-4"/>
        </w:rPr>
        <w:t>ДЛКЛ</w:t>
      </w:r>
    </w:p>
    <w:p>
      <w:pPr>
        <w:pStyle w:val="BodyText"/>
        <w:spacing w:before="239"/>
        <w:ind w:right="136" w:firstLine="542"/>
      </w:pPr>
      <w:r>
        <w:rPr/>
        <w:t>Постановка диагноза ДЛКЛ ставит много вопросов перед родственниками пациента и перед специалистами, работающими с такими пациентами. Многочисленные проблемы, возникающие при обнаружении и развитии заболевания, для решения которых требуется грамотная организация процесса помощи при участии мультидисциплинарной команды специалистов и соблюдение основных принципов и подходов к ее оказанию.</w:t>
      </w:r>
    </w:p>
    <w:p>
      <w:pPr>
        <w:pStyle w:val="BodyText"/>
        <w:spacing w:line="242" w:lineRule="auto"/>
        <w:ind w:right="153" w:firstLine="538"/>
      </w:pPr>
      <w:r>
        <w:rPr/>
        <w:t>Данные принципы должны соблюдаться на любом этапе оказания медицинской помощи, как в момент постановки диагноза, так и на любом этапе наблюдения пациента.</w:t>
      </w:r>
    </w:p>
    <w:p>
      <w:pPr>
        <w:pStyle w:val="ListParagraph"/>
        <w:numPr>
          <w:ilvl w:val="0"/>
          <w:numId w:val="7"/>
        </w:numPr>
        <w:tabs>
          <w:tab w:pos="954" w:val="left" w:leader="none"/>
        </w:tabs>
        <w:spacing w:line="242" w:lineRule="auto" w:before="0" w:after="0"/>
        <w:ind w:left="139" w:right="149" w:firstLine="538"/>
        <w:jc w:val="both"/>
        <w:rPr>
          <w:sz w:val="24"/>
        </w:rPr>
      </w:pPr>
      <w:r>
        <w:rPr>
          <w:sz w:val="24"/>
        </w:rPr>
        <w:t>Пациент и его представители должны получать полную информацию о заболевании, его течении, патогенезе, прогнозах, осложнениях и методах возможной терапии.</w:t>
      </w:r>
    </w:p>
    <w:p>
      <w:pPr>
        <w:pStyle w:val="ListParagraph"/>
        <w:numPr>
          <w:ilvl w:val="0"/>
          <w:numId w:val="7"/>
        </w:numPr>
        <w:tabs>
          <w:tab w:pos="1299" w:val="left" w:leader="none"/>
        </w:tabs>
        <w:spacing w:line="242" w:lineRule="auto" w:before="0" w:after="0"/>
        <w:ind w:left="139" w:right="147" w:firstLine="538"/>
        <w:jc w:val="both"/>
        <w:rPr>
          <w:sz w:val="24"/>
        </w:rPr>
      </w:pPr>
      <w:r>
        <w:rPr>
          <w:sz w:val="24"/>
        </w:rPr>
        <w:t>Диагноз ДЛКЛ подразумевает возможность оказания первичной, специализированной и паллиативной помощи на всех этапах заболевания.</w:t>
      </w:r>
    </w:p>
    <w:p>
      <w:pPr>
        <w:pStyle w:val="ListParagraph"/>
        <w:numPr>
          <w:ilvl w:val="0"/>
          <w:numId w:val="7"/>
        </w:numPr>
        <w:tabs>
          <w:tab w:pos="1011" w:val="left" w:leader="none"/>
        </w:tabs>
        <w:spacing w:line="240" w:lineRule="auto" w:before="0" w:after="0"/>
        <w:ind w:left="139" w:right="142" w:firstLine="538"/>
        <w:jc w:val="both"/>
        <w:rPr>
          <w:sz w:val="24"/>
        </w:rPr>
      </w:pPr>
      <w:r>
        <w:rPr>
          <w:sz w:val="24"/>
        </w:rPr>
        <w:t>При постановке диагноза ДЛКЛ семья должна быть направлена к специалисту, имеющему опыт работы с пациентами с этим заболеванием, обладающему современной информацией о течении заболевания и возможности участия в клинических испытаниях (новых лекарственных препаратов и/или технических устройств). Также важным является информирование семей о существующих общественных организациях, работающих с этой группой пациентов.</w:t>
      </w:r>
    </w:p>
    <w:p>
      <w:pPr>
        <w:pStyle w:val="Heading1"/>
        <w:spacing w:line="242" w:lineRule="auto" w:before="262"/>
        <w:ind w:right="153"/>
        <w:jc w:val="both"/>
      </w:pPr>
      <w:bookmarkStart w:name="Особенности организации медицинской помо" w:id="52"/>
      <w:bookmarkEnd w:id="52"/>
      <w:r>
        <w:rPr>
          <w:b w:val="0"/>
        </w:rPr>
      </w:r>
      <w:r>
        <w:rPr/>
        <w:t>Особенности организации медицинской помощи пациентам с инфантильной формой ДЛКЛ (Болезнью Вольмана)</w:t>
      </w:r>
    </w:p>
    <w:p>
      <w:pPr>
        <w:pStyle w:val="BodyText"/>
        <w:spacing w:line="237" w:lineRule="auto" w:before="235"/>
        <w:ind w:right="138" w:firstLine="542"/>
      </w:pPr>
      <w:r>
        <w:rPr/>
        <w:t>Учитывая быстрый характер прогрессирования БВ, все дети с данным диагнозом нуждаются</w:t>
      </w:r>
      <w:r>
        <w:rPr>
          <w:spacing w:val="62"/>
        </w:rPr>
        <w:t>  </w:t>
      </w:r>
      <w:r>
        <w:rPr/>
        <w:t>в</w:t>
      </w:r>
      <w:r>
        <w:rPr>
          <w:spacing w:val="63"/>
        </w:rPr>
        <w:t>  </w:t>
      </w:r>
      <w:r>
        <w:rPr/>
        <w:t>стационарном</w:t>
      </w:r>
      <w:r>
        <w:rPr>
          <w:spacing w:val="60"/>
        </w:rPr>
        <w:t>  </w:t>
      </w:r>
      <w:r>
        <w:rPr/>
        <w:t>наблюдении,</w:t>
      </w:r>
      <w:r>
        <w:rPr>
          <w:spacing w:val="60"/>
        </w:rPr>
        <w:t>  </w:t>
      </w:r>
      <w:r>
        <w:rPr/>
        <w:t>при</w:t>
      </w:r>
      <w:r>
        <w:rPr>
          <w:spacing w:val="60"/>
        </w:rPr>
        <w:t>  </w:t>
      </w:r>
      <w:r>
        <w:rPr/>
        <w:t>необходимости</w:t>
      </w:r>
      <w:r>
        <w:rPr>
          <w:spacing w:val="65"/>
        </w:rPr>
        <w:t>  </w:t>
      </w:r>
      <w:r>
        <w:rPr/>
        <w:t>–</w:t>
      </w:r>
      <w:r>
        <w:rPr>
          <w:spacing w:val="62"/>
        </w:rPr>
        <w:t>  </w:t>
      </w:r>
      <w:r>
        <w:rPr/>
        <w:t>с</w:t>
      </w:r>
      <w:r>
        <w:rPr>
          <w:spacing w:val="59"/>
        </w:rPr>
        <w:t>  </w:t>
      </w:r>
      <w:r>
        <w:rPr/>
        <w:t>переводом</w:t>
      </w:r>
      <w:r>
        <w:rPr>
          <w:spacing w:val="60"/>
        </w:rPr>
        <w:t>  </w:t>
      </w:r>
      <w:r>
        <w:rPr/>
        <w:t>в</w:t>
      </w:r>
    </w:p>
    <w:p>
      <w:pPr>
        <w:spacing w:after="0" w:line="237" w:lineRule="auto"/>
        <w:sectPr>
          <w:pgSz w:w="11910" w:h="16840"/>
          <w:pgMar w:header="572" w:footer="1177" w:top="1320" w:bottom="1360" w:left="1560" w:right="420"/>
        </w:sectPr>
      </w:pPr>
    </w:p>
    <w:p>
      <w:pPr>
        <w:pStyle w:val="BodyText"/>
        <w:spacing w:line="242" w:lineRule="auto" w:before="80"/>
        <w:jc w:val="left"/>
      </w:pPr>
      <w:r>
        <w:rPr/>
        <w:t>реанимационное</w:t>
      </w:r>
      <w:r>
        <w:rPr>
          <w:spacing w:val="80"/>
        </w:rPr>
        <w:t> </w:t>
      </w:r>
      <w:r>
        <w:rPr/>
        <w:t>отделение,</w:t>
      </w:r>
      <w:r>
        <w:rPr>
          <w:spacing w:val="80"/>
        </w:rPr>
        <w:t> </w:t>
      </w:r>
      <w:r>
        <w:rPr/>
        <w:t>в</w:t>
      </w:r>
      <w:r>
        <w:rPr>
          <w:spacing w:val="80"/>
        </w:rPr>
        <w:t> </w:t>
      </w:r>
      <w:r>
        <w:rPr/>
        <w:t>котором</w:t>
      </w:r>
      <w:r>
        <w:rPr>
          <w:spacing w:val="80"/>
        </w:rPr>
        <w:t> </w:t>
      </w:r>
      <w:r>
        <w:rPr/>
        <w:t>проводится</w:t>
      </w:r>
      <w:r>
        <w:rPr>
          <w:spacing w:val="80"/>
        </w:rPr>
        <w:t> </w:t>
      </w:r>
      <w:r>
        <w:rPr/>
        <w:t>лечение</w:t>
      </w:r>
      <w:r>
        <w:rPr>
          <w:spacing w:val="80"/>
        </w:rPr>
        <w:t> </w:t>
      </w:r>
      <w:r>
        <w:rPr/>
        <w:t>тяжелой</w:t>
      </w:r>
      <w:r>
        <w:rPr>
          <w:spacing w:val="80"/>
        </w:rPr>
        <w:t> </w:t>
      </w:r>
      <w:r>
        <w:rPr/>
        <w:t>прогрессирующей печеночной недостаточности согласно соответствующим клиническим рекомендациям.</w:t>
      </w:r>
    </w:p>
    <w:p>
      <w:pPr>
        <w:pStyle w:val="BodyText"/>
        <w:spacing w:before="234"/>
        <w:ind w:right="136" w:firstLine="542"/>
      </w:pPr>
      <w:r>
        <w:rPr/>
        <w:t>- При БВ пациентов наблюдает врач-гастроэнтеролог (и/или врач-педиатр), а также врач-генетик, необходима консультация врача-диетолога с целью назначения низкожировой диеты, а в ряде ситуаций и парентерального питания.) [</w:t>
      </w:r>
      <w:hyperlink w:history="true" w:anchor="_bookmark2">
        <w:r>
          <w:rPr>
            <w:color w:val="0000FF"/>
          </w:rPr>
          <w:t>2</w:t>
        </w:r>
      </w:hyperlink>
      <w:r>
        <w:rPr/>
        <w:t>, </w:t>
      </w:r>
      <w:hyperlink w:history="true" w:anchor="_bookmark14">
        <w:r>
          <w:rPr>
            <w:color w:val="0000FF"/>
          </w:rPr>
          <w:t>15</w:t>
        </w:r>
      </w:hyperlink>
      <w:r>
        <w:rPr/>
        <w:t>]. Показаны консультация врача- кардиолога (врача-кардиолога детского) с целью оценки нарушений сердечно-сосудистой системы и назначения лечения [</w:t>
      </w:r>
      <w:hyperlink w:history="true" w:anchor="_bookmark2">
        <w:r>
          <w:rPr>
            <w:color w:val="0000FF"/>
          </w:rPr>
          <w:t>2</w:t>
        </w:r>
      </w:hyperlink>
      <w:r>
        <w:rPr/>
        <w:t>, </w:t>
      </w:r>
      <w:hyperlink w:history="true" w:anchor="_bookmark12">
        <w:r>
          <w:rPr>
            <w:color w:val="0000FF"/>
          </w:rPr>
          <w:t>13</w:t>
        </w:r>
      </w:hyperlink>
      <w:r>
        <w:rPr/>
        <w:t>, </w:t>
      </w:r>
      <w:hyperlink w:history="true" w:anchor="_bookmark14">
        <w:r>
          <w:rPr>
            <w:color w:val="0000FF"/>
          </w:rPr>
          <w:t>15</w:t>
        </w:r>
      </w:hyperlink>
      <w:r>
        <w:rPr/>
        <w:t>, </w:t>
      </w:r>
      <w:hyperlink w:history="true" w:anchor="_bookmark19">
        <w:r>
          <w:rPr>
            <w:color w:val="0000FF"/>
          </w:rPr>
          <w:t>20</w:t>
        </w:r>
      </w:hyperlink>
      <w:r>
        <w:rPr/>
        <w:t>, </w:t>
      </w:r>
      <w:hyperlink w:history="true" w:anchor="_bookmark22">
        <w:r>
          <w:rPr>
            <w:color w:val="0000FF"/>
          </w:rPr>
          <w:t>26</w:t>
        </w:r>
      </w:hyperlink>
      <w:r>
        <w:rPr/>
        <w:t>], консультация врача-эндокринолога с целью оценки функции надпочечников и своевременного назначения гормонозаместительной терапии, врача-невролога с целью оценки нарушений со стороны нервной системы, врача- трансплантолога при наличии показаний для трансплантации печени. В жизнеугрожающих состояниях необходимо участие врача-анестезиолога-реаниматолога.</w:t>
      </w:r>
    </w:p>
    <w:p>
      <w:pPr>
        <w:pStyle w:val="BodyText"/>
        <w:spacing w:before="7"/>
        <w:ind w:left="0"/>
        <w:jc w:val="left"/>
      </w:pPr>
    </w:p>
    <w:p>
      <w:pPr>
        <w:pStyle w:val="Heading1"/>
        <w:ind w:left="682" w:firstLine="0"/>
      </w:pPr>
      <w:bookmarkStart w:name="Особенности организации медицинской помо" w:id="53"/>
      <w:bookmarkEnd w:id="53"/>
      <w:r>
        <w:rPr>
          <w:b w:val="0"/>
        </w:rPr>
      </w:r>
      <w:r>
        <w:rPr/>
        <w:t>Особенности</w:t>
      </w:r>
      <w:r>
        <w:rPr>
          <w:spacing w:val="-8"/>
        </w:rPr>
        <w:t> </w:t>
      </w:r>
      <w:r>
        <w:rPr/>
        <w:t>организации</w:t>
      </w:r>
      <w:r>
        <w:rPr>
          <w:spacing w:val="-12"/>
        </w:rPr>
        <w:t> </w:t>
      </w:r>
      <w:r>
        <w:rPr/>
        <w:t>медицинской</w:t>
      </w:r>
      <w:r>
        <w:rPr>
          <w:spacing w:val="-13"/>
        </w:rPr>
        <w:t> </w:t>
      </w:r>
      <w:r>
        <w:rPr/>
        <w:t>помощи</w:t>
      </w:r>
      <w:r>
        <w:rPr>
          <w:spacing w:val="-11"/>
        </w:rPr>
        <w:t> </w:t>
      </w:r>
      <w:r>
        <w:rPr/>
        <w:t>пациентам</w:t>
      </w:r>
      <w:r>
        <w:rPr>
          <w:spacing w:val="-8"/>
        </w:rPr>
        <w:t> </w:t>
      </w:r>
      <w:r>
        <w:rPr/>
        <w:t>с</w:t>
      </w:r>
      <w:r>
        <w:rPr>
          <w:spacing w:val="-9"/>
        </w:rPr>
        <w:t> </w:t>
      </w:r>
      <w:r>
        <w:rPr>
          <w:spacing w:val="-4"/>
        </w:rPr>
        <w:t>БНЭХ</w:t>
      </w:r>
    </w:p>
    <w:p>
      <w:pPr>
        <w:pStyle w:val="BodyText"/>
        <w:spacing w:before="234"/>
        <w:ind w:right="135" w:firstLine="542"/>
      </w:pPr>
      <w:r>
        <w:rPr/>
        <w:t>При БНЭХ пациентов наблюдает врач-гастроэнтеролог, врач-терапевт (и/или, в детской практике, врач-педиатр) или врач общей практики (семейный врач) в среднем, 1 раз в 6-12 мес. (в соответствии с тяжестью состояния) показано комплексное обследование амбулаторно, в условиях дневного стационара и в многопрофильных стационарах.</w:t>
      </w:r>
    </w:p>
    <w:p>
      <w:pPr>
        <w:pStyle w:val="BodyText"/>
        <w:spacing w:before="1"/>
        <w:ind w:right="141" w:firstLine="538"/>
      </w:pPr>
      <w:r>
        <w:rPr/>
        <w:t>А также врач-генетик, необходима консультация врача-диетолога с целью назначения низкожировой диеты (подбор специализированной диеты с ограничением животных жиров) [</w:t>
      </w:r>
      <w:hyperlink w:history="true" w:anchor="_bookmark2">
        <w:r>
          <w:rPr>
            <w:color w:val="0000FF"/>
          </w:rPr>
          <w:t>2</w:t>
        </w:r>
      </w:hyperlink>
      <w:r>
        <w:rPr/>
        <w:t>, </w:t>
      </w:r>
      <w:hyperlink w:history="true" w:anchor="_bookmark14">
        <w:r>
          <w:rPr>
            <w:color w:val="0000FF"/>
          </w:rPr>
          <w:t>15</w:t>
        </w:r>
      </w:hyperlink>
      <w:r>
        <w:rPr/>
        <w:t>], консультация врача-кардиолога (врача-кардиолога детского) с целью оценки нарушений сердечно-сосудистой системы и терапии (оценка сосудистого риска, назначение лечения) [</w:t>
      </w:r>
      <w:hyperlink w:history="true" w:anchor="_bookmark2">
        <w:r>
          <w:rPr>
            <w:color w:val="0000FF"/>
          </w:rPr>
          <w:t>2</w:t>
        </w:r>
      </w:hyperlink>
      <w:r>
        <w:rPr/>
        <w:t>, </w:t>
      </w:r>
      <w:hyperlink w:history="true" w:anchor="_bookmark12">
        <w:r>
          <w:rPr>
            <w:color w:val="0000FF"/>
          </w:rPr>
          <w:t>13</w:t>
        </w:r>
      </w:hyperlink>
      <w:r>
        <w:rPr/>
        <w:t>, </w:t>
      </w:r>
      <w:hyperlink w:history="true" w:anchor="_bookmark14">
        <w:r>
          <w:rPr>
            <w:color w:val="0000FF"/>
          </w:rPr>
          <w:t>15</w:t>
        </w:r>
      </w:hyperlink>
      <w:r>
        <w:rPr/>
        <w:t>, </w:t>
      </w:r>
      <w:hyperlink w:history="true" w:anchor="_bookmark19">
        <w:r>
          <w:rPr>
            <w:color w:val="0000FF"/>
          </w:rPr>
          <w:t>20</w:t>
        </w:r>
      </w:hyperlink>
      <w:r>
        <w:rPr/>
        <w:t>, </w:t>
      </w:r>
      <w:hyperlink w:history="true" w:anchor="_bookmark22">
        <w:r>
          <w:rPr>
            <w:color w:val="0000FF"/>
          </w:rPr>
          <w:t>26</w:t>
        </w:r>
      </w:hyperlink>
      <w:r>
        <w:rPr/>
        <w:t>], консультация врача-трансплантолога при наличии показаний для трансплантации печени. В жизнеугрожающих состояниях необходимо участие врача- </w:t>
      </w:r>
      <w:r>
        <w:rPr>
          <w:spacing w:val="-2"/>
        </w:rPr>
        <w:t>анестезиолога-реаниматолога.</w:t>
      </w:r>
    </w:p>
    <w:p>
      <w:pPr>
        <w:pStyle w:val="BodyText"/>
        <w:spacing w:line="237" w:lineRule="auto" w:before="5"/>
        <w:ind w:right="151" w:firstLine="538"/>
      </w:pPr>
      <w:r>
        <w:rPr/>
        <w:t>Другие специалисты должны привлекаться по мере возникновения специфических </w:t>
      </w:r>
      <w:r>
        <w:rPr>
          <w:spacing w:val="-2"/>
        </w:rPr>
        <w:t>проблем.</w:t>
      </w:r>
    </w:p>
    <w:p>
      <w:pPr>
        <w:pStyle w:val="BodyText"/>
        <w:spacing w:before="7"/>
        <w:ind w:left="0"/>
        <w:jc w:val="left"/>
      </w:pPr>
    </w:p>
    <w:p>
      <w:pPr>
        <w:pStyle w:val="Heading1"/>
        <w:numPr>
          <w:ilvl w:val="0"/>
          <w:numId w:val="2"/>
        </w:numPr>
        <w:tabs>
          <w:tab w:pos="996" w:val="left" w:leader="none"/>
        </w:tabs>
        <w:spacing w:line="240" w:lineRule="auto" w:before="0" w:after="0"/>
        <w:ind w:left="139" w:right="154" w:firstLine="542"/>
        <w:jc w:val="left"/>
      </w:pPr>
      <w:bookmarkStart w:name="7. Дополнительная информация (в том числ" w:id="54"/>
      <w:bookmarkEnd w:id="54"/>
      <w:r>
        <w:rPr>
          <w:b w:val="0"/>
        </w:rPr>
      </w:r>
      <w:r>
        <w:rPr/>
        <w:t>Дополнительная информация (в том числе факторы, влияющие на исход заболевания или состояния)</w:t>
      </w:r>
    </w:p>
    <w:p>
      <w:pPr>
        <w:pStyle w:val="BodyText"/>
        <w:spacing w:before="272"/>
        <w:ind w:right="137" w:firstLine="542"/>
      </w:pPr>
      <w:r>
        <w:rPr/>
        <w:t>Прогноз при БНЭХ зависит от возраста манифестации заболевания и выраженности клинических проявлений. Своевременная диагностика и назначение патогенетической терапии на ранних стадиях заболевания определяет благоприятный прогноз и улучшает качество жизни детей с БНЭХ, предотвращая развитие цирроза печени.</w:t>
      </w:r>
    </w:p>
    <w:p>
      <w:pPr>
        <w:pStyle w:val="BodyText"/>
        <w:spacing w:line="237" w:lineRule="auto" w:before="3"/>
        <w:ind w:right="144" w:firstLine="538"/>
      </w:pPr>
      <w:r>
        <w:rPr/>
        <w:t>При инфантильной форме ДЛКЛ (болезни Вольмана) без проведения ФЗТ прогноз неблагоприятный (летальный исход в возрасте до 6 месяцев).</w:t>
      </w:r>
    </w:p>
    <w:p>
      <w:pPr>
        <w:pStyle w:val="BodyText"/>
        <w:spacing w:before="6"/>
        <w:ind w:left="0"/>
        <w:jc w:val="left"/>
      </w:pPr>
    </w:p>
    <w:p>
      <w:pPr>
        <w:pStyle w:val="Heading1"/>
        <w:spacing w:before="1"/>
        <w:ind w:left="682" w:firstLine="0"/>
      </w:pPr>
      <w:bookmarkStart w:name="Критерии оценки качества медицинской пом" w:id="55"/>
      <w:bookmarkEnd w:id="55"/>
      <w:r>
        <w:rPr>
          <w:b w:val="0"/>
        </w:rPr>
      </w:r>
      <w:r>
        <w:rPr/>
        <w:t>Критерии</w:t>
      </w:r>
      <w:r>
        <w:rPr>
          <w:spacing w:val="-13"/>
        </w:rPr>
        <w:t> </w:t>
      </w:r>
      <w:r>
        <w:rPr/>
        <w:t>оценки</w:t>
      </w:r>
      <w:r>
        <w:rPr>
          <w:spacing w:val="-13"/>
        </w:rPr>
        <w:t> </w:t>
      </w:r>
      <w:r>
        <w:rPr/>
        <w:t>качества</w:t>
      </w:r>
      <w:r>
        <w:rPr>
          <w:spacing w:val="-12"/>
        </w:rPr>
        <w:t> </w:t>
      </w:r>
      <w:r>
        <w:rPr/>
        <w:t>медицинской</w:t>
      </w:r>
      <w:r>
        <w:rPr>
          <w:spacing w:val="-12"/>
        </w:rPr>
        <w:t> </w:t>
      </w:r>
      <w:r>
        <w:rPr>
          <w:spacing w:val="-2"/>
        </w:rPr>
        <w:t>помощи</w:t>
      </w:r>
    </w:p>
    <w:p>
      <w:pPr>
        <w:pStyle w:val="BodyText"/>
        <w:spacing w:before="239"/>
        <w:ind w:left="682"/>
        <w:jc w:val="left"/>
      </w:pPr>
      <w:r>
        <w:rPr/>
        <w:t>при</w:t>
      </w:r>
      <w:r>
        <w:rPr>
          <w:spacing w:val="-11"/>
        </w:rPr>
        <w:t> </w:t>
      </w:r>
      <w:r>
        <w:rPr/>
        <w:t>оказании</w:t>
      </w:r>
      <w:r>
        <w:rPr>
          <w:spacing w:val="-8"/>
        </w:rPr>
        <w:t> </w:t>
      </w:r>
      <w:r>
        <w:rPr/>
        <w:t>специализированной</w:t>
      </w:r>
      <w:r>
        <w:rPr>
          <w:spacing w:val="-9"/>
        </w:rPr>
        <w:t> </w:t>
      </w:r>
      <w:r>
        <w:rPr/>
        <w:t>медицинской</w:t>
      </w:r>
      <w:r>
        <w:rPr>
          <w:spacing w:val="-3"/>
        </w:rPr>
        <w:t> </w:t>
      </w:r>
      <w:r>
        <w:rPr>
          <w:spacing w:val="-2"/>
        </w:rPr>
        <w:t>помощи</w:t>
      </w:r>
    </w:p>
    <w:p>
      <w:pPr>
        <w:pStyle w:val="BodyText"/>
        <w:spacing w:before="5"/>
        <w:ind w:left="0"/>
        <w:jc w:val="left"/>
      </w:pPr>
    </w:p>
    <w:p>
      <w:pPr>
        <w:spacing w:before="0"/>
        <w:ind w:left="682" w:right="0" w:firstLine="0"/>
        <w:jc w:val="left"/>
        <w:rPr>
          <w:b/>
          <w:sz w:val="28"/>
        </w:rPr>
      </w:pPr>
      <w:bookmarkStart w:name="Критерии качества при БВ" w:id="56"/>
      <w:bookmarkEnd w:id="56"/>
      <w:r>
        <w:rPr/>
      </w:r>
      <w:r>
        <w:rPr>
          <w:b/>
          <w:sz w:val="28"/>
        </w:rPr>
        <w:t>Критерии</w:t>
      </w:r>
      <w:r>
        <w:rPr>
          <w:b/>
          <w:spacing w:val="-11"/>
          <w:sz w:val="28"/>
        </w:rPr>
        <w:t> </w:t>
      </w:r>
      <w:r>
        <w:rPr>
          <w:b/>
          <w:sz w:val="28"/>
        </w:rPr>
        <w:t>качества</w:t>
      </w:r>
      <w:r>
        <w:rPr>
          <w:b/>
          <w:spacing w:val="-8"/>
          <w:sz w:val="28"/>
        </w:rPr>
        <w:t> </w:t>
      </w:r>
      <w:r>
        <w:rPr>
          <w:b/>
          <w:sz w:val="28"/>
        </w:rPr>
        <w:t>при</w:t>
      </w:r>
      <w:r>
        <w:rPr>
          <w:b/>
          <w:spacing w:val="-10"/>
          <w:sz w:val="28"/>
        </w:rPr>
        <w:t> </w:t>
      </w:r>
      <w:r>
        <w:rPr>
          <w:b/>
          <w:spacing w:val="-5"/>
          <w:sz w:val="28"/>
        </w:rPr>
        <w:t>БВ</w:t>
      </w:r>
    </w:p>
    <w:p>
      <w:pPr>
        <w:pStyle w:val="BodyText"/>
        <w:spacing w:before="46"/>
        <w:ind w:left="0"/>
        <w:jc w:val="left"/>
        <w:rPr>
          <w:b/>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43"/>
        <w:gridCol w:w="7472"/>
        <w:gridCol w:w="1628"/>
      </w:tblGrid>
      <w:tr>
        <w:trPr>
          <w:trHeight w:val="667" w:hRule="atLeast"/>
        </w:trPr>
        <w:tc>
          <w:tcPr>
            <w:tcW w:w="543" w:type="dxa"/>
          </w:tcPr>
          <w:p>
            <w:pPr>
              <w:pStyle w:val="TableParagraph"/>
              <w:ind w:left="182"/>
              <w:rPr>
                <w:sz w:val="24"/>
              </w:rPr>
            </w:pPr>
            <w:r>
              <w:rPr>
                <w:spacing w:val="-10"/>
                <w:sz w:val="24"/>
              </w:rPr>
              <w:t>N</w:t>
            </w:r>
          </w:p>
        </w:tc>
        <w:tc>
          <w:tcPr>
            <w:tcW w:w="7472" w:type="dxa"/>
          </w:tcPr>
          <w:p>
            <w:pPr>
              <w:pStyle w:val="TableParagraph"/>
              <w:ind w:left="11"/>
              <w:jc w:val="center"/>
              <w:rPr>
                <w:sz w:val="24"/>
              </w:rPr>
            </w:pPr>
            <w:r>
              <w:rPr>
                <w:sz w:val="24"/>
              </w:rPr>
              <w:t>Критерии</w:t>
            </w:r>
            <w:r>
              <w:rPr>
                <w:spacing w:val="-3"/>
                <w:sz w:val="24"/>
              </w:rPr>
              <w:t> </w:t>
            </w:r>
            <w:r>
              <w:rPr>
                <w:spacing w:val="-2"/>
                <w:sz w:val="24"/>
              </w:rPr>
              <w:t>качества</w:t>
            </w:r>
          </w:p>
        </w:tc>
        <w:tc>
          <w:tcPr>
            <w:tcW w:w="1628" w:type="dxa"/>
          </w:tcPr>
          <w:p>
            <w:pPr>
              <w:pStyle w:val="TableParagraph"/>
              <w:spacing w:line="242" w:lineRule="auto"/>
              <w:ind w:left="191" w:firstLine="240"/>
              <w:rPr>
                <w:sz w:val="24"/>
              </w:rPr>
            </w:pPr>
            <w:r>
              <w:rPr>
                <w:spacing w:val="-2"/>
                <w:sz w:val="24"/>
              </w:rPr>
              <w:t>Оценка выполнения</w:t>
            </w:r>
          </w:p>
        </w:tc>
      </w:tr>
      <w:tr>
        <w:trPr>
          <w:trHeight w:val="388" w:hRule="atLeast"/>
        </w:trPr>
        <w:tc>
          <w:tcPr>
            <w:tcW w:w="543" w:type="dxa"/>
          </w:tcPr>
          <w:p>
            <w:pPr>
              <w:pStyle w:val="TableParagraph"/>
              <w:rPr>
                <w:sz w:val="24"/>
              </w:rPr>
            </w:pPr>
            <w:r>
              <w:rPr>
                <w:spacing w:val="-5"/>
                <w:sz w:val="24"/>
              </w:rPr>
              <w:t>1.</w:t>
            </w:r>
          </w:p>
        </w:tc>
        <w:tc>
          <w:tcPr>
            <w:tcW w:w="7472" w:type="dxa"/>
          </w:tcPr>
          <w:p>
            <w:pPr>
              <w:pStyle w:val="TableParagraph"/>
              <w:ind w:left="11" w:right="4"/>
              <w:jc w:val="center"/>
              <w:rPr>
                <w:sz w:val="24"/>
              </w:rPr>
            </w:pPr>
            <w:r>
              <w:rPr>
                <w:sz w:val="24"/>
              </w:rPr>
              <w:t>Выполнено</w:t>
            </w:r>
            <w:r>
              <w:rPr>
                <w:spacing w:val="59"/>
                <w:w w:val="150"/>
                <w:sz w:val="24"/>
              </w:rPr>
              <w:t> </w:t>
            </w:r>
            <w:r>
              <w:rPr>
                <w:sz w:val="24"/>
              </w:rPr>
              <w:t>определение</w:t>
            </w:r>
            <w:r>
              <w:rPr>
                <w:spacing w:val="61"/>
                <w:w w:val="150"/>
                <w:sz w:val="24"/>
              </w:rPr>
              <w:t> </w:t>
            </w:r>
            <w:r>
              <w:rPr>
                <w:sz w:val="24"/>
              </w:rPr>
              <w:t>активности</w:t>
            </w:r>
            <w:r>
              <w:rPr>
                <w:spacing w:val="59"/>
                <w:w w:val="150"/>
                <w:sz w:val="24"/>
              </w:rPr>
              <w:t> </w:t>
            </w:r>
            <w:r>
              <w:rPr>
                <w:sz w:val="24"/>
              </w:rPr>
              <w:t>лизосомной</w:t>
            </w:r>
            <w:r>
              <w:rPr>
                <w:spacing w:val="59"/>
                <w:w w:val="150"/>
                <w:sz w:val="24"/>
              </w:rPr>
              <w:t> </w:t>
            </w:r>
            <w:r>
              <w:rPr>
                <w:sz w:val="24"/>
              </w:rPr>
              <w:t>кислой</w:t>
            </w:r>
            <w:r>
              <w:rPr>
                <w:spacing w:val="63"/>
                <w:w w:val="150"/>
                <w:sz w:val="24"/>
              </w:rPr>
              <w:t> </w:t>
            </w:r>
            <w:r>
              <w:rPr>
                <w:sz w:val="24"/>
              </w:rPr>
              <w:t>липазы</w:t>
            </w:r>
            <w:r>
              <w:rPr>
                <w:spacing w:val="60"/>
                <w:w w:val="150"/>
                <w:sz w:val="24"/>
              </w:rPr>
              <w:t> </w:t>
            </w:r>
            <w:r>
              <w:rPr>
                <w:spacing w:val="-10"/>
                <w:sz w:val="24"/>
              </w:rPr>
              <w:t>в</w:t>
            </w:r>
          </w:p>
        </w:tc>
        <w:tc>
          <w:tcPr>
            <w:tcW w:w="1628" w:type="dxa"/>
          </w:tcPr>
          <w:p>
            <w:pPr>
              <w:pStyle w:val="TableParagraph"/>
              <w:ind w:left="61"/>
              <w:rPr>
                <w:sz w:val="24"/>
              </w:rPr>
            </w:pPr>
            <w:r>
              <w:rPr>
                <w:spacing w:val="-2"/>
                <w:sz w:val="24"/>
              </w:rPr>
              <w:t>Да/Нет</w:t>
            </w:r>
          </w:p>
        </w:tc>
      </w:tr>
    </w:tbl>
    <w:p>
      <w:pPr>
        <w:spacing w:after="0"/>
        <w:rPr>
          <w:sz w:val="24"/>
        </w:rPr>
        <w:sectPr>
          <w:pgSz w:w="11910" w:h="16840"/>
          <w:pgMar w:header="572" w:footer="1177" w:top="1320" w:bottom="1360" w:left="1560" w:right="420"/>
        </w:sectPr>
      </w:pPr>
    </w:p>
    <w:p>
      <w:pPr>
        <w:pStyle w:val="BodyText"/>
        <w:spacing w:before="7"/>
        <w:ind w:left="0"/>
        <w:jc w:val="left"/>
        <w:rPr>
          <w:b/>
          <w:sz w:val="7"/>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43"/>
        <w:gridCol w:w="7472"/>
        <w:gridCol w:w="1628"/>
      </w:tblGrid>
      <w:tr>
        <w:trPr>
          <w:trHeight w:val="945" w:hRule="atLeast"/>
        </w:trPr>
        <w:tc>
          <w:tcPr>
            <w:tcW w:w="543" w:type="dxa"/>
          </w:tcPr>
          <w:p>
            <w:pPr>
              <w:pStyle w:val="TableParagraph"/>
              <w:spacing w:before="0"/>
              <w:ind w:left="0"/>
              <w:rPr>
                <w:sz w:val="22"/>
              </w:rPr>
            </w:pPr>
          </w:p>
        </w:tc>
        <w:tc>
          <w:tcPr>
            <w:tcW w:w="7472" w:type="dxa"/>
          </w:tcPr>
          <w:p>
            <w:pPr>
              <w:pStyle w:val="TableParagraph"/>
              <w:ind w:right="52"/>
              <w:jc w:val="both"/>
              <w:rPr>
                <w:sz w:val="24"/>
              </w:rPr>
            </w:pPr>
            <w:r>
              <w:rPr>
                <w:sz w:val="24"/>
              </w:rPr>
              <w:t>пятнах высушенной крови или лейкоцитах периферической крови и/или молекулярно-генетическое исследование (выявление мутаций в гене LIPA) (при постановке диагноза)</w:t>
            </w:r>
          </w:p>
        </w:tc>
        <w:tc>
          <w:tcPr>
            <w:tcW w:w="1628" w:type="dxa"/>
          </w:tcPr>
          <w:p>
            <w:pPr>
              <w:pStyle w:val="TableParagraph"/>
              <w:spacing w:before="0"/>
              <w:ind w:left="0"/>
              <w:rPr>
                <w:sz w:val="22"/>
              </w:rPr>
            </w:pPr>
          </w:p>
        </w:tc>
      </w:tr>
      <w:tr>
        <w:trPr>
          <w:trHeight w:val="667" w:hRule="atLeast"/>
        </w:trPr>
        <w:tc>
          <w:tcPr>
            <w:tcW w:w="543" w:type="dxa"/>
          </w:tcPr>
          <w:p>
            <w:pPr>
              <w:pStyle w:val="TableParagraph"/>
              <w:spacing w:before="50"/>
              <w:rPr>
                <w:sz w:val="24"/>
              </w:rPr>
            </w:pPr>
            <w:r>
              <w:rPr>
                <w:spacing w:val="-5"/>
                <w:sz w:val="24"/>
              </w:rPr>
              <w:t>2.</w:t>
            </w:r>
          </w:p>
        </w:tc>
        <w:tc>
          <w:tcPr>
            <w:tcW w:w="7472" w:type="dxa"/>
          </w:tcPr>
          <w:p>
            <w:pPr>
              <w:pStyle w:val="TableParagraph"/>
              <w:spacing w:line="237" w:lineRule="auto" w:before="52"/>
              <w:rPr>
                <w:sz w:val="24"/>
              </w:rPr>
            </w:pPr>
            <w:r>
              <w:rPr>
                <w:sz w:val="24"/>
              </w:rPr>
              <w:t>Назначена ферментная заместительная</w:t>
            </w:r>
            <w:r>
              <w:rPr>
                <w:spacing w:val="-2"/>
                <w:sz w:val="24"/>
              </w:rPr>
              <w:t> </w:t>
            </w:r>
            <w:r>
              <w:rPr>
                <w:sz w:val="24"/>
              </w:rPr>
              <w:t>терапия</w:t>
            </w:r>
            <w:r>
              <w:rPr>
                <w:spacing w:val="-2"/>
                <w:sz w:val="24"/>
              </w:rPr>
              <w:t> </w:t>
            </w:r>
            <w:r>
              <w:rPr>
                <w:sz w:val="24"/>
              </w:rPr>
              <w:t>препаратом</w:t>
            </w:r>
            <w:r>
              <w:rPr>
                <w:spacing w:val="-1"/>
                <w:sz w:val="24"/>
              </w:rPr>
              <w:t> </w:t>
            </w:r>
            <w:r>
              <w:rPr>
                <w:sz w:val="24"/>
              </w:rPr>
              <w:t>себелипаза альфа** при отсутствии противопоказаний</w:t>
            </w:r>
          </w:p>
        </w:tc>
        <w:tc>
          <w:tcPr>
            <w:tcW w:w="1628" w:type="dxa"/>
          </w:tcPr>
          <w:p>
            <w:pPr>
              <w:pStyle w:val="TableParagraph"/>
              <w:spacing w:before="50"/>
              <w:ind w:left="61"/>
              <w:rPr>
                <w:sz w:val="24"/>
              </w:rPr>
            </w:pPr>
            <w:r>
              <w:rPr>
                <w:spacing w:val="-2"/>
                <w:sz w:val="24"/>
              </w:rPr>
              <w:t>Да/Нет</w:t>
            </w:r>
          </w:p>
        </w:tc>
      </w:tr>
      <w:tr>
        <w:trPr>
          <w:trHeight w:val="662" w:hRule="atLeast"/>
        </w:trPr>
        <w:tc>
          <w:tcPr>
            <w:tcW w:w="543" w:type="dxa"/>
          </w:tcPr>
          <w:p>
            <w:pPr>
              <w:pStyle w:val="TableParagraph"/>
              <w:rPr>
                <w:sz w:val="24"/>
              </w:rPr>
            </w:pPr>
            <w:r>
              <w:rPr>
                <w:spacing w:val="-5"/>
                <w:sz w:val="24"/>
              </w:rPr>
              <w:t>3.</w:t>
            </w:r>
          </w:p>
        </w:tc>
        <w:tc>
          <w:tcPr>
            <w:tcW w:w="7472" w:type="dxa"/>
          </w:tcPr>
          <w:p>
            <w:pPr>
              <w:pStyle w:val="TableParagraph"/>
              <w:spacing w:line="237" w:lineRule="auto" w:before="51"/>
              <w:rPr>
                <w:sz w:val="24"/>
              </w:rPr>
            </w:pPr>
            <w:r>
              <w:rPr>
                <w:sz w:val="24"/>
              </w:rPr>
              <w:t>Выполнено</w:t>
            </w:r>
            <w:r>
              <w:rPr>
                <w:spacing w:val="40"/>
                <w:sz w:val="24"/>
              </w:rPr>
              <w:t> </w:t>
            </w:r>
            <w:r>
              <w:rPr>
                <w:sz w:val="24"/>
              </w:rPr>
              <w:t>ультразвуковое</w:t>
            </w:r>
            <w:r>
              <w:rPr>
                <w:spacing w:val="40"/>
                <w:sz w:val="24"/>
              </w:rPr>
              <w:t> </w:t>
            </w:r>
            <w:r>
              <w:rPr>
                <w:sz w:val="24"/>
              </w:rPr>
              <w:t>исследования</w:t>
            </w:r>
            <w:r>
              <w:rPr>
                <w:spacing w:val="40"/>
                <w:sz w:val="24"/>
              </w:rPr>
              <w:t> </w:t>
            </w:r>
            <w:r>
              <w:rPr>
                <w:sz w:val="24"/>
              </w:rPr>
              <w:t>органов</w:t>
            </w:r>
            <w:r>
              <w:rPr>
                <w:spacing w:val="40"/>
                <w:sz w:val="24"/>
              </w:rPr>
              <w:t> </w:t>
            </w:r>
            <w:r>
              <w:rPr>
                <w:sz w:val="24"/>
              </w:rPr>
              <w:t>брюшной</w:t>
            </w:r>
            <w:r>
              <w:rPr>
                <w:spacing w:val="40"/>
                <w:sz w:val="24"/>
              </w:rPr>
              <w:t> </w:t>
            </w:r>
            <w:r>
              <w:rPr>
                <w:sz w:val="24"/>
              </w:rPr>
              <w:t>полости (комплексное) и дуплексное сканирование сосудов печени</w:t>
            </w:r>
          </w:p>
        </w:tc>
        <w:tc>
          <w:tcPr>
            <w:tcW w:w="1628" w:type="dxa"/>
          </w:tcPr>
          <w:p>
            <w:pPr>
              <w:pStyle w:val="TableParagraph"/>
              <w:ind w:left="61"/>
              <w:rPr>
                <w:sz w:val="24"/>
              </w:rPr>
            </w:pPr>
            <w:r>
              <w:rPr>
                <w:spacing w:val="-2"/>
                <w:sz w:val="24"/>
              </w:rPr>
              <w:t>Да/Нет</w:t>
            </w:r>
          </w:p>
        </w:tc>
      </w:tr>
      <w:tr>
        <w:trPr>
          <w:trHeight w:val="1219" w:hRule="atLeast"/>
        </w:trPr>
        <w:tc>
          <w:tcPr>
            <w:tcW w:w="543" w:type="dxa"/>
          </w:tcPr>
          <w:p>
            <w:pPr>
              <w:pStyle w:val="TableParagraph"/>
              <w:rPr>
                <w:sz w:val="24"/>
              </w:rPr>
            </w:pPr>
            <w:r>
              <w:rPr>
                <w:spacing w:val="-5"/>
                <w:sz w:val="24"/>
              </w:rPr>
              <w:t>4.</w:t>
            </w:r>
          </w:p>
        </w:tc>
        <w:tc>
          <w:tcPr>
            <w:tcW w:w="7472" w:type="dxa"/>
          </w:tcPr>
          <w:p>
            <w:pPr>
              <w:pStyle w:val="TableParagraph"/>
              <w:ind w:right="56"/>
              <w:jc w:val="both"/>
              <w:rPr>
                <w:sz w:val="24"/>
              </w:rPr>
            </w:pPr>
            <w:r>
              <w:rPr>
                <w:sz w:val="24"/>
              </w:rPr>
              <w:t>Выполнено ультразвуковое исследование (УЗИ) брюшной полости (ультразвуковое исследование органов брюшной полости (комплексное)) и забрюшинного пространства (в т.ч., ультразвуковое исследование надпочечников)</w:t>
            </w:r>
          </w:p>
        </w:tc>
        <w:tc>
          <w:tcPr>
            <w:tcW w:w="1628" w:type="dxa"/>
          </w:tcPr>
          <w:p>
            <w:pPr>
              <w:pStyle w:val="TableParagraph"/>
              <w:ind w:left="61"/>
              <w:rPr>
                <w:sz w:val="24"/>
              </w:rPr>
            </w:pPr>
            <w:r>
              <w:rPr>
                <w:spacing w:val="-2"/>
                <w:sz w:val="24"/>
              </w:rPr>
              <w:t>Да/Нет</w:t>
            </w:r>
          </w:p>
        </w:tc>
      </w:tr>
      <w:tr>
        <w:trPr>
          <w:trHeight w:val="393" w:hRule="atLeast"/>
        </w:trPr>
        <w:tc>
          <w:tcPr>
            <w:tcW w:w="543" w:type="dxa"/>
          </w:tcPr>
          <w:p>
            <w:pPr>
              <w:pStyle w:val="TableParagraph"/>
              <w:rPr>
                <w:sz w:val="24"/>
              </w:rPr>
            </w:pPr>
            <w:r>
              <w:rPr>
                <w:spacing w:val="-5"/>
                <w:sz w:val="24"/>
              </w:rPr>
              <w:t>5.</w:t>
            </w:r>
          </w:p>
        </w:tc>
        <w:tc>
          <w:tcPr>
            <w:tcW w:w="7472" w:type="dxa"/>
          </w:tcPr>
          <w:p>
            <w:pPr>
              <w:pStyle w:val="TableParagraph"/>
              <w:rPr>
                <w:sz w:val="24"/>
              </w:rPr>
            </w:pPr>
            <w:r>
              <w:rPr>
                <w:sz w:val="24"/>
              </w:rPr>
              <w:t>Проведена</w:t>
            </w:r>
            <w:r>
              <w:rPr>
                <w:spacing w:val="-7"/>
                <w:sz w:val="24"/>
              </w:rPr>
              <w:t> </w:t>
            </w:r>
            <w:r>
              <w:rPr>
                <w:sz w:val="24"/>
              </w:rPr>
              <w:t>консультация</w:t>
            </w:r>
            <w:r>
              <w:rPr>
                <w:spacing w:val="-5"/>
                <w:sz w:val="24"/>
              </w:rPr>
              <w:t> </w:t>
            </w:r>
            <w:r>
              <w:rPr>
                <w:sz w:val="24"/>
              </w:rPr>
              <w:t>врача-</w:t>
            </w:r>
            <w:r>
              <w:rPr>
                <w:spacing w:val="-2"/>
                <w:sz w:val="24"/>
              </w:rPr>
              <w:t>генетика</w:t>
            </w:r>
          </w:p>
        </w:tc>
        <w:tc>
          <w:tcPr>
            <w:tcW w:w="1628" w:type="dxa"/>
          </w:tcPr>
          <w:p>
            <w:pPr>
              <w:pStyle w:val="TableParagraph"/>
              <w:ind w:left="61"/>
              <w:rPr>
                <w:sz w:val="24"/>
              </w:rPr>
            </w:pPr>
            <w:r>
              <w:rPr>
                <w:spacing w:val="-2"/>
                <w:sz w:val="24"/>
              </w:rPr>
              <w:t>Да/Нет</w:t>
            </w:r>
          </w:p>
        </w:tc>
      </w:tr>
      <w:tr>
        <w:trPr>
          <w:trHeight w:val="2597" w:hRule="atLeast"/>
        </w:trPr>
        <w:tc>
          <w:tcPr>
            <w:tcW w:w="543" w:type="dxa"/>
          </w:tcPr>
          <w:p>
            <w:pPr>
              <w:pStyle w:val="TableParagraph"/>
              <w:spacing w:before="44"/>
              <w:rPr>
                <w:sz w:val="24"/>
              </w:rPr>
            </w:pPr>
            <w:r>
              <w:rPr>
                <w:spacing w:val="-5"/>
                <w:sz w:val="24"/>
              </w:rPr>
              <w:t>6.</w:t>
            </w:r>
          </w:p>
        </w:tc>
        <w:tc>
          <w:tcPr>
            <w:tcW w:w="7472" w:type="dxa"/>
          </w:tcPr>
          <w:p>
            <w:pPr>
              <w:pStyle w:val="TableParagraph"/>
              <w:tabs>
                <w:tab w:pos="3708" w:val="left" w:leader="none"/>
                <w:tab w:pos="6246" w:val="left" w:leader="none"/>
              </w:tabs>
              <w:spacing w:before="44"/>
              <w:ind w:right="47"/>
              <w:jc w:val="both"/>
              <w:rPr>
                <w:sz w:val="24"/>
              </w:rPr>
            </w:pPr>
            <w:r>
              <w:rPr>
                <w:sz w:val="24"/>
              </w:rPr>
              <w:t>Выполнен анализ крови биохимический общетерапевтический (исследование уровня холестерина, холестерина липопротеинов высокой плотности, холестерина липопротеинов низкой плотности, триглицеридов, общего белка, альбумина, общего билирубина, билирубина связанного (конъюгированного), билирубина свободного </w:t>
            </w:r>
            <w:r>
              <w:rPr>
                <w:spacing w:val="-2"/>
                <w:sz w:val="24"/>
              </w:rPr>
              <w:t>(неконъюгированного),</w:t>
            </w:r>
            <w:r>
              <w:rPr>
                <w:sz w:val="24"/>
              </w:rPr>
              <w:tab/>
            </w:r>
            <w:r>
              <w:rPr>
                <w:spacing w:val="-2"/>
                <w:sz w:val="24"/>
              </w:rPr>
              <w:t>определение</w:t>
            </w:r>
            <w:r>
              <w:rPr>
                <w:sz w:val="24"/>
              </w:rPr>
              <w:tab/>
            </w:r>
            <w:r>
              <w:rPr>
                <w:spacing w:val="-2"/>
                <w:sz w:val="24"/>
              </w:rPr>
              <w:t>активности </w:t>
            </w:r>
            <w:r>
              <w:rPr>
                <w:sz w:val="24"/>
              </w:rPr>
              <w:t>аспартатаминотрансферазы, аланинаминотрансферазы, гамма- глютамилтрансферазы при диагностике и в процессе диспансерного </w:t>
            </w:r>
            <w:r>
              <w:rPr>
                <w:spacing w:val="-2"/>
                <w:sz w:val="24"/>
              </w:rPr>
              <w:t>наблюдения</w:t>
            </w:r>
          </w:p>
        </w:tc>
        <w:tc>
          <w:tcPr>
            <w:tcW w:w="1628" w:type="dxa"/>
          </w:tcPr>
          <w:p>
            <w:pPr>
              <w:pStyle w:val="TableParagraph"/>
              <w:spacing w:before="44"/>
              <w:ind w:left="61"/>
              <w:rPr>
                <w:sz w:val="24"/>
              </w:rPr>
            </w:pPr>
            <w:r>
              <w:rPr>
                <w:spacing w:val="-2"/>
                <w:sz w:val="24"/>
              </w:rPr>
              <w:t>Да/Нет</w:t>
            </w:r>
          </w:p>
        </w:tc>
      </w:tr>
    </w:tbl>
    <w:p>
      <w:pPr>
        <w:spacing w:before="272"/>
        <w:ind w:left="682" w:right="0" w:firstLine="0"/>
        <w:jc w:val="left"/>
        <w:rPr>
          <w:b/>
          <w:sz w:val="28"/>
        </w:rPr>
      </w:pPr>
      <w:bookmarkStart w:name="Критерии качества при БНЭХ" w:id="57"/>
      <w:bookmarkEnd w:id="57"/>
      <w:r>
        <w:rPr/>
      </w:r>
      <w:r>
        <w:rPr>
          <w:b/>
          <w:sz w:val="28"/>
        </w:rPr>
        <w:t>Критерии</w:t>
      </w:r>
      <w:r>
        <w:rPr>
          <w:b/>
          <w:spacing w:val="-11"/>
          <w:sz w:val="28"/>
        </w:rPr>
        <w:t> </w:t>
      </w:r>
      <w:r>
        <w:rPr>
          <w:b/>
          <w:sz w:val="28"/>
        </w:rPr>
        <w:t>качества</w:t>
      </w:r>
      <w:r>
        <w:rPr>
          <w:b/>
          <w:spacing w:val="-8"/>
          <w:sz w:val="28"/>
        </w:rPr>
        <w:t> </w:t>
      </w:r>
      <w:r>
        <w:rPr>
          <w:b/>
          <w:sz w:val="28"/>
        </w:rPr>
        <w:t>при</w:t>
      </w:r>
      <w:r>
        <w:rPr>
          <w:b/>
          <w:spacing w:val="-10"/>
          <w:sz w:val="28"/>
        </w:rPr>
        <w:t> </w:t>
      </w:r>
      <w:r>
        <w:rPr>
          <w:b/>
          <w:spacing w:val="-4"/>
          <w:sz w:val="28"/>
        </w:rPr>
        <w:t>БНЭХ</w:t>
      </w:r>
    </w:p>
    <w:p>
      <w:pPr>
        <w:pStyle w:val="BodyText"/>
        <w:spacing w:before="50"/>
        <w:ind w:left="0"/>
        <w:jc w:val="left"/>
        <w:rPr>
          <w:b/>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43"/>
        <w:gridCol w:w="7472"/>
        <w:gridCol w:w="1628"/>
      </w:tblGrid>
      <w:tr>
        <w:trPr>
          <w:trHeight w:val="667" w:hRule="atLeast"/>
        </w:trPr>
        <w:tc>
          <w:tcPr>
            <w:tcW w:w="543" w:type="dxa"/>
          </w:tcPr>
          <w:p>
            <w:pPr>
              <w:pStyle w:val="TableParagraph"/>
              <w:ind w:left="182"/>
              <w:rPr>
                <w:sz w:val="24"/>
              </w:rPr>
            </w:pPr>
            <w:r>
              <w:rPr>
                <w:spacing w:val="-10"/>
                <w:sz w:val="24"/>
              </w:rPr>
              <w:t>N</w:t>
            </w:r>
          </w:p>
        </w:tc>
        <w:tc>
          <w:tcPr>
            <w:tcW w:w="7472" w:type="dxa"/>
          </w:tcPr>
          <w:p>
            <w:pPr>
              <w:pStyle w:val="TableParagraph"/>
              <w:ind w:left="11" w:right="4"/>
              <w:jc w:val="center"/>
              <w:rPr>
                <w:sz w:val="24"/>
              </w:rPr>
            </w:pPr>
            <w:r>
              <w:rPr>
                <w:sz w:val="24"/>
              </w:rPr>
              <w:t>Критерии</w:t>
            </w:r>
            <w:r>
              <w:rPr>
                <w:spacing w:val="-3"/>
                <w:sz w:val="24"/>
              </w:rPr>
              <w:t> </w:t>
            </w:r>
            <w:r>
              <w:rPr>
                <w:spacing w:val="-2"/>
                <w:sz w:val="24"/>
              </w:rPr>
              <w:t>качества</w:t>
            </w:r>
          </w:p>
        </w:tc>
        <w:tc>
          <w:tcPr>
            <w:tcW w:w="1628" w:type="dxa"/>
          </w:tcPr>
          <w:p>
            <w:pPr>
              <w:pStyle w:val="TableParagraph"/>
              <w:ind w:left="191" w:firstLine="240"/>
              <w:rPr>
                <w:sz w:val="24"/>
              </w:rPr>
            </w:pPr>
            <w:r>
              <w:rPr>
                <w:spacing w:val="-2"/>
                <w:sz w:val="24"/>
              </w:rPr>
              <w:t>Оценка выполнения</w:t>
            </w:r>
          </w:p>
        </w:tc>
      </w:tr>
      <w:tr>
        <w:trPr>
          <w:trHeight w:val="1218" w:hRule="atLeast"/>
        </w:trPr>
        <w:tc>
          <w:tcPr>
            <w:tcW w:w="543" w:type="dxa"/>
          </w:tcPr>
          <w:p>
            <w:pPr>
              <w:pStyle w:val="TableParagraph"/>
              <w:rPr>
                <w:sz w:val="24"/>
              </w:rPr>
            </w:pPr>
            <w:r>
              <w:rPr>
                <w:spacing w:val="-5"/>
                <w:sz w:val="24"/>
              </w:rPr>
              <w:t>1.</w:t>
            </w:r>
          </w:p>
        </w:tc>
        <w:tc>
          <w:tcPr>
            <w:tcW w:w="7472" w:type="dxa"/>
          </w:tcPr>
          <w:p>
            <w:pPr>
              <w:pStyle w:val="TableParagraph"/>
              <w:ind w:right="52"/>
              <w:jc w:val="both"/>
              <w:rPr>
                <w:sz w:val="24"/>
              </w:rPr>
            </w:pPr>
            <w:r>
              <w:rPr>
                <w:sz w:val="24"/>
              </w:rPr>
              <w:t>Выполнено определение активности лизосомной кислой липазы в пятнах высушенной крови или лейкоцитах периферической крови и/или молекулярно-генетическое исследование (выявление мутаций в гене LIPA) (при постановке диагноза)</w:t>
            </w:r>
          </w:p>
        </w:tc>
        <w:tc>
          <w:tcPr>
            <w:tcW w:w="1628" w:type="dxa"/>
          </w:tcPr>
          <w:p>
            <w:pPr>
              <w:pStyle w:val="TableParagraph"/>
              <w:ind w:left="61"/>
              <w:rPr>
                <w:sz w:val="24"/>
              </w:rPr>
            </w:pPr>
            <w:r>
              <w:rPr>
                <w:spacing w:val="-2"/>
                <w:sz w:val="24"/>
              </w:rPr>
              <w:t>Да/Нет</w:t>
            </w:r>
          </w:p>
        </w:tc>
      </w:tr>
      <w:tr>
        <w:trPr>
          <w:trHeight w:val="662" w:hRule="atLeast"/>
        </w:trPr>
        <w:tc>
          <w:tcPr>
            <w:tcW w:w="543" w:type="dxa"/>
          </w:tcPr>
          <w:p>
            <w:pPr>
              <w:pStyle w:val="TableParagraph"/>
              <w:spacing w:before="50"/>
              <w:rPr>
                <w:sz w:val="24"/>
              </w:rPr>
            </w:pPr>
            <w:r>
              <w:rPr>
                <w:spacing w:val="-5"/>
                <w:sz w:val="24"/>
              </w:rPr>
              <w:t>2.</w:t>
            </w:r>
          </w:p>
        </w:tc>
        <w:tc>
          <w:tcPr>
            <w:tcW w:w="7472" w:type="dxa"/>
          </w:tcPr>
          <w:p>
            <w:pPr>
              <w:pStyle w:val="TableParagraph"/>
              <w:spacing w:line="237" w:lineRule="auto" w:before="52"/>
              <w:rPr>
                <w:sz w:val="24"/>
              </w:rPr>
            </w:pPr>
            <w:r>
              <w:rPr>
                <w:sz w:val="24"/>
              </w:rPr>
              <w:t>Назначена ферментная заместительная</w:t>
            </w:r>
            <w:r>
              <w:rPr>
                <w:spacing w:val="-2"/>
                <w:sz w:val="24"/>
              </w:rPr>
              <w:t> </w:t>
            </w:r>
            <w:r>
              <w:rPr>
                <w:sz w:val="24"/>
              </w:rPr>
              <w:t>терапия</w:t>
            </w:r>
            <w:r>
              <w:rPr>
                <w:spacing w:val="-2"/>
                <w:sz w:val="24"/>
              </w:rPr>
              <w:t> </w:t>
            </w:r>
            <w:r>
              <w:rPr>
                <w:sz w:val="24"/>
              </w:rPr>
              <w:t>препаратом</w:t>
            </w:r>
            <w:r>
              <w:rPr>
                <w:spacing w:val="-1"/>
                <w:sz w:val="24"/>
              </w:rPr>
              <w:t> </w:t>
            </w:r>
            <w:r>
              <w:rPr>
                <w:sz w:val="24"/>
              </w:rPr>
              <w:t>себелипаза альфа при отсутствии противопоказаний</w:t>
            </w:r>
          </w:p>
        </w:tc>
        <w:tc>
          <w:tcPr>
            <w:tcW w:w="1628" w:type="dxa"/>
          </w:tcPr>
          <w:p>
            <w:pPr>
              <w:pStyle w:val="TableParagraph"/>
              <w:spacing w:before="50"/>
              <w:ind w:left="61"/>
              <w:rPr>
                <w:sz w:val="24"/>
              </w:rPr>
            </w:pPr>
            <w:r>
              <w:rPr>
                <w:spacing w:val="-2"/>
                <w:sz w:val="24"/>
              </w:rPr>
              <w:t>Да/Нет</w:t>
            </w:r>
          </w:p>
        </w:tc>
      </w:tr>
      <w:tr>
        <w:trPr>
          <w:trHeight w:val="393" w:hRule="atLeast"/>
        </w:trPr>
        <w:tc>
          <w:tcPr>
            <w:tcW w:w="543" w:type="dxa"/>
          </w:tcPr>
          <w:p>
            <w:pPr>
              <w:pStyle w:val="TableParagraph"/>
              <w:rPr>
                <w:sz w:val="24"/>
              </w:rPr>
            </w:pPr>
            <w:r>
              <w:rPr>
                <w:spacing w:val="-5"/>
                <w:sz w:val="24"/>
              </w:rPr>
              <w:t>3.</w:t>
            </w:r>
          </w:p>
        </w:tc>
        <w:tc>
          <w:tcPr>
            <w:tcW w:w="7472" w:type="dxa"/>
          </w:tcPr>
          <w:p>
            <w:pPr>
              <w:pStyle w:val="TableParagraph"/>
              <w:rPr>
                <w:sz w:val="24"/>
              </w:rPr>
            </w:pPr>
            <w:r>
              <w:rPr>
                <w:sz w:val="24"/>
              </w:rPr>
              <w:t>Выполнена</w:t>
            </w:r>
            <w:r>
              <w:rPr>
                <w:spacing w:val="-4"/>
                <w:sz w:val="24"/>
              </w:rPr>
              <w:t> </w:t>
            </w:r>
            <w:r>
              <w:rPr>
                <w:sz w:val="24"/>
              </w:rPr>
              <w:t>регистрация</w:t>
            </w:r>
            <w:r>
              <w:rPr>
                <w:spacing w:val="-2"/>
                <w:sz w:val="24"/>
              </w:rPr>
              <w:t> </w:t>
            </w:r>
            <w:r>
              <w:rPr>
                <w:sz w:val="24"/>
              </w:rPr>
              <w:t>электрокардиограммы</w:t>
            </w:r>
            <w:r>
              <w:rPr>
                <w:spacing w:val="-9"/>
                <w:sz w:val="24"/>
              </w:rPr>
              <w:t> </w:t>
            </w:r>
            <w:r>
              <w:rPr>
                <w:sz w:val="24"/>
              </w:rPr>
              <w:t>(ЭКГ)</w:t>
            </w:r>
            <w:r>
              <w:rPr>
                <w:spacing w:val="-1"/>
                <w:sz w:val="24"/>
              </w:rPr>
              <w:t> </w:t>
            </w:r>
            <w:r>
              <w:rPr>
                <w:sz w:val="24"/>
              </w:rPr>
              <w:t>каждые</w:t>
            </w:r>
            <w:r>
              <w:rPr>
                <w:spacing w:val="-3"/>
                <w:sz w:val="24"/>
              </w:rPr>
              <w:t> </w:t>
            </w:r>
            <w:r>
              <w:rPr>
                <w:sz w:val="24"/>
              </w:rPr>
              <w:t>1-2</w:t>
            </w:r>
            <w:r>
              <w:rPr>
                <w:spacing w:val="-6"/>
                <w:sz w:val="24"/>
              </w:rPr>
              <w:t> </w:t>
            </w:r>
            <w:r>
              <w:rPr>
                <w:spacing w:val="-4"/>
                <w:sz w:val="24"/>
              </w:rPr>
              <w:t>года</w:t>
            </w:r>
          </w:p>
        </w:tc>
        <w:tc>
          <w:tcPr>
            <w:tcW w:w="1628" w:type="dxa"/>
          </w:tcPr>
          <w:p>
            <w:pPr>
              <w:pStyle w:val="TableParagraph"/>
              <w:ind w:left="61"/>
              <w:rPr>
                <w:sz w:val="24"/>
              </w:rPr>
            </w:pPr>
            <w:r>
              <w:rPr>
                <w:spacing w:val="-2"/>
                <w:sz w:val="24"/>
              </w:rPr>
              <w:t>Да/Нет</w:t>
            </w:r>
          </w:p>
        </w:tc>
      </w:tr>
      <w:tr>
        <w:trPr>
          <w:trHeight w:val="388" w:hRule="atLeast"/>
        </w:trPr>
        <w:tc>
          <w:tcPr>
            <w:tcW w:w="543" w:type="dxa"/>
          </w:tcPr>
          <w:p>
            <w:pPr>
              <w:pStyle w:val="TableParagraph"/>
              <w:rPr>
                <w:sz w:val="24"/>
              </w:rPr>
            </w:pPr>
            <w:r>
              <w:rPr>
                <w:spacing w:val="-5"/>
                <w:sz w:val="24"/>
              </w:rPr>
              <w:t>4.</w:t>
            </w:r>
          </w:p>
        </w:tc>
        <w:tc>
          <w:tcPr>
            <w:tcW w:w="7472" w:type="dxa"/>
          </w:tcPr>
          <w:p>
            <w:pPr>
              <w:pStyle w:val="TableParagraph"/>
              <w:rPr>
                <w:sz w:val="24"/>
              </w:rPr>
            </w:pPr>
            <w:r>
              <w:rPr>
                <w:sz w:val="24"/>
              </w:rPr>
              <w:t>Выполнено проведение</w:t>
            </w:r>
            <w:r>
              <w:rPr>
                <w:spacing w:val="-5"/>
                <w:sz w:val="24"/>
              </w:rPr>
              <w:t> </w:t>
            </w:r>
            <w:r>
              <w:rPr>
                <w:sz w:val="24"/>
              </w:rPr>
              <w:t>эхокардиографии</w:t>
            </w:r>
            <w:r>
              <w:rPr>
                <w:spacing w:val="-7"/>
                <w:sz w:val="24"/>
              </w:rPr>
              <w:t> </w:t>
            </w:r>
            <w:r>
              <w:rPr>
                <w:sz w:val="24"/>
              </w:rPr>
              <w:t>(ЭХО-КГ)</w:t>
            </w:r>
            <w:r>
              <w:rPr>
                <w:spacing w:val="-2"/>
                <w:sz w:val="24"/>
              </w:rPr>
              <w:t> </w:t>
            </w:r>
            <w:r>
              <w:rPr>
                <w:sz w:val="24"/>
              </w:rPr>
              <w:t>каждые</w:t>
            </w:r>
            <w:r>
              <w:rPr>
                <w:spacing w:val="-4"/>
                <w:sz w:val="24"/>
              </w:rPr>
              <w:t> </w:t>
            </w:r>
            <w:r>
              <w:rPr>
                <w:sz w:val="24"/>
              </w:rPr>
              <w:t>1-2</w:t>
            </w:r>
            <w:r>
              <w:rPr>
                <w:spacing w:val="-8"/>
                <w:sz w:val="24"/>
              </w:rPr>
              <w:t> </w:t>
            </w:r>
            <w:r>
              <w:rPr>
                <w:spacing w:val="-4"/>
                <w:sz w:val="24"/>
              </w:rPr>
              <w:t>года</w:t>
            </w:r>
          </w:p>
        </w:tc>
        <w:tc>
          <w:tcPr>
            <w:tcW w:w="1628" w:type="dxa"/>
          </w:tcPr>
          <w:p>
            <w:pPr>
              <w:pStyle w:val="TableParagraph"/>
              <w:ind w:left="61"/>
              <w:rPr>
                <w:sz w:val="24"/>
              </w:rPr>
            </w:pPr>
            <w:r>
              <w:rPr>
                <w:spacing w:val="-2"/>
                <w:sz w:val="24"/>
              </w:rPr>
              <w:t>Да/Нет</w:t>
            </w:r>
          </w:p>
        </w:tc>
      </w:tr>
      <w:tr>
        <w:trPr>
          <w:trHeight w:val="1492" w:hRule="atLeast"/>
        </w:trPr>
        <w:tc>
          <w:tcPr>
            <w:tcW w:w="543" w:type="dxa"/>
          </w:tcPr>
          <w:p>
            <w:pPr>
              <w:pStyle w:val="TableParagraph"/>
              <w:rPr>
                <w:sz w:val="24"/>
              </w:rPr>
            </w:pPr>
            <w:r>
              <w:rPr>
                <w:spacing w:val="-5"/>
                <w:sz w:val="24"/>
              </w:rPr>
              <w:t>5.</w:t>
            </w:r>
          </w:p>
        </w:tc>
        <w:tc>
          <w:tcPr>
            <w:tcW w:w="7472" w:type="dxa"/>
          </w:tcPr>
          <w:p>
            <w:pPr>
              <w:pStyle w:val="TableParagraph"/>
              <w:ind w:right="55"/>
              <w:jc w:val="both"/>
              <w:rPr>
                <w:sz w:val="24"/>
              </w:rPr>
            </w:pPr>
            <w:r>
              <w:rPr>
                <w:sz w:val="24"/>
              </w:rPr>
              <w:t>Выполнено проведение ультразвукового исследования (УЗИ)</w:t>
            </w:r>
            <w:r>
              <w:rPr>
                <w:spacing w:val="40"/>
                <w:sz w:val="24"/>
              </w:rPr>
              <w:t> </w:t>
            </w:r>
            <w:r>
              <w:rPr>
                <w:sz w:val="24"/>
              </w:rPr>
              <w:t>брюшной полости (ультразвуковое исследование органов брюшной полости (комплексное)) и забрюшинного пространства, дуплексного сканирования сосудов печени (дуплексное сканирование сосудов гепатобилиарной зоны), дуплексного сканирования сосудов селезенки</w:t>
            </w:r>
          </w:p>
        </w:tc>
        <w:tc>
          <w:tcPr>
            <w:tcW w:w="1628" w:type="dxa"/>
          </w:tcPr>
          <w:p>
            <w:pPr>
              <w:pStyle w:val="TableParagraph"/>
              <w:ind w:left="61"/>
              <w:rPr>
                <w:sz w:val="24"/>
              </w:rPr>
            </w:pPr>
            <w:r>
              <w:rPr>
                <w:spacing w:val="-2"/>
                <w:sz w:val="24"/>
              </w:rPr>
              <w:t>Да/Нет</w:t>
            </w:r>
          </w:p>
        </w:tc>
      </w:tr>
      <w:tr>
        <w:trPr>
          <w:trHeight w:val="393" w:hRule="atLeast"/>
        </w:trPr>
        <w:tc>
          <w:tcPr>
            <w:tcW w:w="543" w:type="dxa"/>
          </w:tcPr>
          <w:p>
            <w:pPr>
              <w:pStyle w:val="TableParagraph"/>
              <w:rPr>
                <w:sz w:val="24"/>
              </w:rPr>
            </w:pPr>
            <w:r>
              <w:rPr>
                <w:spacing w:val="-5"/>
                <w:sz w:val="24"/>
              </w:rPr>
              <w:t>6.</w:t>
            </w:r>
          </w:p>
        </w:tc>
        <w:tc>
          <w:tcPr>
            <w:tcW w:w="7472" w:type="dxa"/>
          </w:tcPr>
          <w:p>
            <w:pPr>
              <w:pStyle w:val="TableParagraph"/>
              <w:rPr>
                <w:sz w:val="24"/>
              </w:rPr>
            </w:pPr>
            <w:r>
              <w:rPr>
                <w:sz w:val="24"/>
              </w:rPr>
              <w:t>Проведена</w:t>
            </w:r>
            <w:r>
              <w:rPr>
                <w:spacing w:val="-7"/>
                <w:sz w:val="24"/>
              </w:rPr>
              <w:t> </w:t>
            </w:r>
            <w:r>
              <w:rPr>
                <w:sz w:val="24"/>
              </w:rPr>
              <w:t>консультация</w:t>
            </w:r>
            <w:r>
              <w:rPr>
                <w:spacing w:val="-5"/>
                <w:sz w:val="24"/>
              </w:rPr>
              <w:t> </w:t>
            </w:r>
            <w:r>
              <w:rPr>
                <w:sz w:val="24"/>
              </w:rPr>
              <w:t>врача-</w:t>
            </w:r>
            <w:r>
              <w:rPr>
                <w:spacing w:val="-2"/>
                <w:sz w:val="24"/>
              </w:rPr>
              <w:t>генетика</w:t>
            </w:r>
          </w:p>
        </w:tc>
        <w:tc>
          <w:tcPr>
            <w:tcW w:w="1628" w:type="dxa"/>
          </w:tcPr>
          <w:p>
            <w:pPr>
              <w:pStyle w:val="TableParagraph"/>
              <w:ind w:left="61"/>
              <w:rPr>
                <w:sz w:val="24"/>
              </w:rPr>
            </w:pPr>
            <w:r>
              <w:rPr>
                <w:spacing w:val="-2"/>
                <w:sz w:val="24"/>
              </w:rPr>
              <w:t>Да/Нет</w:t>
            </w:r>
          </w:p>
        </w:tc>
      </w:tr>
      <w:tr>
        <w:trPr>
          <w:trHeight w:val="940" w:hRule="atLeast"/>
        </w:trPr>
        <w:tc>
          <w:tcPr>
            <w:tcW w:w="543" w:type="dxa"/>
          </w:tcPr>
          <w:p>
            <w:pPr>
              <w:pStyle w:val="TableParagraph"/>
              <w:spacing w:before="50"/>
              <w:rPr>
                <w:sz w:val="24"/>
              </w:rPr>
            </w:pPr>
            <w:r>
              <w:rPr>
                <w:spacing w:val="-5"/>
                <w:sz w:val="24"/>
              </w:rPr>
              <w:t>8.</w:t>
            </w:r>
          </w:p>
        </w:tc>
        <w:tc>
          <w:tcPr>
            <w:tcW w:w="7472" w:type="dxa"/>
          </w:tcPr>
          <w:p>
            <w:pPr>
              <w:pStyle w:val="TableParagraph"/>
              <w:spacing w:before="50"/>
              <w:ind w:right="48"/>
              <w:jc w:val="both"/>
              <w:rPr>
                <w:sz w:val="24"/>
              </w:rPr>
            </w:pPr>
            <w:r>
              <w:rPr>
                <w:sz w:val="24"/>
              </w:rPr>
              <w:t>Выполнен анализ крови биохимический общетерапевтический (исследование уровня холестерина, холестерина липопротеинов высокой</w:t>
            </w:r>
            <w:r>
              <w:rPr>
                <w:spacing w:val="40"/>
                <w:sz w:val="24"/>
              </w:rPr>
              <w:t> </w:t>
            </w:r>
            <w:r>
              <w:rPr>
                <w:sz w:val="24"/>
              </w:rPr>
              <w:t>плотности,</w:t>
            </w:r>
            <w:r>
              <w:rPr>
                <w:spacing w:val="40"/>
                <w:sz w:val="24"/>
              </w:rPr>
              <w:t> </w:t>
            </w:r>
            <w:r>
              <w:rPr>
                <w:sz w:val="24"/>
              </w:rPr>
              <w:t>холестерина</w:t>
            </w:r>
            <w:r>
              <w:rPr>
                <w:spacing w:val="40"/>
                <w:sz w:val="24"/>
              </w:rPr>
              <w:t> </w:t>
            </w:r>
            <w:r>
              <w:rPr>
                <w:sz w:val="24"/>
              </w:rPr>
              <w:t>липопротеинов</w:t>
            </w:r>
            <w:r>
              <w:rPr>
                <w:spacing w:val="40"/>
                <w:sz w:val="24"/>
              </w:rPr>
              <w:t> </w:t>
            </w:r>
            <w:r>
              <w:rPr>
                <w:sz w:val="24"/>
              </w:rPr>
              <w:t>низкой</w:t>
            </w:r>
            <w:r>
              <w:rPr>
                <w:spacing w:val="40"/>
                <w:sz w:val="24"/>
              </w:rPr>
              <w:t> </w:t>
            </w:r>
            <w:r>
              <w:rPr>
                <w:sz w:val="24"/>
              </w:rPr>
              <w:t>плотности,</w:t>
            </w:r>
          </w:p>
        </w:tc>
        <w:tc>
          <w:tcPr>
            <w:tcW w:w="1628" w:type="dxa"/>
          </w:tcPr>
          <w:p>
            <w:pPr>
              <w:pStyle w:val="TableParagraph"/>
              <w:spacing w:before="50"/>
              <w:ind w:left="61"/>
              <w:rPr>
                <w:sz w:val="24"/>
              </w:rPr>
            </w:pPr>
            <w:r>
              <w:rPr>
                <w:spacing w:val="-2"/>
                <w:sz w:val="24"/>
              </w:rPr>
              <w:t>Да/Нет</w:t>
            </w:r>
          </w:p>
        </w:tc>
      </w:tr>
    </w:tbl>
    <w:p>
      <w:pPr>
        <w:spacing w:after="0"/>
        <w:rPr>
          <w:sz w:val="24"/>
        </w:rPr>
        <w:sectPr>
          <w:pgSz w:w="11910" w:h="16840"/>
          <w:pgMar w:header="572" w:footer="1177" w:top="1320" w:bottom="1360" w:left="1560" w:right="420"/>
        </w:sectPr>
      </w:pPr>
    </w:p>
    <w:p>
      <w:pPr>
        <w:pStyle w:val="BodyText"/>
        <w:spacing w:before="7"/>
        <w:ind w:left="0"/>
        <w:jc w:val="left"/>
        <w:rPr>
          <w:b/>
          <w:sz w:val="7"/>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43"/>
        <w:gridCol w:w="7472"/>
        <w:gridCol w:w="1628"/>
      </w:tblGrid>
      <w:tr>
        <w:trPr>
          <w:trHeight w:val="1771" w:hRule="atLeast"/>
        </w:trPr>
        <w:tc>
          <w:tcPr>
            <w:tcW w:w="543" w:type="dxa"/>
          </w:tcPr>
          <w:p>
            <w:pPr>
              <w:pStyle w:val="TableParagraph"/>
              <w:spacing w:before="0"/>
              <w:ind w:left="0"/>
              <w:rPr>
                <w:sz w:val="22"/>
              </w:rPr>
            </w:pPr>
          </w:p>
        </w:tc>
        <w:tc>
          <w:tcPr>
            <w:tcW w:w="7472" w:type="dxa"/>
          </w:tcPr>
          <w:p>
            <w:pPr>
              <w:pStyle w:val="TableParagraph"/>
              <w:tabs>
                <w:tab w:pos="3708" w:val="left" w:leader="none"/>
                <w:tab w:pos="6246" w:val="left" w:leader="none"/>
              </w:tabs>
              <w:ind w:right="47"/>
              <w:jc w:val="both"/>
              <w:rPr>
                <w:sz w:val="24"/>
              </w:rPr>
            </w:pPr>
            <w:r>
              <w:rPr>
                <w:sz w:val="24"/>
              </w:rPr>
              <w:t>триглицеридов, общего белка, альбумина, общего билирубина, билирубина связанного (конъюгированного), билирубина свободного </w:t>
            </w:r>
            <w:r>
              <w:rPr>
                <w:spacing w:val="-2"/>
                <w:sz w:val="24"/>
              </w:rPr>
              <w:t>(неконъюгированного),</w:t>
            </w:r>
            <w:r>
              <w:rPr>
                <w:sz w:val="24"/>
              </w:rPr>
              <w:tab/>
            </w:r>
            <w:r>
              <w:rPr>
                <w:spacing w:val="-2"/>
                <w:sz w:val="24"/>
              </w:rPr>
              <w:t>определение</w:t>
            </w:r>
            <w:r>
              <w:rPr>
                <w:sz w:val="24"/>
              </w:rPr>
              <w:tab/>
            </w:r>
            <w:r>
              <w:rPr>
                <w:spacing w:val="-2"/>
                <w:sz w:val="24"/>
              </w:rPr>
              <w:t>активности </w:t>
            </w:r>
            <w:r>
              <w:rPr>
                <w:sz w:val="24"/>
              </w:rPr>
              <w:t>аспартатаминотрансферазы, аланинаминотрансферазы, гамма- глютамилтрансферазы) при диагностике и в процессе диспансерного наблюдения, в среднем, каждые 3-6 месяцев</w:t>
            </w:r>
          </w:p>
        </w:tc>
        <w:tc>
          <w:tcPr>
            <w:tcW w:w="1628" w:type="dxa"/>
          </w:tcPr>
          <w:p>
            <w:pPr>
              <w:pStyle w:val="TableParagraph"/>
              <w:spacing w:before="0"/>
              <w:ind w:left="0"/>
              <w:rPr>
                <w:sz w:val="22"/>
              </w:rPr>
            </w:pPr>
          </w:p>
        </w:tc>
      </w:tr>
      <w:tr>
        <w:trPr>
          <w:trHeight w:val="666" w:hRule="atLeast"/>
        </w:trPr>
        <w:tc>
          <w:tcPr>
            <w:tcW w:w="543" w:type="dxa"/>
          </w:tcPr>
          <w:p>
            <w:pPr>
              <w:pStyle w:val="TableParagraph"/>
              <w:rPr>
                <w:sz w:val="24"/>
              </w:rPr>
            </w:pPr>
            <w:r>
              <w:rPr>
                <w:spacing w:val="-5"/>
                <w:sz w:val="24"/>
              </w:rPr>
              <w:t>9.</w:t>
            </w:r>
          </w:p>
        </w:tc>
        <w:tc>
          <w:tcPr>
            <w:tcW w:w="7472" w:type="dxa"/>
          </w:tcPr>
          <w:p>
            <w:pPr>
              <w:pStyle w:val="TableParagraph"/>
              <w:spacing w:line="242" w:lineRule="auto"/>
              <w:rPr>
                <w:sz w:val="24"/>
              </w:rPr>
            </w:pPr>
            <w:r>
              <w:rPr>
                <w:sz w:val="24"/>
              </w:rPr>
              <w:t>Выполнен</w:t>
            </w:r>
            <w:r>
              <w:rPr>
                <w:spacing w:val="39"/>
                <w:sz w:val="24"/>
              </w:rPr>
              <w:t> </w:t>
            </w:r>
            <w:r>
              <w:rPr>
                <w:sz w:val="24"/>
              </w:rPr>
              <w:t>общий</w:t>
            </w:r>
            <w:r>
              <w:rPr>
                <w:spacing w:val="39"/>
                <w:sz w:val="24"/>
              </w:rPr>
              <w:t> </w:t>
            </w:r>
            <w:r>
              <w:rPr>
                <w:sz w:val="24"/>
              </w:rPr>
              <w:t>(клинический)</w:t>
            </w:r>
            <w:r>
              <w:rPr>
                <w:spacing w:val="40"/>
                <w:sz w:val="24"/>
              </w:rPr>
              <w:t> </w:t>
            </w:r>
            <w:r>
              <w:rPr>
                <w:sz w:val="24"/>
              </w:rPr>
              <w:t>анализ</w:t>
            </w:r>
            <w:r>
              <w:rPr>
                <w:spacing w:val="40"/>
                <w:sz w:val="24"/>
              </w:rPr>
              <w:t> </w:t>
            </w:r>
            <w:r>
              <w:rPr>
                <w:sz w:val="24"/>
              </w:rPr>
              <w:t>крови</w:t>
            </w:r>
            <w:r>
              <w:rPr>
                <w:spacing w:val="40"/>
                <w:sz w:val="24"/>
              </w:rPr>
              <w:t> </w:t>
            </w:r>
            <w:r>
              <w:rPr>
                <w:sz w:val="24"/>
              </w:rPr>
              <w:t>развернутый</w:t>
            </w:r>
            <w:r>
              <w:rPr>
                <w:spacing w:val="40"/>
                <w:sz w:val="24"/>
              </w:rPr>
              <w:t> </w:t>
            </w:r>
            <w:r>
              <w:rPr>
                <w:sz w:val="24"/>
              </w:rPr>
              <w:t>(если</w:t>
            </w:r>
            <w:r>
              <w:rPr>
                <w:spacing w:val="40"/>
                <w:sz w:val="24"/>
              </w:rPr>
              <w:t> </w:t>
            </w:r>
            <w:r>
              <w:rPr>
                <w:sz w:val="24"/>
              </w:rPr>
              <w:t>не проводился в предшествующие 6 месяцев)</w:t>
            </w:r>
          </w:p>
        </w:tc>
        <w:tc>
          <w:tcPr>
            <w:tcW w:w="1628" w:type="dxa"/>
          </w:tcPr>
          <w:p>
            <w:pPr>
              <w:pStyle w:val="TableParagraph"/>
              <w:ind w:left="61"/>
              <w:rPr>
                <w:sz w:val="24"/>
              </w:rPr>
            </w:pPr>
            <w:r>
              <w:rPr>
                <w:spacing w:val="-2"/>
                <w:sz w:val="24"/>
              </w:rPr>
              <w:t>Да/Нет</w:t>
            </w:r>
          </w:p>
        </w:tc>
      </w:tr>
    </w:tbl>
    <w:p>
      <w:pPr>
        <w:spacing w:before="277"/>
        <w:ind w:left="682" w:right="0" w:firstLine="0"/>
        <w:jc w:val="left"/>
        <w:rPr>
          <w:b/>
          <w:sz w:val="28"/>
        </w:rPr>
      </w:pPr>
      <w:bookmarkStart w:name="Список литературы" w:id="58"/>
      <w:bookmarkEnd w:id="58"/>
      <w:r>
        <w:rPr/>
      </w:r>
      <w:r>
        <w:rPr>
          <w:b/>
          <w:sz w:val="28"/>
        </w:rPr>
        <w:t>Список</w:t>
      </w:r>
      <w:r>
        <w:rPr>
          <w:b/>
          <w:spacing w:val="-12"/>
          <w:sz w:val="28"/>
        </w:rPr>
        <w:t> </w:t>
      </w:r>
      <w:r>
        <w:rPr>
          <w:b/>
          <w:spacing w:val="-2"/>
          <w:sz w:val="28"/>
        </w:rPr>
        <w:t>литературы</w:t>
      </w:r>
    </w:p>
    <w:p>
      <w:pPr>
        <w:pStyle w:val="ListParagraph"/>
        <w:numPr>
          <w:ilvl w:val="0"/>
          <w:numId w:val="8"/>
        </w:numPr>
        <w:tabs>
          <w:tab w:pos="1026" w:val="left" w:leader="none"/>
        </w:tabs>
        <w:spacing w:line="240" w:lineRule="auto" w:before="234" w:after="0"/>
        <w:ind w:left="139" w:right="146" w:firstLine="542"/>
        <w:jc w:val="both"/>
        <w:rPr>
          <w:sz w:val="24"/>
        </w:rPr>
      </w:pPr>
      <w:bookmarkStart w:name="_bookmark1" w:id="59"/>
      <w:bookmarkEnd w:id="59"/>
      <w:r>
        <w:rPr/>
      </w:r>
      <w:r>
        <w:rPr>
          <w:sz w:val="24"/>
        </w:rPr>
        <w:t>Valayannopoulos V, Mengel E, Brassier A, Grabowski G. Lysosomal acid lipase deficiency: Expanding differential diagnosis. Mol Genet Metab. 2017; 120(1-2): 62-66. doi: </w:t>
      </w:r>
      <w:r>
        <w:rPr>
          <w:spacing w:val="-2"/>
          <w:sz w:val="24"/>
        </w:rPr>
        <w:t>10.1016/j.ymgme.2016.11.002</w:t>
      </w:r>
    </w:p>
    <w:p>
      <w:pPr>
        <w:pStyle w:val="ListParagraph"/>
        <w:numPr>
          <w:ilvl w:val="0"/>
          <w:numId w:val="8"/>
        </w:numPr>
        <w:tabs>
          <w:tab w:pos="978" w:val="left" w:leader="none"/>
        </w:tabs>
        <w:spacing w:line="240" w:lineRule="auto" w:before="0" w:after="0"/>
        <w:ind w:left="139" w:right="151" w:firstLine="538"/>
        <w:jc w:val="both"/>
        <w:rPr>
          <w:sz w:val="24"/>
        </w:rPr>
      </w:pPr>
      <w:bookmarkStart w:name="_bookmark2" w:id="60"/>
      <w:bookmarkEnd w:id="60"/>
      <w:r>
        <w:rPr/>
      </w:r>
      <w:r>
        <w:rPr>
          <w:sz w:val="24"/>
        </w:rPr>
        <w:t>Bernstein DL, Hulkova H, Bialer MG, Desnick RJ. Cholesteryl ester storage disease: review of the findings in 135 reported patients with an underdiagnosed disease. J Hepatol. 2013; 58(6): 1230-1243. doi: 10.1016/j.jhep.2013.02.014</w:t>
      </w:r>
    </w:p>
    <w:p>
      <w:pPr>
        <w:pStyle w:val="ListParagraph"/>
        <w:numPr>
          <w:ilvl w:val="0"/>
          <w:numId w:val="8"/>
        </w:numPr>
        <w:tabs>
          <w:tab w:pos="993" w:val="left" w:leader="none"/>
        </w:tabs>
        <w:spacing w:line="240" w:lineRule="auto" w:before="1" w:after="0"/>
        <w:ind w:left="139" w:right="144" w:firstLine="538"/>
        <w:jc w:val="both"/>
        <w:rPr>
          <w:sz w:val="24"/>
        </w:rPr>
      </w:pPr>
      <w:bookmarkStart w:name="_bookmark3" w:id="61"/>
      <w:bookmarkEnd w:id="61"/>
      <w:r>
        <w:rPr/>
      </w:r>
      <w:r>
        <w:rPr>
          <w:sz w:val="24"/>
        </w:rPr>
        <w:t>Grabowski GA, Charnas L, Du H. Lysosomal acid lipase deficiencies: the Wolman disease/cholesteryl ester storage disease spectrum. In: Scriver Valle D, Beaudet AL, Vogelstein B, Kinzler KW, Antonarakis SE, Ballabio A,editors. Metabolic and molecular bases of inherited disease – OMMBID. New York: McGraw-Hill; 2014</w:t>
      </w:r>
    </w:p>
    <w:p>
      <w:pPr>
        <w:pStyle w:val="ListParagraph"/>
        <w:numPr>
          <w:ilvl w:val="0"/>
          <w:numId w:val="8"/>
        </w:numPr>
        <w:tabs>
          <w:tab w:pos="993" w:val="left" w:leader="none"/>
        </w:tabs>
        <w:spacing w:line="237" w:lineRule="auto" w:before="2" w:after="0"/>
        <w:ind w:left="139" w:right="157" w:firstLine="538"/>
        <w:jc w:val="both"/>
        <w:rPr>
          <w:sz w:val="24"/>
        </w:rPr>
      </w:pPr>
      <w:bookmarkStart w:name="_bookmark4" w:id="62"/>
      <w:bookmarkEnd w:id="62"/>
      <w:r>
        <w:rPr/>
      </w:r>
      <w:r>
        <w:rPr>
          <w:sz w:val="24"/>
        </w:rPr>
        <w:t>Fouchier SW, Defesche JC. Lysosomal acid lipase A and the hypercholesterolaemic phenotype. Curr Opin Lipidol. 2013; 24(4): 332-338. doi: 10.1097/MOL.0b013e328361f6c6</w:t>
      </w:r>
    </w:p>
    <w:p>
      <w:pPr>
        <w:pStyle w:val="ListParagraph"/>
        <w:numPr>
          <w:ilvl w:val="0"/>
          <w:numId w:val="8"/>
        </w:numPr>
        <w:tabs>
          <w:tab w:pos="940" w:val="left" w:leader="none"/>
        </w:tabs>
        <w:spacing w:line="240" w:lineRule="auto" w:before="4" w:after="0"/>
        <w:ind w:left="139" w:right="141" w:firstLine="538"/>
        <w:jc w:val="both"/>
        <w:rPr>
          <w:sz w:val="24"/>
        </w:rPr>
      </w:pPr>
      <w:bookmarkStart w:name="_bookmark5" w:id="63"/>
      <w:bookmarkEnd w:id="63"/>
      <w:r>
        <w:rPr/>
      </w:r>
      <w:r>
        <w:rPr>
          <w:sz w:val="24"/>
        </w:rPr>
        <w:t>Pericleous M, Kelly C, Wang T, Livingstone C, Ala A. Wolman's disease and cholesteryl ester storage disorder: the phenotypic spectrum of lysosomal acid lipase deficiency. Lancet Gastroenterol Hepatol. 2017; 2(9): 670-679. doi: 10.1016/S2468-1253(17) 30052-3</w:t>
      </w:r>
    </w:p>
    <w:p>
      <w:pPr>
        <w:pStyle w:val="ListParagraph"/>
        <w:numPr>
          <w:ilvl w:val="0"/>
          <w:numId w:val="8"/>
        </w:numPr>
        <w:tabs>
          <w:tab w:pos="959" w:val="left" w:leader="none"/>
        </w:tabs>
        <w:spacing w:line="240" w:lineRule="auto" w:before="0" w:after="0"/>
        <w:ind w:left="139" w:right="145" w:firstLine="538"/>
        <w:jc w:val="both"/>
        <w:rPr>
          <w:sz w:val="24"/>
        </w:rPr>
      </w:pPr>
      <w:r>
        <w:rPr>
          <w:sz w:val="24"/>
        </w:rPr>
        <w:t>Santos Silva E, Klaudel-Dreszler M, Bakula A, et al. Early onset lysosomal acid lipase deficiency presenting as secondary hemophagocytic lymphohistiocytosis: Two infants treated with sebelipase alfa. Clin Res Hepatol Gastroenterol. 2018; 42(5): e77-e82. doi: </w:t>
      </w:r>
      <w:r>
        <w:rPr>
          <w:spacing w:val="-2"/>
          <w:sz w:val="24"/>
        </w:rPr>
        <w:t>10.1016/j.clinre.2018.03.012</w:t>
      </w:r>
    </w:p>
    <w:p>
      <w:pPr>
        <w:pStyle w:val="ListParagraph"/>
        <w:numPr>
          <w:ilvl w:val="0"/>
          <w:numId w:val="8"/>
        </w:numPr>
        <w:tabs>
          <w:tab w:pos="926" w:val="left" w:leader="none"/>
        </w:tabs>
        <w:spacing w:line="240" w:lineRule="auto" w:before="0" w:after="0"/>
        <w:ind w:left="139" w:right="152" w:firstLine="538"/>
        <w:jc w:val="both"/>
        <w:rPr>
          <w:sz w:val="24"/>
        </w:rPr>
      </w:pPr>
      <w:bookmarkStart w:name="_bookmark6" w:id="64"/>
      <w:bookmarkEnd w:id="64"/>
      <w:r>
        <w:rPr/>
      </w:r>
      <w:r>
        <w:rPr>
          <w:sz w:val="24"/>
        </w:rPr>
        <w:t>Sadhukhan M, Saha A, Vara R, Bhaduri</w:t>
      </w:r>
      <w:r>
        <w:rPr>
          <w:spacing w:val="-3"/>
          <w:sz w:val="24"/>
        </w:rPr>
        <w:t> </w:t>
      </w:r>
      <w:r>
        <w:rPr>
          <w:sz w:val="24"/>
        </w:rPr>
        <w:t>B. Infant case of lysosomal</w:t>
      </w:r>
      <w:r>
        <w:rPr>
          <w:spacing w:val="-3"/>
          <w:sz w:val="24"/>
        </w:rPr>
        <w:t> </w:t>
      </w:r>
      <w:r>
        <w:rPr>
          <w:sz w:val="24"/>
        </w:rPr>
        <w:t>acid lipase deficiency: Wolman's disease. BMJ Case Rep. 2014; 2014: bcr2013202652. Published 2014 May 15. doi: </w:t>
      </w:r>
      <w:r>
        <w:rPr>
          <w:spacing w:val="-2"/>
          <w:sz w:val="24"/>
        </w:rPr>
        <w:t>10.1136/bcr-2013-202652</w:t>
      </w:r>
    </w:p>
    <w:p>
      <w:pPr>
        <w:pStyle w:val="ListParagraph"/>
        <w:numPr>
          <w:ilvl w:val="0"/>
          <w:numId w:val="8"/>
        </w:numPr>
        <w:tabs>
          <w:tab w:pos="960" w:val="left" w:leader="none"/>
        </w:tabs>
        <w:spacing w:line="240" w:lineRule="auto" w:before="1" w:after="0"/>
        <w:ind w:left="139" w:right="135" w:firstLine="538"/>
        <w:jc w:val="both"/>
        <w:rPr>
          <w:sz w:val="24"/>
        </w:rPr>
      </w:pPr>
      <w:bookmarkStart w:name="_bookmark7" w:id="65"/>
      <w:bookmarkEnd w:id="65"/>
      <w:r>
        <w:rPr/>
      </w:r>
      <w:r>
        <w:rPr>
          <w:sz w:val="24"/>
        </w:rPr>
        <w:t>Каменец Е.А., Печатникова Н.Л., Какаулина В.С., Михайлова С.В., Строкова Т.В., Жаркова М.С., Потехин О.Е., Захарова Е.Ю. Дефицит лизосомной кислой липазы у российских больных: молекулярная характеристика и эпидемиология. Медицинская</w:t>
      </w:r>
      <w:r>
        <w:rPr>
          <w:spacing w:val="40"/>
          <w:sz w:val="24"/>
        </w:rPr>
        <w:t> </w:t>
      </w:r>
      <w:r>
        <w:rPr>
          <w:sz w:val="24"/>
        </w:rPr>
        <w:t>генетика. 2019; 18(8): 3-16.</w:t>
      </w:r>
    </w:p>
    <w:p>
      <w:pPr>
        <w:pStyle w:val="ListParagraph"/>
        <w:numPr>
          <w:ilvl w:val="0"/>
          <w:numId w:val="8"/>
        </w:numPr>
        <w:tabs>
          <w:tab w:pos="974" w:val="left" w:leader="none"/>
        </w:tabs>
        <w:spacing w:line="240" w:lineRule="auto" w:before="0" w:after="0"/>
        <w:ind w:left="139" w:right="140" w:firstLine="538"/>
        <w:jc w:val="both"/>
        <w:rPr>
          <w:sz w:val="24"/>
        </w:rPr>
      </w:pPr>
      <w:bookmarkStart w:name="_bookmark8" w:id="66"/>
      <w:bookmarkEnd w:id="66"/>
      <w:r>
        <w:rPr/>
      </w:r>
      <w:r>
        <w:rPr>
          <w:sz w:val="24"/>
        </w:rPr>
        <w:t>Дегтярева А.В., Пучкова А.А., Жданова С.И., Дегтярев Д.Н. Болезнь Вольмана – тяжелая младенческая форма</w:t>
      </w:r>
      <w:r>
        <w:rPr>
          <w:spacing w:val="-3"/>
          <w:sz w:val="24"/>
        </w:rPr>
        <w:t> </w:t>
      </w:r>
      <w:r>
        <w:rPr>
          <w:sz w:val="24"/>
        </w:rPr>
        <w:t>дефицита лизосомной кислой</w:t>
      </w:r>
      <w:r>
        <w:rPr>
          <w:spacing w:val="-1"/>
          <w:sz w:val="24"/>
        </w:rPr>
        <w:t> </w:t>
      </w:r>
      <w:r>
        <w:rPr>
          <w:sz w:val="24"/>
        </w:rPr>
        <w:t>липазы // Неонатология:</w:t>
      </w:r>
      <w:r>
        <w:rPr>
          <w:spacing w:val="-2"/>
          <w:sz w:val="24"/>
        </w:rPr>
        <w:t> </w:t>
      </w:r>
      <w:r>
        <w:rPr>
          <w:sz w:val="24"/>
        </w:rPr>
        <w:t>новости, мнения, обучение. 2019. Т. 7. N 2. С. 42-51.</w:t>
      </w:r>
    </w:p>
    <w:p>
      <w:pPr>
        <w:pStyle w:val="ListParagraph"/>
        <w:numPr>
          <w:ilvl w:val="0"/>
          <w:numId w:val="8"/>
        </w:numPr>
        <w:tabs>
          <w:tab w:pos="1079" w:val="left" w:leader="none"/>
        </w:tabs>
        <w:spacing w:line="240" w:lineRule="auto" w:before="0" w:after="0"/>
        <w:ind w:left="139" w:right="146" w:firstLine="538"/>
        <w:jc w:val="both"/>
        <w:rPr>
          <w:sz w:val="24"/>
        </w:rPr>
      </w:pPr>
      <w:bookmarkStart w:name="_bookmark9" w:id="67"/>
      <w:bookmarkEnd w:id="67"/>
      <w:r>
        <w:rPr/>
      </w:r>
      <w:r>
        <w:rPr>
          <w:sz w:val="24"/>
        </w:rPr>
        <w:t>Jones SA, Valayannopoulos V, Schneider E, et al. Rapid progression and mortality of lysosomal acid lipase deficiency presenting in infants. Genet Med. 2016; 18(5): 452-458. doi: </w:t>
      </w:r>
      <w:r>
        <w:rPr>
          <w:spacing w:val="-2"/>
          <w:sz w:val="24"/>
        </w:rPr>
        <w:t>10.1038/gim.2015.108</w:t>
      </w:r>
    </w:p>
    <w:p>
      <w:pPr>
        <w:pStyle w:val="ListParagraph"/>
        <w:numPr>
          <w:ilvl w:val="0"/>
          <w:numId w:val="8"/>
        </w:numPr>
        <w:tabs>
          <w:tab w:pos="1070" w:val="left" w:leader="none"/>
        </w:tabs>
        <w:spacing w:line="240" w:lineRule="auto" w:before="1" w:after="0"/>
        <w:ind w:left="139" w:right="136" w:firstLine="538"/>
        <w:jc w:val="both"/>
        <w:rPr>
          <w:sz w:val="24"/>
        </w:rPr>
      </w:pPr>
      <w:bookmarkStart w:name="_bookmark10" w:id="68"/>
      <w:bookmarkEnd w:id="68"/>
      <w:r>
        <w:rPr/>
      </w:r>
      <w:r>
        <w:rPr>
          <w:sz w:val="24"/>
        </w:rPr>
        <w:t>Маевская, М.В., Ивашкин, В.Т., Жаркова, М.С., Некрасова, Т.П., Аюшева, Г.И., &amp; Масленников, Р.В. (2016). Редкие формы неалкогольной жировой болезни печени: наследственный дефицит лизосомной кислой липазы. Гепатология, 3, 41-51.</w:t>
      </w:r>
    </w:p>
    <w:p>
      <w:pPr>
        <w:pStyle w:val="ListParagraph"/>
        <w:numPr>
          <w:ilvl w:val="0"/>
          <w:numId w:val="8"/>
        </w:numPr>
        <w:tabs>
          <w:tab w:pos="1094" w:val="left" w:leader="none"/>
        </w:tabs>
        <w:spacing w:line="240" w:lineRule="auto" w:before="0" w:after="0"/>
        <w:ind w:left="139" w:right="146" w:firstLine="538"/>
        <w:jc w:val="both"/>
        <w:rPr>
          <w:sz w:val="24"/>
        </w:rPr>
      </w:pPr>
      <w:bookmarkStart w:name="_bookmark11" w:id="69"/>
      <w:bookmarkEnd w:id="69"/>
      <w:r>
        <w:rPr/>
      </w:r>
      <w:r>
        <w:rPr>
          <w:sz w:val="24"/>
        </w:rPr>
        <w:t>Desai PK, Astrin KH, Thung SN, et al. Cholesteryl ester storage disease: pathologic changes in an affected fetus. Am J Med Genet. 1987; 26(3): 689-698. doi: </w:t>
      </w:r>
      <w:r>
        <w:rPr>
          <w:spacing w:val="-2"/>
          <w:sz w:val="24"/>
        </w:rPr>
        <w:t>10.1002/ajmg.1320260324</w:t>
      </w:r>
    </w:p>
    <w:p>
      <w:pPr>
        <w:spacing w:after="0" w:line="240" w:lineRule="auto"/>
        <w:jc w:val="both"/>
        <w:rPr>
          <w:sz w:val="24"/>
        </w:rPr>
        <w:sectPr>
          <w:pgSz w:w="11910" w:h="16840"/>
          <w:pgMar w:header="572" w:footer="1177" w:top="1320" w:bottom="1360" w:left="1560" w:right="420"/>
        </w:sectPr>
      </w:pPr>
    </w:p>
    <w:p>
      <w:pPr>
        <w:pStyle w:val="ListParagraph"/>
        <w:numPr>
          <w:ilvl w:val="0"/>
          <w:numId w:val="8"/>
        </w:numPr>
        <w:tabs>
          <w:tab w:pos="1113" w:val="left" w:leader="none"/>
        </w:tabs>
        <w:spacing w:line="240" w:lineRule="auto" w:before="80" w:after="0"/>
        <w:ind w:left="139" w:right="154" w:firstLine="538"/>
        <w:jc w:val="both"/>
        <w:rPr>
          <w:sz w:val="24"/>
        </w:rPr>
      </w:pPr>
      <w:bookmarkStart w:name="_bookmark12" w:id="70"/>
      <w:bookmarkEnd w:id="70"/>
      <w:r>
        <w:rPr/>
      </w:r>
      <w:r>
        <w:rPr>
          <w:sz w:val="24"/>
        </w:rPr>
        <w:t>Decarlis S, Agostoni C, Ferrante F, Scarlino S, Riva E, Giovannini M. Combined hyperlipidaemia as a presenting sign of</w:t>
      </w:r>
      <w:r>
        <w:rPr>
          <w:spacing w:val="-3"/>
          <w:sz w:val="24"/>
        </w:rPr>
        <w:t> </w:t>
      </w:r>
      <w:r>
        <w:rPr>
          <w:sz w:val="24"/>
        </w:rPr>
        <w:t>cholesteryl ester storage disease. J Inherit Metab Dis. 2009; 32 Suppl 1: S11-S13. doi: 10.1007/s10545-008-1027-2</w:t>
      </w:r>
    </w:p>
    <w:p>
      <w:pPr>
        <w:pStyle w:val="ListParagraph"/>
        <w:numPr>
          <w:ilvl w:val="0"/>
          <w:numId w:val="8"/>
        </w:numPr>
        <w:tabs>
          <w:tab w:pos="1074" w:val="left" w:leader="none"/>
        </w:tabs>
        <w:spacing w:line="240" w:lineRule="auto" w:before="2" w:after="0"/>
        <w:ind w:left="139" w:right="149" w:firstLine="538"/>
        <w:jc w:val="both"/>
        <w:rPr>
          <w:sz w:val="24"/>
        </w:rPr>
      </w:pPr>
      <w:bookmarkStart w:name="_bookmark13" w:id="71"/>
      <w:bookmarkEnd w:id="71"/>
      <w:r>
        <w:rPr/>
      </w:r>
      <w:r>
        <w:rPr>
          <w:sz w:val="24"/>
        </w:rPr>
        <w:t>Riva S, Spada M, Sciveres M, et al. Hepatocarcinoma in a child with cholesterol ester storage disease. Dig Liver Dis. 2008; 40(9): 784. doi: 10.1016/j.dld.2008.01.009</w:t>
      </w:r>
    </w:p>
    <w:p>
      <w:pPr>
        <w:pStyle w:val="ListParagraph"/>
        <w:numPr>
          <w:ilvl w:val="0"/>
          <w:numId w:val="8"/>
        </w:numPr>
        <w:tabs>
          <w:tab w:pos="1050" w:val="left" w:leader="none"/>
        </w:tabs>
        <w:spacing w:line="237" w:lineRule="auto" w:before="3" w:after="0"/>
        <w:ind w:left="139" w:right="143" w:firstLine="538"/>
        <w:jc w:val="both"/>
        <w:rPr>
          <w:sz w:val="24"/>
        </w:rPr>
      </w:pPr>
      <w:bookmarkStart w:name="_bookmark14" w:id="72"/>
      <w:bookmarkEnd w:id="72"/>
      <w:r>
        <w:rPr/>
      </w:r>
      <w:r>
        <w:rPr>
          <w:sz w:val="24"/>
        </w:rPr>
        <w:t>Hoffman EP, Barr ML, Giovanni MA, et al. Lysosomal Acid Lipase Deficiency. 2015 Jul 30 [Updated 2016 Sep 1]. In: Adam MP, Ardinger HH, Pagon RA, et al., editors. GeneReviews</w:t>
      </w:r>
      <w:r>
        <w:rPr>
          <w:spacing w:val="-15"/>
          <w:sz w:val="24"/>
        </w:rPr>
        <w:t> </w:t>
      </w:r>
      <w:r>
        <w:rPr>
          <w:position w:val="2"/>
          <w:sz w:val="30"/>
        </w:rPr>
        <w:t>® </w:t>
      </w:r>
      <w:r>
        <w:rPr>
          <w:sz w:val="24"/>
        </w:rPr>
        <w:t>[Internet].</w:t>
      </w:r>
      <w:r>
        <w:rPr>
          <w:spacing w:val="40"/>
          <w:sz w:val="24"/>
        </w:rPr>
        <w:t> </w:t>
      </w:r>
      <w:r>
        <w:rPr>
          <w:sz w:val="24"/>
        </w:rPr>
        <w:t>Seattle</w:t>
      </w:r>
      <w:r>
        <w:rPr>
          <w:spacing w:val="40"/>
          <w:sz w:val="24"/>
        </w:rPr>
        <w:t> </w:t>
      </w:r>
      <w:r>
        <w:rPr>
          <w:sz w:val="24"/>
        </w:rPr>
        <w:t>(WA):</w:t>
      </w:r>
      <w:r>
        <w:rPr>
          <w:spacing w:val="40"/>
          <w:sz w:val="24"/>
        </w:rPr>
        <w:t> </w:t>
      </w:r>
      <w:r>
        <w:rPr>
          <w:sz w:val="24"/>
        </w:rPr>
        <w:t>University</w:t>
      </w:r>
      <w:r>
        <w:rPr>
          <w:spacing w:val="40"/>
          <w:sz w:val="24"/>
        </w:rPr>
        <w:t> </w:t>
      </w:r>
      <w:r>
        <w:rPr>
          <w:sz w:val="24"/>
        </w:rPr>
        <w:t>of</w:t>
      </w:r>
      <w:r>
        <w:rPr>
          <w:spacing w:val="40"/>
          <w:sz w:val="24"/>
        </w:rPr>
        <w:t> </w:t>
      </w:r>
      <w:r>
        <w:rPr>
          <w:sz w:val="24"/>
        </w:rPr>
        <w:t>Washington,</w:t>
      </w:r>
      <w:r>
        <w:rPr>
          <w:spacing w:val="40"/>
          <w:sz w:val="24"/>
        </w:rPr>
        <w:t> </w:t>
      </w:r>
      <w:r>
        <w:rPr>
          <w:sz w:val="24"/>
        </w:rPr>
        <w:t>Seattle;</w:t>
      </w:r>
      <w:r>
        <w:rPr>
          <w:spacing w:val="40"/>
          <w:sz w:val="24"/>
        </w:rPr>
        <w:t> </w:t>
      </w:r>
      <w:r>
        <w:rPr>
          <w:sz w:val="24"/>
        </w:rPr>
        <w:t>1993-2020.</w:t>
      </w:r>
      <w:r>
        <w:rPr>
          <w:spacing w:val="40"/>
          <w:sz w:val="24"/>
        </w:rPr>
        <w:t> </w:t>
      </w:r>
      <w:r>
        <w:rPr>
          <w:sz w:val="24"/>
        </w:rPr>
        <w:t>Available</w:t>
      </w:r>
      <w:r>
        <w:rPr>
          <w:spacing w:val="40"/>
          <w:sz w:val="24"/>
        </w:rPr>
        <w:t> </w:t>
      </w:r>
      <w:r>
        <w:rPr>
          <w:sz w:val="24"/>
        </w:rPr>
        <w:t>from:</w:t>
      </w:r>
      <w:r>
        <w:rPr>
          <w:spacing w:val="40"/>
          <w:sz w:val="24"/>
        </w:rPr>
        <w:t> </w:t>
      </w:r>
      <w:r>
        <w:rPr>
          <w:sz w:val="24"/>
        </w:rPr>
        <w:t>https:</w:t>
      </w:r>
    </w:p>
    <w:p>
      <w:pPr>
        <w:pStyle w:val="BodyText"/>
        <w:spacing w:line="275" w:lineRule="exact"/>
        <w:jc w:val="left"/>
      </w:pPr>
      <w:r>
        <w:rPr>
          <w:spacing w:val="-2"/>
        </w:rPr>
        <w:t>//</w:t>
      </w:r>
      <w:hyperlink r:id="rId7">
        <w:r>
          <w:rPr>
            <w:spacing w:val="-2"/>
          </w:rPr>
          <w:t>www.ncbi.nlm.nih.gov/books/NBK305870/</w:t>
        </w:r>
      </w:hyperlink>
    </w:p>
    <w:p>
      <w:pPr>
        <w:pStyle w:val="ListParagraph"/>
        <w:numPr>
          <w:ilvl w:val="0"/>
          <w:numId w:val="8"/>
        </w:numPr>
        <w:tabs>
          <w:tab w:pos="1055" w:val="left" w:leader="none"/>
        </w:tabs>
        <w:spacing w:line="240" w:lineRule="auto" w:before="0" w:after="0"/>
        <w:ind w:left="139" w:right="138" w:firstLine="538"/>
        <w:jc w:val="both"/>
        <w:rPr>
          <w:sz w:val="24"/>
        </w:rPr>
      </w:pPr>
      <w:bookmarkStart w:name="_bookmark15" w:id="73"/>
      <w:bookmarkEnd w:id="73"/>
      <w:r>
        <w:rPr/>
      </w:r>
      <w:r>
        <w:rPr>
          <w:sz w:val="24"/>
        </w:rPr>
        <w:t>Quinn AG, Burton B, Deegan P et al. Sustained elevations in LDL cholesterol and serum transaminases from early childhood are common in lysosomal acid lipase deficiency. Mol Genet Metab 2014; 111: S89</w:t>
      </w:r>
    </w:p>
    <w:p>
      <w:pPr>
        <w:pStyle w:val="ListParagraph"/>
        <w:numPr>
          <w:ilvl w:val="0"/>
          <w:numId w:val="8"/>
        </w:numPr>
        <w:tabs>
          <w:tab w:pos="1074" w:val="left" w:leader="none"/>
        </w:tabs>
        <w:spacing w:line="240" w:lineRule="auto" w:before="2" w:after="0"/>
        <w:ind w:left="139" w:right="149" w:firstLine="538"/>
        <w:jc w:val="both"/>
        <w:rPr>
          <w:sz w:val="24"/>
        </w:rPr>
      </w:pPr>
      <w:bookmarkStart w:name="_bookmark16" w:id="74"/>
      <w:bookmarkEnd w:id="74"/>
      <w:r>
        <w:rPr/>
      </w:r>
      <w:r>
        <w:rPr>
          <w:sz w:val="24"/>
        </w:rPr>
        <w:t>Hamilton J, Jones I, Srivastava R, Galloway P. A new method for the measurement of lysosomal acid lipase in dried blood spots using the inhibitor Lalistat 2. Clin Chim Acta. 2012; 413(15-16): 1207-1210. doi: 10.1016/j.cca.2012.03.019</w:t>
      </w:r>
    </w:p>
    <w:p>
      <w:pPr>
        <w:pStyle w:val="ListParagraph"/>
        <w:numPr>
          <w:ilvl w:val="0"/>
          <w:numId w:val="8"/>
        </w:numPr>
        <w:tabs>
          <w:tab w:pos="1079" w:val="left" w:leader="none"/>
        </w:tabs>
        <w:spacing w:line="240" w:lineRule="auto" w:before="0" w:after="0"/>
        <w:ind w:left="139" w:right="142" w:firstLine="538"/>
        <w:jc w:val="both"/>
        <w:rPr>
          <w:sz w:val="24"/>
        </w:rPr>
      </w:pPr>
      <w:bookmarkStart w:name="_bookmark17" w:id="75"/>
      <w:bookmarkEnd w:id="75"/>
      <w:r>
        <w:rPr/>
      </w:r>
      <w:r>
        <w:rPr>
          <w:sz w:val="24"/>
        </w:rPr>
        <w:t>Lukacs Z, Barr M, Hamilton J. Best practice in the measurement and interpretation of lysosomal</w:t>
      </w:r>
      <w:r>
        <w:rPr>
          <w:spacing w:val="-7"/>
          <w:sz w:val="24"/>
        </w:rPr>
        <w:t> </w:t>
      </w:r>
      <w:r>
        <w:rPr>
          <w:sz w:val="24"/>
        </w:rPr>
        <w:t>acid lipase in</w:t>
      </w:r>
      <w:r>
        <w:rPr>
          <w:spacing w:val="-2"/>
          <w:sz w:val="24"/>
        </w:rPr>
        <w:t> </w:t>
      </w:r>
      <w:r>
        <w:rPr>
          <w:sz w:val="24"/>
        </w:rPr>
        <w:t>dried blood spots</w:t>
      </w:r>
      <w:r>
        <w:rPr>
          <w:spacing w:val="-4"/>
          <w:sz w:val="24"/>
        </w:rPr>
        <w:t> </w:t>
      </w:r>
      <w:r>
        <w:rPr>
          <w:sz w:val="24"/>
        </w:rPr>
        <w:t>using the inhibitor Lalistat 2. Clin</w:t>
      </w:r>
      <w:r>
        <w:rPr>
          <w:spacing w:val="-2"/>
          <w:sz w:val="24"/>
        </w:rPr>
        <w:t> </w:t>
      </w:r>
      <w:r>
        <w:rPr>
          <w:sz w:val="24"/>
        </w:rPr>
        <w:t>Chim</w:t>
      </w:r>
      <w:r>
        <w:rPr>
          <w:spacing w:val="-1"/>
          <w:sz w:val="24"/>
        </w:rPr>
        <w:t> </w:t>
      </w:r>
      <w:r>
        <w:rPr>
          <w:sz w:val="24"/>
        </w:rPr>
        <w:t>Acta. 2017;</w:t>
      </w:r>
      <w:r>
        <w:rPr>
          <w:spacing w:val="-2"/>
          <w:sz w:val="24"/>
        </w:rPr>
        <w:t> </w:t>
      </w:r>
      <w:r>
        <w:rPr>
          <w:sz w:val="24"/>
        </w:rPr>
        <w:t>471: 201-205. doi: 10.1016/j.cca.2017.05.027</w:t>
      </w:r>
    </w:p>
    <w:p>
      <w:pPr>
        <w:pStyle w:val="ListParagraph"/>
        <w:numPr>
          <w:ilvl w:val="0"/>
          <w:numId w:val="8"/>
        </w:numPr>
        <w:tabs>
          <w:tab w:pos="1065" w:val="left" w:leader="none"/>
        </w:tabs>
        <w:spacing w:line="240" w:lineRule="auto" w:before="0" w:after="0"/>
        <w:ind w:left="139" w:right="136" w:firstLine="538"/>
        <w:jc w:val="both"/>
        <w:rPr>
          <w:sz w:val="24"/>
        </w:rPr>
      </w:pPr>
      <w:bookmarkStart w:name="_bookmark18" w:id="76"/>
      <w:bookmarkEnd w:id="76"/>
      <w:r>
        <w:rPr/>
      </w:r>
      <w:r>
        <w:rPr>
          <w:sz w:val="24"/>
        </w:rPr>
        <w:t>Hulkova H, Elleder M. Distinctive histopathological features that support a diagnosis of cholesterol ester storage disease in liver biopsy specimens. Histopathology. 2012; 60(7): 1107- 1113. doi: 10.1111/j.1365-2559.2011.04164.x</w:t>
      </w:r>
    </w:p>
    <w:p>
      <w:pPr>
        <w:pStyle w:val="ListParagraph"/>
        <w:numPr>
          <w:ilvl w:val="0"/>
          <w:numId w:val="8"/>
        </w:numPr>
        <w:tabs>
          <w:tab w:pos="1060" w:val="left" w:leader="none"/>
        </w:tabs>
        <w:spacing w:line="240" w:lineRule="auto" w:before="0" w:after="0"/>
        <w:ind w:left="139" w:right="136" w:firstLine="538"/>
        <w:jc w:val="both"/>
        <w:rPr>
          <w:sz w:val="24"/>
        </w:rPr>
      </w:pPr>
      <w:bookmarkStart w:name="_bookmark19" w:id="77"/>
      <w:bookmarkEnd w:id="77"/>
      <w:r>
        <w:rPr/>
      </w:r>
      <w:r>
        <w:rPr>
          <w:sz w:val="24"/>
        </w:rPr>
        <w:t>Strebinger G, Muller E, Feldman A, Aigner E. Lysosomal acid lipase deficiency – early diagnosis is the key. Hepat Med. 2019; 11: 79-88. Published 2019 May 23. doi: </w:t>
      </w:r>
      <w:r>
        <w:rPr>
          <w:spacing w:val="-2"/>
          <w:sz w:val="24"/>
        </w:rPr>
        <w:t>10.2147/HMER.S201630</w:t>
      </w:r>
    </w:p>
    <w:p>
      <w:pPr>
        <w:pStyle w:val="ListParagraph"/>
        <w:numPr>
          <w:ilvl w:val="0"/>
          <w:numId w:val="8"/>
        </w:numPr>
        <w:tabs>
          <w:tab w:pos="1050" w:val="left" w:leader="none"/>
        </w:tabs>
        <w:spacing w:line="240" w:lineRule="auto" w:before="0" w:after="0"/>
        <w:ind w:left="139" w:right="141" w:firstLine="538"/>
        <w:jc w:val="both"/>
        <w:rPr>
          <w:sz w:val="24"/>
        </w:rPr>
      </w:pPr>
      <w:bookmarkStart w:name="_bookmark20" w:id="78"/>
      <w:bookmarkEnd w:id="78"/>
      <w:r>
        <w:rPr/>
      </w:r>
      <w:r>
        <w:rPr>
          <w:sz w:val="24"/>
        </w:rPr>
        <w:t>Jones SA, Rojas-Caro S, Quinn AG, et al. Survival in infants treated with sebelipase Alfa for lysosomal acid lipase deficiency: an open-label, multicenter, dose-escalation study. Orphanet J Rare Dis. 2017; 12(1): 25. Published 2017 Feb 8. doi: 10.1186/s13023-017-0587-3</w:t>
      </w:r>
    </w:p>
    <w:p>
      <w:pPr>
        <w:pStyle w:val="ListParagraph"/>
        <w:numPr>
          <w:ilvl w:val="0"/>
          <w:numId w:val="8"/>
        </w:numPr>
        <w:tabs>
          <w:tab w:pos="1055" w:val="left" w:leader="none"/>
        </w:tabs>
        <w:spacing w:line="240" w:lineRule="auto" w:before="0" w:after="0"/>
        <w:ind w:left="139" w:right="149" w:firstLine="538"/>
        <w:jc w:val="both"/>
        <w:rPr>
          <w:sz w:val="24"/>
        </w:rPr>
      </w:pPr>
      <w:r>
        <w:rPr>
          <w:sz w:val="24"/>
        </w:rPr>
        <w:t>Burton BK, Balwani M, Feillet F, et al. A Phase 3 Trial of Sebelipase Alfa in Lysosomal Acid Lipase Deficiency. N Engl J Med. 2015; 373(11): 1010-1020. doi: 10.1056/NEJMoa1501365</w:t>
      </w:r>
    </w:p>
    <w:p>
      <w:pPr>
        <w:pStyle w:val="ListParagraph"/>
        <w:numPr>
          <w:ilvl w:val="0"/>
          <w:numId w:val="8"/>
        </w:numPr>
        <w:tabs>
          <w:tab w:pos="1084" w:val="left" w:leader="none"/>
        </w:tabs>
        <w:spacing w:line="240" w:lineRule="auto" w:before="0" w:after="0"/>
        <w:ind w:left="139" w:right="149" w:firstLine="538"/>
        <w:jc w:val="both"/>
        <w:rPr>
          <w:sz w:val="24"/>
        </w:rPr>
      </w:pPr>
      <w:r>
        <w:rPr>
          <w:sz w:val="24"/>
        </w:rPr>
        <w:t>Abel F., Arnoux J.B., Kostyleva M. et al. Benefit of Sebelipase Alfa in Children and Adults With Lysosomal Acid Lipase Deficiency Based on Analysis of Efficacy Overall and by Baseline Alanine Aminotransferase Level // J. of Hepatology. Vol. 64 (2). P. 298-299.</w:t>
      </w:r>
    </w:p>
    <w:p>
      <w:pPr>
        <w:pStyle w:val="ListParagraph"/>
        <w:numPr>
          <w:ilvl w:val="0"/>
          <w:numId w:val="8"/>
        </w:numPr>
        <w:tabs>
          <w:tab w:pos="1113" w:val="left" w:leader="none"/>
        </w:tabs>
        <w:spacing w:line="240" w:lineRule="auto" w:before="0" w:after="0"/>
        <w:ind w:left="139" w:right="146" w:firstLine="538"/>
        <w:jc w:val="both"/>
        <w:rPr>
          <w:sz w:val="24"/>
        </w:rPr>
      </w:pPr>
      <w:r>
        <w:rPr>
          <w:sz w:val="24"/>
        </w:rPr>
        <w:t>Su K, Donaldson E, Sharma R. Novel treatment options for lysosomal acid lipase deficiency: critical</w:t>
      </w:r>
      <w:r>
        <w:rPr>
          <w:spacing w:val="-1"/>
          <w:sz w:val="24"/>
        </w:rPr>
        <w:t> </w:t>
      </w:r>
      <w:r>
        <w:rPr>
          <w:sz w:val="24"/>
        </w:rPr>
        <w:t>appraisal</w:t>
      </w:r>
      <w:r>
        <w:rPr>
          <w:spacing w:val="-1"/>
          <w:sz w:val="24"/>
        </w:rPr>
        <w:t> </w:t>
      </w:r>
      <w:r>
        <w:rPr>
          <w:sz w:val="24"/>
        </w:rPr>
        <w:t>of sebelipase alfa. Appl</w:t>
      </w:r>
      <w:r>
        <w:rPr>
          <w:spacing w:val="-1"/>
          <w:sz w:val="24"/>
        </w:rPr>
        <w:t> </w:t>
      </w:r>
      <w:r>
        <w:rPr>
          <w:sz w:val="24"/>
        </w:rPr>
        <w:t>Clin Genet. 2016; 9: 157-167. Published 2016 Oct 17. doi: 10.2147/TACG.S86760</w:t>
      </w:r>
    </w:p>
    <w:p>
      <w:pPr>
        <w:pStyle w:val="ListParagraph"/>
        <w:numPr>
          <w:ilvl w:val="0"/>
          <w:numId w:val="8"/>
        </w:numPr>
        <w:tabs>
          <w:tab w:pos="1055" w:val="left" w:leader="none"/>
        </w:tabs>
        <w:spacing w:line="240" w:lineRule="auto" w:before="0" w:after="0"/>
        <w:ind w:left="139" w:right="137" w:firstLine="538"/>
        <w:jc w:val="both"/>
        <w:rPr>
          <w:sz w:val="24"/>
        </w:rPr>
      </w:pPr>
      <w:bookmarkStart w:name="_bookmark21" w:id="79"/>
      <w:bookmarkEnd w:id="79"/>
      <w:r>
        <w:rPr/>
      </w:r>
      <w:r>
        <w:rPr>
          <w:sz w:val="24"/>
        </w:rPr>
        <w:t>Valayannopoulos V, Malinova V, Honzik T, et al. Sebelipase alfa over 52 weeks reduces serum</w:t>
      </w:r>
      <w:r>
        <w:rPr>
          <w:spacing w:val="-6"/>
          <w:sz w:val="24"/>
        </w:rPr>
        <w:t> </w:t>
      </w:r>
      <w:r>
        <w:rPr>
          <w:sz w:val="24"/>
        </w:rPr>
        <w:t>transaminases, liver volume and improves serum</w:t>
      </w:r>
      <w:r>
        <w:rPr>
          <w:spacing w:val="-1"/>
          <w:sz w:val="24"/>
        </w:rPr>
        <w:t> </w:t>
      </w:r>
      <w:r>
        <w:rPr>
          <w:sz w:val="24"/>
        </w:rPr>
        <w:t>lipids in</w:t>
      </w:r>
      <w:r>
        <w:rPr>
          <w:spacing w:val="-1"/>
          <w:sz w:val="24"/>
        </w:rPr>
        <w:t> </w:t>
      </w:r>
      <w:r>
        <w:rPr>
          <w:sz w:val="24"/>
        </w:rPr>
        <w:t>patients with lysosomal</w:t>
      </w:r>
      <w:r>
        <w:rPr>
          <w:spacing w:val="-6"/>
          <w:sz w:val="24"/>
        </w:rPr>
        <w:t> </w:t>
      </w:r>
      <w:r>
        <w:rPr>
          <w:sz w:val="24"/>
        </w:rPr>
        <w:t>acid lipase deficiency. J Hepatol. 2014; 61(5): 1135-1142. doi: 10.1016/j.jhep.2014.06.022</w:t>
      </w:r>
    </w:p>
    <w:p>
      <w:pPr>
        <w:pStyle w:val="ListParagraph"/>
        <w:numPr>
          <w:ilvl w:val="0"/>
          <w:numId w:val="8"/>
        </w:numPr>
        <w:tabs>
          <w:tab w:pos="1118" w:val="left" w:leader="none"/>
        </w:tabs>
        <w:spacing w:line="240" w:lineRule="auto" w:before="0" w:after="0"/>
        <w:ind w:left="139" w:right="136" w:firstLine="538"/>
        <w:jc w:val="both"/>
        <w:rPr>
          <w:sz w:val="24"/>
        </w:rPr>
      </w:pPr>
      <w:bookmarkStart w:name="_bookmark22" w:id="80"/>
      <w:bookmarkEnd w:id="80"/>
      <w:r>
        <w:rPr/>
      </w:r>
      <w:r>
        <w:rPr>
          <w:sz w:val="24"/>
        </w:rPr>
        <w:t>Maciejko JJ. Managing Cardiovascular Risk in Lysosomal Acid Lipase Deficiency [published correction appears in Am J Cardiovasc Drugs. 2017 Jun; 17 (3): 233]. Am J Cardiovasc Drugs. 2017; 17(3): 217-231. doi: 10.1007/s40256-017-0216-5</w:t>
      </w:r>
    </w:p>
    <w:p>
      <w:pPr>
        <w:pStyle w:val="ListParagraph"/>
        <w:numPr>
          <w:ilvl w:val="0"/>
          <w:numId w:val="8"/>
        </w:numPr>
        <w:tabs>
          <w:tab w:pos="1137" w:val="left" w:leader="none"/>
        </w:tabs>
        <w:spacing w:line="237" w:lineRule="auto" w:before="3" w:after="0"/>
        <w:ind w:left="139" w:right="137" w:firstLine="538"/>
        <w:jc w:val="both"/>
        <w:rPr>
          <w:sz w:val="24"/>
        </w:rPr>
      </w:pPr>
      <w:r>
        <w:rPr>
          <w:sz w:val="24"/>
        </w:rPr>
        <w:t>В.Е. Новиков, Е.И. Климкина// Фармакология гепатопротекторов// Обз. клин. фармакол. лек. тер. – 2005 – Т. 4 – N 1. – с. 2-20.</w:t>
      </w:r>
    </w:p>
    <w:p>
      <w:pPr>
        <w:pStyle w:val="ListParagraph"/>
        <w:numPr>
          <w:ilvl w:val="0"/>
          <w:numId w:val="8"/>
        </w:numPr>
        <w:tabs>
          <w:tab w:pos="1084" w:val="left" w:leader="none"/>
        </w:tabs>
        <w:spacing w:line="237" w:lineRule="auto" w:before="5" w:after="0"/>
        <w:ind w:left="139" w:right="154" w:firstLine="538"/>
        <w:jc w:val="both"/>
        <w:rPr>
          <w:sz w:val="24"/>
        </w:rPr>
      </w:pPr>
      <w:r>
        <w:rPr>
          <w:sz w:val="24"/>
        </w:rPr>
        <w:t>Строкова Т.В., Багаева М.Э., Матинян И.А. Дефицит лизосомной кислой липазы РМЖ. 2017. 25(19): 1346-1351</w:t>
      </w:r>
    </w:p>
    <w:p>
      <w:pPr>
        <w:pStyle w:val="ListParagraph"/>
        <w:numPr>
          <w:ilvl w:val="0"/>
          <w:numId w:val="8"/>
        </w:numPr>
        <w:tabs>
          <w:tab w:pos="1113" w:val="left" w:leader="none"/>
        </w:tabs>
        <w:spacing w:line="240" w:lineRule="auto" w:before="4" w:after="0"/>
        <w:ind w:left="139" w:right="144" w:firstLine="538"/>
        <w:jc w:val="both"/>
        <w:rPr>
          <w:sz w:val="24"/>
        </w:rPr>
      </w:pPr>
      <w:bookmarkStart w:name="_bookmark23" w:id="81"/>
      <w:bookmarkEnd w:id="81"/>
      <w:r>
        <w:rPr/>
      </w:r>
      <w:r>
        <w:rPr>
          <w:sz w:val="24"/>
        </w:rPr>
        <w:t>Лаврова А.Е., Коновалова Е.Ю., Давыдова Д.А., Шеляхин В.Е., Лобанова Е.В. Дефицит лизосомной кислой липазы у ребенка 5 лет Педиатрия. Журнал им. Г.Н. Сперанского. 2017. Т. 96. N 6. С. 183-186.</w:t>
      </w:r>
    </w:p>
    <w:p>
      <w:pPr>
        <w:pStyle w:val="ListParagraph"/>
        <w:numPr>
          <w:ilvl w:val="0"/>
          <w:numId w:val="8"/>
        </w:numPr>
        <w:tabs>
          <w:tab w:pos="1074" w:val="left" w:leader="none"/>
        </w:tabs>
        <w:spacing w:line="274" w:lineRule="exact" w:before="0" w:after="0"/>
        <w:ind w:left="1074" w:right="0" w:hanging="397"/>
        <w:jc w:val="both"/>
        <w:rPr>
          <w:sz w:val="24"/>
        </w:rPr>
      </w:pPr>
      <w:bookmarkStart w:name="_bookmark24" w:id="82"/>
      <w:bookmarkEnd w:id="82"/>
      <w:r>
        <w:rPr/>
      </w:r>
      <w:r>
        <w:rPr>
          <w:sz w:val="24"/>
        </w:rPr>
        <w:t>Kale</w:t>
      </w:r>
      <w:r>
        <w:rPr>
          <w:spacing w:val="33"/>
          <w:sz w:val="24"/>
        </w:rPr>
        <w:t> </w:t>
      </w:r>
      <w:r>
        <w:rPr>
          <w:sz w:val="24"/>
        </w:rPr>
        <w:t>AS,</w:t>
      </w:r>
      <w:r>
        <w:rPr>
          <w:spacing w:val="33"/>
          <w:sz w:val="24"/>
        </w:rPr>
        <w:t> </w:t>
      </w:r>
      <w:r>
        <w:rPr>
          <w:sz w:val="24"/>
        </w:rPr>
        <w:t>Ferry</w:t>
      </w:r>
      <w:r>
        <w:rPr>
          <w:spacing w:val="23"/>
          <w:sz w:val="24"/>
        </w:rPr>
        <w:t> </w:t>
      </w:r>
      <w:r>
        <w:rPr>
          <w:sz w:val="24"/>
        </w:rPr>
        <w:t>GD,</w:t>
      </w:r>
      <w:r>
        <w:rPr>
          <w:spacing w:val="33"/>
          <w:sz w:val="24"/>
        </w:rPr>
        <w:t> </w:t>
      </w:r>
      <w:r>
        <w:rPr>
          <w:sz w:val="24"/>
        </w:rPr>
        <w:t>Hawkins</w:t>
      </w:r>
      <w:r>
        <w:rPr>
          <w:spacing w:val="29"/>
          <w:sz w:val="24"/>
        </w:rPr>
        <w:t> </w:t>
      </w:r>
      <w:r>
        <w:rPr>
          <w:sz w:val="24"/>
        </w:rPr>
        <w:t>EP.</w:t>
      </w:r>
      <w:r>
        <w:rPr>
          <w:spacing w:val="35"/>
          <w:sz w:val="24"/>
        </w:rPr>
        <w:t> </w:t>
      </w:r>
      <w:r>
        <w:rPr>
          <w:sz w:val="24"/>
        </w:rPr>
        <w:t>End-stage</w:t>
      </w:r>
      <w:r>
        <w:rPr>
          <w:spacing w:val="26"/>
          <w:sz w:val="24"/>
        </w:rPr>
        <w:t> </w:t>
      </w:r>
      <w:r>
        <w:rPr>
          <w:sz w:val="24"/>
        </w:rPr>
        <w:t>renal</w:t>
      </w:r>
      <w:r>
        <w:rPr>
          <w:spacing w:val="23"/>
          <w:sz w:val="24"/>
        </w:rPr>
        <w:t> </w:t>
      </w:r>
      <w:r>
        <w:rPr>
          <w:sz w:val="24"/>
        </w:rPr>
        <w:t>disease</w:t>
      </w:r>
      <w:r>
        <w:rPr>
          <w:spacing w:val="35"/>
          <w:sz w:val="24"/>
        </w:rPr>
        <w:t> </w:t>
      </w:r>
      <w:r>
        <w:rPr>
          <w:sz w:val="24"/>
        </w:rPr>
        <w:t>in</w:t>
      </w:r>
      <w:r>
        <w:rPr>
          <w:spacing w:val="26"/>
          <w:sz w:val="24"/>
        </w:rPr>
        <w:t> </w:t>
      </w:r>
      <w:r>
        <w:rPr>
          <w:sz w:val="24"/>
        </w:rPr>
        <w:t>a</w:t>
      </w:r>
      <w:r>
        <w:rPr>
          <w:spacing w:val="31"/>
          <w:sz w:val="24"/>
        </w:rPr>
        <w:t> </w:t>
      </w:r>
      <w:r>
        <w:rPr>
          <w:sz w:val="24"/>
        </w:rPr>
        <w:t>patient</w:t>
      </w:r>
      <w:r>
        <w:rPr>
          <w:spacing w:val="36"/>
          <w:sz w:val="24"/>
        </w:rPr>
        <w:t> </w:t>
      </w:r>
      <w:r>
        <w:rPr>
          <w:sz w:val="24"/>
        </w:rPr>
        <w:t>with</w:t>
      </w:r>
      <w:r>
        <w:rPr>
          <w:spacing w:val="27"/>
          <w:sz w:val="24"/>
        </w:rPr>
        <w:t> </w:t>
      </w:r>
      <w:r>
        <w:rPr>
          <w:spacing w:val="-2"/>
          <w:sz w:val="24"/>
        </w:rPr>
        <w:t>cholesteryl</w:t>
      </w:r>
    </w:p>
    <w:p>
      <w:pPr>
        <w:spacing w:after="0" w:line="274" w:lineRule="exact"/>
        <w:jc w:val="both"/>
        <w:rPr>
          <w:sz w:val="24"/>
        </w:rPr>
        <w:sectPr>
          <w:pgSz w:w="11910" w:h="16840"/>
          <w:pgMar w:header="572" w:footer="1177" w:top="1320" w:bottom="1360" w:left="1560" w:right="420"/>
        </w:sectPr>
      </w:pPr>
    </w:p>
    <w:p>
      <w:pPr>
        <w:pStyle w:val="BodyText"/>
        <w:spacing w:before="80"/>
        <w:ind w:right="136"/>
      </w:pPr>
      <w:r>
        <w:rPr/>
        <w:t>ester storage disease following successful liver transplantation and cyclosporine immunosuppression. J Pediatr Gastroenterol Nutr. 1995; 20(1): 95-97. doi: 10.1097/00005176- </w:t>
      </w:r>
      <w:r>
        <w:rPr>
          <w:spacing w:val="-2"/>
        </w:rPr>
        <w:t>199501000-00016</w:t>
      </w:r>
    </w:p>
    <w:p>
      <w:pPr>
        <w:pStyle w:val="ListParagraph"/>
        <w:numPr>
          <w:ilvl w:val="0"/>
          <w:numId w:val="8"/>
        </w:numPr>
        <w:tabs>
          <w:tab w:pos="1075" w:val="left" w:leader="none"/>
        </w:tabs>
        <w:spacing w:line="240" w:lineRule="auto" w:before="2" w:after="0"/>
        <w:ind w:left="139" w:right="152" w:firstLine="538"/>
        <w:jc w:val="both"/>
        <w:rPr>
          <w:sz w:val="24"/>
        </w:rPr>
      </w:pPr>
      <w:r>
        <w:rPr>
          <w:sz w:val="24"/>
        </w:rPr>
        <w:t>Ambler GK, Hoare M, Brais R, et al. Orthotopic liver transplantation in an adult with cholesterol ester storage disease. JIMD Rep. 2013; 8: 41-46. doi: 10.1007/8904_2012_155</w:t>
      </w:r>
    </w:p>
    <w:p>
      <w:pPr>
        <w:pStyle w:val="ListParagraph"/>
        <w:numPr>
          <w:ilvl w:val="0"/>
          <w:numId w:val="8"/>
        </w:numPr>
        <w:tabs>
          <w:tab w:pos="1108" w:val="left" w:leader="none"/>
        </w:tabs>
        <w:spacing w:line="240" w:lineRule="auto" w:before="1" w:after="0"/>
        <w:ind w:left="139" w:right="158" w:firstLine="538"/>
        <w:jc w:val="both"/>
        <w:rPr>
          <w:sz w:val="24"/>
        </w:rPr>
      </w:pPr>
      <w:bookmarkStart w:name="_bookmark25" w:id="83"/>
      <w:bookmarkEnd w:id="83"/>
      <w:r>
        <w:rPr/>
      </w:r>
      <w:r>
        <w:rPr>
          <w:sz w:val="24"/>
        </w:rPr>
        <w:t>Bernstein DL, Lobritto S, Iuga A, et al. Lysosomal acid lipase deficiency allograft recurrence</w:t>
      </w:r>
      <w:r>
        <w:rPr>
          <w:spacing w:val="-2"/>
          <w:sz w:val="24"/>
        </w:rPr>
        <w:t> </w:t>
      </w:r>
      <w:r>
        <w:rPr>
          <w:sz w:val="24"/>
        </w:rPr>
        <w:t>and liver failure-clinical</w:t>
      </w:r>
      <w:r>
        <w:rPr>
          <w:spacing w:val="-6"/>
          <w:sz w:val="24"/>
        </w:rPr>
        <w:t> </w:t>
      </w:r>
      <w:r>
        <w:rPr>
          <w:sz w:val="24"/>
        </w:rPr>
        <w:t>outcomes</w:t>
      </w:r>
      <w:r>
        <w:rPr>
          <w:spacing w:val="-3"/>
          <w:sz w:val="24"/>
        </w:rPr>
        <w:t> </w:t>
      </w:r>
      <w:r>
        <w:rPr>
          <w:sz w:val="24"/>
        </w:rPr>
        <w:t>of</w:t>
      </w:r>
      <w:r>
        <w:rPr>
          <w:spacing w:val="-9"/>
          <w:sz w:val="24"/>
        </w:rPr>
        <w:t> </w:t>
      </w:r>
      <w:r>
        <w:rPr>
          <w:sz w:val="24"/>
        </w:rPr>
        <w:t>18 liver transplantation</w:t>
      </w:r>
      <w:r>
        <w:rPr>
          <w:spacing w:val="-6"/>
          <w:sz w:val="24"/>
        </w:rPr>
        <w:t> </w:t>
      </w:r>
      <w:r>
        <w:rPr>
          <w:sz w:val="24"/>
        </w:rPr>
        <w:t>patients. Mol</w:t>
      </w:r>
      <w:r>
        <w:rPr>
          <w:spacing w:val="-10"/>
          <w:sz w:val="24"/>
        </w:rPr>
        <w:t> </w:t>
      </w:r>
      <w:r>
        <w:rPr>
          <w:sz w:val="24"/>
        </w:rPr>
        <w:t>Genet Metab. 2018; 124(1): 11-19. doi: 10.1016/j.ymgme.2018.03.010</w:t>
      </w:r>
    </w:p>
    <w:p>
      <w:pPr>
        <w:pStyle w:val="ListParagraph"/>
        <w:numPr>
          <w:ilvl w:val="0"/>
          <w:numId w:val="8"/>
        </w:numPr>
        <w:tabs>
          <w:tab w:pos="1146" w:val="left" w:leader="none"/>
        </w:tabs>
        <w:spacing w:line="240" w:lineRule="auto" w:before="0" w:after="0"/>
        <w:ind w:left="139" w:right="136" w:firstLine="538"/>
        <w:jc w:val="both"/>
        <w:rPr>
          <w:sz w:val="24"/>
        </w:rPr>
      </w:pPr>
      <w:bookmarkStart w:name="_bookmark26" w:id="84"/>
      <w:bookmarkEnd w:id="84"/>
      <w:r>
        <w:rPr/>
      </w:r>
      <w:r>
        <w:rPr>
          <w:sz w:val="24"/>
        </w:rPr>
        <w:t>Gramatges MM, Dvorak CC, Regula DP, Enns GM, Weinberg K, Agarwal R. Pathological evidence of Wolman's disease following hematopoietic stem cell transplantation despite</w:t>
      </w:r>
      <w:r>
        <w:rPr>
          <w:spacing w:val="32"/>
          <w:sz w:val="24"/>
        </w:rPr>
        <w:t> </w:t>
      </w:r>
      <w:r>
        <w:rPr>
          <w:sz w:val="24"/>
        </w:rPr>
        <w:t>correction</w:t>
      </w:r>
      <w:r>
        <w:rPr>
          <w:spacing w:val="28"/>
          <w:sz w:val="24"/>
        </w:rPr>
        <w:t> </w:t>
      </w:r>
      <w:r>
        <w:rPr>
          <w:sz w:val="24"/>
        </w:rPr>
        <w:t>of</w:t>
      </w:r>
      <w:r>
        <w:rPr>
          <w:spacing w:val="30"/>
          <w:sz w:val="24"/>
        </w:rPr>
        <w:t> </w:t>
      </w:r>
      <w:r>
        <w:rPr>
          <w:sz w:val="24"/>
        </w:rPr>
        <w:t>lysosomal</w:t>
      </w:r>
      <w:r>
        <w:rPr>
          <w:spacing w:val="29"/>
          <w:sz w:val="24"/>
        </w:rPr>
        <w:t> </w:t>
      </w:r>
      <w:r>
        <w:rPr>
          <w:sz w:val="24"/>
        </w:rPr>
        <w:t>acid</w:t>
      </w:r>
      <w:r>
        <w:rPr>
          <w:spacing w:val="38"/>
          <w:sz w:val="24"/>
        </w:rPr>
        <w:t> </w:t>
      </w:r>
      <w:r>
        <w:rPr>
          <w:sz w:val="24"/>
        </w:rPr>
        <w:t>lipase</w:t>
      </w:r>
      <w:r>
        <w:rPr>
          <w:spacing w:val="32"/>
          <w:sz w:val="24"/>
        </w:rPr>
        <w:t> </w:t>
      </w:r>
      <w:r>
        <w:rPr>
          <w:sz w:val="24"/>
        </w:rPr>
        <w:t>activity.</w:t>
      </w:r>
      <w:r>
        <w:rPr>
          <w:spacing w:val="35"/>
          <w:sz w:val="24"/>
        </w:rPr>
        <w:t> </w:t>
      </w:r>
      <w:r>
        <w:rPr>
          <w:sz w:val="24"/>
        </w:rPr>
        <w:t>Bone</w:t>
      </w:r>
      <w:r>
        <w:rPr>
          <w:spacing w:val="32"/>
          <w:sz w:val="24"/>
        </w:rPr>
        <w:t> </w:t>
      </w:r>
      <w:r>
        <w:rPr>
          <w:sz w:val="24"/>
        </w:rPr>
        <w:t>Marrow</w:t>
      </w:r>
      <w:r>
        <w:rPr>
          <w:spacing w:val="33"/>
          <w:sz w:val="24"/>
        </w:rPr>
        <w:t> </w:t>
      </w:r>
      <w:r>
        <w:rPr>
          <w:sz w:val="24"/>
        </w:rPr>
        <w:t>Transplant.</w:t>
      </w:r>
      <w:r>
        <w:rPr>
          <w:spacing w:val="35"/>
          <w:sz w:val="24"/>
        </w:rPr>
        <w:t> </w:t>
      </w:r>
      <w:r>
        <w:rPr>
          <w:sz w:val="24"/>
        </w:rPr>
        <w:t>2009;</w:t>
      </w:r>
      <w:r>
        <w:rPr>
          <w:spacing w:val="29"/>
          <w:sz w:val="24"/>
        </w:rPr>
        <w:t> </w:t>
      </w:r>
      <w:r>
        <w:rPr>
          <w:sz w:val="24"/>
        </w:rPr>
        <w:t>44(7):</w:t>
      </w:r>
      <w:r>
        <w:rPr>
          <w:spacing w:val="29"/>
          <w:sz w:val="24"/>
        </w:rPr>
        <w:t> </w:t>
      </w:r>
      <w:r>
        <w:rPr>
          <w:sz w:val="24"/>
        </w:rPr>
        <w:t>449-</w:t>
      </w:r>
    </w:p>
    <w:p>
      <w:pPr>
        <w:pStyle w:val="BodyText"/>
        <w:spacing w:line="275" w:lineRule="exact"/>
      </w:pPr>
      <w:r>
        <w:rPr/>
        <w:t>450.</w:t>
      </w:r>
      <w:r>
        <w:rPr>
          <w:spacing w:val="-2"/>
        </w:rPr>
        <w:t> </w:t>
      </w:r>
      <w:r>
        <w:rPr/>
        <w:t>doi:</w:t>
      </w:r>
      <w:r>
        <w:rPr>
          <w:spacing w:val="-3"/>
        </w:rPr>
        <w:t> </w:t>
      </w:r>
      <w:r>
        <w:rPr>
          <w:spacing w:val="-2"/>
        </w:rPr>
        <w:t>10.1038/bmt.2009.57</w:t>
      </w:r>
    </w:p>
    <w:p>
      <w:pPr>
        <w:pStyle w:val="ListParagraph"/>
        <w:numPr>
          <w:ilvl w:val="0"/>
          <w:numId w:val="8"/>
        </w:numPr>
        <w:tabs>
          <w:tab w:pos="1050" w:val="left" w:leader="none"/>
        </w:tabs>
        <w:spacing w:line="240" w:lineRule="auto" w:before="0" w:after="0"/>
        <w:ind w:left="139" w:right="146" w:firstLine="538"/>
        <w:jc w:val="both"/>
        <w:rPr>
          <w:sz w:val="24"/>
        </w:rPr>
      </w:pPr>
      <w:r>
        <w:rPr>
          <w:sz w:val="24"/>
        </w:rPr>
        <w:t>Stein J, Garty BZ, Dror Y, Fenig E, Zeigler M, Yaniv I. Successful treatment of Wolman disease by</w:t>
      </w:r>
      <w:r>
        <w:rPr>
          <w:spacing w:val="-10"/>
          <w:sz w:val="24"/>
        </w:rPr>
        <w:t> </w:t>
      </w:r>
      <w:r>
        <w:rPr>
          <w:sz w:val="24"/>
        </w:rPr>
        <w:t>unrelated umbilical</w:t>
      </w:r>
      <w:r>
        <w:rPr>
          <w:spacing w:val="-9"/>
          <w:sz w:val="24"/>
        </w:rPr>
        <w:t> </w:t>
      </w:r>
      <w:r>
        <w:rPr>
          <w:sz w:val="24"/>
        </w:rPr>
        <w:t>cord blood</w:t>
      </w:r>
      <w:r>
        <w:rPr>
          <w:spacing w:val="-5"/>
          <w:sz w:val="24"/>
        </w:rPr>
        <w:t> </w:t>
      </w:r>
      <w:r>
        <w:rPr>
          <w:sz w:val="24"/>
        </w:rPr>
        <w:t>transplantation. Eur J</w:t>
      </w:r>
      <w:r>
        <w:rPr>
          <w:spacing w:val="-7"/>
          <w:sz w:val="24"/>
        </w:rPr>
        <w:t> </w:t>
      </w:r>
      <w:r>
        <w:rPr>
          <w:sz w:val="24"/>
        </w:rPr>
        <w:t>Pediatr.</w:t>
      </w:r>
      <w:r>
        <w:rPr>
          <w:spacing w:val="-3"/>
          <w:sz w:val="24"/>
        </w:rPr>
        <w:t> </w:t>
      </w:r>
      <w:r>
        <w:rPr>
          <w:sz w:val="24"/>
        </w:rPr>
        <w:t>2007;</w:t>
      </w:r>
      <w:r>
        <w:rPr>
          <w:spacing w:val="-5"/>
          <w:sz w:val="24"/>
        </w:rPr>
        <w:t> </w:t>
      </w:r>
      <w:r>
        <w:rPr>
          <w:sz w:val="24"/>
        </w:rPr>
        <w:t>166(7):</w:t>
      </w:r>
      <w:r>
        <w:rPr>
          <w:spacing w:val="-5"/>
          <w:sz w:val="24"/>
        </w:rPr>
        <w:t> </w:t>
      </w:r>
      <w:r>
        <w:rPr>
          <w:sz w:val="24"/>
        </w:rPr>
        <w:t>663-666. doi: </w:t>
      </w:r>
      <w:r>
        <w:rPr>
          <w:spacing w:val="-2"/>
          <w:sz w:val="24"/>
        </w:rPr>
        <w:t>10.1007/s00431-006-0298-6</w:t>
      </w:r>
    </w:p>
    <w:p>
      <w:pPr>
        <w:pStyle w:val="ListParagraph"/>
        <w:numPr>
          <w:ilvl w:val="0"/>
          <w:numId w:val="8"/>
        </w:numPr>
        <w:tabs>
          <w:tab w:pos="1046" w:val="left" w:leader="none"/>
        </w:tabs>
        <w:spacing w:line="240" w:lineRule="auto" w:before="1" w:after="0"/>
        <w:ind w:left="139" w:right="143" w:firstLine="538"/>
        <w:jc w:val="both"/>
        <w:rPr>
          <w:sz w:val="24"/>
        </w:rPr>
      </w:pPr>
      <w:bookmarkStart w:name="_bookmark27" w:id="85"/>
      <w:bookmarkEnd w:id="85"/>
      <w:r>
        <w:rPr/>
      </w:r>
      <w:r>
        <w:rPr>
          <w:sz w:val="24"/>
        </w:rPr>
        <w:t>Tolar J, Petryk A, Khan</w:t>
      </w:r>
      <w:r>
        <w:rPr>
          <w:spacing w:val="-4"/>
          <w:sz w:val="24"/>
        </w:rPr>
        <w:t> </w:t>
      </w:r>
      <w:r>
        <w:rPr>
          <w:sz w:val="24"/>
        </w:rPr>
        <w:t>K, et al. Long-term</w:t>
      </w:r>
      <w:r>
        <w:rPr>
          <w:spacing w:val="-4"/>
          <w:sz w:val="24"/>
        </w:rPr>
        <w:t> </w:t>
      </w:r>
      <w:r>
        <w:rPr>
          <w:sz w:val="24"/>
        </w:rPr>
        <w:t>metabolic, endocrine, and neuropsychological outcome of</w:t>
      </w:r>
      <w:r>
        <w:rPr>
          <w:spacing w:val="-1"/>
          <w:sz w:val="24"/>
        </w:rPr>
        <w:t> </w:t>
      </w:r>
      <w:r>
        <w:rPr>
          <w:sz w:val="24"/>
        </w:rPr>
        <w:t>hematopoietic cell</w:t>
      </w:r>
      <w:r>
        <w:rPr>
          <w:spacing w:val="-2"/>
          <w:sz w:val="24"/>
        </w:rPr>
        <w:t> </w:t>
      </w:r>
      <w:r>
        <w:rPr>
          <w:sz w:val="24"/>
        </w:rPr>
        <w:t>transplantation for</w:t>
      </w:r>
      <w:r>
        <w:rPr>
          <w:spacing w:val="-1"/>
          <w:sz w:val="24"/>
        </w:rPr>
        <w:t> </w:t>
      </w:r>
      <w:r>
        <w:rPr>
          <w:sz w:val="24"/>
        </w:rPr>
        <w:t>Wolman</w:t>
      </w:r>
      <w:r>
        <w:rPr>
          <w:spacing w:val="-2"/>
          <w:sz w:val="24"/>
        </w:rPr>
        <w:t> </w:t>
      </w:r>
      <w:r>
        <w:rPr>
          <w:sz w:val="24"/>
        </w:rPr>
        <w:t>disease. Bone Marrow</w:t>
      </w:r>
      <w:r>
        <w:rPr>
          <w:spacing w:val="-3"/>
          <w:sz w:val="24"/>
        </w:rPr>
        <w:t> </w:t>
      </w:r>
      <w:r>
        <w:rPr>
          <w:sz w:val="24"/>
        </w:rPr>
        <w:t>Transplant. 2009; 43(1): 21-27. doi: 10.1038/bmt.2008.273</w:t>
      </w:r>
    </w:p>
    <w:p>
      <w:pPr>
        <w:pStyle w:val="ListParagraph"/>
        <w:numPr>
          <w:ilvl w:val="0"/>
          <w:numId w:val="8"/>
        </w:numPr>
        <w:tabs>
          <w:tab w:pos="1055" w:val="left" w:leader="none"/>
        </w:tabs>
        <w:spacing w:line="240" w:lineRule="auto" w:before="0" w:after="0"/>
        <w:ind w:left="139" w:right="156" w:firstLine="538"/>
        <w:jc w:val="both"/>
        <w:rPr>
          <w:sz w:val="24"/>
        </w:rPr>
      </w:pPr>
      <w:bookmarkStart w:name="_bookmark28" w:id="86"/>
      <w:bookmarkEnd w:id="86"/>
      <w:r>
        <w:rPr/>
      </w:r>
      <w:r>
        <w:rPr>
          <w:sz w:val="24"/>
        </w:rPr>
        <w:t>Yanir A, Allatif MA, Weintraub M, Stepensky P. Unfavorable outcome of hematopoietic stem cell transplantation in two siblings with Wolman disease due to graft failure and hepatic complications. Mol Genet Metab. 2013; 109(2): 224-226. doi: 10.1016/j.ymgme.2013.03.007</w:t>
      </w:r>
    </w:p>
    <w:p>
      <w:pPr>
        <w:pStyle w:val="ListParagraph"/>
        <w:numPr>
          <w:ilvl w:val="0"/>
          <w:numId w:val="8"/>
        </w:numPr>
        <w:tabs>
          <w:tab w:pos="1113" w:val="left" w:leader="none"/>
        </w:tabs>
        <w:spacing w:line="240" w:lineRule="auto" w:before="1" w:after="0"/>
        <w:ind w:left="139" w:right="150" w:firstLine="538"/>
        <w:jc w:val="both"/>
        <w:rPr>
          <w:sz w:val="24"/>
        </w:rPr>
      </w:pPr>
      <w:bookmarkStart w:name="_bookmark29" w:id="87"/>
      <w:bookmarkEnd w:id="87"/>
      <w:r>
        <w:rPr/>
      </w:r>
      <w:r>
        <w:rPr>
          <w:sz w:val="24"/>
        </w:rPr>
        <w:t>Cohen JL, Burfield J, Valdez-Gonzalez K, et al. Early diagnosis of infantile-onset lysosomal</w:t>
      </w:r>
      <w:r>
        <w:rPr>
          <w:spacing w:val="-8"/>
          <w:sz w:val="24"/>
        </w:rPr>
        <w:t> </w:t>
      </w:r>
      <w:r>
        <w:rPr>
          <w:sz w:val="24"/>
        </w:rPr>
        <w:t>acid lipase deficiency</w:t>
      </w:r>
      <w:r>
        <w:rPr>
          <w:spacing w:val="-3"/>
          <w:sz w:val="24"/>
        </w:rPr>
        <w:t> </w:t>
      </w:r>
      <w:r>
        <w:rPr>
          <w:sz w:val="24"/>
        </w:rPr>
        <w:t>in the advent of</w:t>
      </w:r>
      <w:r>
        <w:rPr>
          <w:spacing w:val="-6"/>
          <w:sz w:val="24"/>
        </w:rPr>
        <w:t> </w:t>
      </w:r>
      <w:r>
        <w:rPr>
          <w:sz w:val="24"/>
        </w:rPr>
        <w:t>available enzyme replacement therapy. Orphanet J Rare Dis. 2019; 14(1): 198. Published 2019 Aug 14. doi: 10.1186/s13023-019-1129-y</w:t>
      </w:r>
    </w:p>
    <w:p>
      <w:pPr>
        <w:pStyle w:val="ListParagraph"/>
        <w:numPr>
          <w:ilvl w:val="0"/>
          <w:numId w:val="8"/>
        </w:numPr>
        <w:tabs>
          <w:tab w:pos="1050" w:val="left" w:leader="none"/>
        </w:tabs>
        <w:spacing w:line="240" w:lineRule="auto" w:before="0" w:after="0"/>
        <w:ind w:left="139" w:right="139" w:firstLine="538"/>
        <w:jc w:val="both"/>
        <w:rPr>
          <w:sz w:val="24"/>
        </w:rPr>
      </w:pPr>
      <w:bookmarkStart w:name="_bookmark30" w:id="88"/>
      <w:bookmarkEnd w:id="88"/>
      <w:r>
        <w:rPr/>
      </w:r>
      <w:r>
        <w:rPr>
          <w:sz w:val="24"/>
        </w:rPr>
        <w:t>Kohli R, Ratziu V, Fiel MI, Waldmann E, Wilson DP, Balwani M. Initial assessment and ongoing monitoring of lysosomal acid lipase deficiency in children and adults: Consensus recommendations from an international collaborative working group. Mol Genet Metab. 2020; 129(2): 59-66. doi: 10.1016/j.ymgme.2019.11.004</w:t>
      </w:r>
    </w:p>
    <w:p>
      <w:pPr>
        <w:pStyle w:val="ListParagraph"/>
        <w:numPr>
          <w:ilvl w:val="0"/>
          <w:numId w:val="8"/>
        </w:numPr>
        <w:tabs>
          <w:tab w:pos="1218" w:val="left" w:leader="none"/>
        </w:tabs>
        <w:spacing w:line="242" w:lineRule="auto" w:before="0" w:after="0"/>
        <w:ind w:left="139" w:right="155" w:firstLine="538"/>
        <w:jc w:val="both"/>
        <w:rPr>
          <w:sz w:val="24"/>
        </w:rPr>
      </w:pPr>
      <w:bookmarkStart w:name="_bookmark31" w:id="89"/>
      <w:bookmarkEnd w:id="89"/>
      <w:r>
        <w:rPr/>
      </w:r>
      <w:r>
        <w:rPr>
          <w:sz w:val="24"/>
        </w:rPr>
        <w:t>Harrison SA. Management of Lysosomal Acid Lipase Deficiency for the Gastroenterologist and Hepatologist. Gastroenterol Hepatol (N Y). 2016; 12(5): 331-333.</w:t>
      </w:r>
    </w:p>
    <w:p>
      <w:pPr>
        <w:pStyle w:val="ListParagraph"/>
        <w:numPr>
          <w:ilvl w:val="0"/>
          <w:numId w:val="8"/>
        </w:numPr>
        <w:tabs>
          <w:tab w:pos="1041" w:val="left" w:leader="none"/>
        </w:tabs>
        <w:spacing w:line="242" w:lineRule="auto" w:before="0" w:after="0"/>
        <w:ind w:left="139" w:right="160" w:firstLine="538"/>
        <w:jc w:val="both"/>
        <w:rPr>
          <w:sz w:val="24"/>
        </w:rPr>
      </w:pPr>
      <w:bookmarkStart w:name="_bookmark32" w:id="90"/>
      <w:bookmarkEnd w:id="90"/>
      <w:r>
        <w:rPr/>
      </w:r>
      <w:r>
        <w:rPr>
          <w:sz w:val="24"/>
        </w:rPr>
        <w:t>Dixon</w:t>
      </w:r>
      <w:r>
        <w:rPr>
          <w:spacing w:val="-9"/>
          <w:sz w:val="24"/>
        </w:rPr>
        <w:t> </w:t>
      </w:r>
      <w:r>
        <w:rPr>
          <w:sz w:val="24"/>
        </w:rPr>
        <w:t>DB.</w:t>
      </w:r>
      <w:r>
        <w:rPr>
          <w:spacing w:val="-3"/>
          <w:sz w:val="24"/>
        </w:rPr>
        <w:t> </w:t>
      </w:r>
      <w:r>
        <w:rPr>
          <w:sz w:val="24"/>
        </w:rPr>
        <w:t>Non-Invasive</w:t>
      </w:r>
      <w:r>
        <w:rPr>
          <w:spacing w:val="-5"/>
          <w:sz w:val="24"/>
        </w:rPr>
        <w:t> </w:t>
      </w:r>
      <w:r>
        <w:rPr>
          <w:sz w:val="24"/>
        </w:rPr>
        <w:t>Techniques</w:t>
      </w:r>
      <w:r>
        <w:rPr>
          <w:spacing w:val="-3"/>
          <w:sz w:val="24"/>
        </w:rPr>
        <w:t> </w:t>
      </w:r>
      <w:r>
        <w:rPr>
          <w:sz w:val="24"/>
        </w:rPr>
        <w:t>in</w:t>
      </w:r>
      <w:r>
        <w:rPr>
          <w:spacing w:val="-9"/>
          <w:sz w:val="24"/>
        </w:rPr>
        <w:t> </w:t>
      </w:r>
      <w:r>
        <w:rPr>
          <w:sz w:val="24"/>
        </w:rPr>
        <w:t>Pediatric</w:t>
      </w:r>
      <w:r>
        <w:rPr>
          <w:spacing w:val="-5"/>
          <w:sz w:val="24"/>
        </w:rPr>
        <w:t> </w:t>
      </w:r>
      <w:r>
        <w:rPr>
          <w:sz w:val="24"/>
        </w:rPr>
        <w:t>Dyslipidemia.</w:t>
      </w:r>
      <w:r>
        <w:rPr>
          <w:spacing w:val="-3"/>
          <w:sz w:val="24"/>
        </w:rPr>
        <w:t> </w:t>
      </w:r>
      <w:r>
        <w:rPr>
          <w:sz w:val="24"/>
        </w:rPr>
        <w:t>In:</w:t>
      </w:r>
      <w:r>
        <w:rPr>
          <w:spacing w:val="-5"/>
          <w:sz w:val="24"/>
        </w:rPr>
        <w:t> </w:t>
      </w:r>
      <w:r>
        <w:rPr>
          <w:sz w:val="24"/>
        </w:rPr>
        <w:t>Feingold</w:t>
      </w:r>
      <w:r>
        <w:rPr>
          <w:spacing w:val="-1"/>
          <w:sz w:val="24"/>
        </w:rPr>
        <w:t> </w:t>
      </w:r>
      <w:r>
        <w:rPr>
          <w:sz w:val="24"/>
        </w:rPr>
        <w:t>KR, Anawalt B, Boyce A, et al., eds. Endotext. South Dartmouth (MA): MDText.com, Inc.; September 8, 2020.</w:t>
      </w:r>
    </w:p>
    <w:p>
      <w:pPr>
        <w:pStyle w:val="ListParagraph"/>
        <w:numPr>
          <w:ilvl w:val="0"/>
          <w:numId w:val="8"/>
        </w:numPr>
        <w:tabs>
          <w:tab w:pos="1098" w:val="left" w:leader="none"/>
        </w:tabs>
        <w:spacing w:line="240" w:lineRule="auto" w:before="0" w:after="0"/>
        <w:ind w:left="139" w:right="156" w:firstLine="538"/>
        <w:jc w:val="both"/>
        <w:rPr>
          <w:sz w:val="24"/>
        </w:rPr>
      </w:pPr>
      <w:bookmarkStart w:name="_bookmark33" w:id="91"/>
      <w:bookmarkEnd w:id="91"/>
      <w:r>
        <w:rPr/>
      </w:r>
      <w:r>
        <w:rPr>
          <w:sz w:val="24"/>
        </w:rPr>
        <w:t>Zharkova M, Nekrasova T, Ivashkin V, Maevskaya M, Strokova T. Fatty Liver and Systemic Atherosclerosis in a Young, Lean Patient: Rule Out Lysosomal Acid Lipase Deficiency. Case Rep Gastroenterol. 2019; 13(3): 498-507. Published 2019 Dec 4. doi: 10.1159/000504646</w:t>
      </w:r>
    </w:p>
    <w:p>
      <w:pPr>
        <w:pStyle w:val="ListParagraph"/>
        <w:numPr>
          <w:ilvl w:val="0"/>
          <w:numId w:val="8"/>
        </w:numPr>
        <w:tabs>
          <w:tab w:pos="1041" w:val="left" w:leader="none"/>
        </w:tabs>
        <w:spacing w:line="237" w:lineRule="auto" w:before="0" w:after="0"/>
        <w:ind w:left="139" w:right="149" w:firstLine="538"/>
        <w:jc w:val="both"/>
        <w:rPr>
          <w:sz w:val="24"/>
        </w:rPr>
      </w:pPr>
      <w:bookmarkStart w:name="_bookmark34" w:id="92"/>
      <w:bookmarkEnd w:id="92"/>
      <w:r>
        <w:rPr/>
      </w:r>
      <w:r>
        <w:rPr>
          <w:sz w:val="24"/>
        </w:rPr>
        <w:t>Erwin</w:t>
      </w:r>
      <w:r>
        <w:rPr>
          <w:spacing w:val="-2"/>
          <w:sz w:val="24"/>
        </w:rPr>
        <w:t> </w:t>
      </w:r>
      <w:r>
        <w:rPr>
          <w:sz w:val="24"/>
        </w:rPr>
        <w:t>AL. The role of</w:t>
      </w:r>
      <w:r>
        <w:rPr>
          <w:spacing w:val="-5"/>
          <w:sz w:val="24"/>
        </w:rPr>
        <w:t> </w:t>
      </w:r>
      <w:r>
        <w:rPr>
          <w:sz w:val="24"/>
        </w:rPr>
        <w:t>sebelipase alfa in</w:t>
      </w:r>
      <w:r>
        <w:rPr>
          <w:spacing w:val="-2"/>
          <w:sz w:val="24"/>
        </w:rPr>
        <w:t> </w:t>
      </w:r>
      <w:r>
        <w:rPr>
          <w:sz w:val="24"/>
        </w:rPr>
        <w:t>the treatment of</w:t>
      </w:r>
      <w:r>
        <w:rPr>
          <w:spacing w:val="-5"/>
          <w:sz w:val="24"/>
        </w:rPr>
        <w:t> </w:t>
      </w:r>
      <w:r>
        <w:rPr>
          <w:sz w:val="24"/>
        </w:rPr>
        <w:t>lysosomal</w:t>
      </w:r>
      <w:r>
        <w:rPr>
          <w:spacing w:val="-2"/>
          <w:sz w:val="24"/>
        </w:rPr>
        <w:t> </w:t>
      </w:r>
      <w:r>
        <w:rPr>
          <w:sz w:val="24"/>
        </w:rPr>
        <w:t>acid lipase deficiency. Therap Adv Gastroenterol. 2017; 10(7): 553-562. doi: 10.1177/1756283X17705775</w:t>
      </w:r>
    </w:p>
    <w:p>
      <w:pPr>
        <w:pStyle w:val="ListParagraph"/>
        <w:numPr>
          <w:ilvl w:val="0"/>
          <w:numId w:val="8"/>
        </w:numPr>
        <w:tabs>
          <w:tab w:pos="1046" w:val="left" w:leader="none"/>
        </w:tabs>
        <w:spacing w:line="237" w:lineRule="auto" w:before="0" w:after="0"/>
        <w:ind w:left="139" w:right="158" w:firstLine="538"/>
        <w:jc w:val="both"/>
        <w:rPr>
          <w:sz w:val="24"/>
        </w:rPr>
      </w:pPr>
      <w:bookmarkStart w:name="_bookmark35" w:id="93"/>
      <w:bookmarkEnd w:id="93"/>
      <w:r>
        <w:rPr/>
      </w:r>
      <w:r>
        <w:rPr>
          <w:sz w:val="24"/>
        </w:rPr>
        <w:t>Jones</w:t>
      </w:r>
      <w:r>
        <w:rPr>
          <w:spacing w:val="-5"/>
          <w:sz w:val="24"/>
        </w:rPr>
        <w:t> </w:t>
      </w:r>
      <w:r>
        <w:rPr>
          <w:sz w:val="24"/>
        </w:rPr>
        <w:t>S.A.,</w:t>
      </w:r>
      <w:r>
        <w:rPr>
          <w:spacing w:val="-5"/>
          <w:sz w:val="24"/>
        </w:rPr>
        <w:t> </w:t>
      </w:r>
      <w:r>
        <w:rPr>
          <w:sz w:val="24"/>
        </w:rPr>
        <w:t>AlSayed</w:t>
      </w:r>
      <w:r>
        <w:rPr>
          <w:spacing w:val="-3"/>
          <w:sz w:val="24"/>
        </w:rPr>
        <w:t> </w:t>
      </w:r>
      <w:r>
        <w:rPr>
          <w:sz w:val="24"/>
        </w:rPr>
        <w:t>M., Broomfield</w:t>
      </w:r>
      <w:r>
        <w:rPr>
          <w:spacing w:val="-3"/>
          <w:sz w:val="24"/>
        </w:rPr>
        <w:t> </w:t>
      </w:r>
      <w:r>
        <w:rPr>
          <w:sz w:val="24"/>
        </w:rPr>
        <w:t>A.A. et</w:t>
      </w:r>
      <w:r>
        <w:rPr>
          <w:spacing w:val="-2"/>
          <w:sz w:val="24"/>
        </w:rPr>
        <w:t> </w:t>
      </w:r>
      <w:r>
        <w:rPr>
          <w:sz w:val="24"/>
        </w:rPr>
        <w:t>al. Management guidelines for</w:t>
      </w:r>
      <w:r>
        <w:rPr>
          <w:spacing w:val="-6"/>
          <w:sz w:val="24"/>
        </w:rPr>
        <w:t> </w:t>
      </w:r>
      <w:r>
        <w:rPr>
          <w:sz w:val="24"/>
        </w:rPr>
        <w:t>infantile</w:t>
      </w:r>
      <w:r>
        <w:rPr>
          <w:spacing w:val="-3"/>
          <w:sz w:val="24"/>
        </w:rPr>
        <w:t> </w:t>
      </w:r>
      <w:r>
        <w:rPr>
          <w:sz w:val="24"/>
        </w:rPr>
        <w:t>onset lysosomal acid lipase deficiency (LALD). Mol. Genet. Metab. 2018; 123(2): S72-S73</w:t>
      </w:r>
    </w:p>
    <w:p>
      <w:pPr>
        <w:pStyle w:val="ListParagraph"/>
        <w:numPr>
          <w:ilvl w:val="0"/>
          <w:numId w:val="8"/>
        </w:numPr>
        <w:tabs>
          <w:tab w:pos="1041" w:val="left" w:leader="none"/>
        </w:tabs>
        <w:spacing w:line="240" w:lineRule="auto" w:before="2" w:after="0"/>
        <w:ind w:left="139" w:right="156" w:firstLine="538"/>
        <w:jc w:val="both"/>
        <w:rPr>
          <w:sz w:val="24"/>
        </w:rPr>
      </w:pPr>
      <w:bookmarkStart w:name="_bookmark36" w:id="94"/>
      <w:bookmarkEnd w:id="94"/>
      <w:r>
        <w:rPr/>
      </w:r>
      <w:r>
        <w:rPr>
          <w:sz w:val="24"/>
        </w:rPr>
        <w:t>Pastores</w:t>
      </w:r>
      <w:r>
        <w:rPr>
          <w:spacing w:val="-6"/>
          <w:sz w:val="24"/>
        </w:rPr>
        <w:t> </w:t>
      </w:r>
      <w:r>
        <w:rPr>
          <w:sz w:val="24"/>
        </w:rPr>
        <w:t>GM,</w:t>
      </w:r>
      <w:r>
        <w:rPr>
          <w:spacing w:val="-2"/>
          <w:sz w:val="24"/>
        </w:rPr>
        <w:t> </w:t>
      </w:r>
      <w:r>
        <w:rPr>
          <w:sz w:val="24"/>
        </w:rPr>
        <w:t>Hughes</w:t>
      </w:r>
      <w:r>
        <w:rPr>
          <w:spacing w:val="-6"/>
          <w:sz w:val="24"/>
        </w:rPr>
        <w:t> </w:t>
      </w:r>
      <w:r>
        <w:rPr>
          <w:sz w:val="24"/>
        </w:rPr>
        <w:t>DA.</w:t>
      </w:r>
      <w:r>
        <w:rPr>
          <w:spacing w:val="-2"/>
          <w:sz w:val="24"/>
        </w:rPr>
        <w:t> </w:t>
      </w:r>
      <w:r>
        <w:rPr>
          <w:sz w:val="24"/>
        </w:rPr>
        <w:t>Lysosomal</w:t>
      </w:r>
      <w:r>
        <w:rPr>
          <w:spacing w:val="-4"/>
          <w:sz w:val="24"/>
        </w:rPr>
        <w:t> </w:t>
      </w:r>
      <w:r>
        <w:rPr>
          <w:sz w:val="24"/>
        </w:rPr>
        <w:t>Acid</w:t>
      </w:r>
      <w:r>
        <w:rPr>
          <w:spacing w:val="-4"/>
          <w:sz w:val="24"/>
        </w:rPr>
        <w:t> </w:t>
      </w:r>
      <w:r>
        <w:rPr>
          <w:sz w:val="24"/>
        </w:rPr>
        <w:t>Lipase</w:t>
      </w:r>
      <w:r>
        <w:rPr>
          <w:spacing w:val="-5"/>
          <w:sz w:val="24"/>
        </w:rPr>
        <w:t> </w:t>
      </w:r>
      <w:r>
        <w:rPr>
          <w:sz w:val="24"/>
        </w:rPr>
        <w:t>Deficiency:</w:t>
      </w:r>
      <w:r>
        <w:rPr>
          <w:spacing w:val="-4"/>
          <w:sz w:val="24"/>
        </w:rPr>
        <w:t> </w:t>
      </w:r>
      <w:r>
        <w:rPr>
          <w:sz w:val="24"/>
        </w:rPr>
        <w:t>Therapeutic</w:t>
      </w:r>
      <w:r>
        <w:rPr>
          <w:spacing w:val="-5"/>
          <w:sz w:val="24"/>
        </w:rPr>
        <w:t> </w:t>
      </w:r>
      <w:r>
        <w:rPr>
          <w:sz w:val="24"/>
        </w:rPr>
        <w:t>Options.</w:t>
      </w:r>
      <w:r>
        <w:rPr>
          <w:spacing w:val="-2"/>
          <w:sz w:val="24"/>
        </w:rPr>
        <w:t> </w:t>
      </w:r>
      <w:r>
        <w:rPr>
          <w:sz w:val="24"/>
        </w:rPr>
        <w:t>Drug Des Devel Ther. 2020; 14: 591-601. Published 2020 Feb 11. doi: 10.2147/DDDT.S149264</w:t>
      </w:r>
    </w:p>
    <w:p>
      <w:pPr>
        <w:pStyle w:val="ListParagraph"/>
        <w:numPr>
          <w:ilvl w:val="0"/>
          <w:numId w:val="8"/>
        </w:numPr>
        <w:tabs>
          <w:tab w:pos="1084" w:val="left" w:leader="none"/>
        </w:tabs>
        <w:spacing w:line="240" w:lineRule="auto" w:before="0" w:after="0"/>
        <w:ind w:left="139" w:right="146" w:firstLine="538"/>
        <w:jc w:val="both"/>
        <w:rPr>
          <w:sz w:val="24"/>
        </w:rPr>
      </w:pPr>
      <w:bookmarkStart w:name="_bookmark37" w:id="95"/>
      <w:bookmarkEnd w:id="95"/>
      <w:r>
        <w:rPr/>
      </w:r>
      <w:r>
        <w:rPr>
          <w:sz w:val="24"/>
        </w:rPr>
        <w:t>Al Essa M, Nounou R, Sakati N, et al. Wolman's disease: The King Faisal Specialist Hospital and Research Centre experience. Ann Saudi Med. 1998; 18(2): 120-124. doi: </w:t>
      </w:r>
      <w:r>
        <w:rPr>
          <w:spacing w:val="-2"/>
          <w:sz w:val="24"/>
        </w:rPr>
        <w:t>10.5144/0256-4947.1998.120</w:t>
      </w:r>
    </w:p>
    <w:p>
      <w:pPr>
        <w:pStyle w:val="ListParagraph"/>
        <w:numPr>
          <w:ilvl w:val="0"/>
          <w:numId w:val="8"/>
        </w:numPr>
        <w:tabs>
          <w:tab w:pos="1084" w:val="left" w:leader="none"/>
        </w:tabs>
        <w:spacing w:line="240" w:lineRule="auto" w:before="0" w:after="0"/>
        <w:ind w:left="139" w:right="145" w:firstLine="538"/>
        <w:jc w:val="both"/>
        <w:rPr>
          <w:sz w:val="24"/>
        </w:rPr>
      </w:pPr>
      <w:bookmarkStart w:name="_bookmark38" w:id="96"/>
      <w:bookmarkEnd w:id="96"/>
      <w:r>
        <w:rPr/>
      </w:r>
      <w:r>
        <w:rPr>
          <w:sz w:val="24"/>
        </w:rPr>
        <w:t>Witeck CDR, Schmitz AC, de Oliveira JMD, Porporatti AL, De Luca Canto G, Pires MMS. Lysosomal acid lipase deficiency in pediatric patients: a scoping review. J Pediatr (Rio J). 2022 Jan-Feb; 98(1): 4-14. doi: 10.1016/j.jped.2021.03.003.</w:t>
      </w:r>
    </w:p>
    <w:p>
      <w:pPr>
        <w:pStyle w:val="ListParagraph"/>
        <w:numPr>
          <w:ilvl w:val="0"/>
          <w:numId w:val="8"/>
        </w:numPr>
        <w:tabs>
          <w:tab w:pos="1098" w:val="left" w:leader="none"/>
        </w:tabs>
        <w:spacing w:line="240" w:lineRule="auto" w:before="1" w:after="0"/>
        <w:ind w:left="139" w:right="142" w:firstLine="538"/>
        <w:jc w:val="both"/>
        <w:rPr>
          <w:sz w:val="24"/>
        </w:rPr>
      </w:pPr>
      <w:bookmarkStart w:name="_bookmark39" w:id="97"/>
      <w:bookmarkEnd w:id="97"/>
      <w:r>
        <w:rPr/>
      </w:r>
      <w:r>
        <w:rPr>
          <w:sz w:val="24"/>
        </w:rPr>
        <w:t>Malinova V, Balwani M, Sharma R, et al. Sebelipase alfa for lysosomal acid lipase deficiency: 5-year treatment experience from</w:t>
      </w:r>
      <w:r>
        <w:rPr>
          <w:spacing w:val="-5"/>
          <w:sz w:val="24"/>
        </w:rPr>
        <w:t> </w:t>
      </w:r>
      <w:r>
        <w:rPr>
          <w:sz w:val="24"/>
        </w:rPr>
        <w:t>a phase 2 open-label extension study. Liver Int. 2020; 40(9): 2203-2214. doi: 10.1111/liv.14603</w:t>
      </w:r>
    </w:p>
    <w:p>
      <w:pPr>
        <w:spacing w:after="0" w:line="240" w:lineRule="auto"/>
        <w:jc w:val="both"/>
        <w:rPr>
          <w:sz w:val="24"/>
        </w:rPr>
        <w:sectPr>
          <w:pgSz w:w="11910" w:h="16840"/>
          <w:pgMar w:header="572" w:footer="1177" w:top="1320" w:bottom="1360" w:left="1560" w:right="420"/>
        </w:sectPr>
      </w:pPr>
    </w:p>
    <w:p>
      <w:pPr>
        <w:pStyle w:val="ListParagraph"/>
        <w:numPr>
          <w:ilvl w:val="0"/>
          <w:numId w:val="8"/>
        </w:numPr>
        <w:tabs>
          <w:tab w:pos="1041" w:val="left" w:leader="none"/>
        </w:tabs>
        <w:spacing w:line="242" w:lineRule="auto" w:before="80" w:after="0"/>
        <w:ind w:left="139" w:right="141" w:firstLine="538"/>
        <w:jc w:val="both"/>
        <w:rPr>
          <w:sz w:val="24"/>
        </w:rPr>
      </w:pPr>
      <w:bookmarkStart w:name="_bookmark40" w:id="98"/>
      <w:bookmarkEnd w:id="98"/>
      <w:r>
        <w:rPr/>
      </w:r>
      <w:r>
        <w:rPr>
          <w:sz w:val="24"/>
        </w:rPr>
        <w:t>Attachment 2</w:t>
      </w:r>
      <w:r>
        <w:rPr>
          <w:spacing w:val="-2"/>
          <w:sz w:val="24"/>
        </w:rPr>
        <w:t> </w:t>
      </w:r>
      <w:r>
        <w:rPr>
          <w:sz w:val="24"/>
        </w:rPr>
        <w:t>KANUMA</w:t>
      </w:r>
      <w:r>
        <w:rPr>
          <w:spacing w:val="-4"/>
          <w:sz w:val="24"/>
        </w:rPr>
        <w:t> </w:t>
      </w:r>
      <w:r>
        <w:rPr>
          <w:sz w:val="24"/>
        </w:rPr>
        <w:t>–</w:t>
      </w:r>
      <w:r>
        <w:rPr>
          <w:spacing w:val="-2"/>
          <w:sz w:val="24"/>
        </w:rPr>
        <w:t> </w:t>
      </w:r>
      <w:r>
        <w:rPr>
          <w:sz w:val="24"/>
        </w:rPr>
        <w:t>Sebelipase</w:t>
      </w:r>
      <w:r>
        <w:rPr>
          <w:spacing w:val="-2"/>
          <w:sz w:val="24"/>
        </w:rPr>
        <w:t> </w:t>
      </w:r>
      <w:r>
        <w:rPr>
          <w:sz w:val="24"/>
        </w:rPr>
        <w:t>–</w:t>
      </w:r>
      <w:r>
        <w:rPr>
          <w:spacing w:val="-2"/>
          <w:sz w:val="24"/>
        </w:rPr>
        <w:t> </w:t>
      </w:r>
      <w:r>
        <w:rPr>
          <w:sz w:val="24"/>
        </w:rPr>
        <w:t>Alexion</w:t>
      </w:r>
      <w:r>
        <w:rPr>
          <w:spacing w:val="-7"/>
          <w:sz w:val="24"/>
        </w:rPr>
        <w:t> </w:t>
      </w:r>
      <w:r>
        <w:rPr>
          <w:sz w:val="24"/>
        </w:rPr>
        <w:t>Pharmaceuticals Australia</w:t>
      </w:r>
      <w:r>
        <w:rPr>
          <w:spacing w:val="-3"/>
          <w:sz w:val="24"/>
        </w:rPr>
        <w:t> </w:t>
      </w:r>
      <w:r>
        <w:rPr>
          <w:sz w:val="24"/>
        </w:rPr>
        <w:t>Pty</w:t>
      </w:r>
      <w:r>
        <w:rPr>
          <w:spacing w:val="-7"/>
          <w:sz w:val="24"/>
        </w:rPr>
        <w:t> </w:t>
      </w:r>
      <w:r>
        <w:rPr>
          <w:sz w:val="24"/>
        </w:rPr>
        <w:t>Ltd –</w:t>
      </w:r>
      <w:r>
        <w:rPr>
          <w:spacing w:val="-7"/>
          <w:sz w:val="24"/>
        </w:rPr>
        <w:t> </w:t>
      </w:r>
      <w:r>
        <w:rPr>
          <w:sz w:val="24"/>
        </w:rPr>
        <w:t>PM- 2016-01313-1-3 – Extract from the CER FINAL 14 June 2018</w:t>
      </w:r>
    </w:p>
    <w:p>
      <w:pPr>
        <w:pStyle w:val="ListParagraph"/>
        <w:numPr>
          <w:ilvl w:val="0"/>
          <w:numId w:val="8"/>
        </w:numPr>
        <w:tabs>
          <w:tab w:pos="1108" w:val="left" w:leader="none"/>
        </w:tabs>
        <w:spacing w:line="240" w:lineRule="auto" w:before="0" w:after="0"/>
        <w:ind w:left="139" w:right="135" w:firstLine="538"/>
        <w:jc w:val="both"/>
        <w:rPr>
          <w:sz w:val="24"/>
        </w:rPr>
      </w:pPr>
      <w:bookmarkStart w:name="_bookmark41" w:id="99"/>
      <w:bookmarkEnd w:id="99"/>
      <w:r>
        <w:rPr/>
      </w:r>
      <w:r>
        <w:rPr>
          <w:sz w:val="24"/>
        </w:rPr>
        <w:t>Клиническая лабораторная диагностика заболеваний печени и желчевыводящих путей: руководство для врачей / А.И. Карпищенко и др. под ред. А.И. Карпищенко. – М.: ГЭОТАР-Медиа, 2020. – 464 с</w:t>
      </w:r>
    </w:p>
    <w:p>
      <w:pPr>
        <w:pStyle w:val="BodyText"/>
        <w:spacing w:before="273"/>
        <w:ind w:left="0"/>
        <w:jc w:val="left"/>
      </w:pPr>
    </w:p>
    <w:p>
      <w:pPr>
        <w:pStyle w:val="BodyText"/>
        <w:ind w:left="0" w:right="141"/>
        <w:jc w:val="right"/>
      </w:pPr>
      <w:bookmarkStart w:name="Приложение А1" w:id="100"/>
      <w:bookmarkEnd w:id="100"/>
      <w:r>
        <w:rPr/>
      </w:r>
      <w:r>
        <w:rPr/>
        <w:t>Приложение </w:t>
      </w:r>
      <w:r>
        <w:rPr>
          <w:spacing w:val="-5"/>
        </w:rPr>
        <w:t>А1</w:t>
      </w:r>
    </w:p>
    <w:p>
      <w:pPr>
        <w:pStyle w:val="BodyText"/>
        <w:spacing w:before="6"/>
        <w:ind w:left="0"/>
        <w:jc w:val="left"/>
      </w:pPr>
    </w:p>
    <w:p>
      <w:pPr>
        <w:pStyle w:val="Heading1"/>
        <w:ind w:left="4048" w:hanging="3270"/>
      </w:pPr>
      <w:r>
        <w:rPr/>
        <w:t>Состав</w:t>
      </w:r>
      <w:r>
        <w:rPr>
          <w:spacing w:val="-7"/>
        </w:rPr>
        <w:t> </w:t>
      </w:r>
      <w:r>
        <w:rPr/>
        <w:t>рабочей</w:t>
      </w:r>
      <w:r>
        <w:rPr>
          <w:spacing w:val="-8"/>
        </w:rPr>
        <w:t> </w:t>
      </w:r>
      <w:r>
        <w:rPr/>
        <w:t>группы</w:t>
      </w:r>
      <w:r>
        <w:rPr>
          <w:spacing w:val="-7"/>
        </w:rPr>
        <w:t> </w:t>
      </w:r>
      <w:r>
        <w:rPr/>
        <w:t>по</w:t>
      </w:r>
      <w:r>
        <w:rPr>
          <w:spacing w:val="-9"/>
        </w:rPr>
        <w:t> </w:t>
      </w:r>
      <w:r>
        <w:rPr/>
        <w:t>разработке и</w:t>
      </w:r>
      <w:r>
        <w:rPr>
          <w:spacing w:val="-8"/>
        </w:rPr>
        <w:t> </w:t>
      </w:r>
      <w:r>
        <w:rPr/>
        <w:t>пересмотру</w:t>
      </w:r>
      <w:r>
        <w:rPr>
          <w:spacing w:val="-6"/>
        </w:rPr>
        <w:t> </w:t>
      </w:r>
      <w:r>
        <w:rPr/>
        <w:t>клинических </w:t>
      </w:r>
      <w:r>
        <w:rPr>
          <w:spacing w:val="-2"/>
        </w:rPr>
        <w:t>рекомендаций</w:t>
      </w:r>
    </w:p>
    <w:p>
      <w:pPr>
        <w:pStyle w:val="ListParagraph"/>
        <w:numPr>
          <w:ilvl w:val="0"/>
          <w:numId w:val="9"/>
        </w:numPr>
        <w:tabs>
          <w:tab w:pos="949" w:val="left" w:leader="none"/>
        </w:tabs>
        <w:spacing w:line="240" w:lineRule="auto" w:before="272" w:after="0"/>
        <w:ind w:left="139" w:right="148" w:firstLine="542"/>
        <w:jc w:val="both"/>
        <w:rPr>
          <w:sz w:val="24"/>
        </w:rPr>
      </w:pPr>
      <w:r>
        <w:rPr>
          <w:sz w:val="24"/>
        </w:rPr>
        <w:t>Анисимова Инга Вадимовна, к.м.н., заведующая отделом организации медицинской помощи-врач-генетик ФГБНУ "Медико-генетический научный центр им. академика Н.П. Бочкова", член Ассоциации медицинских генетиков.</w:t>
      </w:r>
    </w:p>
    <w:p>
      <w:pPr>
        <w:pStyle w:val="ListParagraph"/>
        <w:numPr>
          <w:ilvl w:val="0"/>
          <w:numId w:val="9"/>
        </w:numPr>
        <w:tabs>
          <w:tab w:pos="950" w:val="left" w:leader="none"/>
        </w:tabs>
        <w:spacing w:line="240" w:lineRule="auto" w:before="0" w:after="0"/>
        <w:ind w:left="139" w:right="143" w:firstLine="538"/>
        <w:jc w:val="both"/>
        <w:rPr>
          <w:sz w:val="24"/>
        </w:rPr>
      </w:pPr>
      <w:r>
        <w:rPr>
          <w:sz w:val="24"/>
        </w:rPr>
        <w:t>Албегова Марина Бечербиевна, к.м.н., заведующая консультативно-педиатрическим отделением отдела Педиатрии ФГБУ "НМИЦ акушерства, гинекологии и перинатологии им. Ак. В.И. Кулакова"</w:t>
      </w:r>
    </w:p>
    <w:p>
      <w:pPr>
        <w:pStyle w:val="ListParagraph"/>
        <w:numPr>
          <w:ilvl w:val="0"/>
          <w:numId w:val="9"/>
        </w:numPr>
        <w:tabs>
          <w:tab w:pos="1055" w:val="left" w:leader="none"/>
        </w:tabs>
        <w:spacing w:line="240" w:lineRule="auto" w:before="0" w:after="0"/>
        <w:ind w:left="139" w:right="138" w:firstLine="538"/>
        <w:jc w:val="both"/>
        <w:rPr>
          <w:sz w:val="24"/>
        </w:rPr>
      </w:pPr>
      <w:r>
        <w:rPr>
          <w:sz w:val="24"/>
        </w:rPr>
        <w:t>Багаева Мадлена Энверовна, к.м.н., старший научный сотрудник отделения педиатрической гастроэнтерологии, гепатологии и диетотерапии Клиники ФГБУН "ФИЦ питания и биотехнологии"</w:t>
      </w:r>
    </w:p>
    <w:p>
      <w:pPr>
        <w:pStyle w:val="ListParagraph"/>
        <w:numPr>
          <w:ilvl w:val="0"/>
          <w:numId w:val="9"/>
        </w:numPr>
        <w:tabs>
          <w:tab w:pos="993" w:val="left" w:leader="none"/>
        </w:tabs>
        <w:spacing w:line="240" w:lineRule="auto" w:before="0" w:after="0"/>
        <w:ind w:left="139" w:right="147" w:firstLine="538"/>
        <w:jc w:val="both"/>
        <w:rPr>
          <w:sz w:val="24"/>
        </w:rPr>
      </w:pPr>
      <w:r>
        <w:rPr>
          <w:sz w:val="24"/>
        </w:rPr>
        <w:t>Байдакова Галина Викторовна, к.б.н., ведущий научный сотрудник лаборатории наследственных болезней обмена ФГБНУ "Медико-генетический научный центр им. академика Н.П. Бочкова", член Российского общества медицинских генетиков.</w:t>
      </w:r>
    </w:p>
    <w:p>
      <w:pPr>
        <w:pStyle w:val="ListParagraph"/>
        <w:numPr>
          <w:ilvl w:val="0"/>
          <w:numId w:val="9"/>
        </w:numPr>
        <w:tabs>
          <w:tab w:pos="988" w:val="left" w:leader="none"/>
        </w:tabs>
        <w:spacing w:line="240" w:lineRule="auto" w:before="0" w:after="0"/>
        <w:ind w:left="139" w:right="147" w:firstLine="538"/>
        <w:jc w:val="both"/>
        <w:rPr>
          <w:sz w:val="24"/>
        </w:rPr>
      </w:pPr>
      <w:r>
        <w:rPr>
          <w:sz w:val="24"/>
        </w:rPr>
        <w:t>Баранов Александр Александрович, академик РАН, профессор, д.м.н., Почетный Президент Союза педиатров России, советник руководителя НИИ педиатрии и охраны здоровья детей ЦКБ РАН, главный внештатный специалист педиатр Минздрава России.</w:t>
      </w:r>
    </w:p>
    <w:p>
      <w:pPr>
        <w:pStyle w:val="ListParagraph"/>
        <w:numPr>
          <w:ilvl w:val="0"/>
          <w:numId w:val="9"/>
        </w:numPr>
        <w:tabs>
          <w:tab w:pos="950" w:val="left" w:leader="none"/>
        </w:tabs>
        <w:spacing w:line="240" w:lineRule="auto" w:before="0" w:after="0"/>
        <w:ind w:left="139" w:right="149" w:firstLine="538"/>
        <w:jc w:val="both"/>
        <w:rPr>
          <w:sz w:val="24"/>
        </w:rPr>
      </w:pPr>
      <w:r>
        <w:rPr>
          <w:sz w:val="24"/>
        </w:rPr>
        <w:t>Вашакмадзе Нато Джумберовна, д.м.н., заведующая отделом редких болезней НИИ педиатрии и охраны здоровья детей ЦКБ РАН, член Союза педиатров России</w:t>
      </w:r>
    </w:p>
    <w:p>
      <w:pPr>
        <w:pStyle w:val="ListParagraph"/>
        <w:numPr>
          <w:ilvl w:val="0"/>
          <w:numId w:val="9"/>
        </w:numPr>
        <w:tabs>
          <w:tab w:pos="988" w:val="left" w:leader="none"/>
        </w:tabs>
        <w:spacing w:line="240" w:lineRule="auto" w:before="0" w:after="0"/>
        <w:ind w:left="139" w:right="149" w:firstLine="538"/>
        <w:jc w:val="both"/>
        <w:rPr>
          <w:sz w:val="24"/>
        </w:rPr>
      </w:pPr>
      <w:r>
        <w:rPr>
          <w:sz w:val="24"/>
        </w:rPr>
        <w:t>Вишнева Елена Александровна, д.м.н., заместитель руководителя по науке НИИ педиатрии и охраны здоровья детей ЦКБ РАН, доцент кафедры факультетской педиатрии педиатрического факультета ФГБОУ ВО "РНИМУ им. Н.И. Пирогова" Минздрава России</w:t>
      </w:r>
    </w:p>
    <w:p>
      <w:pPr>
        <w:pStyle w:val="ListParagraph"/>
        <w:numPr>
          <w:ilvl w:val="0"/>
          <w:numId w:val="9"/>
        </w:numPr>
        <w:tabs>
          <w:tab w:pos="988" w:val="left" w:leader="none"/>
        </w:tabs>
        <w:spacing w:line="242" w:lineRule="auto" w:before="0" w:after="0"/>
        <w:ind w:left="139" w:right="140" w:firstLine="538"/>
        <w:jc w:val="both"/>
        <w:rPr>
          <w:sz w:val="24"/>
        </w:rPr>
      </w:pPr>
      <w:r>
        <w:rPr>
          <w:sz w:val="24"/>
        </w:rPr>
        <w:t>Гундобина Ольга Станиславовна, к.м.н., врач-гастроэнтеролог НИИ педиатрии и охраны здоровья детей ФГБУЗ ЦКБ РАН, член Союза педиатров России</w:t>
      </w:r>
    </w:p>
    <w:p>
      <w:pPr>
        <w:pStyle w:val="ListParagraph"/>
        <w:numPr>
          <w:ilvl w:val="0"/>
          <w:numId w:val="9"/>
        </w:numPr>
        <w:tabs>
          <w:tab w:pos="959" w:val="left" w:leader="none"/>
        </w:tabs>
        <w:spacing w:line="240" w:lineRule="auto" w:before="0" w:after="0"/>
        <w:ind w:left="139" w:right="138" w:firstLine="538"/>
        <w:jc w:val="both"/>
        <w:rPr>
          <w:sz w:val="24"/>
        </w:rPr>
      </w:pPr>
      <w:r>
        <w:rPr>
          <w:sz w:val="24"/>
        </w:rPr>
        <w:t>Дегтярева Анна Владимировна, д.м.н., профессор, заведующая отделом педиатрии, ФГБУ</w:t>
      </w:r>
      <w:r>
        <w:rPr>
          <w:spacing w:val="-4"/>
          <w:sz w:val="24"/>
        </w:rPr>
        <w:t> </w:t>
      </w:r>
      <w:r>
        <w:rPr>
          <w:sz w:val="24"/>
        </w:rPr>
        <w:t>"НМИЦ</w:t>
      </w:r>
      <w:r>
        <w:rPr>
          <w:spacing w:val="-3"/>
          <w:sz w:val="24"/>
        </w:rPr>
        <w:t> </w:t>
      </w:r>
      <w:r>
        <w:rPr>
          <w:sz w:val="24"/>
        </w:rPr>
        <w:t>акушерства, гинекологии</w:t>
      </w:r>
      <w:r>
        <w:rPr>
          <w:spacing w:val="-1"/>
          <w:sz w:val="24"/>
        </w:rPr>
        <w:t> </w:t>
      </w:r>
      <w:r>
        <w:rPr>
          <w:sz w:val="24"/>
        </w:rPr>
        <w:t>и</w:t>
      </w:r>
      <w:r>
        <w:rPr>
          <w:spacing w:val="-6"/>
          <w:sz w:val="24"/>
        </w:rPr>
        <w:t> </w:t>
      </w:r>
      <w:r>
        <w:rPr>
          <w:sz w:val="24"/>
        </w:rPr>
        <w:t>перинатологии</w:t>
      </w:r>
      <w:r>
        <w:rPr>
          <w:spacing w:val="-1"/>
          <w:sz w:val="24"/>
        </w:rPr>
        <w:t> </w:t>
      </w:r>
      <w:r>
        <w:rPr>
          <w:sz w:val="24"/>
        </w:rPr>
        <w:t>им. Ак. В.И.</w:t>
      </w:r>
      <w:r>
        <w:rPr>
          <w:spacing w:val="-1"/>
          <w:sz w:val="24"/>
        </w:rPr>
        <w:t> </w:t>
      </w:r>
      <w:r>
        <w:rPr>
          <w:sz w:val="24"/>
        </w:rPr>
        <w:t>Кулакова", профессор кафедры неонатологии Института здоровья детей ФГАОУ ВО "Первый Московский государственный медицинский университет им. И.М. Сеченова" Минздрава России (Сеченовский университет).</w:t>
      </w:r>
    </w:p>
    <w:p>
      <w:pPr>
        <w:pStyle w:val="ListParagraph"/>
        <w:numPr>
          <w:ilvl w:val="0"/>
          <w:numId w:val="9"/>
        </w:numPr>
        <w:tabs>
          <w:tab w:pos="1055" w:val="left" w:leader="none"/>
        </w:tabs>
        <w:spacing w:line="240" w:lineRule="auto" w:before="0" w:after="0"/>
        <w:ind w:left="139" w:right="135" w:firstLine="538"/>
        <w:jc w:val="both"/>
        <w:rPr>
          <w:sz w:val="24"/>
        </w:rPr>
      </w:pPr>
      <w:r>
        <w:rPr>
          <w:sz w:val="24"/>
        </w:rPr>
        <w:t>Ежов Марат Владиславович, д.м.н., профессор, главный научный сотрудник отдела проблем атеросклероза НИИ клинической кардиологии им. А.Л. Мясникова ФГБУ</w:t>
      </w:r>
      <w:r>
        <w:rPr>
          <w:spacing w:val="40"/>
          <w:sz w:val="24"/>
        </w:rPr>
        <w:t> </w:t>
      </w:r>
      <w:r>
        <w:rPr>
          <w:sz w:val="24"/>
        </w:rPr>
        <w:t>"НМИЦК" МЗ РФ</w:t>
      </w:r>
    </w:p>
    <w:p>
      <w:pPr>
        <w:pStyle w:val="ListParagraph"/>
        <w:numPr>
          <w:ilvl w:val="0"/>
          <w:numId w:val="9"/>
        </w:numPr>
        <w:tabs>
          <w:tab w:pos="1070" w:val="left" w:leader="none"/>
        </w:tabs>
        <w:spacing w:line="240" w:lineRule="auto" w:before="0" w:after="0"/>
        <w:ind w:left="139" w:right="144" w:firstLine="538"/>
        <w:jc w:val="both"/>
        <w:rPr>
          <w:sz w:val="24"/>
        </w:rPr>
      </w:pPr>
      <w:r>
        <w:rPr>
          <w:sz w:val="24"/>
        </w:rPr>
        <w:t>Жаркова Мария Сергеевна, к. м. н., заведующая отделением гепатологии клиники пропедевтики внутренних болезней, гастроэнтерологии, гепатологии им. В.Х. Василенко, Университетская Клиническая Больница N 2, ФГАОУ ВО "Первый МГМУ им. И.М. Сеченова" Минздрава России (Сеченовский университет)</w:t>
      </w:r>
    </w:p>
    <w:p>
      <w:pPr>
        <w:pStyle w:val="ListParagraph"/>
        <w:numPr>
          <w:ilvl w:val="0"/>
          <w:numId w:val="9"/>
        </w:numPr>
        <w:tabs>
          <w:tab w:pos="1161" w:val="left" w:leader="none"/>
        </w:tabs>
        <w:spacing w:line="240" w:lineRule="auto" w:before="0" w:after="0"/>
        <w:ind w:left="139" w:right="141" w:firstLine="538"/>
        <w:jc w:val="both"/>
        <w:rPr>
          <w:sz w:val="24"/>
        </w:rPr>
      </w:pPr>
      <w:r>
        <w:rPr>
          <w:sz w:val="24"/>
        </w:rPr>
        <w:t>Журкова Наталия Вячеславовна, к.м.н., ведущий научный сотрудник Отдел орфанных болезней и профилактики инвалидизирующих заболеваний, врач-генетик НИИ педиатрии</w:t>
      </w:r>
      <w:r>
        <w:rPr>
          <w:spacing w:val="72"/>
          <w:sz w:val="24"/>
        </w:rPr>
        <w:t> </w:t>
      </w:r>
      <w:r>
        <w:rPr>
          <w:sz w:val="24"/>
        </w:rPr>
        <w:t>и</w:t>
      </w:r>
      <w:r>
        <w:rPr>
          <w:spacing w:val="67"/>
          <w:sz w:val="24"/>
        </w:rPr>
        <w:t> </w:t>
      </w:r>
      <w:r>
        <w:rPr>
          <w:sz w:val="24"/>
        </w:rPr>
        <w:t>охраны</w:t>
      </w:r>
      <w:r>
        <w:rPr>
          <w:spacing w:val="72"/>
          <w:sz w:val="24"/>
        </w:rPr>
        <w:t> </w:t>
      </w:r>
      <w:r>
        <w:rPr>
          <w:sz w:val="24"/>
        </w:rPr>
        <w:t>здоровья</w:t>
      </w:r>
      <w:r>
        <w:rPr>
          <w:spacing w:val="71"/>
          <w:sz w:val="24"/>
        </w:rPr>
        <w:t> </w:t>
      </w:r>
      <w:r>
        <w:rPr>
          <w:sz w:val="24"/>
        </w:rPr>
        <w:t>детей</w:t>
      </w:r>
      <w:r>
        <w:rPr>
          <w:spacing w:val="71"/>
          <w:sz w:val="24"/>
        </w:rPr>
        <w:t> </w:t>
      </w:r>
      <w:r>
        <w:rPr>
          <w:sz w:val="24"/>
        </w:rPr>
        <w:t>ФГБУЗ</w:t>
      </w:r>
      <w:r>
        <w:rPr>
          <w:spacing w:val="70"/>
          <w:sz w:val="24"/>
        </w:rPr>
        <w:t> </w:t>
      </w:r>
      <w:r>
        <w:rPr>
          <w:sz w:val="24"/>
        </w:rPr>
        <w:t>ЦКБ</w:t>
      </w:r>
      <w:r>
        <w:rPr>
          <w:spacing w:val="72"/>
          <w:sz w:val="24"/>
        </w:rPr>
        <w:t> </w:t>
      </w:r>
      <w:r>
        <w:rPr>
          <w:sz w:val="24"/>
        </w:rPr>
        <w:t>РАН,</w:t>
      </w:r>
      <w:r>
        <w:rPr>
          <w:spacing w:val="72"/>
          <w:sz w:val="24"/>
        </w:rPr>
        <w:t> </w:t>
      </w:r>
      <w:r>
        <w:rPr>
          <w:sz w:val="24"/>
        </w:rPr>
        <w:t>член</w:t>
      </w:r>
      <w:r>
        <w:rPr>
          <w:spacing w:val="72"/>
          <w:sz w:val="24"/>
        </w:rPr>
        <w:t> </w:t>
      </w:r>
      <w:r>
        <w:rPr>
          <w:sz w:val="24"/>
        </w:rPr>
        <w:t>Ассоциации</w:t>
      </w:r>
      <w:r>
        <w:rPr>
          <w:spacing w:val="67"/>
          <w:sz w:val="24"/>
        </w:rPr>
        <w:t> </w:t>
      </w:r>
      <w:r>
        <w:rPr>
          <w:sz w:val="24"/>
        </w:rPr>
        <w:t>медицинских</w:t>
      </w:r>
    </w:p>
    <w:p>
      <w:pPr>
        <w:spacing w:after="0" w:line="240" w:lineRule="auto"/>
        <w:jc w:val="both"/>
        <w:rPr>
          <w:sz w:val="24"/>
        </w:rPr>
        <w:sectPr>
          <w:pgSz w:w="11910" w:h="16840"/>
          <w:pgMar w:header="572" w:footer="1177" w:top="1320" w:bottom="1360" w:left="1560" w:right="420"/>
        </w:sectPr>
      </w:pPr>
    </w:p>
    <w:p>
      <w:pPr>
        <w:pStyle w:val="BodyText"/>
        <w:spacing w:before="80"/>
      </w:pPr>
      <w:r>
        <w:rPr/>
        <w:t>генетиков</w:t>
      </w:r>
      <w:r>
        <w:rPr>
          <w:spacing w:val="-4"/>
        </w:rPr>
        <w:t> </w:t>
      </w:r>
      <w:r>
        <w:rPr>
          <w:spacing w:val="-2"/>
        </w:rPr>
        <w:t>(АМГ).</w:t>
      </w:r>
    </w:p>
    <w:p>
      <w:pPr>
        <w:pStyle w:val="ListParagraph"/>
        <w:numPr>
          <w:ilvl w:val="0"/>
          <w:numId w:val="9"/>
        </w:numPr>
        <w:tabs>
          <w:tab w:pos="1108" w:val="left" w:leader="none"/>
        </w:tabs>
        <w:spacing w:line="240" w:lineRule="auto" w:before="2" w:after="0"/>
        <w:ind w:left="139" w:right="144" w:firstLine="538"/>
        <w:jc w:val="both"/>
        <w:rPr>
          <w:sz w:val="24"/>
        </w:rPr>
      </w:pPr>
      <w:r>
        <w:rPr>
          <w:sz w:val="24"/>
        </w:rPr>
        <w:t>Захарова Екатерина Юрьевна, д.м.н., заведующая лабораторией наследственных болезней обмена ФГБНУ "Медико-генетический научный центр им. академика Н.П. Бочкова", член Российского общества медицинских генетиков, член европейского общества по изучению наследственных болезней обмена веществ (SSIEM).</w:t>
      </w:r>
    </w:p>
    <w:p>
      <w:pPr>
        <w:pStyle w:val="ListParagraph"/>
        <w:numPr>
          <w:ilvl w:val="0"/>
          <w:numId w:val="9"/>
        </w:numPr>
        <w:tabs>
          <w:tab w:pos="1089" w:val="left" w:leader="none"/>
        </w:tabs>
        <w:spacing w:line="240" w:lineRule="auto" w:before="1" w:after="0"/>
        <w:ind w:left="139" w:right="141" w:firstLine="538"/>
        <w:jc w:val="both"/>
        <w:rPr>
          <w:sz w:val="24"/>
        </w:rPr>
      </w:pPr>
      <w:r>
        <w:rPr>
          <w:sz w:val="24"/>
        </w:rPr>
        <w:t>Ивашкин Владимир Трофимович, академик РАН, профессор, д.м.н., заведующий кафедрой пропедевтики внутренних болезней, директор Клиники пропедевтики внутренних болезней,</w:t>
      </w:r>
      <w:r>
        <w:rPr>
          <w:spacing w:val="-5"/>
          <w:sz w:val="24"/>
        </w:rPr>
        <w:t> </w:t>
      </w:r>
      <w:r>
        <w:rPr>
          <w:sz w:val="24"/>
        </w:rPr>
        <w:t>гастроэнтерологии</w:t>
      </w:r>
      <w:r>
        <w:rPr>
          <w:spacing w:val="-1"/>
          <w:sz w:val="24"/>
        </w:rPr>
        <w:t> </w:t>
      </w:r>
      <w:r>
        <w:rPr>
          <w:sz w:val="24"/>
        </w:rPr>
        <w:t>и</w:t>
      </w:r>
      <w:r>
        <w:rPr>
          <w:spacing w:val="-1"/>
          <w:sz w:val="24"/>
        </w:rPr>
        <w:t> </w:t>
      </w:r>
      <w:r>
        <w:rPr>
          <w:sz w:val="24"/>
        </w:rPr>
        <w:t>гепатологии</w:t>
      </w:r>
      <w:r>
        <w:rPr>
          <w:spacing w:val="-1"/>
          <w:sz w:val="24"/>
        </w:rPr>
        <w:t> </w:t>
      </w:r>
      <w:r>
        <w:rPr>
          <w:sz w:val="24"/>
        </w:rPr>
        <w:t>им. В.Х. Василенко ФГАОУ ВО "Первый</w:t>
      </w:r>
      <w:r>
        <w:rPr>
          <w:spacing w:val="-1"/>
          <w:sz w:val="24"/>
        </w:rPr>
        <w:t> </w:t>
      </w:r>
      <w:r>
        <w:rPr>
          <w:sz w:val="24"/>
        </w:rPr>
        <w:t>МГМУ им. И.М. Сеченова" Минздрава России (Сеченовский университет)</w:t>
      </w:r>
    </w:p>
    <w:p>
      <w:pPr>
        <w:pStyle w:val="ListParagraph"/>
        <w:numPr>
          <w:ilvl w:val="0"/>
          <w:numId w:val="9"/>
        </w:numPr>
        <w:tabs>
          <w:tab w:pos="1122" w:val="left" w:leader="none"/>
        </w:tabs>
        <w:spacing w:line="240" w:lineRule="auto" w:before="0" w:after="0"/>
        <w:ind w:left="139" w:right="150" w:firstLine="538"/>
        <w:jc w:val="both"/>
        <w:rPr>
          <w:sz w:val="24"/>
        </w:rPr>
      </w:pPr>
      <w:r>
        <w:rPr>
          <w:sz w:val="24"/>
        </w:rPr>
        <w:t>Каменец Елена Анатольевна, сотрудник лаборатории наследственных болезней обмена ФГБНУ "Медико-генетический научный центр им. академика Н.П. Бочкова", член Российского общества медицинских генетиков.</w:t>
      </w:r>
    </w:p>
    <w:p>
      <w:pPr>
        <w:pStyle w:val="ListParagraph"/>
        <w:numPr>
          <w:ilvl w:val="0"/>
          <w:numId w:val="9"/>
        </w:numPr>
        <w:tabs>
          <w:tab w:pos="1151" w:val="left" w:leader="none"/>
        </w:tabs>
        <w:spacing w:line="240" w:lineRule="auto" w:before="0" w:after="0"/>
        <w:ind w:left="139" w:right="141" w:firstLine="538"/>
        <w:jc w:val="both"/>
        <w:rPr>
          <w:sz w:val="24"/>
        </w:rPr>
      </w:pPr>
      <w:r>
        <w:rPr>
          <w:sz w:val="24"/>
        </w:rPr>
        <w:t>Куцев Сергей Иванович, академик РАН, д.м.н., директор ФГБНУ "Медико- генетический научный центр им. академика Н.П. Бочкова", Президент Ассоциации медицинских генетиков (АМГ).</w:t>
      </w:r>
    </w:p>
    <w:p>
      <w:pPr>
        <w:pStyle w:val="ListParagraph"/>
        <w:numPr>
          <w:ilvl w:val="0"/>
          <w:numId w:val="9"/>
        </w:numPr>
        <w:tabs>
          <w:tab w:pos="1142" w:val="left" w:leader="none"/>
        </w:tabs>
        <w:spacing w:line="240" w:lineRule="auto" w:before="0" w:after="0"/>
        <w:ind w:left="139" w:right="141" w:firstLine="538"/>
        <w:jc w:val="both"/>
        <w:rPr>
          <w:sz w:val="24"/>
        </w:rPr>
      </w:pPr>
      <w:r>
        <w:rPr>
          <w:sz w:val="24"/>
        </w:rPr>
        <w:t>Лаврова Алла Евгеньевна, д.м.н., главный научный сотрудник, врач высшей квалификационной категории по специальности "Педиатрия", заведующий 2-м педиатрическим отделением с медицинской реабилитацией, ФГБОУ ВО "Приволжский исследовательский медицинский университет" МЗ РФ</w:t>
      </w:r>
    </w:p>
    <w:p>
      <w:pPr>
        <w:pStyle w:val="ListParagraph"/>
        <w:numPr>
          <w:ilvl w:val="0"/>
          <w:numId w:val="9"/>
        </w:numPr>
        <w:tabs>
          <w:tab w:pos="1257" w:val="left" w:leader="none"/>
        </w:tabs>
        <w:spacing w:line="240" w:lineRule="auto" w:before="1" w:after="0"/>
        <w:ind w:left="139" w:right="146" w:firstLine="538"/>
        <w:jc w:val="both"/>
        <w:rPr>
          <w:sz w:val="24"/>
        </w:rPr>
      </w:pPr>
      <w:r>
        <w:rPr>
          <w:sz w:val="24"/>
        </w:rPr>
        <w:t>Матинян Ирина Александровна, к.м.н., научный сотрудник отделения педиатрической гастроэнтерологии, гепатологии и диетотерапии Клиники ФГБУН "ФИЦ питания и биотехнологии"</w:t>
      </w:r>
    </w:p>
    <w:p>
      <w:pPr>
        <w:pStyle w:val="ListParagraph"/>
        <w:numPr>
          <w:ilvl w:val="0"/>
          <w:numId w:val="9"/>
        </w:numPr>
        <w:tabs>
          <w:tab w:pos="1228" w:val="left" w:leader="none"/>
        </w:tabs>
        <w:spacing w:line="242" w:lineRule="auto" w:before="0" w:after="0"/>
        <w:ind w:left="139" w:right="142" w:firstLine="538"/>
        <w:jc w:val="both"/>
        <w:rPr>
          <w:sz w:val="24"/>
        </w:rPr>
      </w:pPr>
      <w:r>
        <w:rPr>
          <w:sz w:val="24"/>
        </w:rPr>
        <w:t>Михайлова Светлана Витальевна, д.м.н., заведующая отделением ФГБУ "Российская Детская Клиническая Больница" МЗ РФ.</w:t>
      </w:r>
    </w:p>
    <w:p>
      <w:pPr>
        <w:pStyle w:val="ListParagraph"/>
        <w:numPr>
          <w:ilvl w:val="0"/>
          <w:numId w:val="9"/>
        </w:numPr>
        <w:tabs>
          <w:tab w:pos="1046" w:val="left" w:leader="none"/>
        </w:tabs>
        <w:spacing w:line="240" w:lineRule="auto" w:before="0" w:after="0"/>
        <w:ind w:left="139" w:right="147" w:firstLine="538"/>
        <w:jc w:val="both"/>
        <w:rPr>
          <w:sz w:val="24"/>
        </w:rPr>
      </w:pPr>
      <w:r>
        <w:rPr>
          <w:sz w:val="24"/>
        </w:rPr>
        <w:t>Намазова-Баранова</w:t>
      </w:r>
      <w:r>
        <w:rPr>
          <w:spacing w:val="-7"/>
          <w:sz w:val="24"/>
        </w:rPr>
        <w:t> </w:t>
      </w:r>
      <w:r>
        <w:rPr>
          <w:sz w:val="24"/>
        </w:rPr>
        <w:t>Лейла</w:t>
      </w:r>
      <w:r>
        <w:rPr>
          <w:spacing w:val="-2"/>
          <w:sz w:val="24"/>
        </w:rPr>
        <w:t> </w:t>
      </w:r>
      <w:r>
        <w:rPr>
          <w:sz w:val="24"/>
        </w:rPr>
        <w:t>Сеймуровна,</w:t>
      </w:r>
      <w:r>
        <w:rPr>
          <w:spacing w:val="-4"/>
          <w:sz w:val="24"/>
        </w:rPr>
        <w:t> </w:t>
      </w:r>
      <w:r>
        <w:rPr>
          <w:sz w:val="24"/>
        </w:rPr>
        <w:t>академик</w:t>
      </w:r>
      <w:r>
        <w:rPr>
          <w:spacing w:val="-3"/>
          <w:sz w:val="24"/>
        </w:rPr>
        <w:t> </w:t>
      </w:r>
      <w:r>
        <w:rPr>
          <w:sz w:val="24"/>
        </w:rPr>
        <w:t>РАН, профессор,</w:t>
      </w:r>
      <w:r>
        <w:rPr>
          <w:spacing w:val="-4"/>
          <w:sz w:val="24"/>
        </w:rPr>
        <w:t> </w:t>
      </w:r>
      <w:r>
        <w:rPr>
          <w:sz w:val="24"/>
        </w:rPr>
        <w:t>д.м.н.,</w:t>
      </w:r>
      <w:r>
        <w:rPr>
          <w:spacing w:val="-4"/>
          <w:sz w:val="24"/>
        </w:rPr>
        <w:t> </w:t>
      </w:r>
      <w:r>
        <w:rPr>
          <w:sz w:val="24"/>
        </w:rPr>
        <w:t>Президент Союза педиатров России; паст-президент EPA/UNEPSA; руководитель НИИ педиатрии и охраны здоровья детей ЦКБ РАН, заведующая кафедрой факультетской педиатрии педиатрического факультета ФГБОУ ВО "РНИМУ им. Н.И. Пирогова" Минздрава России, главный</w:t>
      </w:r>
      <w:r>
        <w:rPr>
          <w:spacing w:val="-4"/>
          <w:sz w:val="24"/>
        </w:rPr>
        <w:t> </w:t>
      </w:r>
      <w:r>
        <w:rPr>
          <w:sz w:val="24"/>
        </w:rPr>
        <w:t>внештатный</w:t>
      </w:r>
      <w:r>
        <w:rPr>
          <w:spacing w:val="-4"/>
          <w:sz w:val="24"/>
        </w:rPr>
        <w:t> </w:t>
      </w:r>
      <w:r>
        <w:rPr>
          <w:sz w:val="24"/>
        </w:rPr>
        <w:t>детский специалист</w:t>
      </w:r>
      <w:r>
        <w:rPr>
          <w:spacing w:val="-4"/>
          <w:sz w:val="24"/>
        </w:rPr>
        <w:t> </w:t>
      </w:r>
      <w:r>
        <w:rPr>
          <w:sz w:val="24"/>
        </w:rPr>
        <w:t>по профилактической</w:t>
      </w:r>
      <w:r>
        <w:rPr>
          <w:spacing w:val="-4"/>
          <w:sz w:val="24"/>
        </w:rPr>
        <w:t> </w:t>
      </w:r>
      <w:r>
        <w:rPr>
          <w:sz w:val="24"/>
        </w:rPr>
        <w:t>медицине</w:t>
      </w:r>
      <w:r>
        <w:rPr>
          <w:spacing w:val="-1"/>
          <w:sz w:val="24"/>
        </w:rPr>
        <w:t> </w:t>
      </w:r>
      <w:r>
        <w:rPr>
          <w:sz w:val="24"/>
        </w:rPr>
        <w:t>Минздрава</w:t>
      </w:r>
      <w:r>
        <w:rPr>
          <w:spacing w:val="-1"/>
          <w:sz w:val="24"/>
        </w:rPr>
        <w:t> </w:t>
      </w:r>
      <w:r>
        <w:rPr>
          <w:sz w:val="24"/>
        </w:rPr>
        <w:t>России</w:t>
      </w:r>
    </w:p>
    <w:p>
      <w:pPr>
        <w:pStyle w:val="ListParagraph"/>
        <w:numPr>
          <w:ilvl w:val="0"/>
          <w:numId w:val="9"/>
        </w:numPr>
        <w:tabs>
          <w:tab w:pos="1060" w:val="left" w:leader="none"/>
        </w:tabs>
        <w:spacing w:line="237" w:lineRule="auto" w:before="0" w:after="0"/>
        <w:ind w:left="139" w:right="144" w:firstLine="538"/>
        <w:jc w:val="both"/>
        <w:rPr>
          <w:sz w:val="24"/>
        </w:rPr>
      </w:pPr>
      <w:r>
        <w:rPr>
          <w:sz w:val="24"/>
        </w:rPr>
        <w:t>Пашкова Ирина Евгеньевна, к.м.н., заведующая педиатрическим отделением ФГБУ "НМИЦ ТИО им. ак. В.И. Шумакова" МЗ РФ</w:t>
      </w:r>
    </w:p>
    <w:p>
      <w:pPr>
        <w:pStyle w:val="ListParagraph"/>
        <w:numPr>
          <w:ilvl w:val="0"/>
          <w:numId w:val="9"/>
        </w:numPr>
        <w:tabs>
          <w:tab w:pos="1055" w:val="left" w:leader="none"/>
        </w:tabs>
        <w:spacing w:line="240" w:lineRule="auto" w:before="1" w:after="0"/>
        <w:ind w:left="139" w:right="148" w:firstLine="538"/>
        <w:jc w:val="both"/>
        <w:rPr>
          <w:sz w:val="24"/>
        </w:rPr>
      </w:pPr>
      <w:r>
        <w:rPr>
          <w:sz w:val="24"/>
        </w:rPr>
        <w:t>Петряйкина Елена Ефимовна, д.м.н., директор РДКБ ФГАОУ ВО РНИМУ им. Н.И. Пирогова</w:t>
      </w:r>
      <w:r>
        <w:rPr>
          <w:spacing w:val="-5"/>
          <w:sz w:val="24"/>
        </w:rPr>
        <w:t> </w:t>
      </w:r>
      <w:r>
        <w:rPr>
          <w:sz w:val="24"/>
        </w:rPr>
        <w:t>Минздрава России,</w:t>
      </w:r>
      <w:r>
        <w:rPr>
          <w:spacing w:val="-2"/>
          <w:sz w:val="24"/>
        </w:rPr>
        <w:t> </w:t>
      </w:r>
      <w:r>
        <w:rPr>
          <w:sz w:val="24"/>
        </w:rPr>
        <w:t>профессор</w:t>
      </w:r>
      <w:r>
        <w:rPr>
          <w:spacing w:val="-4"/>
          <w:sz w:val="24"/>
        </w:rPr>
        <w:t> </w:t>
      </w:r>
      <w:r>
        <w:rPr>
          <w:sz w:val="24"/>
        </w:rPr>
        <w:t>кафедры факультетской педиатрии</w:t>
      </w:r>
      <w:r>
        <w:rPr>
          <w:spacing w:val="-3"/>
          <w:sz w:val="24"/>
        </w:rPr>
        <w:t> </w:t>
      </w:r>
      <w:r>
        <w:rPr>
          <w:sz w:val="24"/>
        </w:rPr>
        <w:t>педиатрического факультета РНИМУ имени Н.И. Пирогова, профессор кафедры доказательной медицины медицинского института РУДН, Главный внештатный специалист детский эндокринолог Департамента здравоохранения города Москвы</w:t>
      </w:r>
    </w:p>
    <w:p>
      <w:pPr>
        <w:pStyle w:val="ListParagraph"/>
        <w:numPr>
          <w:ilvl w:val="0"/>
          <w:numId w:val="9"/>
        </w:numPr>
        <w:tabs>
          <w:tab w:pos="1127" w:val="left" w:leader="none"/>
        </w:tabs>
        <w:spacing w:line="242" w:lineRule="auto" w:before="0" w:after="0"/>
        <w:ind w:left="139" w:right="143" w:firstLine="538"/>
        <w:jc w:val="both"/>
        <w:rPr>
          <w:sz w:val="24"/>
        </w:rPr>
      </w:pPr>
      <w:r>
        <w:rPr>
          <w:sz w:val="24"/>
        </w:rPr>
        <w:t>Первунина Татьяна Михайловна, к.м.н., Директор Института перинатологии и педиатрии, ФГБУ НМИЦ им В.А. Алмазова МЗ РФ</w:t>
      </w:r>
    </w:p>
    <w:p>
      <w:pPr>
        <w:pStyle w:val="ListParagraph"/>
        <w:numPr>
          <w:ilvl w:val="0"/>
          <w:numId w:val="9"/>
        </w:numPr>
        <w:tabs>
          <w:tab w:pos="1194" w:val="left" w:leader="none"/>
        </w:tabs>
        <w:spacing w:line="242" w:lineRule="auto" w:before="0" w:after="0"/>
        <w:ind w:left="139" w:right="147" w:firstLine="538"/>
        <w:jc w:val="both"/>
        <w:rPr>
          <w:sz w:val="24"/>
        </w:rPr>
      </w:pPr>
      <w:r>
        <w:rPr>
          <w:sz w:val="24"/>
        </w:rPr>
        <w:t>Печатникова Наталья Леонидовна, врач-невролог, заведующий отделением, Морозовская ДГКБ ДЗМ</w:t>
      </w:r>
    </w:p>
    <w:p>
      <w:pPr>
        <w:pStyle w:val="ListParagraph"/>
        <w:numPr>
          <w:ilvl w:val="0"/>
          <w:numId w:val="9"/>
        </w:numPr>
        <w:tabs>
          <w:tab w:pos="1060" w:val="left" w:leader="none"/>
        </w:tabs>
        <w:spacing w:line="240" w:lineRule="auto" w:before="0" w:after="0"/>
        <w:ind w:left="139" w:right="142" w:firstLine="538"/>
        <w:jc w:val="both"/>
        <w:rPr>
          <w:sz w:val="24"/>
        </w:rPr>
      </w:pPr>
      <w:r>
        <w:rPr>
          <w:sz w:val="24"/>
        </w:rPr>
        <w:t>Репина Светлана Афанасьевна, к.м.н., врач-генетик ФГБНУ "Медико-генетический научный центр им. академика Н.П. Бочкова", член Российского общества медицинских генетиков, член Ассоциации медицинских генетиков.</w:t>
      </w:r>
    </w:p>
    <w:p>
      <w:pPr>
        <w:pStyle w:val="ListParagraph"/>
        <w:numPr>
          <w:ilvl w:val="0"/>
          <w:numId w:val="9"/>
        </w:numPr>
        <w:tabs>
          <w:tab w:pos="1175" w:val="left" w:leader="none"/>
        </w:tabs>
        <w:spacing w:line="240" w:lineRule="auto" w:before="0" w:after="0"/>
        <w:ind w:left="139" w:right="141" w:firstLine="538"/>
        <w:jc w:val="both"/>
        <w:rPr>
          <w:sz w:val="24"/>
        </w:rPr>
      </w:pPr>
      <w:r>
        <w:rPr>
          <w:sz w:val="24"/>
        </w:rPr>
        <w:t>Селимзянова Лилия Робертовна, к.м.н., ведущий научный сотрудник НИИ педиатрии и охраны здоровья детей ЦКБ РАН Министерства науки и высшего образования Российской Федерации, доцент кафедры педиатрии и детской ревматологии ФГАОУ "Первый МГМУ им. И.М. Сеченова" Минздрава России (Сеченовский Университет)</w:t>
      </w:r>
    </w:p>
    <w:p>
      <w:pPr>
        <w:pStyle w:val="ListParagraph"/>
        <w:numPr>
          <w:ilvl w:val="0"/>
          <w:numId w:val="9"/>
        </w:numPr>
        <w:tabs>
          <w:tab w:pos="1108" w:val="left" w:leader="none"/>
        </w:tabs>
        <w:spacing w:line="240" w:lineRule="auto" w:before="0" w:after="0"/>
        <w:ind w:left="139" w:right="145" w:firstLine="538"/>
        <w:jc w:val="both"/>
        <w:rPr>
          <w:sz w:val="24"/>
        </w:rPr>
      </w:pPr>
      <w:r>
        <w:rPr>
          <w:sz w:val="24"/>
        </w:rPr>
        <w:t>Скворцова Тамара Андреевна, к.м.н., Главный внештатный детский специалист гастроэнтеролог Департамента здравоохранения г. Москва, руководитель Центра детской гастроэнтерологии</w:t>
      </w:r>
      <w:r>
        <w:rPr>
          <w:spacing w:val="36"/>
          <w:sz w:val="24"/>
        </w:rPr>
        <w:t>  </w:t>
      </w:r>
      <w:r>
        <w:rPr>
          <w:sz w:val="24"/>
        </w:rPr>
        <w:t>и</w:t>
      </w:r>
      <w:r>
        <w:rPr>
          <w:spacing w:val="39"/>
          <w:sz w:val="24"/>
        </w:rPr>
        <w:t>  </w:t>
      </w:r>
      <w:r>
        <w:rPr>
          <w:sz w:val="24"/>
        </w:rPr>
        <w:t>Центра</w:t>
      </w:r>
      <w:r>
        <w:rPr>
          <w:spacing w:val="36"/>
          <w:sz w:val="24"/>
        </w:rPr>
        <w:t>  </w:t>
      </w:r>
      <w:r>
        <w:rPr>
          <w:sz w:val="24"/>
        </w:rPr>
        <w:t>ВЗК,</w:t>
      </w:r>
      <w:r>
        <w:rPr>
          <w:spacing w:val="39"/>
          <w:sz w:val="24"/>
        </w:rPr>
        <w:t>  </w:t>
      </w:r>
      <w:r>
        <w:rPr>
          <w:sz w:val="24"/>
        </w:rPr>
        <w:t>заведующая</w:t>
      </w:r>
      <w:r>
        <w:rPr>
          <w:spacing w:val="39"/>
          <w:sz w:val="24"/>
        </w:rPr>
        <w:t>  </w:t>
      </w:r>
      <w:r>
        <w:rPr>
          <w:sz w:val="24"/>
        </w:rPr>
        <w:t>отделением</w:t>
      </w:r>
      <w:r>
        <w:rPr>
          <w:spacing w:val="37"/>
          <w:sz w:val="24"/>
        </w:rPr>
        <w:t>  </w:t>
      </w:r>
      <w:r>
        <w:rPr>
          <w:sz w:val="24"/>
        </w:rPr>
        <w:t>гастроэнтерологии</w:t>
      </w:r>
      <w:r>
        <w:rPr>
          <w:spacing w:val="36"/>
          <w:sz w:val="24"/>
        </w:rPr>
        <w:t>  </w:t>
      </w:r>
      <w:r>
        <w:rPr>
          <w:spacing w:val="-4"/>
          <w:sz w:val="24"/>
        </w:rPr>
        <w:t>ГБУЗ</w:t>
      </w:r>
    </w:p>
    <w:p>
      <w:pPr>
        <w:spacing w:after="0" w:line="240" w:lineRule="auto"/>
        <w:jc w:val="both"/>
        <w:rPr>
          <w:sz w:val="24"/>
        </w:rPr>
        <w:sectPr>
          <w:pgSz w:w="11910" w:h="16840"/>
          <w:pgMar w:header="572" w:footer="1177" w:top="1320" w:bottom="1360" w:left="1560" w:right="420"/>
        </w:sectPr>
      </w:pPr>
    </w:p>
    <w:p>
      <w:pPr>
        <w:pStyle w:val="BodyText"/>
        <w:spacing w:before="80"/>
      </w:pPr>
      <w:r>
        <w:rPr/>
        <w:t>"Морозовская</w:t>
      </w:r>
      <w:r>
        <w:rPr>
          <w:spacing w:val="-7"/>
        </w:rPr>
        <w:t> </w:t>
      </w:r>
      <w:r>
        <w:rPr/>
        <w:t>детская</w:t>
      </w:r>
      <w:r>
        <w:rPr>
          <w:spacing w:val="-4"/>
        </w:rPr>
        <w:t> </w:t>
      </w:r>
      <w:r>
        <w:rPr/>
        <w:t>городская</w:t>
      </w:r>
      <w:r>
        <w:rPr>
          <w:spacing w:val="-4"/>
        </w:rPr>
        <w:t> </w:t>
      </w:r>
      <w:r>
        <w:rPr/>
        <w:t>клиническая</w:t>
      </w:r>
      <w:r>
        <w:rPr>
          <w:spacing w:val="-4"/>
        </w:rPr>
        <w:t> </w:t>
      </w:r>
      <w:r>
        <w:rPr/>
        <w:t>больница</w:t>
      </w:r>
      <w:r>
        <w:rPr>
          <w:spacing w:val="-5"/>
        </w:rPr>
        <w:t> </w:t>
      </w:r>
      <w:r>
        <w:rPr>
          <w:spacing w:val="-4"/>
        </w:rPr>
        <w:t>ДЗМ"</w:t>
      </w:r>
    </w:p>
    <w:p>
      <w:pPr>
        <w:pStyle w:val="ListParagraph"/>
        <w:numPr>
          <w:ilvl w:val="0"/>
          <w:numId w:val="9"/>
        </w:numPr>
        <w:tabs>
          <w:tab w:pos="1113" w:val="left" w:leader="none"/>
        </w:tabs>
        <w:spacing w:line="240" w:lineRule="auto" w:before="2" w:after="0"/>
        <w:ind w:left="139" w:right="144" w:firstLine="538"/>
        <w:jc w:val="both"/>
        <w:rPr>
          <w:sz w:val="24"/>
        </w:rPr>
      </w:pPr>
      <w:r>
        <w:rPr>
          <w:sz w:val="24"/>
        </w:rPr>
        <w:t>Строкова Татьяна Викторовна, д.м.н., профессор РАН, заведующая отделением педиатрической гастроэнтерологии, гепатологии и диетотерапии Клиники ФГБУН "ФИЦ питания и биотехнологии"</w:t>
      </w:r>
    </w:p>
    <w:p>
      <w:pPr>
        <w:pStyle w:val="ListParagraph"/>
        <w:numPr>
          <w:ilvl w:val="0"/>
          <w:numId w:val="9"/>
        </w:numPr>
        <w:tabs>
          <w:tab w:pos="1146" w:val="left" w:leader="none"/>
        </w:tabs>
        <w:spacing w:line="242" w:lineRule="auto" w:before="0" w:after="0"/>
        <w:ind w:left="139" w:right="142" w:firstLine="538"/>
        <w:jc w:val="both"/>
        <w:rPr>
          <w:sz w:val="24"/>
        </w:rPr>
      </w:pPr>
      <w:r>
        <w:rPr>
          <w:sz w:val="24"/>
        </w:rPr>
        <w:t>Субботин Дмитрий Михайлович, врач-генетик ФГБНУ "Медико-генетический научный центр им. академика Н.П. Бочкова", член Ассоциации медицинских генетиков.</w:t>
      </w:r>
    </w:p>
    <w:p>
      <w:pPr>
        <w:pStyle w:val="ListParagraph"/>
        <w:numPr>
          <w:ilvl w:val="0"/>
          <w:numId w:val="9"/>
        </w:numPr>
        <w:tabs>
          <w:tab w:pos="1233" w:val="left" w:leader="none"/>
        </w:tabs>
        <w:spacing w:line="242" w:lineRule="auto" w:before="0" w:after="0"/>
        <w:ind w:left="139" w:right="152" w:firstLine="538"/>
        <w:jc w:val="both"/>
        <w:rPr>
          <w:sz w:val="24"/>
        </w:rPr>
      </w:pPr>
      <w:r>
        <w:rPr>
          <w:sz w:val="24"/>
        </w:rPr>
        <w:t>Сурков Андрей Николаевич, д.м.н., заведующий гастроэнтерологическим отделением с гепатологической группой ФГАУ "НМИЦ здоровья детей" Минздрава России</w:t>
      </w:r>
    </w:p>
    <w:p>
      <w:pPr>
        <w:pStyle w:val="ListParagraph"/>
        <w:numPr>
          <w:ilvl w:val="0"/>
          <w:numId w:val="9"/>
        </w:numPr>
        <w:tabs>
          <w:tab w:pos="1247" w:val="left" w:leader="none"/>
        </w:tabs>
        <w:spacing w:line="242" w:lineRule="auto" w:before="0" w:after="0"/>
        <w:ind w:left="139" w:right="152" w:firstLine="538"/>
        <w:jc w:val="both"/>
        <w:rPr>
          <w:sz w:val="24"/>
        </w:rPr>
      </w:pPr>
      <w:r>
        <w:rPr>
          <w:sz w:val="24"/>
        </w:rPr>
        <w:t>Туманова Елена Леонидовна, д.м.н., профессор, заведующая кафедрой патологической анатомии ГБОУ ВПО "РНИМУ им. Н.И. Пирогова Минздрава России"</w:t>
      </w:r>
    </w:p>
    <w:p>
      <w:pPr>
        <w:pStyle w:val="ListParagraph"/>
        <w:numPr>
          <w:ilvl w:val="0"/>
          <w:numId w:val="9"/>
        </w:numPr>
        <w:tabs>
          <w:tab w:pos="1060" w:val="left" w:leader="none"/>
        </w:tabs>
        <w:spacing w:line="240" w:lineRule="auto" w:before="0" w:after="0"/>
        <w:ind w:left="139" w:right="142" w:firstLine="538"/>
        <w:jc w:val="both"/>
        <w:rPr>
          <w:sz w:val="24"/>
        </w:rPr>
      </w:pPr>
      <w:r>
        <w:rPr>
          <w:sz w:val="24"/>
        </w:rPr>
        <w:t>Цимбалова Екатерина Георгиевна, к.м.н., внештатный специалист МЗ МО-главный детский гастроэнтеролог МО, член Союза педиатров России, член детской группы Российского общества по изучению ВЗК.</w:t>
      </w:r>
    </w:p>
    <w:p>
      <w:pPr>
        <w:pStyle w:val="BodyText"/>
        <w:spacing w:line="275" w:lineRule="exact" w:before="225"/>
        <w:ind w:left="682"/>
        <w:jc w:val="left"/>
      </w:pPr>
      <w:r>
        <w:rPr/>
        <w:t>Представитель</w:t>
      </w:r>
      <w:r>
        <w:rPr>
          <w:spacing w:val="-6"/>
        </w:rPr>
        <w:t> </w:t>
      </w:r>
      <w:r>
        <w:rPr/>
        <w:t>пациентских</w:t>
      </w:r>
      <w:r>
        <w:rPr>
          <w:spacing w:val="-9"/>
        </w:rPr>
        <w:t> </w:t>
      </w:r>
      <w:r>
        <w:rPr>
          <w:spacing w:val="-2"/>
        </w:rPr>
        <w:t>сообществ:</w:t>
      </w:r>
    </w:p>
    <w:p>
      <w:pPr>
        <w:pStyle w:val="ListParagraph"/>
        <w:numPr>
          <w:ilvl w:val="0"/>
          <w:numId w:val="9"/>
        </w:numPr>
        <w:tabs>
          <w:tab w:pos="1108" w:val="left" w:leader="none"/>
        </w:tabs>
        <w:spacing w:line="242" w:lineRule="auto" w:before="0" w:after="0"/>
        <w:ind w:left="139" w:right="145" w:firstLine="538"/>
        <w:jc w:val="both"/>
        <w:rPr>
          <w:sz w:val="24"/>
        </w:rPr>
      </w:pPr>
      <w:r>
        <w:rPr>
          <w:sz w:val="24"/>
        </w:rPr>
        <w:t>Погосян Нелли Сергеевна – представитель Всероссийского общества орфанных </w:t>
      </w:r>
      <w:r>
        <w:rPr>
          <w:spacing w:val="-2"/>
          <w:sz w:val="24"/>
        </w:rPr>
        <w:t>заболеваний</w:t>
      </w:r>
    </w:p>
    <w:p>
      <w:pPr>
        <w:pStyle w:val="BodyText"/>
        <w:spacing w:line="242" w:lineRule="auto" w:before="234"/>
        <w:ind w:right="147" w:firstLine="542"/>
      </w:pPr>
      <w:r>
        <w:rPr/>
        <w:t>Авторы подтверждают отсутствие финансовой поддержки/конфликта интересов, который необходимо обнародовать.</w:t>
      </w:r>
    </w:p>
    <w:p>
      <w:pPr>
        <w:pStyle w:val="BodyText"/>
        <w:spacing w:before="270"/>
        <w:ind w:left="0"/>
        <w:jc w:val="left"/>
      </w:pPr>
    </w:p>
    <w:p>
      <w:pPr>
        <w:pStyle w:val="BodyText"/>
        <w:spacing w:before="1"/>
        <w:ind w:left="0" w:right="141"/>
        <w:jc w:val="right"/>
      </w:pPr>
      <w:bookmarkStart w:name="Приложение А2" w:id="101"/>
      <w:bookmarkEnd w:id="101"/>
      <w:r>
        <w:rPr/>
      </w:r>
      <w:r>
        <w:rPr/>
        <w:t>Приложение </w:t>
      </w:r>
      <w:r>
        <w:rPr>
          <w:spacing w:val="-5"/>
        </w:rPr>
        <w:t>А2</w:t>
      </w:r>
    </w:p>
    <w:p>
      <w:pPr>
        <w:pStyle w:val="BodyText"/>
        <w:spacing w:before="5"/>
        <w:ind w:left="0"/>
        <w:jc w:val="left"/>
      </w:pPr>
    </w:p>
    <w:p>
      <w:pPr>
        <w:pStyle w:val="Heading1"/>
        <w:ind w:left="209" w:right="221" w:firstLine="0"/>
        <w:jc w:val="center"/>
      </w:pPr>
      <w:r>
        <w:rPr/>
        <w:t>Методология</w:t>
      </w:r>
      <w:r>
        <w:rPr>
          <w:spacing w:val="-18"/>
        </w:rPr>
        <w:t> </w:t>
      </w:r>
      <w:r>
        <w:rPr/>
        <w:t>разработки</w:t>
      </w:r>
      <w:r>
        <w:rPr>
          <w:spacing w:val="-12"/>
        </w:rPr>
        <w:t> </w:t>
      </w:r>
      <w:r>
        <w:rPr/>
        <w:t>клинических</w:t>
      </w:r>
      <w:r>
        <w:rPr>
          <w:spacing w:val="-17"/>
        </w:rPr>
        <w:t> </w:t>
      </w:r>
      <w:r>
        <w:rPr>
          <w:spacing w:val="-2"/>
        </w:rPr>
        <w:t>рекомендаций</w:t>
      </w:r>
    </w:p>
    <w:p>
      <w:pPr>
        <w:pStyle w:val="BodyText"/>
        <w:spacing w:before="273"/>
        <w:ind w:right="141" w:firstLine="542"/>
      </w:pPr>
      <w:r>
        <w:rPr/>
        <w:t>Настоящие рекомендации предназначены для применения медицинскими организациями и учреждениями федеральных, территориальных и муниципальных органов управления здравоохранением, систем обязательного и добровольного медицинского страхования, другими медицинскими организациями различных организационно-правовых форм деятельности, направленной на оказание медицинской помощи.</w:t>
      </w:r>
    </w:p>
    <w:p>
      <w:pPr>
        <w:pStyle w:val="BodyText"/>
        <w:ind w:right="144" w:firstLine="538"/>
      </w:pPr>
      <w:r>
        <w:rPr/>
        <w:t>Настоящие рекомендации устанавливают виды, объем и индикаторы качества медицинской помощи пациентам при ДЛКЛ и были рассмотрены 1-2 июня 2018 года в рамках Научно-практического конгресса "Орфанные болезни" в Москве.</w:t>
      </w:r>
    </w:p>
    <w:p>
      <w:pPr>
        <w:pStyle w:val="BodyText"/>
        <w:spacing w:before="1"/>
        <w:ind w:right="148" w:firstLine="538"/>
      </w:pPr>
      <w:r>
        <w:rPr/>
        <w:t>Клинические</w:t>
      </w:r>
      <w:r>
        <w:rPr>
          <w:spacing w:val="-4"/>
        </w:rPr>
        <w:t> </w:t>
      </w:r>
      <w:r>
        <w:rPr/>
        <w:t>рекомендации</w:t>
      </w:r>
      <w:r>
        <w:rPr>
          <w:spacing w:val="-6"/>
        </w:rPr>
        <w:t> </w:t>
      </w:r>
      <w:r>
        <w:rPr/>
        <w:t>созданы</w:t>
      </w:r>
      <w:r>
        <w:rPr>
          <w:spacing w:val="-6"/>
        </w:rPr>
        <w:t> </w:t>
      </w:r>
      <w:r>
        <w:rPr/>
        <w:t>на</w:t>
      </w:r>
      <w:r>
        <w:rPr>
          <w:spacing w:val="-8"/>
        </w:rPr>
        <w:t> </w:t>
      </w:r>
      <w:r>
        <w:rPr/>
        <w:t>основании</w:t>
      </w:r>
      <w:r>
        <w:rPr>
          <w:spacing w:val="-2"/>
        </w:rPr>
        <w:t> </w:t>
      </w:r>
      <w:r>
        <w:rPr/>
        <w:t>систематического</w:t>
      </w:r>
      <w:r>
        <w:rPr>
          <w:spacing w:val="-7"/>
        </w:rPr>
        <w:t> </w:t>
      </w:r>
      <w:r>
        <w:rPr/>
        <w:t>обзора</w:t>
      </w:r>
      <w:r>
        <w:rPr>
          <w:spacing w:val="-4"/>
        </w:rPr>
        <w:t> </w:t>
      </w:r>
      <w:r>
        <w:rPr/>
        <w:t>литературы 1992-2019 гг. Medline (Pubmed version), Embase (Dialog version) и Cochrane Library databases современных международных клинических рекомендаций по диагностике, лечению и ведению пациентов с метаболическими болезнями.</w:t>
      </w:r>
    </w:p>
    <w:p>
      <w:pPr>
        <w:pStyle w:val="BodyText"/>
        <w:ind w:right="144" w:firstLine="538"/>
      </w:pPr>
      <w:r>
        <w:rPr/>
        <w:t>Дефицит лизосомной кислой липазы относятся к редким наследственным</w:t>
      </w:r>
      <w:r>
        <w:rPr>
          <w:spacing w:val="80"/>
        </w:rPr>
        <w:t> </w:t>
      </w:r>
      <w:r>
        <w:rPr/>
        <w:t>заболеваниям, что исключает возможность проведения больших когортных и рандомизированных контролированных исследований и для создания протоколов диагностики и терапии используются лишь тематические исследования экспертов, опубликованные в последние два десятилетия.</w:t>
      </w:r>
    </w:p>
    <w:p>
      <w:pPr>
        <w:pStyle w:val="BodyText"/>
        <w:ind w:right="149" w:firstLine="538"/>
      </w:pPr>
      <w:r>
        <w:rPr/>
        <w:t>Оценка качества доказательств и силы рекомендаций применения медицинских технологий проводилась в соответствии с унифицированной шкалой, приведенной в </w:t>
      </w:r>
      <w:hyperlink w:history="true" w:anchor="_bookmark42">
        <w:r>
          <w:rPr>
            <w:color w:val="0000FF"/>
          </w:rPr>
          <w:t>таблицах 1</w:t>
        </w:r>
      </w:hyperlink>
      <w:r>
        <w:rPr/>
        <w:t>-</w:t>
      </w:r>
      <w:hyperlink w:history="true" w:anchor="_bookmark43">
        <w:r>
          <w:rPr>
            <w:color w:val="0000FF"/>
          </w:rPr>
          <w:t>3</w:t>
        </w:r>
        <w:r>
          <w:rPr/>
          <w:t>.</w:t>
        </w:r>
      </w:hyperlink>
    </w:p>
    <w:p>
      <w:pPr>
        <w:pStyle w:val="BodyText"/>
        <w:spacing w:before="4"/>
        <w:ind w:left="0"/>
        <w:jc w:val="left"/>
      </w:pPr>
    </w:p>
    <w:p>
      <w:pPr>
        <w:pStyle w:val="Heading1"/>
        <w:spacing w:before="1"/>
        <w:ind w:left="682" w:firstLine="0"/>
      </w:pPr>
      <w:bookmarkStart w:name="Целевая аудитория данных клинических рек" w:id="102"/>
      <w:bookmarkEnd w:id="102"/>
      <w:r>
        <w:rPr>
          <w:b w:val="0"/>
        </w:rPr>
      </w:r>
      <w:r>
        <w:rPr/>
        <w:t>Целевая</w:t>
      </w:r>
      <w:r>
        <w:rPr>
          <w:spacing w:val="-13"/>
        </w:rPr>
        <w:t> </w:t>
      </w:r>
      <w:r>
        <w:rPr/>
        <w:t>аудитория</w:t>
      </w:r>
      <w:r>
        <w:rPr>
          <w:spacing w:val="-8"/>
        </w:rPr>
        <w:t> </w:t>
      </w:r>
      <w:r>
        <w:rPr/>
        <w:t>данных</w:t>
      </w:r>
      <w:r>
        <w:rPr>
          <w:spacing w:val="-10"/>
        </w:rPr>
        <w:t> </w:t>
      </w:r>
      <w:r>
        <w:rPr/>
        <w:t>клинических</w:t>
      </w:r>
      <w:r>
        <w:rPr>
          <w:spacing w:val="-14"/>
        </w:rPr>
        <w:t> </w:t>
      </w:r>
      <w:r>
        <w:rPr>
          <w:spacing w:val="-2"/>
        </w:rPr>
        <w:t>рекомендаций:</w:t>
      </w:r>
    </w:p>
    <w:p>
      <w:pPr>
        <w:pStyle w:val="ListParagraph"/>
        <w:numPr>
          <w:ilvl w:val="0"/>
          <w:numId w:val="10"/>
        </w:numPr>
        <w:tabs>
          <w:tab w:pos="926" w:val="left" w:leader="none"/>
        </w:tabs>
        <w:spacing w:line="240" w:lineRule="auto" w:before="233" w:after="0"/>
        <w:ind w:left="926" w:right="0" w:hanging="244"/>
        <w:jc w:val="left"/>
        <w:rPr>
          <w:sz w:val="24"/>
        </w:rPr>
      </w:pPr>
      <w:r>
        <w:rPr>
          <w:sz w:val="24"/>
        </w:rPr>
        <w:t>Врачи</w:t>
      </w:r>
      <w:r>
        <w:rPr>
          <w:spacing w:val="-6"/>
          <w:sz w:val="24"/>
        </w:rPr>
        <w:t> </w:t>
      </w:r>
      <w:r>
        <w:rPr>
          <w:sz w:val="24"/>
        </w:rPr>
        <w:t>общей</w:t>
      </w:r>
      <w:r>
        <w:rPr>
          <w:spacing w:val="-5"/>
          <w:sz w:val="24"/>
        </w:rPr>
        <w:t> </w:t>
      </w:r>
      <w:r>
        <w:rPr>
          <w:sz w:val="24"/>
        </w:rPr>
        <w:t>врачебной</w:t>
      </w:r>
      <w:r>
        <w:rPr>
          <w:spacing w:val="-1"/>
          <w:sz w:val="24"/>
        </w:rPr>
        <w:t> </w:t>
      </w:r>
      <w:r>
        <w:rPr>
          <w:sz w:val="24"/>
        </w:rPr>
        <w:t>практики</w:t>
      </w:r>
      <w:r>
        <w:rPr>
          <w:spacing w:val="-5"/>
          <w:sz w:val="24"/>
        </w:rPr>
        <w:t> </w:t>
      </w:r>
      <w:r>
        <w:rPr>
          <w:sz w:val="24"/>
        </w:rPr>
        <w:t>(семейные</w:t>
      </w:r>
      <w:r>
        <w:rPr>
          <w:spacing w:val="-7"/>
          <w:sz w:val="24"/>
        </w:rPr>
        <w:t> </w:t>
      </w:r>
      <w:r>
        <w:rPr>
          <w:spacing w:val="-2"/>
          <w:sz w:val="24"/>
        </w:rPr>
        <w:t>врачи);</w:t>
      </w:r>
    </w:p>
    <w:p>
      <w:pPr>
        <w:spacing w:after="0" w:line="240" w:lineRule="auto"/>
        <w:jc w:val="left"/>
        <w:rPr>
          <w:sz w:val="24"/>
        </w:rPr>
        <w:sectPr>
          <w:pgSz w:w="11910" w:h="16840"/>
          <w:pgMar w:header="572" w:footer="1177" w:top="1320" w:bottom="1360" w:left="1560" w:right="420"/>
        </w:sectPr>
      </w:pPr>
    </w:p>
    <w:p>
      <w:pPr>
        <w:pStyle w:val="ListParagraph"/>
        <w:numPr>
          <w:ilvl w:val="0"/>
          <w:numId w:val="10"/>
        </w:numPr>
        <w:tabs>
          <w:tab w:pos="921" w:val="left" w:leader="none"/>
        </w:tabs>
        <w:spacing w:line="240" w:lineRule="auto" w:before="80" w:after="0"/>
        <w:ind w:left="921" w:right="0" w:hanging="244"/>
        <w:jc w:val="left"/>
        <w:rPr>
          <w:sz w:val="24"/>
        </w:rPr>
      </w:pPr>
      <w:r>
        <w:rPr>
          <w:spacing w:val="-2"/>
          <w:sz w:val="24"/>
        </w:rPr>
        <w:t>Врачи-педиатры;</w:t>
      </w:r>
    </w:p>
    <w:p>
      <w:pPr>
        <w:pStyle w:val="ListParagraph"/>
        <w:numPr>
          <w:ilvl w:val="0"/>
          <w:numId w:val="10"/>
        </w:numPr>
        <w:tabs>
          <w:tab w:pos="921" w:val="left" w:leader="none"/>
        </w:tabs>
        <w:spacing w:line="275" w:lineRule="exact" w:before="2" w:after="0"/>
        <w:ind w:left="921" w:right="0" w:hanging="244"/>
        <w:jc w:val="left"/>
        <w:rPr>
          <w:sz w:val="24"/>
        </w:rPr>
      </w:pPr>
      <w:r>
        <w:rPr>
          <w:spacing w:val="-2"/>
          <w:sz w:val="24"/>
        </w:rPr>
        <w:t>Врачи-гастроэнтерологи;</w:t>
      </w:r>
    </w:p>
    <w:p>
      <w:pPr>
        <w:pStyle w:val="ListParagraph"/>
        <w:numPr>
          <w:ilvl w:val="0"/>
          <w:numId w:val="10"/>
        </w:numPr>
        <w:tabs>
          <w:tab w:pos="921" w:val="left" w:leader="none"/>
        </w:tabs>
        <w:spacing w:line="275" w:lineRule="exact" w:before="0" w:after="0"/>
        <w:ind w:left="921" w:right="0" w:hanging="244"/>
        <w:jc w:val="left"/>
        <w:rPr>
          <w:sz w:val="24"/>
        </w:rPr>
      </w:pPr>
      <w:r>
        <w:rPr>
          <w:spacing w:val="-2"/>
          <w:sz w:val="24"/>
        </w:rPr>
        <w:t>Врачи-терапевты;</w:t>
      </w:r>
    </w:p>
    <w:p>
      <w:pPr>
        <w:pStyle w:val="ListParagraph"/>
        <w:numPr>
          <w:ilvl w:val="0"/>
          <w:numId w:val="10"/>
        </w:numPr>
        <w:tabs>
          <w:tab w:pos="921" w:val="left" w:leader="none"/>
        </w:tabs>
        <w:spacing w:line="275" w:lineRule="exact" w:before="2" w:after="0"/>
        <w:ind w:left="921" w:right="0" w:hanging="244"/>
        <w:jc w:val="left"/>
        <w:rPr>
          <w:sz w:val="24"/>
        </w:rPr>
      </w:pPr>
      <w:r>
        <w:rPr>
          <w:spacing w:val="-2"/>
          <w:sz w:val="24"/>
        </w:rPr>
        <w:t>Врачи-генетики;</w:t>
      </w:r>
    </w:p>
    <w:p>
      <w:pPr>
        <w:pStyle w:val="ListParagraph"/>
        <w:numPr>
          <w:ilvl w:val="0"/>
          <w:numId w:val="10"/>
        </w:numPr>
        <w:tabs>
          <w:tab w:pos="921" w:val="left" w:leader="none"/>
        </w:tabs>
        <w:spacing w:line="275" w:lineRule="exact" w:before="0" w:after="0"/>
        <w:ind w:left="921" w:right="0" w:hanging="244"/>
        <w:jc w:val="left"/>
        <w:rPr>
          <w:sz w:val="24"/>
        </w:rPr>
      </w:pPr>
      <w:r>
        <w:rPr>
          <w:sz w:val="24"/>
        </w:rPr>
        <w:t>Врачи-лабораторные</w:t>
      </w:r>
      <w:r>
        <w:rPr>
          <w:spacing w:val="-11"/>
          <w:sz w:val="24"/>
        </w:rPr>
        <w:t> </w:t>
      </w:r>
      <w:r>
        <w:rPr>
          <w:spacing w:val="-2"/>
          <w:sz w:val="24"/>
        </w:rPr>
        <w:t>генетики;</w:t>
      </w:r>
    </w:p>
    <w:p>
      <w:pPr>
        <w:pStyle w:val="ListParagraph"/>
        <w:numPr>
          <w:ilvl w:val="0"/>
          <w:numId w:val="10"/>
        </w:numPr>
        <w:tabs>
          <w:tab w:pos="921" w:val="left" w:leader="none"/>
        </w:tabs>
        <w:spacing w:line="275" w:lineRule="exact" w:before="3" w:after="0"/>
        <w:ind w:left="921" w:right="0" w:hanging="244"/>
        <w:jc w:val="left"/>
        <w:rPr>
          <w:sz w:val="24"/>
        </w:rPr>
      </w:pPr>
      <w:r>
        <w:rPr>
          <w:spacing w:val="-2"/>
          <w:sz w:val="24"/>
        </w:rPr>
        <w:t>Врачи-кардиологи;</w:t>
      </w:r>
    </w:p>
    <w:p>
      <w:pPr>
        <w:pStyle w:val="ListParagraph"/>
        <w:numPr>
          <w:ilvl w:val="0"/>
          <w:numId w:val="10"/>
        </w:numPr>
        <w:tabs>
          <w:tab w:pos="921" w:val="left" w:leader="none"/>
        </w:tabs>
        <w:spacing w:line="275" w:lineRule="exact" w:before="0" w:after="0"/>
        <w:ind w:left="921" w:right="0" w:hanging="244"/>
        <w:jc w:val="left"/>
        <w:rPr>
          <w:sz w:val="24"/>
        </w:rPr>
      </w:pPr>
      <w:r>
        <w:rPr>
          <w:sz w:val="24"/>
        </w:rPr>
        <w:t>Врачи-детские</w:t>
      </w:r>
      <w:r>
        <w:rPr>
          <w:spacing w:val="-6"/>
          <w:sz w:val="24"/>
        </w:rPr>
        <w:t> </w:t>
      </w:r>
      <w:r>
        <w:rPr>
          <w:spacing w:val="-2"/>
          <w:sz w:val="24"/>
        </w:rPr>
        <w:t>кардиологи;</w:t>
      </w:r>
    </w:p>
    <w:p>
      <w:pPr>
        <w:pStyle w:val="ListParagraph"/>
        <w:numPr>
          <w:ilvl w:val="0"/>
          <w:numId w:val="10"/>
        </w:numPr>
        <w:tabs>
          <w:tab w:pos="921" w:val="left" w:leader="none"/>
        </w:tabs>
        <w:spacing w:line="275" w:lineRule="exact" w:before="2" w:after="0"/>
        <w:ind w:left="921" w:right="0" w:hanging="244"/>
        <w:jc w:val="left"/>
        <w:rPr>
          <w:sz w:val="24"/>
        </w:rPr>
      </w:pPr>
      <w:r>
        <w:rPr>
          <w:spacing w:val="-2"/>
          <w:sz w:val="24"/>
        </w:rPr>
        <w:t>Врачи-неврологи;</w:t>
      </w:r>
    </w:p>
    <w:p>
      <w:pPr>
        <w:pStyle w:val="ListParagraph"/>
        <w:numPr>
          <w:ilvl w:val="0"/>
          <w:numId w:val="10"/>
        </w:numPr>
        <w:tabs>
          <w:tab w:pos="1041" w:val="left" w:leader="none"/>
        </w:tabs>
        <w:spacing w:line="275" w:lineRule="exact" w:before="0" w:after="0"/>
        <w:ind w:left="1041" w:right="0" w:hanging="364"/>
        <w:jc w:val="left"/>
        <w:rPr>
          <w:sz w:val="24"/>
        </w:rPr>
      </w:pPr>
      <w:r>
        <w:rPr>
          <w:spacing w:val="-2"/>
          <w:sz w:val="24"/>
        </w:rPr>
        <w:t>Врачи-рентгенологи;</w:t>
      </w:r>
    </w:p>
    <w:p>
      <w:pPr>
        <w:pStyle w:val="ListParagraph"/>
        <w:numPr>
          <w:ilvl w:val="0"/>
          <w:numId w:val="10"/>
        </w:numPr>
        <w:tabs>
          <w:tab w:pos="1041" w:val="left" w:leader="none"/>
        </w:tabs>
        <w:spacing w:line="275" w:lineRule="exact" w:before="3" w:after="0"/>
        <w:ind w:left="1041" w:right="0" w:hanging="364"/>
        <w:jc w:val="left"/>
        <w:rPr>
          <w:sz w:val="24"/>
        </w:rPr>
      </w:pPr>
      <w:r>
        <w:rPr>
          <w:sz w:val="24"/>
        </w:rPr>
        <w:t>Врачи</w:t>
      </w:r>
      <w:r>
        <w:rPr>
          <w:spacing w:val="-5"/>
          <w:sz w:val="24"/>
        </w:rPr>
        <w:t> </w:t>
      </w:r>
      <w:r>
        <w:rPr>
          <w:sz w:val="24"/>
        </w:rPr>
        <w:t>функциональной</w:t>
      </w:r>
      <w:r>
        <w:rPr>
          <w:spacing w:val="-5"/>
          <w:sz w:val="24"/>
        </w:rPr>
        <w:t> </w:t>
      </w:r>
      <w:r>
        <w:rPr>
          <w:spacing w:val="-2"/>
          <w:sz w:val="24"/>
        </w:rPr>
        <w:t>диагностики;</w:t>
      </w:r>
    </w:p>
    <w:p>
      <w:pPr>
        <w:pStyle w:val="ListParagraph"/>
        <w:numPr>
          <w:ilvl w:val="0"/>
          <w:numId w:val="10"/>
        </w:numPr>
        <w:tabs>
          <w:tab w:pos="1041" w:val="left" w:leader="none"/>
        </w:tabs>
        <w:spacing w:line="275" w:lineRule="exact" w:before="0" w:after="0"/>
        <w:ind w:left="1041" w:right="0" w:hanging="364"/>
        <w:jc w:val="left"/>
        <w:rPr>
          <w:sz w:val="24"/>
        </w:rPr>
      </w:pPr>
      <w:r>
        <w:rPr>
          <w:sz w:val="24"/>
        </w:rPr>
        <w:t>Медицинские</w:t>
      </w:r>
      <w:r>
        <w:rPr>
          <w:spacing w:val="-9"/>
          <w:sz w:val="24"/>
        </w:rPr>
        <w:t> </w:t>
      </w:r>
      <w:r>
        <w:rPr>
          <w:spacing w:val="-2"/>
          <w:sz w:val="24"/>
        </w:rPr>
        <w:t>психологи;</w:t>
      </w:r>
    </w:p>
    <w:p>
      <w:pPr>
        <w:pStyle w:val="ListParagraph"/>
        <w:numPr>
          <w:ilvl w:val="0"/>
          <w:numId w:val="10"/>
        </w:numPr>
        <w:tabs>
          <w:tab w:pos="1041" w:val="left" w:leader="none"/>
        </w:tabs>
        <w:spacing w:line="275" w:lineRule="exact" w:before="2" w:after="0"/>
        <w:ind w:left="1041" w:right="0" w:hanging="364"/>
        <w:jc w:val="left"/>
        <w:rPr>
          <w:sz w:val="24"/>
        </w:rPr>
      </w:pPr>
      <w:r>
        <w:rPr>
          <w:sz w:val="24"/>
        </w:rPr>
        <w:t>Студенты</w:t>
      </w:r>
      <w:r>
        <w:rPr>
          <w:spacing w:val="-5"/>
          <w:sz w:val="24"/>
        </w:rPr>
        <w:t> </w:t>
      </w:r>
      <w:r>
        <w:rPr>
          <w:sz w:val="24"/>
        </w:rPr>
        <w:t>медицинских</w:t>
      </w:r>
      <w:r>
        <w:rPr>
          <w:spacing w:val="-11"/>
          <w:sz w:val="24"/>
        </w:rPr>
        <w:t> </w:t>
      </w:r>
      <w:r>
        <w:rPr>
          <w:spacing w:val="-2"/>
          <w:sz w:val="24"/>
        </w:rPr>
        <w:t>ВУЗов;</w:t>
      </w:r>
    </w:p>
    <w:p>
      <w:pPr>
        <w:pStyle w:val="ListParagraph"/>
        <w:numPr>
          <w:ilvl w:val="0"/>
          <w:numId w:val="10"/>
        </w:numPr>
        <w:tabs>
          <w:tab w:pos="1041" w:val="left" w:leader="none"/>
        </w:tabs>
        <w:spacing w:line="275" w:lineRule="exact" w:before="0" w:after="0"/>
        <w:ind w:left="1041" w:right="0" w:hanging="364"/>
        <w:jc w:val="left"/>
        <w:rPr>
          <w:sz w:val="24"/>
        </w:rPr>
      </w:pPr>
      <w:r>
        <w:rPr>
          <w:sz w:val="24"/>
        </w:rPr>
        <w:t>Обучающиеся</w:t>
      </w:r>
      <w:r>
        <w:rPr>
          <w:spacing w:val="-5"/>
          <w:sz w:val="24"/>
        </w:rPr>
        <w:t> </w:t>
      </w:r>
      <w:r>
        <w:rPr>
          <w:sz w:val="24"/>
        </w:rPr>
        <w:t>в</w:t>
      </w:r>
      <w:r>
        <w:rPr>
          <w:spacing w:val="-7"/>
          <w:sz w:val="24"/>
        </w:rPr>
        <w:t> </w:t>
      </w:r>
      <w:r>
        <w:rPr>
          <w:spacing w:val="-2"/>
          <w:sz w:val="24"/>
        </w:rPr>
        <w:t>ординатуре.</w:t>
      </w:r>
    </w:p>
    <w:p>
      <w:pPr>
        <w:pStyle w:val="BodyText"/>
        <w:spacing w:before="6"/>
        <w:ind w:left="0"/>
        <w:jc w:val="left"/>
      </w:pPr>
    </w:p>
    <w:p>
      <w:pPr>
        <w:spacing w:before="0"/>
        <w:ind w:left="139" w:right="147" w:firstLine="542"/>
        <w:jc w:val="both"/>
        <w:rPr>
          <w:b/>
          <w:sz w:val="28"/>
        </w:rPr>
      </w:pPr>
      <w:bookmarkStart w:name="Таблица 1. Шкала оценки уровней достовер" w:id="103"/>
      <w:bookmarkEnd w:id="103"/>
      <w:r>
        <w:rPr/>
      </w:r>
      <w:bookmarkStart w:name="_bookmark42" w:id="104"/>
      <w:bookmarkEnd w:id="104"/>
      <w:r>
        <w:rPr/>
      </w:r>
      <w:r>
        <w:rPr>
          <w:b/>
          <w:sz w:val="28"/>
        </w:rPr>
        <w:t>Таблица</w:t>
      </w:r>
      <w:r>
        <w:rPr>
          <w:b/>
          <w:spacing w:val="-1"/>
          <w:sz w:val="28"/>
        </w:rPr>
        <w:t> </w:t>
      </w:r>
      <w:r>
        <w:rPr>
          <w:b/>
          <w:sz w:val="28"/>
        </w:rPr>
        <w:t>1. Шкала</w:t>
      </w:r>
      <w:r>
        <w:rPr>
          <w:b/>
          <w:spacing w:val="-1"/>
          <w:sz w:val="28"/>
        </w:rPr>
        <w:t> </w:t>
      </w:r>
      <w:r>
        <w:rPr>
          <w:b/>
          <w:sz w:val="28"/>
        </w:rPr>
        <w:t>оценки</w:t>
      </w:r>
      <w:r>
        <w:rPr>
          <w:b/>
          <w:spacing w:val="-2"/>
          <w:sz w:val="28"/>
        </w:rPr>
        <w:t> </w:t>
      </w:r>
      <w:r>
        <w:rPr>
          <w:b/>
          <w:sz w:val="28"/>
        </w:rPr>
        <w:t>уровней</w:t>
      </w:r>
      <w:r>
        <w:rPr>
          <w:b/>
          <w:spacing w:val="-2"/>
          <w:sz w:val="28"/>
        </w:rPr>
        <w:t> </w:t>
      </w:r>
      <w:r>
        <w:rPr>
          <w:b/>
          <w:sz w:val="28"/>
        </w:rPr>
        <w:t>достоверности</w:t>
      </w:r>
      <w:r>
        <w:rPr>
          <w:b/>
          <w:spacing w:val="-2"/>
          <w:sz w:val="28"/>
        </w:rPr>
        <w:t> </w:t>
      </w:r>
      <w:r>
        <w:rPr>
          <w:b/>
          <w:sz w:val="28"/>
        </w:rPr>
        <w:t>доказательств</w:t>
      </w:r>
      <w:r>
        <w:rPr>
          <w:b/>
          <w:spacing w:val="-2"/>
          <w:sz w:val="28"/>
        </w:rPr>
        <w:t> </w:t>
      </w:r>
      <w:r>
        <w:rPr>
          <w:b/>
          <w:sz w:val="28"/>
        </w:rPr>
        <w:t>(УДД) для методов диагностики (диагностических вмешательств)</w:t>
      </w:r>
    </w:p>
    <w:p>
      <w:pPr>
        <w:pStyle w:val="BodyText"/>
        <w:spacing w:before="50"/>
        <w:ind w:left="0"/>
        <w:jc w:val="left"/>
        <w:rPr>
          <w:b/>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3"/>
        <w:gridCol w:w="8859"/>
      </w:tblGrid>
      <w:tr>
        <w:trPr>
          <w:trHeight w:val="388" w:hRule="atLeast"/>
        </w:trPr>
        <w:tc>
          <w:tcPr>
            <w:tcW w:w="783" w:type="dxa"/>
          </w:tcPr>
          <w:p>
            <w:pPr>
              <w:pStyle w:val="TableParagraph"/>
              <w:ind w:left="139"/>
              <w:rPr>
                <w:sz w:val="24"/>
              </w:rPr>
            </w:pPr>
            <w:r>
              <w:rPr>
                <w:spacing w:val="-5"/>
                <w:sz w:val="24"/>
              </w:rPr>
              <w:t>УДД</w:t>
            </w:r>
          </w:p>
        </w:tc>
        <w:tc>
          <w:tcPr>
            <w:tcW w:w="8859" w:type="dxa"/>
          </w:tcPr>
          <w:p>
            <w:pPr>
              <w:pStyle w:val="TableParagraph"/>
              <w:ind w:left="4"/>
              <w:jc w:val="center"/>
              <w:rPr>
                <w:sz w:val="24"/>
              </w:rPr>
            </w:pPr>
            <w:r>
              <w:rPr>
                <w:spacing w:val="-2"/>
                <w:sz w:val="24"/>
              </w:rPr>
              <w:t>Расшифровка</w:t>
            </w:r>
          </w:p>
        </w:tc>
      </w:tr>
      <w:tr>
        <w:trPr>
          <w:trHeight w:val="945" w:hRule="atLeast"/>
        </w:trPr>
        <w:tc>
          <w:tcPr>
            <w:tcW w:w="783" w:type="dxa"/>
          </w:tcPr>
          <w:p>
            <w:pPr>
              <w:pStyle w:val="TableParagraph"/>
              <w:rPr>
                <w:sz w:val="24"/>
              </w:rPr>
            </w:pPr>
            <w:r>
              <w:rPr>
                <w:spacing w:val="-10"/>
                <w:sz w:val="24"/>
              </w:rPr>
              <w:t>1</w:t>
            </w:r>
          </w:p>
        </w:tc>
        <w:tc>
          <w:tcPr>
            <w:tcW w:w="8859" w:type="dxa"/>
          </w:tcPr>
          <w:p>
            <w:pPr>
              <w:pStyle w:val="TableParagraph"/>
              <w:ind w:right="55"/>
              <w:jc w:val="both"/>
              <w:rPr>
                <w:sz w:val="24"/>
              </w:rPr>
            </w:pPr>
            <w:r>
              <w:rPr>
                <w:sz w:val="24"/>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trPr>
          <w:trHeight w:val="1214" w:hRule="atLeast"/>
        </w:trPr>
        <w:tc>
          <w:tcPr>
            <w:tcW w:w="783" w:type="dxa"/>
          </w:tcPr>
          <w:p>
            <w:pPr>
              <w:pStyle w:val="TableParagraph"/>
              <w:rPr>
                <w:sz w:val="24"/>
              </w:rPr>
            </w:pPr>
            <w:r>
              <w:rPr>
                <w:spacing w:val="-10"/>
                <w:sz w:val="24"/>
              </w:rPr>
              <w:t>2</w:t>
            </w:r>
          </w:p>
        </w:tc>
        <w:tc>
          <w:tcPr>
            <w:tcW w:w="8859" w:type="dxa"/>
          </w:tcPr>
          <w:p>
            <w:pPr>
              <w:pStyle w:val="TableParagraph"/>
              <w:ind w:right="53"/>
              <w:jc w:val="both"/>
              <w:rPr>
                <w:sz w:val="24"/>
              </w:rPr>
            </w:pPr>
            <w:r>
              <w:rPr>
                <w:sz w:val="24"/>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trPr>
          <w:trHeight w:val="1219" w:hRule="atLeast"/>
        </w:trPr>
        <w:tc>
          <w:tcPr>
            <w:tcW w:w="783" w:type="dxa"/>
          </w:tcPr>
          <w:p>
            <w:pPr>
              <w:pStyle w:val="TableParagraph"/>
              <w:rPr>
                <w:sz w:val="24"/>
              </w:rPr>
            </w:pPr>
            <w:r>
              <w:rPr>
                <w:spacing w:val="-10"/>
                <w:sz w:val="24"/>
              </w:rPr>
              <w:t>3</w:t>
            </w:r>
          </w:p>
        </w:tc>
        <w:tc>
          <w:tcPr>
            <w:tcW w:w="8859" w:type="dxa"/>
          </w:tcPr>
          <w:p>
            <w:pPr>
              <w:pStyle w:val="TableParagraph"/>
              <w:ind w:right="56"/>
              <w:jc w:val="both"/>
              <w:rPr>
                <w:sz w:val="24"/>
              </w:rPr>
            </w:pPr>
            <w:r>
              <w:rPr>
                <w:sz w:val="24"/>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w:t>
            </w:r>
            <w:r>
              <w:rPr>
                <w:spacing w:val="-4"/>
                <w:sz w:val="24"/>
              </w:rPr>
              <w:t> </w:t>
            </w:r>
            <w:r>
              <w:rPr>
                <w:sz w:val="24"/>
              </w:rPr>
              <w:t>метода</w:t>
            </w:r>
            <w:r>
              <w:rPr>
                <w:spacing w:val="-5"/>
                <w:sz w:val="24"/>
              </w:rPr>
              <w:t> </w:t>
            </w:r>
            <w:r>
              <w:rPr>
                <w:sz w:val="24"/>
              </w:rPr>
              <w:t>или</w:t>
            </w:r>
            <w:r>
              <w:rPr>
                <w:spacing w:val="-3"/>
                <w:sz w:val="24"/>
              </w:rPr>
              <w:t> </w:t>
            </w:r>
            <w:r>
              <w:rPr>
                <w:sz w:val="24"/>
              </w:rPr>
              <w:t>нерандомизированные</w:t>
            </w:r>
            <w:r>
              <w:rPr>
                <w:spacing w:val="-5"/>
                <w:sz w:val="24"/>
              </w:rPr>
              <w:t> </w:t>
            </w:r>
            <w:r>
              <w:rPr>
                <w:sz w:val="24"/>
              </w:rPr>
              <w:t>сравнительные</w:t>
            </w:r>
            <w:r>
              <w:rPr>
                <w:spacing w:val="-9"/>
                <w:sz w:val="24"/>
              </w:rPr>
              <w:t> </w:t>
            </w:r>
            <w:r>
              <w:rPr>
                <w:sz w:val="24"/>
              </w:rPr>
              <w:t>исследования,</w:t>
            </w:r>
            <w:r>
              <w:rPr>
                <w:spacing w:val="-7"/>
                <w:sz w:val="24"/>
              </w:rPr>
              <w:t> </w:t>
            </w:r>
            <w:r>
              <w:rPr>
                <w:sz w:val="24"/>
              </w:rPr>
              <w:t>в</w:t>
            </w:r>
            <w:r>
              <w:rPr>
                <w:spacing w:val="-3"/>
                <w:sz w:val="24"/>
              </w:rPr>
              <w:t> </w:t>
            </w:r>
            <w:r>
              <w:rPr>
                <w:sz w:val="24"/>
              </w:rPr>
              <w:t>том числе когортные исследования</w:t>
            </w:r>
          </w:p>
        </w:tc>
      </w:tr>
      <w:tr>
        <w:trPr>
          <w:trHeight w:val="393" w:hRule="atLeast"/>
        </w:trPr>
        <w:tc>
          <w:tcPr>
            <w:tcW w:w="783" w:type="dxa"/>
          </w:tcPr>
          <w:p>
            <w:pPr>
              <w:pStyle w:val="TableParagraph"/>
              <w:rPr>
                <w:sz w:val="24"/>
              </w:rPr>
            </w:pPr>
            <w:r>
              <w:rPr>
                <w:spacing w:val="-10"/>
                <w:sz w:val="24"/>
              </w:rPr>
              <w:t>4</w:t>
            </w:r>
          </w:p>
        </w:tc>
        <w:tc>
          <w:tcPr>
            <w:tcW w:w="8859" w:type="dxa"/>
          </w:tcPr>
          <w:p>
            <w:pPr>
              <w:pStyle w:val="TableParagraph"/>
              <w:rPr>
                <w:sz w:val="24"/>
              </w:rPr>
            </w:pPr>
            <w:r>
              <w:rPr>
                <w:sz w:val="24"/>
              </w:rPr>
              <w:t>Несравнительные</w:t>
            </w:r>
            <w:r>
              <w:rPr>
                <w:spacing w:val="-13"/>
                <w:sz w:val="24"/>
              </w:rPr>
              <w:t> </w:t>
            </w:r>
            <w:r>
              <w:rPr>
                <w:sz w:val="24"/>
              </w:rPr>
              <w:t>исследования,</w:t>
            </w:r>
            <w:r>
              <w:rPr>
                <w:spacing w:val="-8"/>
                <w:sz w:val="24"/>
              </w:rPr>
              <w:t> </w:t>
            </w:r>
            <w:r>
              <w:rPr>
                <w:sz w:val="24"/>
              </w:rPr>
              <w:t>описание</w:t>
            </w:r>
            <w:r>
              <w:rPr>
                <w:spacing w:val="-7"/>
                <w:sz w:val="24"/>
              </w:rPr>
              <w:t> </w:t>
            </w:r>
            <w:r>
              <w:rPr>
                <w:sz w:val="24"/>
              </w:rPr>
              <w:t>клинического</w:t>
            </w:r>
            <w:r>
              <w:rPr>
                <w:spacing w:val="-1"/>
                <w:sz w:val="24"/>
              </w:rPr>
              <w:t> </w:t>
            </w:r>
            <w:r>
              <w:rPr>
                <w:spacing w:val="-2"/>
                <w:sz w:val="24"/>
              </w:rPr>
              <w:t>случая</w:t>
            </w:r>
          </w:p>
        </w:tc>
      </w:tr>
      <w:tr>
        <w:trPr>
          <w:trHeight w:val="388" w:hRule="atLeast"/>
        </w:trPr>
        <w:tc>
          <w:tcPr>
            <w:tcW w:w="783" w:type="dxa"/>
          </w:tcPr>
          <w:p>
            <w:pPr>
              <w:pStyle w:val="TableParagraph"/>
              <w:rPr>
                <w:sz w:val="24"/>
              </w:rPr>
            </w:pPr>
            <w:r>
              <w:rPr>
                <w:spacing w:val="-10"/>
                <w:sz w:val="24"/>
              </w:rPr>
              <w:t>5</w:t>
            </w:r>
          </w:p>
        </w:tc>
        <w:tc>
          <w:tcPr>
            <w:tcW w:w="8859" w:type="dxa"/>
          </w:tcPr>
          <w:p>
            <w:pPr>
              <w:pStyle w:val="TableParagraph"/>
              <w:rPr>
                <w:sz w:val="24"/>
              </w:rPr>
            </w:pPr>
            <w:r>
              <w:rPr>
                <w:sz w:val="24"/>
              </w:rPr>
              <w:t>Имеется</w:t>
            </w:r>
            <w:r>
              <w:rPr>
                <w:spacing w:val="-4"/>
                <w:sz w:val="24"/>
              </w:rPr>
              <w:t> </w:t>
            </w:r>
            <w:r>
              <w:rPr>
                <w:sz w:val="24"/>
              </w:rPr>
              <w:t>лишь</w:t>
            </w:r>
            <w:r>
              <w:rPr>
                <w:spacing w:val="-8"/>
                <w:sz w:val="24"/>
              </w:rPr>
              <w:t> </w:t>
            </w:r>
            <w:r>
              <w:rPr>
                <w:sz w:val="24"/>
              </w:rPr>
              <w:t>обоснование</w:t>
            </w:r>
            <w:r>
              <w:rPr>
                <w:spacing w:val="-6"/>
                <w:sz w:val="24"/>
              </w:rPr>
              <w:t> </w:t>
            </w:r>
            <w:r>
              <w:rPr>
                <w:sz w:val="24"/>
              </w:rPr>
              <w:t>механизма</w:t>
            </w:r>
            <w:r>
              <w:rPr>
                <w:spacing w:val="-1"/>
                <w:sz w:val="24"/>
              </w:rPr>
              <w:t> </w:t>
            </w:r>
            <w:r>
              <w:rPr>
                <w:sz w:val="24"/>
              </w:rPr>
              <w:t>действия</w:t>
            </w:r>
            <w:r>
              <w:rPr>
                <w:spacing w:val="-1"/>
                <w:sz w:val="24"/>
              </w:rPr>
              <w:t> </w:t>
            </w:r>
            <w:r>
              <w:rPr>
                <w:sz w:val="24"/>
              </w:rPr>
              <w:t>или</w:t>
            </w:r>
            <w:r>
              <w:rPr>
                <w:spacing w:val="-4"/>
                <w:sz w:val="24"/>
              </w:rPr>
              <w:t> </w:t>
            </w:r>
            <w:r>
              <w:rPr>
                <w:sz w:val="24"/>
              </w:rPr>
              <w:t>мнение</w:t>
            </w:r>
            <w:r>
              <w:rPr>
                <w:spacing w:val="-5"/>
                <w:sz w:val="24"/>
              </w:rPr>
              <w:t> </w:t>
            </w:r>
            <w:r>
              <w:rPr>
                <w:spacing w:val="-2"/>
                <w:sz w:val="24"/>
              </w:rPr>
              <w:t>экспертов</w:t>
            </w:r>
          </w:p>
        </w:tc>
      </w:tr>
    </w:tbl>
    <w:p>
      <w:pPr>
        <w:spacing w:before="278"/>
        <w:ind w:left="139" w:right="155" w:firstLine="542"/>
        <w:jc w:val="both"/>
        <w:rPr>
          <w:b/>
          <w:sz w:val="28"/>
        </w:rPr>
      </w:pPr>
      <w:bookmarkStart w:name="Таблица 2. Шкала оценки уровней достовер" w:id="105"/>
      <w:bookmarkEnd w:id="105"/>
      <w:r>
        <w:rPr/>
      </w:r>
      <w:r>
        <w:rPr>
          <w:b/>
          <w:sz w:val="28"/>
        </w:rPr>
        <w:t>Таблица</w:t>
      </w:r>
      <w:r>
        <w:rPr>
          <w:b/>
          <w:spacing w:val="-2"/>
          <w:sz w:val="28"/>
        </w:rPr>
        <w:t> </w:t>
      </w:r>
      <w:r>
        <w:rPr>
          <w:b/>
          <w:sz w:val="28"/>
        </w:rPr>
        <w:t>2. Шкала</w:t>
      </w:r>
      <w:r>
        <w:rPr>
          <w:b/>
          <w:spacing w:val="-2"/>
          <w:sz w:val="28"/>
        </w:rPr>
        <w:t> </w:t>
      </w:r>
      <w:r>
        <w:rPr>
          <w:b/>
          <w:sz w:val="28"/>
        </w:rPr>
        <w:t>оценки</w:t>
      </w:r>
      <w:r>
        <w:rPr>
          <w:b/>
          <w:spacing w:val="-4"/>
          <w:sz w:val="28"/>
        </w:rPr>
        <w:t> </w:t>
      </w:r>
      <w:r>
        <w:rPr>
          <w:b/>
          <w:sz w:val="28"/>
        </w:rPr>
        <w:t>уровней</w:t>
      </w:r>
      <w:r>
        <w:rPr>
          <w:b/>
          <w:spacing w:val="-4"/>
          <w:sz w:val="28"/>
        </w:rPr>
        <w:t> </w:t>
      </w:r>
      <w:r>
        <w:rPr>
          <w:b/>
          <w:sz w:val="28"/>
        </w:rPr>
        <w:t>достоверности</w:t>
      </w:r>
      <w:r>
        <w:rPr>
          <w:b/>
          <w:spacing w:val="-4"/>
          <w:sz w:val="28"/>
        </w:rPr>
        <w:t> </w:t>
      </w:r>
      <w:r>
        <w:rPr>
          <w:b/>
          <w:sz w:val="28"/>
        </w:rPr>
        <w:t>доказательств</w:t>
      </w:r>
      <w:r>
        <w:rPr>
          <w:b/>
          <w:spacing w:val="-4"/>
          <w:sz w:val="28"/>
        </w:rPr>
        <w:t> </w:t>
      </w:r>
      <w:r>
        <w:rPr>
          <w:b/>
          <w:sz w:val="28"/>
        </w:rPr>
        <w:t>(УДД) для методов профилактики, лечения и реабилитации (профилактических, лечебных, реабилитационных вмешательств)</w:t>
      </w:r>
    </w:p>
    <w:p>
      <w:pPr>
        <w:pStyle w:val="BodyText"/>
        <w:spacing w:before="44" w:after="1"/>
        <w:ind w:left="0"/>
        <w:jc w:val="left"/>
        <w:rPr>
          <w:b/>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3"/>
        <w:gridCol w:w="8859"/>
      </w:tblGrid>
      <w:tr>
        <w:trPr>
          <w:trHeight w:val="393" w:hRule="atLeast"/>
        </w:trPr>
        <w:tc>
          <w:tcPr>
            <w:tcW w:w="783" w:type="dxa"/>
          </w:tcPr>
          <w:p>
            <w:pPr>
              <w:pStyle w:val="TableParagraph"/>
              <w:ind w:left="139"/>
              <w:rPr>
                <w:sz w:val="24"/>
              </w:rPr>
            </w:pPr>
            <w:r>
              <w:rPr>
                <w:spacing w:val="-5"/>
                <w:sz w:val="24"/>
              </w:rPr>
              <w:t>УДД</w:t>
            </w:r>
          </w:p>
        </w:tc>
        <w:tc>
          <w:tcPr>
            <w:tcW w:w="8859" w:type="dxa"/>
          </w:tcPr>
          <w:p>
            <w:pPr>
              <w:pStyle w:val="TableParagraph"/>
              <w:ind w:left="4"/>
              <w:jc w:val="center"/>
              <w:rPr>
                <w:sz w:val="24"/>
              </w:rPr>
            </w:pPr>
            <w:r>
              <w:rPr>
                <w:spacing w:val="-2"/>
                <w:sz w:val="24"/>
              </w:rPr>
              <w:t>Расшифровка</w:t>
            </w:r>
          </w:p>
        </w:tc>
      </w:tr>
      <w:tr>
        <w:trPr>
          <w:trHeight w:val="388" w:hRule="atLeast"/>
        </w:trPr>
        <w:tc>
          <w:tcPr>
            <w:tcW w:w="783" w:type="dxa"/>
          </w:tcPr>
          <w:p>
            <w:pPr>
              <w:pStyle w:val="TableParagraph"/>
              <w:rPr>
                <w:sz w:val="24"/>
              </w:rPr>
            </w:pPr>
            <w:r>
              <w:rPr>
                <w:spacing w:val="-10"/>
                <w:sz w:val="24"/>
              </w:rPr>
              <w:t>1</w:t>
            </w:r>
          </w:p>
        </w:tc>
        <w:tc>
          <w:tcPr>
            <w:tcW w:w="8859" w:type="dxa"/>
          </w:tcPr>
          <w:p>
            <w:pPr>
              <w:pStyle w:val="TableParagraph"/>
              <w:rPr>
                <w:sz w:val="24"/>
              </w:rPr>
            </w:pPr>
            <w:r>
              <w:rPr>
                <w:sz w:val="24"/>
              </w:rPr>
              <w:t>Систематический</w:t>
            </w:r>
            <w:r>
              <w:rPr>
                <w:spacing w:val="-3"/>
                <w:sz w:val="24"/>
              </w:rPr>
              <w:t> </w:t>
            </w:r>
            <w:r>
              <w:rPr>
                <w:sz w:val="24"/>
              </w:rPr>
              <w:t>обзор</w:t>
            </w:r>
            <w:r>
              <w:rPr>
                <w:spacing w:val="-6"/>
                <w:sz w:val="24"/>
              </w:rPr>
              <w:t> </w:t>
            </w:r>
            <w:r>
              <w:rPr>
                <w:sz w:val="24"/>
              </w:rPr>
              <w:t>РКИ</w:t>
            </w:r>
            <w:r>
              <w:rPr>
                <w:spacing w:val="-2"/>
                <w:sz w:val="24"/>
              </w:rPr>
              <w:t> </w:t>
            </w:r>
            <w:r>
              <w:rPr>
                <w:sz w:val="24"/>
              </w:rPr>
              <w:t>с</w:t>
            </w:r>
            <w:r>
              <w:rPr>
                <w:spacing w:val="-7"/>
                <w:sz w:val="24"/>
              </w:rPr>
              <w:t> </w:t>
            </w:r>
            <w:r>
              <w:rPr>
                <w:sz w:val="24"/>
              </w:rPr>
              <w:t>применением</w:t>
            </w:r>
            <w:r>
              <w:rPr>
                <w:spacing w:val="-4"/>
                <w:sz w:val="24"/>
              </w:rPr>
              <w:t> </w:t>
            </w:r>
            <w:r>
              <w:rPr>
                <w:spacing w:val="-2"/>
                <w:sz w:val="24"/>
              </w:rPr>
              <w:t>метаанализа</w:t>
            </w:r>
          </w:p>
        </w:tc>
      </w:tr>
      <w:tr>
        <w:trPr>
          <w:trHeight w:val="666" w:hRule="atLeast"/>
        </w:trPr>
        <w:tc>
          <w:tcPr>
            <w:tcW w:w="783" w:type="dxa"/>
          </w:tcPr>
          <w:p>
            <w:pPr>
              <w:pStyle w:val="TableParagraph"/>
              <w:rPr>
                <w:sz w:val="24"/>
              </w:rPr>
            </w:pPr>
            <w:r>
              <w:rPr>
                <w:spacing w:val="-10"/>
                <w:sz w:val="24"/>
              </w:rPr>
              <w:t>2</w:t>
            </w:r>
          </w:p>
        </w:tc>
        <w:tc>
          <w:tcPr>
            <w:tcW w:w="8859" w:type="dxa"/>
          </w:tcPr>
          <w:p>
            <w:pPr>
              <w:pStyle w:val="TableParagraph"/>
              <w:spacing w:line="237" w:lineRule="auto" w:before="51"/>
              <w:rPr>
                <w:sz w:val="24"/>
              </w:rPr>
            </w:pPr>
            <w:r>
              <w:rPr>
                <w:sz w:val="24"/>
              </w:rPr>
              <w:t>Отдельные</w:t>
            </w:r>
            <w:r>
              <w:rPr>
                <w:spacing w:val="80"/>
                <w:sz w:val="24"/>
              </w:rPr>
              <w:t> </w:t>
            </w:r>
            <w:r>
              <w:rPr>
                <w:sz w:val="24"/>
              </w:rPr>
              <w:t>РКИ</w:t>
            </w:r>
            <w:r>
              <w:rPr>
                <w:spacing w:val="80"/>
                <w:sz w:val="24"/>
              </w:rPr>
              <w:t> </w:t>
            </w:r>
            <w:r>
              <w:rPr>
                <w:sz w:val="24"/>
              </w:rPr>
              <w:t>и</w:t>
            </w:r>
            <w:r>
              <w:rPr>
                <w:spacing w:val="80"/>
                <w:sz w:val="24"/>
              </w:rPr>
              <w:t> </w:t>
            </w:r>
            <w:r>
              <w:rPr>
                <w:sz w:val="24"/>
              </w:rPr>
              <w:t>систематические</w:t>
            </w:r>
            <w:r>
              <w:rPr>
                <w:spacing w:val="80"/>
                <w:sz w:val="24"/>
              </w:rPr>
              <w:t> </w:t>
            </w:r>
            <w:r>
              <w:rPr>
                <w:sz w:val="24"/>
              </w:rPr>
              <w:t>обзоры</w:t>
            </w:r>
            <w:r>
              <w:rPr>
                <w:spacing w:val="80"/>
                <w:sz w:val="24"/>
              </w:rPr>
              <w:t> </w:t>
            </w:r>
            <w:r>
              <w:rPr>
                <w:sz w:val="24"/>
              </w:rPr>
              <w:t>исследований</w:t>
            </w:r>
            <w:r>
              <w:rPr>
                <w:spacing w:val="80"/>
                <w:sz w:val="24"/>
              </w:rPr>
              <w:t> </w:t>
            </w:r>
            <w:r>
              <w:rPr>
                <w:sz w:val="24"/>
              </w:rPr>
              <w:t>любого</w:t>
            </w:r>
            <w:r>
              <w:rPr>
                <w:spacing w:val="80"/>
                <w:sz w:val="24"/>
              </w:rPr>
              <w:t> </w:t>
            </w:r>
            <w:r>
              <w:rPr>
                <w:sz w:val="24"/>
              </w:rPr>
              <w:t>дизайна,</w:t>
            </w:r>
            <w:r>
              <w:rPr>
                <w:spacing w:val="80"/>
                <w:sz w:val="24"/>
              </w:rPr>
              <w:t> </w:t>
            </w:r>
            <w:r>
              <w:rPr>
                <w:sz w:val="24"/>
              </w:rPr>
              <w:t>за исключением РКИ, с применением метаанализа</w:t>
            </w:r>
          </w:p>
        </w:tc>
      </w:tr>
      <w:tr>
        <w:trPr>
          <w:trHeight w:val="388" w:hRule="atLeast"/>
        </w:trPr>
        <w:tc>
          <w:tcPr>
            <w:tcW w:w="783" w:type="dxa"/>
          </w:tcPr>
          <w:p>
            <w:pPr>
              <w:pStyle w:val="TableParagraph"/>
              <w:rPr>
                <w:sz w:val="24"/>
              </w:rPr>
            </w:pPr>
            <w:r>
              <w:rPr>
                <w:spacing w:val="-10"/>
                <w:sz w:val="24"/>
              </w:rPr>
              <w:t>3</w:t>
            </w:r>
          </w:p>
        </w:tc>
        <w:tc>
          <w:tcPr>
            <w:tcW w:w="8859" w:type="dxa"/>
          </w:tcPr>
          <w:p>
            <w:pPr>
              <w:pStyle w:val="TableParagraph"/>
              <w:rPr>
                <w:sz w:val="24"/>
              </w:rPr>
            </w:pPr>
            <w:r>
              <w:rPr>
                <w:sz w:val="24"/>
              </w:rPr>
              <w:t>Нерандомизированные</w:t>
            </w:r>
            <w:r>
              <w:rPr>
                <w:spacing w:val="-7"/>
                <w:sz w:val="24"/>
              </w:rPr>
              <w:t> </w:t>
            </w:r>
            <w:r>
              <w:rPr>
                <w:sz w:val="24"/>
              </w:rPr>
              <w:t>сравнительные</w:t>
            </w:r>
            <w:r>
              <w:rPr>
                <w:spacing w:val="-8"/>
                <w:sz w:val="24"/>
              </w:rPr>
              <w:t> </w:t>
            </w:r>
            <w:r>
              <w:rPr>
                <w:sz w:val="24"/>
              </w:rPr>
              <w:t>исследования,</w:t>
            </w:r>
            <w:r>
              <w:rPr>
                <w:spacing w:val="-6"/>
                <w:sz w:val="24"/>
              </w:rPr>
              <w:t> </w:t>
            </w:r>
            <w:r>
              <w:rPr>
                <w:sz w:val="24"/>
              </w:rPr>
              <w:t>в</w:t>
            </w:r>
            <w:r>
              <w:rPr>
                <w:spacing w:val="-6"/>
                <w:sz w:val="24"/>
              </w:rPr>
              <w:t> </w:t>
            </w:r>
            <w:r>
              <w:rPr>
                <w:sz w:val="24"/>
              </w:rPr>
              <w:t>т.ч.</w:t>
            </w:r>
            <w:r>
              <w:rPr>
                <w:spacing w:val="-2"/>
                <w:sz w:val="24"/>
              </w:rPr>
              <w:t> </w:t>
            </w:r>
            <w:r>
              <w:rPr>
                <w:sz w:val="24"/>
              </w:rPr>
              <w:t>когортные</w:t>
            </w:r>
            <w:r>
              <w:rPr>
                <w:spacing w:val="-8"/>
                <w:sz w:val="24"/>
              </w:rPr>
              <w:t> </w:t>
            </w:r>
            <w:r>
              <w:rPr>
                <w:spacing w:val="-2"/>
                <w:sz w:val="24"/>
              </w:rPr>
              <w:t>исследования</w:t>
            </w:r>
          </w:p>
        </w:tc>
      </w:tr>
      <w:tr>
        <w:trPr>
          <w:trHeight w:val="667" w:hRule="atLeast"/>
        </w:trPr>
        <w:tc>
          <w:tcPr>
            <w:tcW w:w="783" w:type="dxa"/>
          </w:tcPr>
          <w:p>
            <w:pPr>
              <w:pStyle w:val="TableParagraph"/>
              <w:spacing w:before="50"/>
              <w:rPr>
                <w:sz w:val="24"/>
              </w:rPr>
            </w:pPr>
            <w:r>
              <w:rPr>
                <w:spacing w:val="-10"/>
                <w:sz w:val="24"/>
              </w:rPr>
              <w:t>4</w:t>
            </w:r>
          </w:p>
        </w:tc>
        <w:tc>
          <w:tcPr>
            <w:tcW w:w="8859" w:type="dxa"/>
          </w:tcPr>
          <w:p>
            <w:pPr>
              <w:pStyle w:val="TableParagraph"/>
              <w:spacing w:line="242" w:lineRule="auto" w:before="50"/>
              <w:rPr>
                <w:sz w:val="24"/>
              </w:rPr>
            </w:pPr>
            <w:r>
              <w:rPr>
                <w:sz w:val="24"/>
              </w:rPr>
              <w:t>Несравнительные исследования, описание клинического случая или серии случаев, исследования "случай-контроль"</w:t>
            </w:r>
          </w:p>
        </w:tc>
      </w:tr>
    </w:tbl>
    <w:p>
      <w:pPr>
        <w:spacing w:after="0" w:line="242" w:lineRule="auto"/>
        <w:rPr>
          <w:sz w:val="24"/>
        </w:rPr>
        <w:sectPr>
          <w:pgSz w:w="11910" w:h="16840"/>
          <w:pgMar w:header="572" w:footer="1177" w:top="1320" w:bottom="1360" w:left="1560" w:right="420"/>
        </w:sectPr>
      </w:pPr>
    </w:p>
    <w:p>
      <w:pPr>
        <w:pStyle w:val="BodyText"/>
        <w:spacing w:before="7"/>
        <w:ind w:left="0"/>
        <w:jc w:val="left"/>
        <w:rPr>
          <w:b/>
          <w:sz w:val="7"/>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3"/>
        <w:gridCol w:w="8859"/>
      </w:tblGrid>
      <w:tr>
        <w:trPr>
          <w:trHeight w:val="666" w:hRule="atLeast"/>
        </w:trPr>
        <w:tc>
          <w:tcPr>
            <w:tcW w:w="783" w:type="dxa"/>
          </w:tcPr>
          <w:p>
            <w:pPr>
              <w:pStyle w:val="TableParagraph"/>
              <w:rPr>
                <w:sz w:val="24"/>
              </w:rPr>
            </w:pPr>
            <w:r>
              <w:rPr>
                <w:spacing w:val="-10"/>
                <w:sz w:val="24"/>
              </w:rPr>
              <w:t>5</w:t>
            </w:r>
          </w:p>
        </w:tc>
        <w:tc>
          <w:tcPr>
            <w:tcW w:w="8859" w:type="dxa"/>
          </w:tcPr>
          <w:p>
            <w:pPr>
              <w:pStyle w:val="TableParagraph"/>
              <w:spacing w:line="242" w:lineRule="auto"/>
              <w:rPr>
                <w:sz w:val="24"/>
              </w:rPr>
            </w:pPr>
            <w:r>
              <w:rPr>
                <w:sz w:val="24"/>
              </w:rPr>
              <w:t>Имеется</w:t>
            </w:r>
            <w:r>
              <w:rPr>
                <w:spacing w:val="40"/>
                <w:sz w:val="24"/>
              </w:rPr>
              <w:t> </w:t>
            </w:r>
            <w:r>
              <w:rPr>
                <w:sz w:val="24"/>
              </w:rPr>
              <w:t>лишь</w:t>
            </w:r>
            <w:r>
              <w:rPr>
                <w:spacing w:val="40"/>
                <w:sz w:val="24"/>
              </w:rPr>
              <w:t> </w:t>
            </w:r>
            <w:r>
              <w:rPr>
                <w:sz w:val="24"/>
              </w:rPr>
              <w:t>обоснование</w:t>
            </w:r>
            <w:r>
              <w:rPr>
                <w:spacing w:val="40"/>
                <w:sz w:val="24"/>
              </w:rPr>
              <w:t> </w:t>
            </w:r>
            <w:r>
              <w:rPr>
                <w:sz w:val="24"/>
              </w:rPr>
              <w:t>механизма</w:t>
            </w:r>
            <w:r>
              <w:rPr>
                <w:spacing w:val="40"/>
                <w:sz w:val="24"/>
              </w:rPr>
              <w:t> </w:t>
            </w:r>
            <w:r>
              <w:rPr>
                <w:sz w:val="24"/>
              </w:rPr>
              <w:t>действия</w:t>
            </w:r>
            <w:r>
              <w:rPr>
                <w:spacing w:val="40"/>
                <w:sz w:val="24"/>
              </w:rPr>
              <w:t> </w:t>
            </w:r>
            <w:r>
              <w:rPr>
                <w:sz w:val="24"/>
              </w:rPr>
              <w:t>вмешательства</w:t>
            </w:r>
            <w:r>
              <w:rPr>
                <w:spacing w:val="40"/>
                <w:sz w:val="24"/>
              </w:rPr>
              <w:t> </w:t>
            </w:r>
            <w:r>
              <w:rPr>
                <w:sz w:val="24"/>
              </w:rPr>
              <w:t>(доклинические исследования) или мнение экспертов</w:t>
            </w:r>
          </w:p>
        </w:tc>
      </w:tr>
    </w:tbl>
    <w:p>
      <w:pPr>
        <w:spacing w:before="277"/>
        <w:ind w:left="139" w:right="148" w:firstLine="542"/>
        <w:jc w:val="both"/>
        <w:rPr>
          <w:b/>
          <w:sz w:val="28"/>
        </w:rPr>
      </w:pPr>
      <w:bookmarkStart w:name="Таблица 3. Шкала оценки уровней убедител" w:id="106"/>
      <w:bookmarkEnd w:id="106"/>
      <w:r>
        <w:rPr/>
      </w:r>
      <w:bookmarkStart w:name="_bookmark43" w:id="107"/>
      <w:bookmarkEnd w:id="107"/>
      <w:r>
        <w:rPr/>
      </w:r>
      <w:r>
        <w:rPr>
          <w:b/>
          <w:sz w:val="28"/>
        </w:rPr>
        <w:t>Таблица 3. 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w:t>
      </w:r>
      <w:r>
        <w:rPr>
          <w:b/>
          <w:spacing w:val="-2"/>
          <w:sz w:val="28"/>
        </w:rPr>
        <w:t>вмешательств)</w:t>
      </w:r>
    </w:p>
    <w:p>
      <w:pPr>
        <w:pStyle w:val="BodyText"/>
        <w:spacing w:before="49"/>
        <w:ind w:left="0"/>
        <w:jc w:val="left"/>
        <w:rPr>
          <w:b/>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3"/>
        <w:gridCol w:w="8859"/>
      </w:tblGrid>
      <w:tr>
        <w:trPr>
          <w:trHeight w:val="388" w:hRule="atLeast"/>
        </w:trPr>
        <w:tc>
          <w:tcPr>
            <w:tcW w:w="783" w:type="dxa"/>
          </w:tcPr>
          <w:p>
            <w:pPr>
              <w:pStyle w:val="TableParagraph"/>
              <w:ind w:left="153"/>
              <w:rPr>
                <w:sz w:val="24"/>
              </w:rPr>
            </w:pPr>
            <w:r>
              <w:rPr>
                <w:spacing w:val="-5"/>
                <w:sz w:val="24"/>
              </w:rPr>
              <w:t>УУР</w:t>
            </w:r>
          </w:p>
        </w:tc>
        <w:tc>
          <w:tcPr>
            <w:tcW w:w="8859" w:type="dxa"/>
          </w:tcPr>
          <w:p>
            <w:pPr>
              <w:pStyle w:val="TableParagraph"/>
              <w:ind w:left="4"/>
              <w:jc w:val="center"/>
              <w:rPr>
                <w:sz w:val="24"/>
              </w:rPr>
            </w:pPr>
            <w:r>
              <w:rPr>
                <w:spacing w:val="-2"/>
                <w:sz w:val="24"/>
              </w:rPr>
              <w:t>Расшифровка</w:t>
            </w:r>
          </w:p>
        </w:tc>
      </w:tr>
      <w:tr>
        <w:trPr>
          <w:trHeight w:val="1218" w:hRule="atLeast"/>
        </w:trPr>
        <w:tc>
          <w:tcPr>
            <w:tcW w:w="783" w:type="dxa"/>
          </w:tcPr>
          <w:p>
            <w:pPr>
              <w:pStyle w:val="TableParagraph"/>
              <w:rPr>
                <w:sz w:val="24"/>
              </w:rPr>
            </w:pPr>
            <w:r>
              <w:rPr>
                <w:spacing w:val="-10"/>
                <w:sz w:val="24"/>
              </w:rPr>
              <w:t>A</w:t>
            </w:r>
          </w:p>
        </w:tc>
        <w:tc>
          <w:tcPr>
            <w:tcW w:w="8859" w:type="dxa"/>
          </w:tcPr>
          <w:p>
            <w:pPr>
              <w:pStyle w:val="TableParagraph"/>
              <w:ind w:right="54"/>
              <w:jc w:val="both"/>
              <w:rPr>
                <w:sz w:val="24"/>
              </w:rPr>
            </w:pPr>
            <w:r>
              <w:rPr>
                <w:sz w:val="24"/>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w:t>
            </w:r>
            <w:r>
              <w:rPr>
                <w:spacing w:val="-2"/>
                <w:sz w:val="24"/>
              </w:rPr>
              <w:t>согласованными)</w:t>
            </w:r>
          </w:p>
        </w:tc>
      </w:tr>
      <w:tr>
        <w:trPr>
          <w:trHeight w:val="1219" w:hRule="atLeast"/>
        </w:trPr>
        <w:tc>
          <w:tcPr>
            <w:tcW w:w="783" w:type="dxa"/>
          </w:tcPr>
          <w:p>
            <w:pPr>
              <w:pStyle w:val="TableParagraph"/>
              <w:spacing w:before="50"/>
              <w:rPr>
                <w:sz w:val="24"/>
              </w:rPr>
            </w:pPr>
            <w:bookmarkStart w:name="_bookmark44" w:id="108"/>
            <w:bookmarkEnd w:id="108"/>
            <w:r>
              <w:rPr/>
            </w:r>
            <w:r>
              <w:rPr>
                <w:spacing w:val="-10"/>
                <w:sz w:val="24"/>
              </w:rPr>
              <w:t>B</w:t>
            </w:r>
          </w:p>
        </w:tc>
        <w:tc>
          <w:tcPr>
            <w:tcW w:w="8859" w:type="dxa"/>
          </w:tcPr>
          <w:p>
            <w:pPr>
              <w:pStyle w:val="TableParagraph"/>
              <w:spacing w:before="50"/>
              <w:ind w:right="53"/>
              <w:jc w:val="both"/>
              <w:rPr>
                <w:sz w:val="24"/>
              </w:rPr>
            </w:pPr>
            <w:r>
              <w:rPr>
                <w:sz w:val="24"/>
              </w:rPr>
              <w:t>Условная</w:t>
            </w:r>
            <w:r>
              <w:rPr>
                <w:spacing w:val="-4"/>
                <w:sz w:val="24"/>
              </w:rPr>
              <w:t> </w:t>
            </w:r>
            <w:r>
              <w:rPr>
                <w:sz w:val="24"/>
              </w:rPr>
              <w:t>рекомендация</w:t>
            </w:r>
            <w:r>
              <w:rPr>
                <w:spacing w:val="-9"/>
                <w:sz w:val="24"/>
              </w:rPr>
              <w:t> </w:t>
            </w:r>
            <w:r>
              <w:rPr>
                <w:sz w:val="24"/>
              </w:rPr>
              <w:t>(не</w:t>
            </w:r>
            <w:r>
              <w:rPr>
                <w:spacing w:val="-5"/>
                <w:sz w:val="24"/>
              </w:rPr>
              <w:t> </w:t>
            </w:r>
            <w:r>
              <w:rPr>
                <w:sz w:val="24"/>
              </w:rPr>
              <w:t>все</w:t>
            </w:r>
            <w:r>
              <w:rPr>
                <w:spacing w:val="-2"/>
                <w:sz w:val="24"/>
              </w:rPr>
              <w:t> </w:t>
            </w:r>
            <w:r>
              <w:rPr>
                <w:sz w:val="24"/>
              </w:rPr>
              <w:t>рассматриваемые</w:t>
            </w:r>
            <w:r>
              <w:rPr>
                <w:spacing w:val="-5"/>
                <w:sz w:val="24"/>
              </w:rPr>
              <w:t> </w:t>
            </w:r>
            <w:r>
              <w:rPr>
                <w:sz w:val="24"/>
              </w:rPr>
              <w:t>критерии</w:t>
            </w:r>
            <w:r>
              <w:rPr>
                <w:spacing w:val="-3"/>
                <w:sz w:val="24"/>
              </w:rPr>
              <w:t> </w:t>
            </w:r>
            <w:r>
              <w:rPr>
                <w:sz w:val="24"/>
              </w:rPr>
              <w:t>эффективности</w:t>
            </w:r>
            <w:r>
              <w:rPr>
                <w:spacing w:val="-3"/>
                <w:sz w:val="24"/>
              </w:rPr>
              <w:t> </w:t>
            </w:r>
            <w:r>
              <w:rPr>
                <w:sz w:val="24"/>
              </w:rPr>
              <w:t>(исходы)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trPr>
          <w:trHeight w:val="1214" w:hRule="atLeast"/>
        </w:trPr>
        <w:tc>
          <w:tcPr>
            <w:tcW w:w="783" w:type="dxa"/>
          </w:tcPr>
          <w:p>
            <w:pPr>
              <w:pStyle w:val="TableParagraph"/>
              <w:rPr>
                <w:sz w:val="24"/>
              </w:rPr>
            </w:pPr>
            <w:bookmarkStart w:name="_bookmark45" w:id="109"/>
            <w:bookmarkEnd w:id="109"/>
            <w:r>
              <w:rPr/>
            </w:r>
            <w:r>
              <w:rPr>
                <w:spacing w:val="-10"/>
                <w:sz w:val="24"/>
              </w:rPr>
              <w:t>C</w:t>
            </w:r>
          </w:p>
        </w:tc>
        <w:tc>
          <w:tcPr>
            <w:tcW w:w="8859" w:type="dxa"/>
          </w:tcPr>
          <w:p>
            <w:pPr>
              <w:pStyle w:val="TableParagraph"/>
              <w:ind w:right="49"/>
              <w:jc w:val="both"/>
              <w:rPr>
                <w:sz w:val="24"/>
              </w:rPr>
            </w:pPr>
            <w:r>
              <w:rPr>
                <w:sz w:val="24"/>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pPr>
        <w:spacing w:before="278"/>
        <w:ind w:left="682" w:right="0" w:firstLine="0"/>
        <w:jc w:val="left"/>
        <w:rPr>
          <w:b/>
          <w:sz w:val="28"/>
        </w:rPr>
      </w:pPr>
      <w:bookmarkStart w:name="Порядок обновления клинических рекоменда" w:id="110"/>
      <w:bookmarkEnd w:id="110"/>
      <w:r>
        <w:rPr/>
      </w:r>
      <w:r>
        <w:rPr>
          <w:b/>
          <w:sz w:val="28"/>
        </w:rPr>
        <w:t>Порядок</w:t>
      </w:r>
      <w:r>
        <w:rPr>
          <w:b/>
          <w:spacing w:val="-10"/>
          <w:sz w:val="28"/>
        </w:rPr>
        <w:t> </w:t>
      </w:r>
      <w:r>
        <w:rPr>
          <w:b/>
          <w:sz w:val="28"/>
        </w:rPr>
        <w:t>обновления</w:t>
      </w:r>
      <w:r>
        <w:rPr>
          <w:b/>
          <w:spacing w:val="-10"/>
          <w:sz w:val="28"/>
        </w:rPr>
        <w:t> </w:t>
      </w:r>
      <w:r>
        <w:rPr>
          <w:b/>
          <w:sz w:val="28"/>
        </w:rPr>
        <w:t>клинических</w:t>
      </w:r>
      <w:r>
        <w:rPr>
          <w:b/>
          <w:spacing w:val="-15"/>
          <w:sz w:val="28"/>
        </w:rPr>
        <w:t> </w:t>
      </w:r>
      <w:r>
        <w:rPr>
          <w:b/>
          <w:spacing w:val="-2"/>
          <w:sz w:val="28"/>
        </w:rPr>
        <w:t>рекомендаций</w:t>
      </w:r>
    </w:p>
    <w:p>
      <w:pPr>
        <w:pStyle w:val="BodyText"/>
        <w:spacing w:before="234"/>
        <w:ind w:right="145" w:firstLine="542"/>
      </w:pPr>
      <w:r>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утвержденным КР, но не чаще 1 раза в 6 месяцев.</w:t>
      </w:r>
    </w:p>
    <w:p>
      <w:pPr>
        <w:pStyle w:val="BodyText"/>
        <w:ind w:left="0"/>
        <w:jc w:val="left"/>
      </w:pPr>
    </w:p>
    <w:p>
      <w:pPr>
        <w:pStyle w:val="BodyText"/>
        <w:spacing w:before="3"/>
        <w:ind w:left="0"/>
        <w:jc w:val="left"/>
      </w:pPr>
    </w:p>
    <w:p>
      <w:pPr>
        <w:pStyle w:val="BodyText"/>
        <w:ind w:left="0" w:right="141"/>
        <w:jc w:val="right"/>
      </w:pPr>
      <w:bookmarkStart w:name="Приложение А3" w:id="111"/>
      <w:bookmarkEnd w:id="111"/>
      <w:r>
        <w:rPr/>
      </w:r>
      <w:r>
        <w:rPr/>
        <w:t>Приложение </w:t>
      </w:r>
      <w:r>
        <w:rPr>
          <w:spacing w:val="-5"/>
        </w:rPr>
        <w:t>А3</w:t>
      </w:r>
    </w:p>
    <w:p>
      <w:pPr>
        <w:pStyle w:val="BodyText"/>
        <w:spacing w:before="6"/>
        <w:ind w:left="0"/>
        <w:jc w:val="left"/>
      </w:pPr>
    </w:p>
    <w:p>
      <w:pPr>
        <w:pStyle w:val="Heading1"/>
        <w:ind w:left="205" w:right="221" w:firstLine="0"/>
        <w:jc w:val="center"/>
      </w:pPr>
      <w:bookmarkStart w:name="_bookmark46" w:id="112"/>
      <w:bookmarkEnd w:id="112"/>
      <w:r>
        <w:rPr>
          <w:b w:val="0"/>
        </w:rPr>
      </w:r>
      <w:r>
        <w:rPr/>
        <w:t>Справочные</w:t>
      </w:r>
      <w:r>
        <w:rPr>
          <w:spacing w:val="-7"/>
        </w:rPr>
        <w:t> </w:t>
      </w:r>
      <w:r>
        <w:rPr/>
        <w:t>материалы,</w:t>
      </w:r>
      <w:r>
        <w:rPr>
          <w:spacing w:val="-5"/>
        </w:rPr>
        <w:t> </w:t>
      </w:r>
      <w:r>
        <w:rPr/>
        <w:t>включая</w:t>
      </w:r>
      <w:r>
        <w:rPr>
          <w:spacing w:val="-10"/>
        </w:rPr>
        <w:t> </w:t>
      </w:r>
      <w:r>
        <w:rPr/>
        <w:t>соответствие</w:t>
      </w:r>
      <w:r>
        <w:rPr>
          <w:spacing w:val="-7"/>
        </w:rPr>
        <w:t> </w:t>
      </w:r>
      <w:r>
        <w:rPr/>
        <w:t>показаний</w:t>
      </w:r>
      <w:r>
        <w:rPr>
          <w:spacing w:val="-10"/>
        </w:rPr>
        <w:t> </w:t>
      </w:r>
      <w:r>
        <w:rPr/>
        <w:t>к</w:t>
      </w:r>
      <w:r>
        <w:rPr>
          <w:spacing w:val="-10"/>
        </w:rPr>
        <w:t> </w:t>
      </w:r>
      <w:r>
        <w:rPr/>
        <w:t>применению и противопоказаний, способов применения и доз лекарственных препаратов, инструкции по применению лекарственного препарата</w:t>
      </w:r>
    </w:p>
    <w:p>
      <w:pPr>
        <w:pStyle w:val="ListParagraph"/>
        <w:numPr>
          <w:ilvl w:val="0"/>
          <w:numId w:val="11"/>
        </w:numPr>
        <w:tabs>
          <w:tab w:pos="930" w:val="left" w:leader="none"/>
        </w:tabs>
        <w:spacing w:line="242" w:lineRule="auto" w:before="267" w:after="0"/>
        <w:ind w:left="139" w:right="150" w:firstLine="542"/>
        <w:jc w:val="both"/>
        <w:rPr>
          <w:sz w:val="24"/>
        </w:rPr>
      </w:pPr>
      <w:r>
        <w:rPr>
          <w:sz w:val="24"/>
        </w:rPr>
        <w:t>Федеральный закон "Об основах</w:t>
      </w:r>
      <w:r>
        <w:rPr>
          <w:spacing w:val="-1"/>
          <w:sz w:val="24"/>
        </w:rPr>
        <w:t> </w:t>
      </w:r>
      <w:r>
        <w:rPr>
          <w:sz w:val="24"/>
        </w:rPr>
        <w:t>охраны здоровья граждан в Российской Федерации" (N 323-ФЗ от 21.11.2011).</w:t>
      </w:r>
    </w:p>
    <w:p>
      <w:pPr>
        <w:pStyle w:val="ListParagraph"/>
        <w:numPr>
          <w:ilvl w:val="0"/>
          <w:numId w:val="11"/>
        </w:numPr>
        <w:tabs>
          <w:tab w:pos="935" w:val="left" w:leader="none"/>
        </w:tabs>
        <w:spacing w:line="242" w:lineRule="auto" w:before="0" w:after="0"/>
        <w:ind w:left="139" w:right="143" w:firstLine="538"/>
        <w:jc w:val="both"/>
        <w:rPr>
          <w:sz w:val="24"/>
        </w:rPr>
      </w:pPr>
      <w:r>
        <w:rPr>
          <w:sz w:val="24"/>
        </w:rPr>
        <w:t>Приказ Минздрава России от 21.04.2022 N 274н "Об утверждении Порядка оказания медицинской помощи пациентам с врожденными и (или) наследственными заболеваниями".</w:t>
      </w:r>
    </w:p>
    <w:p>
      <w:pPr>
        <w:pStyle w:val="ListParagraph"/>
        <w:numPr>
          <w:ilvl w:val="0"/>
          <w:numId w:val="11"/>
        </w:numPr>
        <w:tabs>
          <w:tab w:pos="921" w:val="left" w:leader="none"/>
        </w:tabs>
        <w:spacing w:line="242" w:lineRule="auto" w:before="0" w:after="0"/>
        <w:ind w:left="139" w:right="146" w:firstLine="538"/>
        <w:jc w:val="both"/>
        <w:rPr>
          <w:sz w:val="24"/>
        </w:rPr>
      </w:pPr>
      <w:r>
        <w:rPr>
          <w:sz w:val="24"/>
        </w:rPr>
        <w:t>Приказ Министерства</w:t>
      </w:r>
      <w:r>
        <w:rPr>
          <w:spacing w:val="-2"/>
          <w:sz w:val="24"/>
        </w:rPr>
        <w:t> </w:t>
      </w:r>
      <w:r>
        <w:rPr>
          <w:sz w:val="24"/>
        </w:rPr>
        <w:t>здравоохранения</w:t>
      </w:r>
      <w:r>
        <w:rPr>
          <w:spacing w:val="-1"/>
          <w:sz w:val="24"/>
        </w:rPr>
        <w:t> </w:t>
      </w:r>
      <w:r>
        <w:rPr>
          <w:sz w:val="24"/>
        </w:rPr>
        <w:t>и социального развития</w:t>
      </w:r>
      <w:r>
        <w:rPr>
          <w:spacing w:val="-6"/>
          <w:sz w:val="24"/>
        </w:rPr>
        <w:t> </w:t>
      </w:r>
      <w:r>
        <w:rPr>
          <w:sz w:val="24"/>
        </w:rPr>
        <w:t>РФ</w:t>
      </w:r>
      <w:r>
        <w:rPr>
          <w:spacing w:val="-4"/>
          <w:sz w:val="24"/>
        </w:rPr>
        <w:t> </w:t>
      </w:r>
      <w:r>
        <w:rPr>
          <w:sz w:val="24"/>
        </w:rPr>
        <w:t>от</w:t>
      </w:r>
      <w:r>
        <w:rPr>
          <w:spacing w:val="-1"/>
          <w:sz w:val="24"/>
        </w:rPr>
        <w:t> </w:t>
      </w:r>
      <w:r>
        <w:rPr>
          <w:sz w:val="24"/>
        </w:rPr>
        <w:t>16</w:t>
      </w:r>
      <w:r>
        <w:rPr>
          <w:spacing w:val="-1"/>
          <w:sz w:val="24"/>
        </w:rPr>
        <w:t> </w:t>
      </w:r>
      <w:r>
        <w:rPr>
          <w:sz w:val="24"/>
        </w:rPr>
        <w:t>апреля</w:t>
      </w:r>
      <w:r>
        <w:rPr>
          <w:spacing w:val="-1"/>
          <w:sz w:val="24"/>
        </w:rPr>
        <w:t> </w:t>
      </w:r>
      <w:r>
        <w:rPr>
          <w:sz w:val="24"/>
        </w:rPr>
        <w:t>2012 г. N 366н "Об утверждении Порядка оказания педиатрической помощи"</w:t>
      </w:r>
    </w:p>
    <w:p>
      <w:pPr>
        <w:pStyle w:val="ListParagraph"/>
        <w:numPr>
          <w:ilvl w:val="0"/>
          <w:numId w:val="11"/>
        </w:numPr>
        <w:tabs>
          <w:tab w:pos="945" w:val="left" w:leader="none"/>
        </w:tabs>
        <w:spacing w:line="240" w:lineRule="auto" w:before="0" w:after="0"/>
        <w:ind w:left="139" w:right="151" w:firstLine="538"/>
        <w:jc w:val="both"/>
        <w:rPr>
          <w:sz w:val="24"/>
        </w:rPr>
      </w:pPr>
      <w:r>
        <w:rPr>
          <w:sz w:val="24"/>
        </w:rPr>
        <w:t>Приказ Министерства здравоохранения Российской Федерации от 12 ноября 2012 г.</w:t>
      </w:r>
      <w:r>
        <w:rPr>
          <w:spacing w:val="40"/>
          <w:sz w:val="24"/>
        </w:rPr>
        <w:t> </w:t>
      </w:r>
      <w:r>
        <w:rPr>
          <w:sz w:val="24"/>
        </w:rPr>
        <w:t>N 906н "Об утверждении Порядка оказания медицинской помощи населению по профилю </w:t>
      </w:r>
      <w:r>
        <w:rPr>
          <w:spacing w:val="-2"/>
          <w:sz w:val="24"/>
        </w:rPr>
        <w:t>"гастроэнтерология"</w:t>
      </w:r>
    </w:p>
    <w:p>
      <w:pPr>
        <w:spacing w:after="0" w:line="240" w:lineRule="auto"/>
        <w:jc w:val="both"/>
        <w:rPr>
          <w:sz w:val="24"/>
        </w:rPr>
        <w:sectPr>
          <w:pgSz w:w="11910" w:h="16840"/>
          <w:pgMar w:header="572" w:footer="1177" w:top="1320" w:bottom="1360" w:left="1560" w:right="420"/>
        </w:sectPr>
      </w:pPr>
    </w:p>
    <w:p>
      <w:pPr>
        <w:pStyle w:val="BodyText"/>
        <w:spacing w:before="80"/>
        <w:ind w:left="677"/>
        <w:jc w:val="left"/>
      </w:pPr>
      <w:r>
        <w:rPr/>
        <w:t>Информация</w:t>
      </w:r>
      <w:r>
        <w:rPr>
          <w:spacing w:val="-14"/>
        </w:rPr>
        <w:t> </w:t>
      </w:r>
      <w:r>
        <w:rPr/>
        <w:t>о</w:t>
      </w:r>
      <w:r>
        <w:rPr>
          <w:spacing w:val="1"/>
        </w:rPr>
        <w:t> </w:t>
      </w:r>
      <w:r>
        <w:rPr/>
        <w:t>лекарственных</w:t>
      </w:r>
      <w:r>
        <w:rPr>
          <w:spacing w:val="-8"/>
        </w:rPr>
        <w:t> </w:t>
      </w:r>
      <w:r>
        <w:rPr/>
        <w:t>средствах:</w:t>
      </w:r>
      <w:r>
        <w:rPr>
          <w:spacing w:val="3"/>
        </w:rPr>
        <w:t> </w:t>
      </w:r>
      <w:r>
        <w:rPr>
          <w:spacing w:val="-2"/>
        </w:rPr>
        <w:t>https://grls.rosminzdrav.ru/</w:t>
      </w:r>
    </w:p>
    <w:p>
      <w:pPr>
        <w:pStyle w:val="BodyText"/>
        <w:spacing w:before="5"/>
        <w:ind w:left="0"/>
        <w:jc w:val="left"/>
      </w:pPr>
    </w:p>
    <w:p>
      <w:pPr>
        <w:pStyle w:val="Heading1"/>
        <w:tabs>
          <w:tab w:pos="2269" w:val="left" w:leader="none"/>
          <w:tab w:pos="5434" w:val="left" w:leader="none"/>
          <w:tab w:pos="6451" w:val="left" w:leader="none"/>
          <w:tab w:pos="8633" w:val="left" w:leader="none"/>
        </w:tabs>
        <w:ind w:right="152"/>
      </w:pPr>
      <w:bookmarkStart w:name="Основные нормативно-правовые акты, регул" w:id="113"/>
      <w:bookmarkEnd w:id="113"/>
      <w:r>
        <w:rPr>
          <w:b w:val="0"/>
        </w:rPr>
      </w:r>
      <w:r>
        <w:rPr>
          <w:spacing w:val="-2"/>
        </w:rPr>
        <w:t>Основные</w:t>
      </w:r>
      <w:r>
        <w:rPr/>
        <w:tab/>
      </w:r>
      <w:r>
        <w:rPr>
          <w:spacing w:val="-2"/>
        </w:rPr>
        <w:t>нормативно-правовые</w:t>
      </w:r>
      <w:r>
        <w:rPr/>
        <w:tab/>
      </w:r>
      <w:r>
        <w:rPr>
          <w:spacing w:val="-2"/>
        </w:rPr>
        <w:t>акты,</w:t>
      </w:r>
      <w:r>
        <w:rPr/>
        <w:tab/>
      </w:r>
      <w:r>
        <w:rPr>
          <w:spacing w:val="-2"/>
        </w:rPr>
        <w:t>регулирующие</w:t>
      </w:r>
      <w:r>
        <w:rPr/>
        <w:tab/>
      </w:r>
      <w:r>
        <w:rPr>
          <w:spacing w:val="-2"/>
        </w:rPr>
        <w:t>оказание </w:t>
      </w:r>
      <w:r>
        <w:rPr/>
        <w:t>паллиативной медицинской помощи</w:t>
      </w:r>
    </w:p>
    <w:p>
      <w:pPr>
        <w:pStyle w:val="ListParagraph"/>
        <w:numPr>
          <w:ilvl w:val="0"/>
          <w:numId w:val="12"/>
        </w:numPr>
        <w:tabs>
          <w:tab w:pos="997" w:val="left" w:leader="none"/>
        </w:tabs>
        <w:spacing w:line="240" w:lineRule="auto" w:before="239" w:after="0"/>
        <w:ind w:left="139" w:right="146" w:firstLine="542"/>
        <w:jc w:val="both"/>
        <w:rPr>
          <w:sz w:val="24"/>
        </w:rPr>
      </w:pPr>
      <w:r>
        <w:rPr>
          <w:sz w:val="24"/>
        </w:rPr>
        <w:t>Федеральный закон "О внесении изменений в Федеральный закон "Об основах охраны здоровья граждан в Российской Федерации" по вопросам оказания паллиативной медицинской помощи" от 06.03.2019 N 18-ФЗ.</w:t>
      </w:r>
    </w:p>
    <w:p>
      <w:pPr>
        <w:pStyle w:val="ListParagraph"/>
        <w:numPr>
          <w:ilvl w:val="0"/>
          <w:numId w:val="12"/>
        </w:numPr>
        <w:tabs>
          <w:tab w:pos="983" w:val="left" w:leader="none"/>
        </w:tabs>
        <w:spacing w:line="240" w:lineRule="auto" w:before="0" w:after="0"/>
        <w:ind w:left="139" w:right="144" w:firstLine="538"/>
        <w:jc w:val="both"/>
        <w:rPr>
          <w:sz w:val="24"/>
        </w:rPr>
      </w:pPr>
      <w:r>
        <w:rPr>
          <w:sz w:val="24"/>
        </w:rPr>
        <w:t>Приказ Минздрава России N 345н, Минтруда России от 31.05.2019 N 372н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w:t>
      </w:r>
    </w:p>
    <w:p>
      <w:pPr>
        <w:pStyle w:val="ListParagraph"/>
        <w:numPr>
          <w:ilvl w:val="0"/>
          <w:numId w:val="12"/>
        </w:numPr>
        <w:tabs>
          <w:tab w:pos="964" w:val="left" w:leader="none"/>
        </w:tabs>
        <w:spacing w:line="240" w:lineRule="auto" w:before="1" w:after="0"/>
        <w:ind w:left="139" w:right="140" w:firstLine="538"/>
        <w:jc w:val="both"/>
        <w:rPr>
          <w:sz w:val="24"/>
        </w:rPr>
      </w:pPr>
      <w:r>
        <w:rPr>
          <w:sz w:val="24"/>
        </w:rPr>
        <w:t>Приказ Минздрава России N 348н от 31 мая 2019 года "Об утверждении перечня медицинских изделий, предназначенных для поддержания органов и систем организма человека, предоставляемых для использования на дому".</w:t>
      </w:r>
    </w:p>
    <w:p>
      <w:pPr>
        <w:pStyle w:val="ListParagraph"/>
        <w:numPr>
          <w:ilvl w:val="0"/>
          <w:numId w:val="12"/>
        </w:numPr>
        <w:tabs>
          <w:tab w:pos="950" w:val="left" w:leader="none"/>
        </w:tabs>
        <w:spacing w:line="240" w:lineRule="auto" w:before="0" w:after="0"/>
        <w:ind w:left="139" w:right="151" w:firstLine="538"/>
        <w:jc w:val="both"/>
        <w:rPr>
          <w:sz w:val="24"/>
        </w:rPr>
      </w:pPr>
      <w:r>
        <w:rPr>
          <w:sz w:val="24"/>
        </w:rPr>
        <w:t>Приказ Минздрава России N 505н от 10 июля 2019 года "Об утверждении Порядка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w:t>
      </w:r>
      <w:r>
        <w:rPr>
          <w:spacing w:val="-2"/>
          <w:sz w:val="24"/>
        </w:rPr>
        <w:t>помощи".</w:t>
      </w:r>
    </w:p>
    <w:p>
      <w:pPr>
        <w:pStyle w:val="BodyText"/>
        <w:spacing w:before="4"/>
        <w:ind w:left="0"/>
        <w:jc w:val="left"/>
      </w:pPr>
    </w:p>
    <w:p>
      <w:pPr>
        <w:pStyle w:val="Heading1"/>
        <w:tabs>
          <w:tab w:pos="1972" w:val="left" w:leader="none"/>
          <w:tab w:pos="5179" w:val="left" w:leader="none"/>
          <w:tab w:pos="6997" w:val="left" w:leader="none"/>
          <w:tab w:pos="7457" w:val="left" w:leader="none"/>
          <w:tab w:pos="8680" w:val="left" w:leader="none"/>
        </w:tabs>
        <w:ind w:right="148"/>
      </w:pPr>
      <w:bookmarkStart w:name="Прочие нормативно-правовые документы, с " w:id="114"/>
      <w:bookmarkEnd w:id="114"/>
      <w:r>
        <w:rPr>
          <w:b w:val="0"/>
        </w:rPr>
      </w:r>
      <w:r>
        <w:rPr>
          <w:spacing w:val="-2"/>
        </w:rPr>
        <w:t>Прочие</w:t>
      </w:r>
      <w:r>
        <w:rPr/>
        <w:tab/>
      </w:r>
      <w:r>
        <w:rPr>
          <w:spacing w:val="-2"/>
        </w:rPr>
        <w:t>нормативно-правовые</w:t>
      </w:r>
      <w:r>
        <w:rPr/>
        <w:tab/>
      </w:r>
      <w:r>
        <w:rPr>
          <w:spacing w:val="-2"/>
        </w:rPr>
        <w:t>документы,</w:t>
      </w:r>
      <w:r>
        <w:rPr/>
        <w:tab/>
      </w:r>
      <w:r>
        <w:rPr>
          <w:spacing w:val="-10"/>
        </w:rPr>
        <w:t>с</w:t>
      </w:r>
      <w:r>
        <w:rPr/>
        <w:tab/>
      </w:r>
      <w:r>
        <w:rPr>
          <w:spacing w:val="-2"/>
        </w:rPr>
        <w:t>учетом</w:t>
      </w:r>
      <w:r>
        <w:rPr/>
        <w:tab/>
      </w:r>
      <w:r>
        <w:rPr>
          <w:spacing w:val="-2"/>
        </w:rPr>
        <w:t>которых </w:t>
      </w:r>
      <w:r>
        <w:rPr/>
        <w:t>разработаны клинические рекомендации:</w:t>
      </w:r>
    </w:p>
    <w:p>
      <w:pPr>
        <w:pStyle w:val="ListParagraph"/>
        <w:numPr>
          <w:ilvl w:val="0"/>
          <w:numId w:val="13"/>
        </w:numPr>
        <w:tabs>
          <w:tab w:pos="964" w:val="left" w:leader="none"/>
        </w:tabs>
        <w:spacing w:line="240" w:lineRule="auto" w:before="234" w:after="0"/>
        <w:ind w:left="139" w:right="140" w:firstLine="542"/>
        <w:jc w:val="both"/>
        <w:rPr>
          <w:sz w:val="24"/>
        </w:rPr>
      </w:pPr>
      <w:r>
        <w:rPr>
          <w:sz w:val="24"/>
        </w:rPr>
        <w:t>Федеральный закон от 21 ноября 2011 г. N 323-ФЗ "Об основах охраны здоровья граждан в Российской</w:t>
      </w:r>
      <w:r>
        <w:rPr>
          <w:spacing w:val="-1"/>
          <w:sz w:val="24"/>
        </w:rPr>
        <w:t> </w:t>
      </w:r>
      <w:r>
        <w:rPr>
          <w:sz w:val="24"/>
        </w:rPr>
        <w:t>Федерации" (Собрание законодательства Российской</w:t>
      </w:r>
      <w:r>
        <w:rPr>
          <w:spacing w:val="-1"/>
          <w:sz w:val="24"/>
        </w:rPr>
        <w:t> </w:t>
      </w:r>
      <w:r>
        <w:rPr>
          <w:sz w:val="24"/>
        </w:rPr>
        <w:t>Федерации, 2011 г., N 48, ст. 6724);</w:t>
      </w:r>
    </w:p>
    <w:p>
      <w:pPr>
        <w:pStyle w:val="ListParagraph"/>
        <w:numPr>
          <w:ilvl w:val="0"/>
          <w:numId w:val="13"/>
        </w:numPr>
        <w:tabs>
          <w:tab w:pos="930" w:val="left" w:leader="none"/>
        </w:tabs>
        <w:spacing w:line="237" w:lineRule="auto" w:before="5" w:after="0"/>
        <w:ind w:left="139" w:right="136" w:firstLine="538"/>
        <w:jc w:val="both"/>
        <w:rPr>
          <w:sz w:val="24"/>
        </w:rPr>
      </w:pPr>
      <w:r>
        <w:rPr>
          <w:sz w:val="24"/>
        </w:rPr>
        <w:t>Международная классификация болезней, травм и состояний, влияющих на здоровье </w:t>
      </w:r>
      <w:r>
        <w:rPr>
          <w:spacing w:val="-2"/>
          <w:sz w:val="24"/>
        </w:rPr>
        <w:t>(МКБ-10);</w:t>
      </w:r>
    </w:p>
    <w:p>
      <w:pPr>
        <w:pStyle w:val="ListParagraph"/>
        <w:numPr>
          <w:ilvl w:val="0"/>
          <w:numId w:val="13"/>
        </w:numPr>
        <w:tabs>
          <w:tab w:pos="983" w:val="left" w:leader="none"/>
        </w:tabs>
        <w:spacing w:line="237" w:lineRule="auto" w:before="6" w:after="0"/>
        <w:ind w:left="139" w:right="157" w:firstLine="538"/>
        <w:jc w:val="both"/>
        <w:rPr>
          <w:sz w:val="24"/>
        </w:rPr>
      </w:pPr>
      <w:r>
        <w:rPr>
          <w:sz w:val="24"/>
        </w:rPr>
        <w:t>Приказ МЗ РФ от 20 декабря 2012 г. N 1183н "Об утверждении номенклатуры должностей медицинских работников и фармацевтических работников";</w:t>
      </w:r>
    </w:p>
    <w:p>
      <w:pPr>
        <w:pStyle w:val="ListParagraph"/>
        <w:numPr>
          <w:ilvl w:val="0"/>
          <w:numId w:val="13"/>
        </w:numPr>
        <w:tabs>
          <w:tab w:pos="940" w:val="left" w:leader="none"/>
        </w:tabs>
        <w:spacing w:line="240" w:lineRule="auto" w:before="3" w:after="0"/>
        <w:ind w:left="139" w:right="148" w:firstLine="538"/>
        <w:jc w:val="both"/>
        <w:rPr>
          <w:sz w:val="24"/>
        </w:rPr>
      </w:pPr>
      <w:r>
        <w:rPr>
          <w:sz w:val="24"/>
        </w:rPr>
        <w:t>Приказ Минздрава России N 103н от 28.02.2019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w:t>
      </w:r>
      <w:r>
        <w:rPr>
          <w:spacing w:val="40"/>
          <w:sz w:val="24"/>
        </w:rPr>
        <w:t> </w:t>
      </w:r>
      <w:r>
        <w:rPr>
          <w:sz w:val="24"/>
        </w:rPr>
        <w:t>в клинические рекомендации информации".</w:t>
      </w:r>
    </w:p>
    <w:p>
      <w:pPr>
        <w:pStyle w:val="ListParagraph"/>
        <w:numPr>
          <w:ilvl w:val="0"/>
          <w:numId w:val="13"/>
        </w:numPr>
        <w:tabs>
          <w:tab w:pos="974" w:val="left" w:leader="none"/>
        </w:tabs>
        <w:spacing w:line="237" w:lineRule="auto" w:before="3" w:after="0"/>
        <w:ind w:left="139" w:right="147" w:firstLine="538"/>
        <w:jc w:val="both"/>
        <w:rPr>
          <w:sz w:val="24"/>
        </w:rPr>
      </w:pPr>
      <w:r>
        <w:rPr>
          <w:sz w:val="24"/>
        </w:rPr>
        <w:t>Приказ Минздрава России от 13.10.2017 N 804н "Об утверждении номенклатуры медицинских услуг".</w:t>
      </w:r>
    </w:p>
    <w:p>
      <w:pPr>
        <w:pStyle w:val="ListParagraph"/>
        <w:numPr>
          <w:ilvl w:val="0"/>
          <w:numId w:val="13"/>
        </w:numPr>
        <w:tabs>
          <w:tab w:pos="921" w:val="left" w:leader="none"/>
        </w:tabs>
        <w:spacing w:line="240" w:lineRule="auto" w:before="3" w:after="0"/>
        <w:ind w:left="139" w:right="137" w:firstLine="538"/>
        <w:jc w:val="both"/>
        <w:rPr>
          <w:sz w:val="24"/>
        </w:rPr>
      </w:pPr>
      <w:r>
        <w:rPr>
          <w:sz w:val="24"/>
        </w:rPr>
        <w:t>Приказ Министерства</w:t>
      </w:r>
      <w:r>
        <w:rPr>
          <w:spacing w:val="-6"/>
          <w:sz w:val="24"/>
        </w:rPr>
        <w:t> </w:t>
      </w:r>
      <w:r>
        <w:rPr>
          <w:sz w:val="24"/>
        </w:rPr>
        <w:t>труда</w:t>
      </w:r>
      <w:r>
        <w:rPr>
          <w:spacing w:val="-1"/>
          <w:sz w:val="24"/>
        </w:rPr>
        <w:t> </w:t>
      </w:r>
      <w:r>
        <w:rPr>
          <w:sz w:val="24"/>
        </w:rPr>
        <w:t>и социальной защиты</w:t>
      </w:r>
      <w:r>
        <w:rPr>
          <w:spacing w:val="-2"/>
          <w:sz w:val="24"/>
        </w:rPr>
        <w:t> </w:t>
      </w:r>
      <w:r>
        <w:rPr>
          <w:sz w:val="24"/>
        </w:rPr>
        <w:t>РФ</w:t>
      </w:r>
      <w:r>
        <w:rPr>
          <w:spacing w:val="-7"/>
          <w:sz w:val="24"/>
        </w:rPr>
        <w:t> </w:t>
      </w:r>
      <w:r>
        <w:rPr>
          <w:sz w:val="24"/>
        </w:rPr>
        <w:t>от 27 августа</w:t>
      </w:r>
      <w:r>
        <w:rPr>
          <w:spacing w:val="-1"/>
          <w:sz w:val="24"/>
        </w:rPr>
        <w:t> </w:t>
      </w:r>
      <w:r>
        <w:rPr>
          <w:sz w:val="24"/>
        </w:rPr>
        <w:t>2019 г. N</w:t>
      </w:r>
      <w:r>
        <w:rPr>
          <w:spacing w:val="-1"/>
          <w:sz w:val="24"/>
        </w:rPr>
        <w:t> </w:t>
      </w:r>
      <w:r>
        <w:rPr>
          <w:sz w:val="24"/>
        </w:rPr>
        <w:t>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w:t>
      </w:r>
      <w:r>
        <w:rPr>
          <w:spacing w:val="-2"/>
          <w:sz w:val="24"/>
        </w:rPr>
        <w:t>экспертизы";</w:t>
      </w:r>
    </w:p>
    <w:p>
      <w:pPr>
        <w:spacing w:after="0" w:line="240" w:lineRule="auto"/>
        <w:jc w:val="both"/>
        <w:rPr>
          <w:sz w:val="24"/>
        </w:rPr>
        <w:sectPr>
          <w:pgSz w:w="11910" w:h="16840"/>
          <w:pgMar w:header="572" w:footer="1177" w:top="1320" w:bottom="1360" w:left="1560" w:right="420"/>
        </w:sectPr>
      </w:pPr>
    </w:p>
    <w:p>
      <w:pPr>
        <w:pStyle w:val="Heading1"/>
        <w:tabs>
          <w:tab w:pos="2361" w:val="left" w:leader="none"/>
          <w:tab w:pos="4187" w:val="left" w:leader="none"/>
          <w:tab w:pos="6365" w:val="left" w:leader="none"/>
          <w:tab w:pos="7564" w:val="left" w:leader="none"/>
          <w:tab w:pos="8677" w:val="left" w:leader="none"/>
        </w:tabs>
        <w:spacing w:before="85"/>
        <w:ind w:right="153"/>
      </w:pPr>
      <w:bookmarkStart w:name="Сравнение проявлений инфантильной формы " w:id="115"/>
      <w:bookmarkEnd w:id="115"/>
      <w:r>
        <w:rPr>
          <w:b w:val="0"/>
        </w:rPr>
      </w:r>
      <w:r>
        <w:rPr>
          <w:spacing w:val="-2"/>
        </w:rPr>
        <w:t>Сравнение</w:t>
      </w:r>
      <w:r>
        <w:rPr/>
        <w:tab/>
      </w:r>
      <w:r>
        <w:rPr>
          <w:spacing w:val="-2"/>
        </w:rPr>
        <w:t>проявлений</w:t>
      </w:r>
      <w:r>
        <w:rPr/>
        <w:tab/>
      </w:r>
      <w:r>
        <w:rPr>
          <w:spacing w:val="-2"/>
        </w:rPr>
        <w:t>инфантильной</w:t>
      </w:r>
      <w:r>
        <w:rPr/>
        <w:tab/>
      </w:r>
      <w:r>
        <w:rPr>
          <w:spacing w:val="-2"/>
        </w:rPr>
        <w:t>формы</w:t>
      </w:r>
      <w:r>
        <w:rPr/>
        <w:tab/>
      </w:r>
      <w:r>
        <w:rPr>
          <w:spacing w:val="-4"/>
        </w:rPr>
        <w:t>ДЛКЛ</w:t>
      </w:r>
      <w:r>
        <w:rPr/>
        <w:tab/>
      </w:r>
      <w:r>
        <w:rPr>
          <w:spacing w:val="-2"/>
        </w:rPr>
        <w:t>(болезни </w:t>
      </w:r>
      <w:r>
        <w:rPr/>
        <w:t>Вольмана) и болезни накопления эфиров холестерина (БНЭХ)</w:t>
      </w:r>
    </w:p>
    <w:p>
      <w:pPr>
        <w:pStyle w:val="BodyText"/>
        <w:spacing w:before="50"/>
        <w:ind w:left="0"/>
        <w:jc w:val="left"/>
        <w:rPr>
          <w:b/>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976"/>
        <w:gridCol w:w="3313"/>
        <w:gridCol w:w="2353"/>
      </w:tblGrid>
      <w:tr>
        <w:trPr>
          <w:trHeight w:val="667" w:hRule="atLeast"/>
        </w:trPr>
        <w:tc>
          <w:tcPr>
            <w:tcW w:w="3976" w:type="dxa"/>
          </w:tcPr>
          <w:p>
            <w:pPr>
              <w:pStyle w:val="TableParagraph"/>
              <w:spacing w:before="50"/>
              <w:ind w:left="9"/>
              <w:jc w:val="center"/>
              <w:rPr>
                <w:sz w:val="24"/>
              </w:rPr>
            </w:pPr>
            <w:r>
              <w:rPr>
                <w:spacing w:val="-2"/>
                <w:sz w:val="24"/>
              </w:rPr>
              <w:t>Проявление</w:t>
            </w:r>
          </w:p>
        </w:tc>
        <w:tc>
          <w:tcPr>
            <w:tcW w:w="3313" w:type="dxa"/>
          </w:tcPr>
          <w:p>
            <w:pPr>
              <w:pStyle w:val="TableParagraph"/>
              <w:spacing w:line="242" w:lineRule="auto" w:before="50"/>
              <w:ind w:left="638" w:hanging="442"/>
              <w:rPr>
                <w:sz w:val="24"/>
              </w:rPr>
            </w:pPr>
            <w:r>
              <w:rPr>
                <w:sz w:val="24"/>
              </w:rPr>
              <w:t>Инфантильная</w:t>
            </w:r>
            <w:r>
              <w:rPr>
                <w:spacing w:val="-15"/>
                <w:sz w:val="24"/>
              </w:rPr>
              <w:t> </w:t>
            </w:r>
            <w:r>
              <w:rPr>
                <w:sz w:val="24"/>
              </w:rPr>
              <w:t>форма</w:t>
            </w:r>
            <w:r>
              <w:rPr>
                <w:spacing w:val="-15"/>
                <w:sz w:val="24"/>
              </w:rPr>
              <w:t> </w:t>
            </w:r>
            <w:r>
              <w:rPr>
                <w:sz w:val="24"/>
              </w:rPr>
              <w:t>ДЛКЛ (Болезнь Вольмана)</w:t>
            </w:r>
          </w:p>
        </w:tc>
        <w:tc>
          <w:tcPr>
            <w:tcW w:w="2353" w:type="dxa"/>
          </w:tcPr>
          <w:p>
            <w:pPr>
              <w:pStyle w:val="TableParagraph"/>
              <w:spacing w:before="50"/>
              <w:ind w:left="20"/>
              <w:jc w:val="center"/>
              <w:rPr>
                <w:sz w:val="24"/>
              </w:rPr>
            </w:pPr>
            <w:r>
              <w:rPr>
                <w:spacing w:val="-4"/>
                <w:sz w:val="24"/>
              </w:rPr>
              <w:t>БНЭХ</w:t>
            </w:r>
          </w:p>
        </w:tc>
      </w:tr>
      <w:tr>
        <w:trPr>
          <w:trHeight w:val="666" w:hRule="atLeast"/>
        </w:trPr>
        <w:tc>
          <w:tcPr>
            <w:tcW w:w="3976" w:type="dxa"/>
          </w:tcPr>
          <w:p>
            <w:pPr>
              <w:pStyle w:val="TableParagraph"/>
              <w:rPr>
                <w:sz w:val="24"/>
              </w:rPr>
            </w:pPr>
            <w:r>
              <w:rPr>
                <w:sz w:val="24"/>
              </w:rPr>
              <w:t>Возраст</w:t>
            </w:r>
            <w:r>
              <w:rPr>
                <w:spacing w:val="2"/>
                <w:sz w:val="24"/>
              </w:rPr>
              <w:t> </w:t>
            </w:r>
            <w:r>
              <w:rPr>
                <w:spacing w:val="-2"/>
                <w:sz w:val="24"/>
              </w:rPr>
              <w:t>начала/диагностики</w:t>
            </w:r>
          </w:p>
        </w:tc>
        <w:tc>
          <w:tcPr>
            <w:tcW w:w="3313" w:type="dxa"/>
          </w:tcPr>
          <w:p>
            <w:pPr>
              <w:pStyle w:val="TableParagraph"/>
              <w:rPr>
                <w:sz w:val="24"/>
              </w:rPr>
            </w:pPr>
            <w:r>
              <w:rPr>
                <w:sz w:val="24"/>
              </w:rPr>
              <w:t>0-3</w:t>
            </w:r>
            <w:r>
              <w:rPr>
                <w:spacing w:val="1"/>
                <w:sz w:val="24"/>
              </w:rPr>
              <w:t> </w:t>
            </w:r>
            <w:r>
              <w:rPr>
                <w:spacing w:val="-2"/>
                <w:sz w:val="24"/>
              </w:rPr>
              <w:t>месяца</w:t>
            </w:r>
          </w:p>
        </w:tc>
        <w:tc>
          <w:tcPr>
            <w:tcW w:w="2353" w:type="dxa"/>
          </w:tcPr>
          <w:p>
            <w:pPr>
              <w:pStyle w:val="TableParagraph"/>
              <w:spacing w:line="237" w:lineRule="auto" w:before="51"/>
              <w:ind w:left="67"/>
              <w:rPr>
                <w:sz w:val="24"/>
              </w:rPr>
            </w:pPr>
            <w:r>
              <w:rPr>
                <w:sz w:val="24"/>
              </w:rPr>
              <w:t>Детский</w:t>
            </w:r>
            <w:r>
              <w:rPr>
                <w:spacing w:val="40"/>
                <w:sz w:val="24"/>
              </w:rPr>
              <w:t> </w:t>
            </w:r>
            <w:r>
              <w:rPr>
                <w:sz w:val="24"/>
              </w:rPr>
              <w:t>–</w:t>
            </w:r>
            <w:r>
              <w:rPr>
                <w:spacing w:val="40"/>
                <w:sz w:val="24"/>
              </w:rPr>
              <w:t> </w:t>
            </w:r>
            <w:r>
              <w:rPr>
                <w:sz w:val="24"/>
              </w:rPr>
              <w:t>взрослый </w:t>
            </w:r>
            <w:r>
              <w:rPr>
                <w:spacing w:val="-2"/>
                <w:sz w:val="24"/>
              </w:rPr>
              <w:t>возраст</w:t>
            </w:r>
          </w:p>
        </w:tc>
      </w:tr>
      <w:tr>
        <w:trPr>
          <w:trHeight w:val="667" w:hRule="atLeast"/>
        </w:trPr>
        <w:tc>
          <w:tcPr>
            <w:tcW w:w="3976" w:type="dxa"/>
          </w:tcPr>
          <w:p>
            <w:pPr>
              <w:pStyle w:val="TableParagraph"/>
              <w:tabs>
                <w:tab w:pos="1179" w:val="left" w:leader="none"/>
                <w:tab w:pos="1716" w:val="left" w:leader="none"/>
                <w:tab w:pos="2781" w:val="left" w:leader="none"/>
              </w:tabs>
              <w:ind w:right="54"/>
              <w:rPr>
                <w:sz w:val="24"/>
              </w:rPr>
            </w:pPr>
            <w:r>
              <w:rPr>
                <w:spacing w:val="-2"/>
                <w:sz w:val="24"/>
              </w:rPr>
              <w:t>Возраст</w:t>
            </w:r>
            <w:r>
              <w:rPr>
                <w:sz w:val="24"/>
              </w:rPr>
              <w:tab/>
            </w:r>
            <w:r>
              <w:rPr>
                <w:spacing w:val="-6"/>
                <w:sz w:val="24"/>
              </w:rPr>
              <w:t>на</w:t>
            </w:r>
            <w:r>
              <w:rPr>
                <w:sz w:val="24"/>
              </w:rPr>
              <w:tab/>
            </w:r>
            <w:r>
              <w:rPr>
                <w:spacing w:val="-2"/>
                <w:sz w:val="24"/>
              </w:rPr>
              <w:t>момент</w:t>
            </w:r>
            <w:r>
              <w:rPr>
                <w:sz w:val="24"/>
              </w:rPr>
              <w:tab/>
            </w:r>
            <w:r>
              <w:rPr>
                <w:spacing w:val="-2"/>
                <w:sz w:val="24"/>
              </w:rPr>
              <w:t>летального </w:t>
            </w:r>
            <w:r>
              <w:rPr>
                <w:sz w:val="24"/>
              </w:rPr>
              <w:t>исхода (без лечения)</w:t>
            </w:r>
          </w:p>
        </w:tc>
        <w:tc>
          <w:tcPr>
            <w:tcW w:w="3313" w:type="dxa"/>
          </w:tcPr>
          <w:p>
            <w:pPr>
              <w:pStyle w:val="TableParagraph"/>
              <w:spacing w:line="275" w:lineRule="exact"/>
              <w:rPr>
                <w:sz w:val="24"/>
              </w:rPr>
            </w:pPr>
            <w:r>
              <w:rPr>
                <w:sz w:val="24"/>
              </w:rPr>
              <w:t>до</w:t>
            </w:r>
            <w:r>
              <w:rPr>
                <w:spacing w:val="4"/>
                <w:sz w:val="24"/>
              </w:rPr>
              <w:t> </w:t>
            </w:r>
            <w:r>
              <w:rPr>
                <w:sz w:val="24"/>
              </w:rPr>
              <w:t>6</w:t>
            </w:r>
            <w:r>
              <w:rPr>
                <w:spacing w:val="-4"/>
                <w:sz w:val="24"/>
              </w:rPr>
              <w:t> </w:t>
            </w:r>
            <w:r>
              <w:rPr>
                <w:spacing w:val="-2"/>
                <w:sz w:val="24"/>
              </w:rPr>
              <w:t>месяцев</w:t>
            </w:r>
          </w:p>
          <w:p>
            <w:pPr>
              <w:pStyle w:val="TableParagraph"/>
              <w:spacing w:line="275" w:lineRule="exact" w:before="0"/>
              <w:rPr>
                <w:sz w:val="24"/>
              </w:rPr>
            </w:pPr>
            <w:r>
              <w:rPr>
                <w:sz w:val="24"/>
              </w:rPr>
              <w:t>(в</w:t>
            </w:r>
            <w:r>
              <w:rPr>
                <w:spacing w:val="-2"/>
                <w:sz w:val="24"/>
              </w:rPr>
              <w:t> </w:t>
            </w:r>
            <w:r>
              <w:rPr>
                <w:sz w:val="24"/>
              </w:rPr>
              <w:t>среднем</w:t>
            </w:r>
            <w:r>
              <w:rPr>
                <w:spacing w:val="1"/>
                <w:sz w:val="24"/>
              </w:rPr>
              <w:t> </w:t>
            </w:r>
            <w:r>
              <w:rPr>
                <w:sz w:val="24"/>
              </w:rPr>
              <w:t>3-4</w:t>
            </w:r>
            <w:r>
              <w:rPr>
                <w:spacing w:val="-5"/>
                <w:sz w:val="24"/>
              </w:rPr>
              <w:t> </w:t>
            </w:r>
            <w:r>
              <w:rPr>
                <w:spacing w:val="-4"/>
                <w:sz w:val="24"/>
              </w:rPr>
              <w:t>мес.)</w:t>
            </w:r>
          </w:p>
        </w:tc>
        <w:tc>
          <w:tcPr>
            <w:tcW w:w="2353" w:type="dxa"/>
          </w:tcPr>
          <w:p>
            <w:pPr>
              <w:pStyle w:val="TableParagraph"/>
              <w:ind w:left="67"/>
              <w:rPr>
                <w:sz w:val="24"/>
              </w:rPr>
            </w:pPr>
            <w:r>
              <w:rPr>
                <w:spacing w:val="-2"/>
                <w:sz w:val="24"/>
              </w:rPr>
              <w:t>Вариабельный</w:t>
            </w:r>
          </w:p>
        </w:tc>
      </w:tr>
      <w:tr>
        <w:trPr>
          <w:trHeight w:val="388" w:hRule="atLeast"/>
        </w:trPr>
        <w:tc>
          <w:tcPr>
            <w:tcW w:w="3976" w:type="dxa"/>
          </w:tcPr>
          <w:p>
            <w:pPr>
              <w:pStyle w:val="TableParagraph"/>
              <w:spacing w:before="44"/>
              <w:rPr>
                <w:sz w:val="24"/>
              </w:rPr>
            </w:pPr>
            <w:r>
              <w:rPr>
                <w:sz w:val="24"/>
              </w:rPr>
              <w:t>Рвота,</w:t>
            </w:r>
            <w:r>
              <w:rPr>
                <w:spacing w:val="-2"/>
                <w:sz w:val="24"/>
              </w:rPr>
              <w:t> диарея</w:t>
            </w:r>
          </w:p>
        </w:tc>
        <w:tc>
          <w:tcPr>
            <w:tcW w:w="3313" w:type="dxa"/>
          </w:tcPr>
          <w:p>
            <w:pPr>
              <w:pStyle w:val="TableParagraph"/>
              <w:spacing w:before="44"/>
              <w:rPr>
                <w:sz w:val="24"/>
              </w:rPr>
            </w:pPr>
            <w:r>
              <w:rPr>
                <w:spacing w:val="-10"/>
                <w:sz w:val="24"/>
              </w:rPr>
              <w:t>+</w:t>
            </w:r>
          </w:p>
        </w:tc>
        <w:tc>
          <w:tcPr>
            <w:tcW w:w="2353" w:type="dxa"/>
          </w:tcPr>
          <w:p>
            <w:pPr>
              <w:pStyle w:val="TableParagraph"/>
              <w:spacing w:before="44"/>
              <w:ind w:left="67"/>
              <w:rPr>
                <w:sz w:val="24"/>
              </w:rPr>
            </w:pPr>
            <w:r>
              <w:rPr>
                <w:spacing w:val="-5"/>
                <w:sz w:val="24"/>
              </w:rPr>
              <w:t>+/-</w:t>
            </w:r>
          </w:p>
        </w:tc>
      </w:tr>
      <w:tr>
        <w:trPr>
          <w:trHeight w:val="388" w:hRule="atLeast"/>
        </w:trPr>
        <w:tc>
          <w:tcPr>
            <w:tcW w:w="3976" w:type="dxa"/>
          </w:tcPr>
          <w:p>
            <w:pPr>
              <w:pStyle w:val="TableParagraph"/>
              <w:rPr>
                <w:sz w:val="24"/>
              </w:rPr>
            </w:pPr>
            <w:r>
              <w:rPr>
                <w:spacing w:val="-2"/>
                <w:sz w:val="24"/>
              </w:rPr>
              <w:t>Гепатомегалия</w:t>
            </w:r>
          </w:p>
        </w:tc>
        <w:tc>
          <w:tcPr>
            <w:tcW w:w="3313" w:type="dxa"/>
          </w:tcPr>
          <w:p>
            <w:pPr>
              <w:pStyle w:val="TableParagraph"/>
              <w:rPr>
                <w:sz w:val="24"/>
              </w:rPr>
            </w:pPr>
            <w:r>
              <w:rPr>
                <w:spacing w:val="-10"/>
                <w:sz w:val="24"/>
              </w:rPr>
              <w:t>+</w:t>
            </w:r>
          </w:p>
        </w:tc>
        <w:tc>
          <w:tcPr>
            <w:tcW w:w="2353" w:type="dxa"/>
          </w:tcPr>
          <w:p>
            <w:pPr>
              <w:pStyle w:val="TableParagraph"/>
              <w:ind w:left="67"/>
              <w:rPr>
                <w:sz w:val="24"/>
              </w:rPr>
            </w:pPr>
            <w:r>
              <w:rPr>
                <w:spacing w:val="-10"/>
                <w:sz w:val="24"/>
              </w:rPr>
              <w:t>+</w:t>
            </w:r>
          </w:p>
        </w:tc>
      </w:tr>
      <w:tr>
        <w:trPr>
          <w:trHeight w:val="393" w:hRule="atLeast"/>
        </w:trPr>
        <w:tc>
          <w:tcPr>
            <w:tcW w:w="3976" w:type="dxa"/>
          </w:tcPr>
          <w:p>
            <w:pPr>
              <w:pStyle w:val="TableParagraph"/>
              <w:rPr>
                <w:sz w:val="24"/>
              </w:rPr>
            </w:pPr>
            <w:r>
              <w:rPr>
                <w:sz w:val="24"/>
              </w:rPr>
              <w:t>Фиброз/цирроз</w:t>
            </w:r>
            <w:r>
              <w:rPr>
                <w:spacing w:val="-4"/>
                <w:sz w:val="24"/>
              </w:rPr>
              <w:t> </w:t>
            </w:r>
            <w:r>
              <w:rPr>
                <w:spacing w:val="-2"/>
                <w:sz w:val="24"/>
              </w:rPr>
              <w:t>печени</w:t>
            </w:r>
          </w:p>
        </w:tc>
        <w:tc>
          <w:tcPr>
            <w:tcW w:w="3313" w:type="dxa"/>
          </w:tcPr>
          <w:p>
            <w:pPr>
              <w:pStyle w:val="TableParagraph"/>
              <w:rPr>
                <w:sz w:val="24"/>
              </w:rPr>
            </w:pPr>
            <w:r>
              <w:rPr>
                <w:spacing w:val="-5"/>
                <w:sz w:val="24"/>
              </w:rPr>
              <w:t>+/-</w:t>
            </w:r>
          </w:p>
        </w:tc>
        <w:tc>
          <w:tcPr>
            <w:tcW w:w="2353" w:type="dxa"/>
          </w:tcPr>
          <w:p>
            <w:pPr>
              <w:pStyle w:val="TableParagraph"/>
              <w:ind w:left="67"/>
              <w:rPr>
                <w:sz w:val="24"/>
              </w:rPr>
            </w:pPr>
            <w:r>
              <w:rPr>
                <w:spacing w:val="-2"/>
                <w:sz w:val="24"/>
              </w:rPr>
              <w:t>+/+/-</w:t>
            </w:r>
          </w:p>
        </w:tc>
      </w:tr>
      <w:tr>
        <w:trPr>
          <w:trHeight w:val="389" w:hRule="atLeast"/>
        </w:trPr>
        <w:tc>
          <w:tcPr>
            <w:tcW w:w="3976" w:type="dxa"/>
          </w:tcPr>
          <w:p>
            <w:pPr>
              <w:pStyle w:val="TableParagraph"/>
              <w:spacing w:before="45"/>
              <w:rPr>
                <w:sz w:val="24"/>
              </w:rPr>
            </w:pPr>
            <w:r>
              <w:rPr>
                <w:spacing w:val="-2"/>
                <w:sz w:val="24"/>
              </w:rPr>
              <w:t>Спленомегалия</w:t>
            </w:r>
          </w:p>
        </w:tc>
        <w:tc>
          <w:tcPr>
            <w:tcW w:w="3313" w:type="dxa"/>
          </w:tcPr>
          <w:p>
            <w:pPr>
              <w:pStyle w:val="TableParagraph"/>
              <w:spacing w:before="45"/>
              <w:rPr>
                <w:sz w:val="24"/>
              </w:rPr>
            </w:pPr>
            <w:r>
              <w:rPr>
                <w:spacing w:val="-10"/>
                <w:sz w:val="24"/>
              </w:rPr>
              <w:t>+</w:t>
            </w:r>
          </w:p>
        </w:tc>
        <w:tc>
          <w:tcPr>
            <w:tcW w:w="2353" w:type="dxa"/>
          </w:tcPr>
          <w:p>
            <w:pPr>
              <w:pStyle w:val="TableParagraph"/>
              <w:spacing w:before="45"/>
              <w:ind w:left="67"/>
              <w:rPr>
                <w:sz w:val="24"/>
              </w:rPr>
            </w:pPr>
            <w:r>
              <w:rPr>
                <w:spacing w:val="-5"/>
                <w:sz w:val="24"/>
              </w:rPr>
              <w:t>+/-</w:t>
            </w:r>
          </w:p>
        </w:tc>
      </w:tr>
      <w:tr>
        <w:trPr>
          <w:trHeight w:val="388" w:hRule="atLeast"/>
        </w:trPr>
        <w:tc>
          <w:tcPr>
            <w:tcW w:w="3976" w:type="dxa"/>
          </w:tcPr>
          <w:p>
            <w:pPr>
              <w:pStyle w:val="TableParagraph"/>
              <w:rPr>
                <w:sz w:val="24"/>
              </w:rPr>
            </w:pPr>
            <w:r>
              <w:rPr>
                <w:sz w:val="24"/>
              </w:rPr>
              <w:t>Кальцификация</w:t>
            </w:r>
            <w:r>
              <w:rPr>
                <w:spacing w:val="-7"/>
                <w:sz w:val="24"/>
              </w:rPr>
              <w:t> </w:t>
            </w:r>
            <w:r>
              <w:rPr>
                <w:spacing w:val="-2"/>
                <w:sz w:val="24"/>
              </w:rPr>
              <w:t>надпочечников</w:t>
            </w:r>
          </w:p>
        </w:tc>
        <w:tc>
          <w:tcPr>
            <w:tcW w:w="3313" w:type="dxa"/>
          </w:tcPr>
          <w:p>
            <w:pPr>
              <w:pStyle w:val="TableParagraph"/>
              <w:rPr>
                <w:sz w:val="24"/>
              </w:rPr>
            </w:pPr>
            <w:r>
              <w:rPr>
                <w:spacing w:val="-10"/>
                <w:sz w:val="24"/>
              </w:rPr>
              <w:t>+</w:t>
            </w:r>
          </w:p>
        </w:tc>
        <w:tc>
          <w:tcPr>
            <w:tcW w:w="2353" w:type="dxa"/>
          </w:tcPr>
          <w:p>
            <w:pPr>
              <w:pStyle w:val="TableParagraph"/>
              <w:ind w:left="67"/>
              <w:rPr>
                <w:sz w:val="24"/>
              </w:rPr>
            </w:pPr>
            <w:r>
              <w:rPr>
                <w:spacing w:val="-10"/>
                <w:sz w:val="24"/>
              </w:rPr>
              <w:t>-</w:t>
            </w:r>
          </w:p>
        </w:tc>
      </w:tr>
      <w:tr>
        <w:trPr>
          <w:trHeight w:val="393" w:hRule="atLeast"/>
        </w:trPr>
        <w:tc>
          <w:tcPr>
            <w:tcW w:w="3976" w:type="dxa"/>
          </w:tcPr>
          <w:p>
            <w:pPr>
              <w:pStyle w:val="TableParagraph"/>
              <w:rPr>
                <w:sz w:val="24"/>
              </w:rPr>
            </w:pPr>
            <w:r>
              <w:rPr>
                <w:sz w:val="24"/>
              </w:rPr>
              <w:t>Синдром</w:t>
            </w:r>
            <w:r>
              <w:rPr>
                <w:spacing w:val="-2"/>
                <w:sz w:val="24"/>
              </w:rPr>
              <w:t> мальабсорбции</w:t>
            </w:r>
          </w:p>
        </w:tc>
        <w:tc>
          <w:tcPr>
            <w:tcW w:w="3313" w:type="dxa"/>
          </w:tcPr>
          <w:p>
            <w:pPr>
              <w:pStyle w:val="TableParagraph"/>
              <w:rPr>
                <w:sz w:val="24"/>
              </w:rPr>
            </w:pPr>
            <w:r>
              <w:rPr>
                <w:spacing w:val="-10"/>
                <w:sz w:val="24"/>
              </w:rPr>
              <w:t>+</w:t>
            </w:r>
          </w:p>
        </w:tc>
        <w:tc>
          <w:tcPr>
            <w:tcW w:w="2353" w:type="dxa"/>
          </w:tcPr>
          <w:p>
            <w:pPr>
              <w:pStyle w:val="TableParagraph"/>
              <w:ind w:left="67"/>
              <w:rPr>
                <w:sz w:val="24"/>
              </w:rPr>
            </w:pPr>
            <w:r>
              <w:rPr>
                <w:spacing w:val="-5"/>
                <w:sz w:val="24"/>
              </w:rPr>
              <w:t>+/-</w:t>
            </w:r>
          </w:p>
        </w:tc>
      </w:tr>
      <w:tr>
        <w:trPr>
          <w:trHeight w:val="388" w:hRule="atLeast"/>
        </w:trPr>
        <w:tc>
          <w:tcPr>
            <w:tcW w:w="3976" w:type="dxa"/>
          </w:tcPr>
          <w:p>
            <w:pPr>
              <w:pStyle w:val="TableParagraph"/>
              <w:spacing w:before="44"/>
              <w:rPr>
                <w:sz w:val="24"/>
              </w:rPr>
            </w:pPr>
            <w:r>
              <w:rPr>
                <w:spacing w:val="-2"/>
                <w:sz w:val="24"/>
              </w:rPr>
              <w:t>Гипотрофия/Кахексия</w:t>
            </w:r>
          </w:p>
        </w:tc>
        <w:tc>
          <w:tcPr>
            <w:tcW w:w="3313" w:type="dxa"/>
          </w:tcPr>
          <w:p>
            <w:pPr>
              <w:pStyle w:val="TableParagraph"/>
              <w:spacing w:before="44"/>
              <w:rPr>
                <w:sz w:val="24"/>
              </w:rPr>
            </w:pPr>
            <w:r>
              <w:rPr>
                <w:spacing w:val="-10"/>
                <w:sz w:val="24"/>
              </w:rPr>
              <w:t>+</w:t>
            </w:r>
          </w:p>
        </w:tc>
        <w:tc>
          <w:tcPr>
            <w:tcW w:w="2353" w:type="dxa"/>
          </w:tcPr>
          <w:p>
            <w:pPr>
              <w:pStyle w:val="TableParagraph"/>
              <w:spacing w:before="44"/>
              <w:ind w:left="67"/>
              <w:rPr>
                <w:sz w:val="24"/>
              </w:rPr>
            </w:pPr>
            <w:r>
              <w:rPr>
                <w:spacing w:val="-10"/>
                <w:sz w:val="24"/>
              </w:rPr>
              <w:t>-</w:t>
            </w:r>
          </w:p>
        </w:tc>
      </w:tr>
      <w:tr>
        <w:trPr>
          <w:trHeight w:val="667" w:hRule="atLeast"/>
        </w:trPr>
        <w:tc>
          <w:tcPr>
            <w:tcW w:w="3976" w:type="dxa"/>
          </w:tcPr>
          <w:p>
            <w:pPr>
              <w:pStyle w:val="TableParagraph"/>
              <w:tabs>
                <w:tab w:pos="2172" w:val="left" w:leader="none"/>
                <w:tab w:pos="3678" w:val="left" w:leader="none"/>
              </w:tabs>
              <w:ind w:right="49"/>
              <w:rPr>
                <w:sz w:val="24"/>
              </w:rPr>
            </w:pPr>
            <w:r>
              <w:rPr>
                <w:spacing w:val="-2"/>
                <w:sz w:val="24"/>
              </w:rPr>
              <w:t>Неврологические</w:t>
            </w:r>
            <w:r>
              <w:rPr>
                <w:sz w:val="24"/>
              </w:rPr>
              <w:tab/>
            </w:r>
            <w:r>
              <w:rPr>
                <w:spacing w:val="-2"/>
                <w:sz w:val="24"/>
              </w:rPr>
              <w:t>проявления</w:t>
            </w:r>
            <w:r>
              <w:rPr>
                <w:sz w:val="24"/>
              </w:rPr>
              <w:tab/>
            </w:r>
            <w:r>
              <w:rPr>
                <w:spacing w:val="-6"/>
                <w:sz w:val="24"/>
              </w:rPr>
              <w:t>на </w:t>
            </w:r>
            <w:r>
              <w:rPr>
                <w:sz w:val="24"/>
              </w:rPr>
              <w:t>поздних стадиях болезни</w:t>
            </w:r>
          </w:p>
        </w:tc>
        <w:tc>
          <w:tcPr>
            <w:tcW w:w="3313" w:type="dxa"/>
          </w:tcPr>
          <w:p>
            <w:pPr>
              <w:pStyle w:val="TableParagraph"/>
              <w:rPr>
                <w:sz w:val="24"/>
              </w:rPr>
            </w:pPr>
            <w:r>
              <w:rPr>
                <w:spacing w:val="-10"/>
                <w:sz w:val="24"/>
              </w:rPr>
              <w:t>+</w:t>
            </w:r>
          </w:p>
        </w:tc>
        <w:tc>
          <w:tcPr>
            <w:tcW w:w="2353" w:type="dxa"/>
          </w:tcPr>
          <w:p>
            <w:pPr>
              <w:pStyle w:val="TableParagraph"/>
              <w:ind w:left="67"/>
              <w:rPr>
                <w:sz w:val="24"/>
              </w:rPr>
            </w:pPr>
            <w:r>
              <w:rPr>
                <w:spacing w:val="-10"/>
                <w:sz w:val="24"/>
              </w:rPr>
              <w:t>-</w:t>
            </w:r>
          </w:p>
        </w:tc>
      </w:tr>
      <w:tr>
        <w:trPr>
          <w:trHeight w:val="388" w:hRule="atLeast"/>
        </w:trPr>
        <w:tc>
          <w:tcPr>
            <w:tcW w:w="3976" w:type="dxa"/>
          </w:tcPr>
          <w:p>
            <w:pPr>
              <w:pStyle w:val="TableParagraph"/>
              <w:rPr>
                <w:sz w:val="24"/>
              </w:rPr>
            </w:pPr>
            <w:r>
              <w:rPr>
                <w:sz w:val="24"/>
              </w:rPr>
              <w:t>Ранний</w:t>
            </w:r>
            <w:r>
              <w:rPr>
                <w:spacing w:val="2"/>
                <w:sz w:val="24"/>
              </w:rPr>
              <w:t> </w:t>
            </w:r>
            <w:r>
              <w:rPr>
                <w:spacing w:val="-2"/>
                <w:sz w:val="24"/>
              </w:rPr>
              <w:t>атеросклероз</w:t>
            </w:r>
          </w:p>
        </w:tc>
        <w:tc>
          <w:tcPr>
            <w:tcW w:w="3313" w:type="dxa"/>
          </w:tcPr>
          <w:p>
            <w:pPr>
              <w:pStyle w:val="TableParagraph"/>
              <w:rPr>
                <w:sz w:val="24"/>
              </w:rPr>
            </w:pPr>
            <w:r>
              <w:rPr>
                <w:spacing w:val="-5"/>
                <w:sz w:val="24"/>
              </w:rPr>
              <w:t>+/-</w:t>
            </w:r>
          </w:p>
        </w:tc>
        <w:tc>
          <w:tcPr>
            <w:tcW w:w="2353" w:type="dxa"/>
          </w:tcPr>
          <w:p>
            <w:pPr>
              <w:pStyle w:val="TableParagraph"/>
              <w:ind w:left="67"/>
              <w:rPr>
                <w:sz w:val="24"/>
              </w:rPr>
            </w:pPr>
            <w:r>
              <w:rPr>
                <w:spacing w:val="-10"/>
                <w:sz w:val="24"/>
              </w:rPr>
              <w:t>+</w:t>
            </w:r>
          </w:p>
        </w:tc>
      </w:tr>
    </w:tbl>
    <w:p>
      <w:pPr>
        <w:spacing w:before="279"/>
        <w:ind w:left="682" w:right="0" w:firstLine="0"/>
        <w:jc w:val="left"/>
        <w:rPr>
          <w:b/>
          <w:sz w:val="28"/>
        </w:rPr>
      </w:pPr>
      <w:bookmarkStart w:name="Дифференциальная диагностика НАЖБП и ДЛК" w:id="116"/>
      <w:bookmarkEnd w:id="116"/>
      <w:r>
        <w:rPr/>
      </w:r>
      <w:r>
        <w:rPr>
          <w:b/>
          <w:sz w:val="28"/>
        </w:rPr>
        <w:t>Дифференциальная</w:t>
      </w:r>
      <w:r>
        <w:rPr>
          <w:b/>
          <w:spacing w:val="-13"/>
          <w:sz w:val="28"/>
        </w:rPr>
        <w:t> </w:t>
      </w:r>
      <w:r>
        <w:rPr>
          <w:b/>
          <w:sz w:val="28"/>
        </w:rPr>
        <w:t>диагностика</w:t>
      </w:r>
      <w:r>
        <w:rPr>
          <w:b/>
          <w:spacing w:val="-10"/>
          <w:sz w:val="28"/>
        </w:rPr>
        <w:t> </w:t>
      </w:r>
      <w:r>
        <w:rPr>
          <w:b/>
          <w:sz w:val="28"/>
        </w:rPr>
        <w:t>НАЖБП</w:t>
      </w:r>
      <w:r>
        <w:rPr>
          <w:b/>
          <w:spacing w:val="-10"/>
          <w:sz w:val="28"/>
        </w:rPr>
        <w:t> </w:t>
      </w:r>
      <w:r>
        <w:rPr>
          <w:b/>
          <w:sz w:val="28"/>
        </w:rPr>
        <w:t>и</w:t>
      </w:r>
      <w:r>
        <w:rPr>
          <w:b/>
          <w:spacing w:val="-12"/>
          <w:sz w:val="28"/>
        </w:rPr>
        <w:t> </w:t>
      </w:r>
      <w:r>
        <w:rPr>
          <w:b/>
          <w:spacing w:val="-4"/>
          <w:sz w:val="28"/>
        </w:rPr>
        <w:t>ДЛКЛ</w:t>
      </w:r>
    </w:p>
    <w:p>
      <w:pPr>
        <w:pStyle w:val="BodyText"/>
        <w:spacing w:before="46"/>
        <w:ind w:left="0"/>
        <w:jc w:val="left"/>
        <w:rPr>
          <w:b/>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724"/>
        <w:gridCol w:w="1868"/>
        <w:gridCol w:w="2051"/>
      </w:tblGrid>
      <w:tr>
        <w:trPr>
          <w:trHeight w:val="388" w:hRule="atLeast"/>
        </w:trPr>
        <w:tc>
          <w:tcPr>
            <w:tcW w:w="5724" w:type="dxa"/>
          </w:tcPr>
          <w:p>
            <w:pPr>
              <w:pStyle w:val="TableParagraph"/>
              <w:rPr>
                <w:sz w:val="24"/>
              </w:rPr>
            </w:pPr>
            <w:r>
              <w:rPr>
                <w:spacing w:val="-2"/>
                <w:sz w:val="24"/>
              </w:rPr>
              <w:t>Признак</w:t>
            </w:r>
          </w:p>
        </w:tc>
        <w:tc>
          <w:tcPr>
            <w:tcW w:w="1868" w:type="dxa"/>
          </w:tcPr>
          <w:p>
            <w:pPr>
              <w:pStyle w:val="TableParagraph"/>
              <w:ind w:left="66"/>
              <w:rPr>
                <w:sz w:val="24"/>
              </w:rPr>
            </w:pPr>
            <w:r>
              <w:rPr>
                <w:spacing w:val="-2"/>
                <w:sz w:val="24"/>
              </w:rPr>
              <w:t>НАЖБП</w:t>
            </w:r>
          </w:p>
        </w:tc>
        <w:tc>
          <w:tcPr>
            <w:tcW w:w="2051" w:type="dxa"/>
          </w:tcPr>
          <w:p>
            <w:pPr>
              <w:pStyle w:val="TableParagraph"/>
              <w:ind w:left="66"/>
              <w:rPr>
                <w:sz w:val="24"/>
              </w:rPr>
            </w:pPr>
            <w:r>
              <w:rPr>
                <w:spacing w:val="-4"/>
                <w:sz w:val="24"/>
              </w:rPr>
              <w:t>БНЭХ</w:t>
            </w:r>
          </w:p>
        </w:tc>
      </w:tr>
      <w:tr>
        <w:trPr>
          <w:trHeight w:val="666" w:hRule="atLeast"/>
        </w:trPr>
        <w:tc>
          <w:tcPr>
            <w:tcW w:w="5724" w:type="dxa"/>
          </w:tcPr>
          <w:p>
            <w:pPr>
              <w:pStyle w:val="TableParagraph"/>
              <w:rPr>
                <w:sz w:val="24"/>
              </w:rPr>
            </w:pPr>
            <w:r>
              <w:rPr>
                <w:sz w:val="24"/>
              </w:rPr>
              <w:t>Возраст</w:t>
            </w:r>
            <w:r>
              <w:rPr>
                <w:spacing w:val="-2"/>
                <w:sz w:val="24"/>
              </w:rPr>
              <w:t> </w:t>
            </w:r>
            <w:r>
              <w:rPr>
                <w:sz w:val="24"/>
              </w:rPr>
              <w:t>появления</w:t>
            </w:r>
            <w:r>
              <w:rPr>
                <w:spacing w:val="-6"/>
                <w:sz w:val="24"/>
              </w:rPr>
              <w:t> </w:t>
            </w:r>
            <w:r>
              <w:rPr>
                <w:sz w:val="24"/>
              </w:rPr>
              <w:t>первых</w:t>
            </w:r>
            <w:r>
              <w:rPr>
                <w:spacing w:val="-5"/>
                <w:sz w:val="24"/>
              </w:rPr>
              <w:t> </w:t>
            </w:r>
            <w:r>
              <w:rPr>
                <w:spacing w:val="-2"/>
                <w:sz w:val="24"/>
              </w:rPr>
              <w:t>симптомов</w:t>
            </w:r>
          </w:p>
        </w:tc>
        <w:tc>
          <w:tcPr>
            <w:tcW w:w="1868" w:type="dxa"/>
          </w:tcPr>
          <w:p>
            <w:pPr>
              <w:pStyle w:val="TableParagraph"/>
              <w:spacing w:line="242" w:lineRule="auto"/>
              <w:ind w:left="66"/>
              <w:rPr>
                <w:sz w:val="24"/>
              </w:rPr>
            </w:pPr>
            <w:r>
              <w:rPr>
                <w:sz w:val="24"/>
              </w:rPr>
              <w:t>Обычно</w:t>
            </w:r>
            <w:r>
              <w:rPr>
                <w:spacing w:val="80"/>
                <w:sz w:val="24"/>
              </w:rPr>
              <w:t> </w:t>
            </w:r>
            <w:r>
              <w:rPr>
                <w:sz w:val="24"/>
              </w:rPr>
              <w:t>старше 25 лет</w:t>
            </w:r>
          </w:p>
        </w:tc>
        <w:tc>
          <w:tcPr>
            <w:tcW w:w="2051" w:type="dxa"/>
          </w:tcPr>
          <w:p>
            <w:pPr>
              <w:pStyle w:val="TableParagraph"/>
              <w:tabs>
                <w:tab w:pos="1208" w:val="left" w:leader="none"/>
              </w:tabs>
              <w:spacing w:line="242" w:lineRule="auto"/>
              <w:ind w:left="66" w:right="42"/>
              <w:rPr>
                <w:sz w:val="24"/>
              </w:rPr>
            </w:pPr>
            <w:r>
              <w:rPr>
                <w:spacing w:val="-2"/>
                <w:sz w:val="24"/>
              </w:rPr>
              <w:t>Обычно</w:t>
            </w:r>
            <w:r>
              <w:rPr>
                <w:sz w:val="24"/>
              </w:rPr>
              <w:tab/>
            </w:r>
            <w:r>
              <w:rPr>
                <w:spacing w:val="-2"/>
                <w:sz w:val="24"/>
              </w:rPr>
              <w:t>моложе </w:t>
            </w:r>
            <w:r>
              <w:rPr>
                <w:sz w:val="24"/>
              </w:rPr>
              <w:t>25 лет</w:t>
            </w:r>
          </w:p>
        </w:tc>
      </w:tr>
      <w:tr>
        <w:trPr>
          <w:trHeight w:val="393" w:hRule="atLeast"/>
        </w:trPr>
        <w:tc>
          <w:tcPr>
            <w:tcW w:w="5724" w:type="dxa"/>
          </w:tcPr>
          <w:p>
            <w:pPr>
              <w:pStyle w:val="TableParagraph"/>
              <w:rPr>
                <w:sz w:val="24"/>
              </w:rPr>
            </w:pPr>
            <w:r>
              <w:rPr>
                <w:sz w:val="24"/>
              </w:rPr>
              <w:t>Сахарный</w:t>
            </w:r>
            <w:r>
              <w:rPr>
                <w:spacing w:val="-4"/>
                <w:sz w:val="24"/>
              </w:rPr>
              <w:t> </w:t>
            </w:r>
            <w:r>
              <w:rPr>
                <w:sz w:val="24"/>
              </w:rPr>
              <w:t>диабет</w:t>
            </w:r>
            <w:r>
              <w:rPr>
                <w:spacing w:val="-2"/>
                <w:sz w:val="24"/>
              </w:rPr>
              <w:t> </w:t>
            </w:r>
            <w:r>
              <w:rPr>
                <w:sz w:val="24"/>
              </w:rPr>
              <w:t>2</w:t>
            </w:r>
            <w:r>
              <w:rPr>
                <w:spacing w:val="-2"/>
                <w:sz w:val="24"/>
              </w:rPr>
              <w:t> </w:t>
            </w:r>
            <w:r>
              <w:rPr>
                <w:spacing w:val="-4"/>
                <w:sz w:val="24"/>
              </w:rPr>
              <w:t>типа</w:t>
            </w:r>
          </w:p>
        </w:tc>
        <w:tc>
          <w:tcPr>
            <w:tcW w:w="1868" w:type="dxa"/>
          </w:tcPr>
          <w:p>
            <w:pPr>
              <w:pStyle w:val="TableParagraph"/>
              <w:ind w:left="66"/>
              <w:rPr>
                <w:sz w:val="24"/>
              </w:rPr>
            </w:pPr>
            <w:r>
              <w:rPr>
                <w:sz w:val="24"/>
              </w:rPr>
              <w:t>Обычно</w:t>
            </w:r>
            <w:r>
              <w:rPr>
                <w:spacing w:val="3"/>
                <w:sz w:val="24"/>
              </w:rPr>
              <w:t> </w:t>
            </w:r>
            <w:r>
              <w:rPr>
                <w:spacing w:val="-4"/>
                <w:sz w:val="24"/>
              </w:rPr>
              <w:t>есть</w:t>
            </w:r>
          </w:p>
        </w:tc>
        <w:tc>
          <w:tcPr>
            <w:tcW w:w="2051" w:type="dxa"/>
          </w:tcPr>
          <w:p>
            <w:pPr>
              <w:pStyle w:val="TableParagraph"/>
              <w:ind w:left="66"/>
              <w:rPr>
                <w:sz w:val="24"/>
              </w:rPr>
            </w:pPr>
            <w:r>
              <w:rPr>
                <w:sz w:val="24"/>
              </w:rPr>
              <w:t>Обычно</w:t>
            </w:r>
            <w:r>
              <w:rPr>
                <w:spacing w:val="-3"/>
                <w:sz w:val="24"/>
              </w:rPr>
              <w:t> </w:t>
            </w:r>
            <w:r>
              <w:rPr>
                <w:spacing w:val="-5"/>
                <w:sz w:val="24"/>
              </w:rPr>
              <w:t>нет</w:t>
            </w:r>
          </w:p>
        </w:tc>
      </w:tr>
      <w:tr>
        <w:trPr>
          <w:trHeight w:val="388" w:hRule="atLeast"/>
        </w:trPr>
        <w:tc>
          <w:tcPr>
            <w:tcW w:w="5724" w:type="dxa"/>
          </w:tcPr>
          <w:p>
            <w:pPr>
              <w:pStyle w:val="TableParagraph"/>
              <w:rPr>
                <w:sz w:val="24"/>
              </w:rPr>
            </w:pPr>
            <w:r>
              <w:rPr>
                <w:spacing w:val="-2"/>
                <w:sz w:val="24"/>
              </w:rPr>
              <w:t>Ожирение</w:t>
            </w:r>
          </w:p>
        </w:tc>
        <w:tc>
          <w:tcPr>
            <w:tcW w:w="1868" w:type="dxa"/>
          </w:tcPr>
          <w:p>
            <w:pPr>
              <w:pStyle w:val="TableParagraph"/>
              <w:ind w:left="66"/>
              <w:rPr>
                <w:sz w:val="24"/>
              </w:rPr>
            </w:pPr>
            <w:r>
              <w:rPr>
                <w:sz w:val="24"/>
              </w:rPr>
              <w:t>Обычно</w:t>
            </w:r>
            <w:r>
              <w:rPr>
                <w:spacing w:val="3"/>
                <w:sz w:val="24"/>
              </w:rPr>
              <w:t> </w:t>
            </w:r>
            <w:r>
              <w:rPr>
                <w:spacing w:val="-4"/>
                <w:sz w:val="24"/>
              </w:rPr>
              <w:t>есть</w:t>
            </w:r>
          </w:p>
        </w:tc>
        <w:tc>
          <w:tcPr>
            <w:tcW w:w="2051" w:type="dxa"/>
          </w:tcPr>
          <w:p>
            <w:pPr>
              <w:pStyle w:val="TableParagraph"/>
              <w:ind w:left="66"/>
              <w:rPr>
                <w:sz w:val="24"/>
              </w:rPr>
            </w:pPr>
            <w:r>
              <w:rPr>
                <w:sz w:val="24"/>
              </w:rPr>
              <w:t>Обычно</w:t>
            </w:r>
            <w:r>
              <w:rPr>
                <w:spacing w:val="-3"/>
                <w:sz w:val="24"/>
              </w:rPr>
              <w:t> </w:t>
            </w:r>
            <w:r>
              <w:rPr>
                <w:spacing w:val="-5"/>
                <w:sz w:val="24"/>
              </w:rPr>
              <w:t>нет</w:t>
            </w:r>
          </w:p>
        </w:tc>
      </w:tr>
      <w:tr>
        <w:trPr>
          <w:trHeight w:val="388" w:hRule="atLeast"/>
        </w:trPr>
        <w:tc>
          <w:tcPr>
            <w:tcW w:w="5724" w:type="dxa"/>
          </w:tcPr>
          <w:p>
            <w:pPr>
              <w:pStyle w:val="TableParagraph"/>
              <w:rPr>
                <w:sz w:val="24"/>
              </w:rPr>
            </w:pPr>
            <w:r>
              <w:rPr>
                <w:sz w:val="24"/>
              </w:rPr>
              <w:t>Эффект от</w:t>
            </w:r>
            <w:r>
              <w:rPr>
                <w:spacing w:val="1"/>
                <w:sz w:val="24"/>
              </w:rPr>
              <w:t> </w:t>
            </w:r>
            <w:r>
              <w:rPr>
                <w:spacing w:val="-2"/>
                <w:sz w:val="24"/>
              </w:rPr>
              <w:t>похудания</w:t>
            </w:r>
          </w:p>
        </w:tc>
        <w:tc>
          <w:tcPr>
            <w:tcW w:w="1868" w:type="dxa"/>
          </w:tcPr>
          <w:p>
            <w:pPr>
              <w:pStyle w:val="TableParagraph"/>
              <w:ind w:left="66"/>
              <w:rPr>
                <w:sz w:val="24"/>
              </w:rPr>
            </w:pPr>
            <w:r>
              <w:rPr>
                <w:sz w:val="24"/>
              </w:rPr>
              <w:t>Обычно</w:t>
            </w:r>
            <w:r>
              <w:rPr>
                <w:spacing w:val="3"/>
                <w:sz w:val="24"/>
              </w:rPr>
              <w:t> </w:t>
            </w:r>
            <w:r>
              <w:rPr>
                <w:spacing w:val="-4"/>
                <w:sz w:val="24"/>
              </w:rPr>
              <w:t>есть</w:t>
            </w:r>
          </w:p>
        </w:tc>
        <w:tc>
          <w:tcPr>
            <w:tcW w:w="2051" w:type="dxa"/>
          </w:tcPr>
          <w:p>
            <w:pPr>
              <w:pStyle w:val="TableParagraph"/>
              <w:ind w:left="66"/>
              <w:rPr>
                <w:sz w:val="24"/>
              </w:rPr>
            </w:pPr>
            <w:r>
              <w:rPr>
                <w:sz w:val="24"/>
              </w:rPr>
              <w:t>Обычно</w:t>
            </w:r>
            <w:r>
              <w:rPr>
                <w:spacing w:val="-3"/>
                <w:sz w:val="24"/>
              </w:rPr>
              <w:t> </w:t>
            </w:r>
            <w:r>
              <w:rPr>
                <w:spacing w:val="-5"/>
                <w:sz w:val="24"/>
              </w:rPr>
              <w:t>нет</w:t>
            </w:r>
          </w:p>
        </w:tc>
      </w:tr>
      <w:tr>
        <w:trPr>
          <w:trHeight w:val="393" w:hRule="atLeast"/>
        </w:trPr>
        <w:tc>
          <w:tcPr>
            <w:tcW w:w="5724" w:type="dxa"/>
          </w:tcPr>
          <w:p>
            <w:pPr>
              <w:pStyle w:val="TableParagraph"/>
              <w:rPr>
                <w:sz w:val="24"/>
              </w:rPr>
            </w:pPr>
            <w:r>
              <w:rPr>
                <w:sz w:val="24"/>
              </w:rPr>
              <w:t>Спленомегалия</w:t>
            </w:r>
            <w:r>
              <w:rPr>
                <w:spacing w:val="-2"/>
                <w:sz w:val="24"/>
              </w:rPr>
              <w:t> </w:t>
            </w:r>
            <w:r>
              <w:rPr>
                <w:sz w:val="24"/>
              </w:rPr>
              <w:t>без </w:t>
            </w:r>
            <w:r>
              <w:rPr>
                <w:spacing w:val="-2"/>
                <w:sz w:val="24"/>
              </w:rPr>
              <w:t>асцита</w:t>
            </w:r>
          </w:p>
        </w:tc>
        <w:tc>
          <w:tcPr>
            <w:tcW w:w="1868" w:type="dxa"/>
          </w:tcPr>
          <w:p>
            <w:pPr>
              <w:pStyle w:val="TableParagraph"/>
              <w:ind w:left="66"/>
              <w:rPr>
                <w:sz w:val="24"/>
              </w:rPr>
            </w:pPr>
            <w:r>
              <w:rPr>
                <w:spacing w:val="-5"/>
                <w:sz w:val="24"/>
              </w:rPr>
              <w:t>Нет</w:t>
            </w:r>
          </w:p>
        </w:tc>
        <w:tc>
          <w:tcPr>
            <w:tcW w:w="2051" w:type="dxa"/>
          </w:tcPr>
          <w:p>
            <w:pPr>
              <w:pStyle w:val="TableParagraph"/>
              <w:ind w:left="66"/>
              <w:rPr>
                <w:sz w:val="24"/>
              </w:rPr>
            </w:pPr>
            <w:r>
              <w:rPr>
                <w:sz w:val="24"/>
              </w:rPr>
              <w:t>У 3/4</w:t>
            </w:r>
            <w:r>
              <w:rPr>
                <w:spacing w:val="2"/>
                <w:sz w:val="24"/>
              </w:rPr>
              <w:t> </w:t>
            </w:r>
            <w:r>
              <w:rPr>
                <w:spacing w:val="-2"/>
                <w:sz w:val="24"/>
              </w:rPr>
              <w:t>пациентов</w:t>
            </w:r>
          </w:p>
        </w:tc>
      </w:tr>
      <w:tr>
        <w:trPr>
          <w:trHeight w:val="661" w:hRule="atLeast"/>
        </w:trPr>
        <w:tc>
          <w:tcPr>
            <w:tcW w:w="5724" w:type="dxa"/>
          </w:tcPr>
          <w:p>
            <w:pPr>
              <w:pStyle w:val="TableParagraph"/>
              <w:tabs>
                <w:tab w:pos="1519" w:val="left" w:leader="none"/>
                <w:tab w:pos="3433" w:val="left" w:leader="none"/>
                <w:tab w:pos="4901" w:val="left" w:leader="none"/>
              </w:tabs>
              <w:spacing w:line="237" w:lineRule="auto" w:before="51"/>
              <w:ind w:right="59"/>
              <w:rPr>
                <w:sz w:val="24"/>
              </w:rPr>
            </w:pPr>
            <w:r>
              <w:rPr>
                <w:spacing w:val="-2"/>
                <w:sz w:val="24"/>
              </w:rPr>
              <w:t>Симптомы</w:t>
            </w:r>
            <w:r>
              <w:rPr>
                <w:sz w:val="24"/>
              </w:rPr>
              <w:tab/>
            </w:r>
            <w:r>
              <w:rPr>
                <w:spacing w:val="-2"/>
                <w:sz w:val="24"/>
              </w:rPr>
              <w:t>мальабсорбции</w:t>
            </w:r>
            <w:r>
              <w:rPr>
                <w:sz w:val="24"/>
              </w:rPr>
              <w:tab/>
            </w:r>
            <w:r>
              <w:rPr>
                <w:spacing w:val="-2"/>
                <w:sz w:val="24"/>
              </w:rPr>
              <w:t>(стеаторея,</w:t>
            </w:r>
            <w:r>
              <w:rPr>
                <w:sz w:val="24"/>
              </w:rPr>
              <w:tab/>
            </w:r>
            <w:r>
              <w:rPr>
                <w:spacing w:val="-2"/>
                <w:sz w:val="24"/>
              </w:rPr>
              <w:t>диарея, </w:t>
            </w:r>
            <w:r>
              <w:rPr>
                <w:sz w:val="24"/>
              </w:rPr>
              <w:t>отставание в развитии)</w:t>
            </w:r>
          </w:p>
        </w:tc>
        <w:tc>
          <w:tcPr>
            <w:tcW w:w="1868" w:type="dxa"/>
          </w:tcPr>
          <w:p>
            <w:pPr>
              <w:pStyle w:val="TableParagraph"/>
              <w:ind w:left="66"/>
              <w:rPr>
                <w:sz w:val="24"/>
              </w:rPr>
            </w:pPr>
            <w:r>
              <w:rPr>
                <w:sz w:val="24"/>
              </w:rPr>
              <w:t>Обычно</w:t>
            </w:r>
            <w:r>
              <w:rPr>
                <w:spacing w:val="-3"/>
                <w:sz w:val="24"/>
              </w:rPr>
              <w:t> </w:t>
            </w:r>
            <w:r>
              <w:rPr>
                <w:spacing w:val="-5"/>
                <w:sz w:val="24"/>
              </w:rPr>
              <w:t>нет</w:t>
            </w:r>
          </w:p>
        </w:tc>
        <w:tc>
          <w:tcPr>
            <w:tcW w:w="2051" w:type="dxa"/>
          </w:tcPr>
          <w:p>
            <w:pPr>
              <w:pStyle w:val="TableParagraph"/>
              <w:ind w:left="66"/>
              <w:rPr>
                <w:sz w:val="24"/>
              </w:rPr>
            </w:pPr>
            <w:r>
              <w:rPr>
                <w:sz w:val="24"/>
              </w:rPr>
              <w:t>Могут</w:t>
            </w:r>
            <w:r>
              <w:rPr>
                <w:spacing w:val="-7"/>
                <w:sz w:val="24"/>
              </w:rPr>
              <w:t> </w:t>
            </w:r>
            <w:r>
              <w:rPr>
                <w:spacing w:val="-4"/>
                <w:sz w:val="24"/>
              </w:rPr>
              <w:t>быть</w:t>
            </w:r>
          </w:p>
        </w:tc>
      </w:tr>
      <w:tr>
        <w:trPr>
          <w:trHeight w:val="667" w:hRule="atLeast"/>
        </w:trPr>
        <w:tc>
          <w:tcPr>
            <w:tcW w:w="5724" w:type="dxa"/>
          </w:tcPr>
          <w:p>
            <w:pPr>
              <w:pStyle w:val="TableParagraph"/>
              <w:tabs>
                <w:tab w:pos="2172" w:val="left" w:leader="none"/>
                <w:tab w:pos="3304" w:val="left" w:leader="none"/>
                <w:tab w:pos="4973" w:val="left" w:leader="none"/>
                <w:tab w:pos="5333" w:val="left" w:leader="none"/>
              </w:tabs>
              <w:spacing w:line="242" w:lineRule="auto"/>
              <w:ind w:right="56"/>
              <w:rPr>
                <w:sz w:val="24"/>
              </w:rPr>
            </w:pPr>
            <w:r>
              <w:rPr>
                <w:spacing w:val="-2"/>
                <w:sz w:val="24"/>
              </w:rPr>
              <w:t>Преждевременное</w:t>
            </w:r>
            <w:r>
              <w:rPr>
                <w:sz w:val="24"/>
              </w:rPr>
              <w:tab/>
            </w:r>
            <w:r>
              <w:rPr>
                <w:spacing w:val="-2"/>
                <w:sz w:val="24"/>
              </w:rPr>
              <w:t>развитие</w:t>
            </w:r>
            <w:r>
              <w:rPr>
                <w:sz w:val="24"/>
              </w:rPr>
              <w:tab/>
            </w:r>
            <w:r>
              <w:rPr>
                <w:spacing w:val="-2"/>
                <w:sz w:val="24"/>
              </w:rPr>
              <w:t>атеросклероза</w:t>
            </w:r>
            <w:r>
              <w:rPr>
                <w:sz w:val="24"/>
              </w:rPr>
              <w:tab/>
            </w:r>
            <w:r>
              <w:rPr>
                <w:spacing w:val="-10"/>
                <w:sz w:val="24"/>
              </w:rPr>
              <w:t>и</w:t>
            </w:r>
            <w:r>
              <w:rPr>
                <w:sz w:val="24"/>
              </w:rPr>
              <w:tab/>
            </w:r>
            <w:r>
              <w:rPr>
                <w:spacing w:val="-4"/>
                <w:sz w:val="24"/>
              </w:rPr>
              <w:t>его </w:t>
            </w:r>
            <w:r>
              <w:rPr>
                <w:sz w:val="24"/>
              </w:rPr>
              <w:t>осложнений (ИБС, аневризма аорты, ОНМК)</w:t>
            </w:r>
          </w:p>
        </w:tc>
        <w:tc>
          <w:tcPr>
            <w:tcW w:w="1868" w:type="dxa"/>
          </w:tcPr>
          <w:p>
            <w:pPr>
              <w:pStyle w:val="TableParagraph"/>
              <w:ind w:left="66"/>
              <w:rPr>
                <w:sz w:val="24"/>
              </w:rPr>
            </w:pPr>
            <w:r>
              <w:rPr>
                <w:spacing w:val="-5"/>
                <w:sz w:val="24"/>
              </w:rPr>
              <w:t>Нет</w:t>
            </w:r>
          </w:p>
        </w:tc>
        <w:tc>
          <w:tcPr>
            <w:tcW w:w="2051" w:type="dxa"/>
          </w:tcPr>
          <w:p>
            <w:pPr>
              <w:pStyle w:val="TableParagraph"/>
              <w:ind w:left="66"/>
              <w:rPr>
                <w:sz w:val="24"/>
              </w:rPr>
            </w:pPr>
            <w:r>
              <w:rPr>
                <w:spacing w:val="-4"/>
                <w:sz w:val="24"/>
              </w:rPr>
              <w:t>Часто</w:t>
            </w:r>
          </w:p>
        </w:tc>
      </w:tr>
    </w:tbl>
    <w:p>
      <w:pPr>
        <w:spacing w:after="0"/>
        <w:rPr>
          <w:sz w:val="24"/>
        </w:rPr>
        <w:sectPr>
          <w:pgSz w:w="11910" w:h="16840"/>
          <w:pgMar w:header="572" w:footer="1177" w:top="1320" w:bottom="1360" w:left="1560" w:right="420"/>
        </w:sectPr>
      </w:pPr>
    </w:p>
    <w:p>
      <w:pPr>
        <w:pStyle w:val="BodyText"/>
        <w:spacing w:before="80"/>
        <w:ind w:left="682"/>
        <w:jc w:val="left"/>
      </w:pPr>
      <w:r>
        <w:rPr/>
        <w:t>Забор</w:t>
      </w:r>
      <w:r>
        <w:rPr>
          <w:spacing w:val="-2"/>
        </w:rPr>
        <w:t> </w:t>
      </w:r>
      <w:r>
        <w:rPr/>
        <w:t>биоматериала</w:t>
      </w:r>
      <w:r>
        <w:rPr>
          <w:spacing w:val="-3"/>
        </w:rPr>
        <w:t> </w:t>
      </w:r>
      <w:r>
        <w:rPr/>
        <w:t>для</w:t>
      </w:r>
      <w:r>
        <w:rPr>
          <w:spacing w:val="-2"/>
        </w:rPr>
        <w:t> </w:t>
      </w:r>
      <w:r>
        <w:rPr/>
        <w:t>диагностики</w:t>
      </w:r>
      <w:r>
        <w:rPr>
          <w:spacing w:val="-6"/>
        </w:rPr>
        <w:t> </w:t>
      </w:r>
      <w:r>
        <w:rPr/>
        <w:t>в</w:t>
      </w:r>
      <w:r>
        <w:rPr>
          <w:spacing w:val="-5"/>
        </w:rPr>
        <w:t> </w:t>
      </w:r>
      <w:r>
        <w:rPr/>
        <w:t>пятнах</w:t>
      </w:r>
      <w:r>
        <w:rPr>
          <w:spacing w:val="-6"/>
        </w:rPr>
        <w:t> </w:t>
      </w:r>
      <w:r>
        <w:rPr>
          <w:spacing w:val="-2"/>
        </w:rPr>
        <w:t>крови</w:t>
      </w:r>
    </w:p>
    <w:p>
      <w:pPr>
        <w:pStyle w:val="BodyText"/>
        <w:spacing w:before="53" w:after="1"/>
        <w:ind w:left="0"/>
        <w:jc w:val="left"/>
        <w:rPr>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821"/>
        <w:gridCol w:w="4821"/>
      </w:tblGrid>
      <w:tr>
        <w:trPr>
          <w:trHeight w:val="336" w:hRule="exact"/>
        </w:trPr>
        <w:tc>
          <w:tcPr>
            <w:tcW w:w="4821" w:type="dxa"/>
            <w:tcBorders>
              <w:bottom w:val="nil"/>
            </w:tcBorders>
          </w:tcPr>
          <w:p>
            <w:pPr>
              <w:pStyle w:val="TableParagraph"/>
              <w:spacing w:line="263" w:lineRule="exact"/>
              <w:ind w:left="57"/>
              <w:rPr>
                <w:sz w:val="24"/>
              </w:rPr>
            </w:pPr>
            <w:r>
              <w:rPr>
                <w:sz w:val="24"/>
              </w:rPr>
              <w:t>Кровь</w:t>
            </w:r>
            <w:r>
              <w:rPr>
                <w:spacing w:val="25"/>
                <w:sz w:val="24"/>
              </w:rPr>
              <w:t> </w:t>
            </w:r>
            <w:r>
              <w:rPr>
                <w:sz w:val="24"/>
              </w:rPr>
              <w:t>собирается</w:t>
            </w:r>
            <w:r>
              <w:rPr>
                <w:spacing w:val="30"/>
                <w:sz w:val="24"/>
              </w:rPr>
              <w:t> </w:t>
            </w:r>
            <w:r>
              <w:rPr>
                <w:sz w:val="24"/>
              </w:rPr>
              <w:t>на</w:t>
            </w:r>
            <w:r>
              <w:rPr>
                <w:spacing w:val="28"/>
                <w:sz w:val="24"/>
              </w:rPr>
              <w:t> </w:t>
            </w:r>
            <w:r>
              <w:rPr>
                <w:sz w:val="24"/>
              </w:rPr>
              <w:t>стандартную</w:t>
            </w:r>
            <w:r>
              <w:rPr>
                <w:spacing w:val="29"/>
                <w:sz w:val="24"/>
              </w:rPr>
              <w:t> </w:t>
            </w:r>
            <w:r>
              <w:rPr>
                <w:spacing w:val="-2"/>
                <w:sz w:val="24"/>
              </w:rPr>
              <w:t>карточку-</w:t>
            </w:r>
          </w:p>
        </w:tc>
        <w:tc>
          <w:tcPr>
            <w:tcW w:w="4821" w:type="dxa"/>
            <w:vMerge w:val="restart"/>
            <w:tcBorders>
              <w:bottom w:val="nil"/>
            </w:tcBorders>
          </w:tcPr>
          <w:p>
            <w:pPr>
              <w:pStyle w:val="TableParagraph"/>
              <w:spacing w:before="10"/>
              <w:ind w:left="0"/>
              <w:rPr>
                <w:sz w:val="4"/>
              </w:rPr>
            </w:pPr>
          </w:p>
          <w:p>
            <w:pPr>
              <w:pStyle w:val="TableParagraph"/>
              <w:spacing w:before="0"/>
              <w:ind w:left="194"/>
              <w:rPr>
                <w:sz w:val="20"/>
              </w:rPr>
            </w:pPr>
            <w:r>
              <w:rPr>
                <w:sz w:val="20"/>
              </w:rPr>
              <w:drawing>
                <wp:inline distT="0" distB="0" distL="0" distR="0">
                  <wp:extent cx="2820357" cy="785812"/>
                  <wp:effectExtent l="0" t="0" r="0" b="0"/>
                  <wp:docPr id="12" name="Image 12"/>
                  <wp:cNvGraphicFramePr>
                    <a:graphicFrameLocks/>
                  </wp:cNvGraphicFramePr>
                  <a:graphic>
                    <a:graphicData uri="http://schemas.openxmlformats.org/drawingml/2006/picture">
                      <pic:pic>
                        <pic:nvPicPr>
                          <pic:cNvPr id="12" name="Image 12"/>
                          <pic:cNvPicPr/>
                        </pic:nvPicPr>
                        <pic:blipFill>
                          <a:blip r:embed="rId8" cstate="print"/>
                          <a:stretch>
                            <a:fillRect/>
                          </a:stretch>
                        </pic:blipFill>
                        <pic:spPr>
                          <a:xfrm>
                            <a:off x="0" y="0"/>
                            <a:ext cx="2820357" cy="785812"/>
                          </a:xfrm>
                          <a:prstGeom prst="rect">
                            <a:avLst/>
                          </a:prstGeom>
                        </pic:spPr>
                      </pic:pic>
                    </a:graphicData>
                  </a:graphic>
                </wp:inline>
              </w:drawing>
            </w:r>
            <w:r>
              <w:rPr>
                <w:sz w:val="20"/>
              </w:rPr>
            </w:r>
          </w:p>
        </w:tc>
      </w:tr>
      <w:tr>
        <w:trPr>
          <w:trHeight w:val="276" w:hRule="exact"/>
        </w:trPr>
        <w:tc>
          <w:tcPr>
            <w:tcW w:w="4821" w:type="dxa"/>
            <w:tcBorders>
              <w:top w:val="nil"/>
              <w:bottom w:val="nil"/>
            </w:tcBorders>
          </w:tcPr>
          <w:p>
            <w:pPr>
              <w:pStyle w:val="TableParagraph"/>
              <w:spacing w:line="256" w:lineRule="exact" w:before="0"/>
              <w:ind w:left="57"/>
              <w:rPr>
                <w:sz w:val="24"/>
              </w:rPr>
            </w:pPr>
            <w:r>
              <w:rPr>
                <w:sz w:val="24"/>
              </w:rPr>
              <w:t>фильтр</w:t>
            </w:r>
            <w:r>
              <w:rPr>
                <w:spacing w:val="61"/>
                <w:w w:val="150"/>
                <w:sz w:val="24"/>
              </w:rPr>
              <w:t> </w:t>
            </w:r>
            <w:r>
              <w:rPr>
                <w:sz w:val="24"/>
              </w:rPr>
              <w:t>(N</w:t>
            </w:r>
            <w:r>
              <w:rPr>
                <w:spacing w:val="56"/>
                <w:w w:val="150"/>
                <w:sz w:val="24"/>
              </w:rPr>
              <w:t> </w:t>
            </w:r>
            <w:r>
              <w:rPr>
                <w:sz w:val="24"/>
              </w:rPr>
              <w:t>903),</w:t>
            </w:r>
            <w:r>
              <w:rPr>
                <w:spacing w:val="57"/>
                <w:w w:val="150"/>
                <w:sz w:val="24"/>
              </w:rPr>
              <w:t> </w:t>
            </w:r>
            <w:r>
              <w:rPr>
                <w:sz w:val="24"/>
              </w:rPr>
              <w:t>которая</w:t>
            </w:r>
            <w:r>
              <w:rPr>
                <w:spacing w:val="56"/>
                <w:w w:val="150"/>
                <w:sz w:val="24"/>
              </w:rPr>
              <w:t> </w:t>
            </w:r>
            <w:r>
              <w:rPr>
                <w:sz w:val="24"/>
              </w:rPr>
              <w:t>применяется</w:t>
            </w:r>
            <w:r>
              <w:rPr>
                <w:spacing w:val="61"/>
                <w:w w:val="150"/>
                <w:sz w:val="24"/>
              </w:rPr>
              <w:t> </w:t>
            </w:r>
            <w:r>
              <w:rPr>
                <w:spacing w:val="-5"/>
                <w:sz w:val="24"/>
              </w:rPr>
              <w:t>для</w:t>
            </w:r>
          </w:p>
        </w:tc>
        <w:tc>
          <w:tcPr>
            <w:tcW w:w="4821" w:type="dxa"/>
            <w:vMerge/>
            <w:tcBorders>
              <w:top w:val="nil"/>
              <w:bottom w:val="nil"/>
            </w:tcBorders>
          </w:tcPr>
          <w:p>
            <w:pPr>
              <w:rPr>
                <w:sz w:val="2"/>
                <w:szCs w:val="2"/>
              </w:rPr>
            </w:pPr>
          </w:p>
        </w:tc>
      </w:tr>
      <w:tr>
        <w:trPr>
          <w:trHeight w:val="275" w:hRule="exact"/>
        </w:trPr>
        <w:tc>
          <w:tcPr>
            <w:tcW w:w="4821" w:type="dxa"/>
            <w:tcBorders>
              <w:top w:val="nil"/>
              <w:bottom w:val="nil"/>
            </w:tcBorders>
          </w:tcPr>
          <w:p>
            <w:pPr>
              <w:pStyle w:val="TableParagraph"/>
              <w:tabs>
                <w:tab w:pos="1343" w:val="left" w:leader="none"/>
                <w:tab w:pos="3218" w:val="left" w:leader="none"/>
                <w:tab w:pos="3559" w:val="left" w:leader="none"/>
              </w:tabs>
              <w:spacing w:line="256" w:lineRule="exact" w:before="0"/>
              <w:ind w:left="57"/>
              <w:rPr>
                <w:sz w:val="24"/>
              </w:rPr>
            </w:pPr>
            <w:r>
              <w:rPr>
                <w:spacing w:val="-2"/>
                <w:sz w:val="24"/>
              </w:rPr>
              <w:t>скрининга</w:t>
            </w:r>
            <w:r>
              <w:rPr>
                <w:sz w:val="24"/>
              </w:rPr>
              <w:tab/>
            </w:r>
            <w:r>
              <w:rPr>
                <w:spacing w:val="-2"/>
                <w:sz w:val="24"/>
              </w:rPr>
              <w:t>новорожденных</w:t>
            </w:r>
            <w:r>
              <w:rPr>
                <w:sz w:val="24"/>
              </w:rPr>
              <w:tab/>
            </w:r>
            <w:r>
              <w:rPr>
                <w:spacing w:val="-10"/>
                <w:sz w:val="24"/>
              </w:rPr>
              <w:t>в</w:t>
            </w:r>
            <w:r>
              <w:rPr>
                <w:sz w:val="24"/>
              </w:rPr>
              <w:tab/>
            </w:r>
            <w:r>
              <w:rPr>
                <w:spacing w:val="-2"/>
                <w:sz w:val="24"/>
              </w:rPr>
              <w:t>Российской</w:t>
            </w:r>
          </w:p>
        </w:tc>
        <w:tc>
          <w:tcPr>
            <w:tcW w:w="4821" w:type="dxa"/>
            <w:vMerge/>
            <w:tcBorders>
              <w:top w:val="nil"/>
              <w:bottom w:val="nil"/>
            </w:tcBorders>
          </w:tcPr>
          <w:p>
            <w:pPr>
              <w:rPr>
                <w:sz w:val="2"/>
                <w:szCs w:val="2"/>
              </w:rPr>
            </w:pPr>
          </w:p>
        </w:tc>
      </w:tr>
      <w:tr>
        <w:trPr>
          <w:trHeight w:val="275" w:hRule="exact"/>
        </w:trPr>
        <w:tc>
          <w:tcPr>
            <w:tcW w:w="4821" w:type="dxa"/>
            <w:tcBorders>
              <w:top w:val="nil"/>
              <w:bottom w:val="nil"/>
            </w:tcBorders>
          </w:tcPr>
          <w:p>
            <w:pPr>
              <w:pStyle w:val="TableParagraph"/>
              <w:spacing w:line="256" w:lineRule="exact" w:before="0"/>
              <w:ind w:left="57"/>
              <w:rPr>
                <w:sz w:val="24"/>
              </w:rPr>
            </w:pPr>
            <w:r>
              <w:rPr>
                <w:sz w:val="24"/>
              </w:rPr>
              <w:t>Федерации</w:t>
            </w:r>
            <w:r>
              <w:rPr>
                <w:spacing w:val="34"/>
                <w:sz w:val="24"/>
              </w:rPr>
              <w:t> </w:t>
            </w:r>
            <w:r>
              <w:rPr>
                <w:sz w:val="24"/>
              </w:rPr>
              <w:t>или</w:t>
            </w:r>
            <w:r>
              <w:rPr>
                <w:spacing w:val="31"/>
                <w:sz w:val="24"/>
              </w:rPr>
              <w:t> </w:t>
            </w:r>
            <w:r>
              <w:rPr>
                <w:sz w:val="24"/>
              </w:rPr>
              <w:t>аналогичную</w:t>
            </w:r>
            <w:r>
              <w:rPr>
                <w:spacing w:val="32"/>
                <w:sz w:val="24"/>
              </w:rPr>
              <w:t> </w:t>
            </w:r>
            <w:r>
              <w:rPr>
                <w:sz w:val="24"/>
              </w:rPr>
              <w:t>для</w:t>
            </w:r>
            <w:r>
              <w:rPr>
                <w:spacing w:val="34"/>
                <w:sz w:val="24"/>
              </w:rPr>
              <w:t> </w:t>
            </w:r>
            <w:r>
              <w:rPr>
                <w:spacing w:val="-2"/>
                <w:sz w:val="24"/>
              </w:rPr>
              <w:t>получения</w:t>
            </w:r>
          </w:p>
        </w:tc>
        <w:tc>
          <w:tcPr>
            <w:tcW w:w="4821" w:type="dxa"/>
            <w:vMerge/>
            <w:tcBorders>
              <w:top w:val="nil"/>
              <w:bottom w:val="nil"/>
            </w:tcBorders>
          </w:tcPr>
          <w:p>
            <w:pPr>
              <w:rPr>
                <w:sz w:val="2"/>
                <w:szCs w:val="2"/>
              </w:rPr>
            </w:pPr>
          </w:p>
        </w:tc>
      </w:tr>
      <w:tr>
        <w:trPr>
          <w:trHeight w:val="189" w:hRule="exact"/>
        </w:trPr>
        <w:tc>
          <w:tcPr>
            <w:tcW w:w="4821" w:type="dxa"/>
            <w:vMerge w:val="restart"/>
            <w:tcBorders>
              <w:top w:val="nil"/>
              <w:bottom w:val="nil"/>
            </w:tcBorders>
          </w:tcPr>
          <w:p>
            <w:pPr>
              <w:pStyle w:val="TableParagraph"/>
              <w:spacing w:line="270" w:lineRule="exact" w:before="0"/>
              <w:ind w:left="57"/>
              <w:rPr>
                <w:sz w:val="24"/>
              </w:rPr>
            </w:pPr>
            <w:r>
              <w:rPr>
                <w:sz w:val="24"/>
              </w:rPr>
              <w:t>сухого</w:t>
            </w:r>
            <w:r>
              <w:rPr>
                <w:spacing w:val="36"/>
                <w:sz w:val="24"/>
              </w:rPr>
              <w:t> </w:t>
            </w:r>
            <w:r>
              <w:rPr>
                <w:sz w:val="24"/>
              </w:rPr>
              <w:t>пятна</w:t>
            </w:r>
            <w:r>
              <w:rPr>
                <w:spacing w:val="35"/>
                <w:sz w:val="24"/>
              </w:rPr>
              <w:t> </w:t>
            </w:r>
            <w:r>
              <w:rPr>
                <w:sz w:val="24"/>
              </w:rPr>
              <w:t>крови.</w:t>
            </w:r>
            <w:r>
              <w:rPr>
                <w:spacing w:val="39"/>
                <w:sz w:val="24"/>
              </w:rPr>
              <w:t> </w:t>
            </w:r>
            <w:r>
              <w:rPr>
                <w:sz w:val="24"/>
              </w:rPr>
              <w:t>Кровь</w:t>
            </w:r>
            <w:r>
              <w:rPr>
                <w:spacing w:val="37"/>
                <w:sz w:val="24"/>
              </w:rPr>
              <w:t> </w:t>
            </w:r>
            <w:r>
              <w:rPr>
                <w:sz w:val="24"/>
              </w:rPr>
              <w:t>может</w:t>
            </w:r>
            <w:r>
              <w:rPr>
                <w:spacing w:val="37"/>
                <w:sz w:val="24"/>
              </w:rPr>
              <w:t> </w:t>
            </w:r>
            <w:r>
              <w:rPr>
                <w:sz w:val="24"/>
              </w:rPr>
              <w:t>быть,</w:t>
            </w:r>
            <w:r>
              <w:rPr>
                <w:spacing w:val="39"/>
                <w:sz w:val="24"/>
              </w:rPr>
              <w:t> </w:t>
            </w:r>
            <w:r>
              <w:rPr>
                <w:spacing w:val="-5"/>
                <w:sz w:val="24"/>
              </w:rPr>
              <w:t>как</w:t>
            </w:r>
          </w:p>
          <w:p>
            <w:pPr>
              <w:pStyle w:val="TableParagraph"/>
              <w:tabs>
                <w:tab w:pos="1582" w:val="left" w:leader="none"/>
                <w:tab w:pos="2119" w:val="left" w:leader="none"/>
                <w:tab w:pos="3107" w:val="left" w:leader="none"/>
                <w:tab w:pos="4066" w:val="left" w:leader="none"/>
                <w:tab w:pos="4623" w:val="left" w:leader="none"/>
              </w:tabs>
              <w:spacing w:line="248" w:lineRule="exact" w:before="2"/>
              <w:ind w:left="57"/>
              <w:rPr>
                <w:sz w:val="24"/>
              </w:rPr>
            </w:pPr>
            <w:r>
              <w:rPr>
                <w:spacing w:val="-2"/>
                <w:sz w:val="24"/>
              </w:rPr>
              <w:t>капиллярная</w:t>
            </w:r>
            <w:r>
              <w:rPr>
                <w:sz w:val="24"/>
              </w:rPr>
              <w:tab/>
            </w:r>
            <w:r>
              <w:rPr>
                <w:spacing w:val="-5"/>
                <w:sz w:val="24"/>
              </w:rPr>
              <w:t>(из</w:t>
            </w:r>
            <w:r>
              <w:rPr>
                <w:sz w:val="24"/>
              </w:rPr>
              <w:tab/>
            </w:r>
            <w:r>
              <w:rPr>
                <w:spacing w:val="-2"/>
                <w:sz w:val="24"/>
              </w:rPr>
              <w:t>пальца,</w:t>
            </w:r>
            <w:r>
              <w:rPr>
                <w:sz w:val="24"/>
              </w:rPr>
              <w:tab/>
            </w:r>
            <w:r>
              <w:rPr>
                <w:spacing w:val="-2"/>
                <w:sz w:val="24"/>
              </w:rPr>
              <w:t>пятки),</w:t>
            </w:r>
            <w:r>
              <w:rPr>
                <w:sz w:val="24"/>
              </w:rPr>
              <w:tab/>
            </w:r>
            <w:r>
              <w:rPr>
                <w:spacing w:val="-5"/>
                <w:sz w:val="24"/>
              </w:rPr>
              <w:t>так</w:t>
            </w:r>
            <w:r>
              <w:rPr>
                <w:sz w:val="24"/>
              </w:rPr>
              <w:tab/>
            </w:r>
            <w:r>
              <w:rPr>
                <w:spacing w:val="-10"/>
                <w:sz w:val="24"/>
              </w:rPr>
              <w:t>и</w:t>
            </w:r>
          </w:p>
        </w:tc>
        <w:tc>
          <w:tcPr>
            <w:tcW w:w="4821" w:type="dxa"/>
            <w:vMerge/>
            <w:tcBorders>
              <w:top w:val="nil"/>
              <w:bottom w:val="nil"/>
            </w:tcBorders>
          </w:tcPr>
          <w:p>
            <w:pPr>
              <w:rPr>
                <w:sz w:val="2"/>
                <w:szCs w:val="2"/>
              </w:rPr>
            </w:pPr>
          </w:p>
        </w:tc>
      </w:tr>
      <w:tr>
        <w:trPr>
          <w:trHeight w:val="350" w:hRule="exact"/>
        </w:trPr>
        <w:tc>
          <w:tcPr>
            <w:tcW w:w="4821" w:type="dxa"/>
            <w:vMerge/>
            <w:tcBorders>
              <w:top w:val="nil"/>
              <w:bottom w:val="nil"/>
            </w:tcBorders>
          </w:tcPr>
          <w:p>
            <w:pPr>
              <w:rPr>
                <w:sz w:val="2"/>
                <w:szCs w:val="2"/>
              </w:rPr>
            </w:pPr>
          </w:p>
        </w:tc>
        <w:tc>
          <w:tcPr>
            <w:tcW w:w="4821" w:type="dxa"/>
            <w:tcBorders>
              <w:top w:val="nil"/>
              <w:bottom w:val="nil"/>
            </w:tcBorders>
          </w:tcPr>
          <w:p>
            <w:pPr>
              <w:pStyle w:val="TableParagraph"/>
              <w:tabs>
                <w:tab w:pos="388" w:val="left" w:leader="none"/>
                <w:tab w:pos="1276" w:val="left" w:leader="none"/>
                <w:tab w:pos="2341" w:val="left" w:leader="none"/>
                <w:tab w:pos="3703" w:val="left" w:leader="none"/>
              </w:tabs>
              <w:spacing w:before="53"/>
              <w:ind w:left="57"/>
              <w:rPr>
                <w:sz w:val="24"/>
              </w:rPr>
            </w:pPr>
            <w:r>
              <w:rPr>
                <w:spacing w:val="-10"/>
                <w:sz w:val="24"/>
              </w:rPr>
              <w:t>-</w:t>
            </w:r>
            <w:r>
              <w:rPr>
                <w:sz w:val="24"/>
              </w:rPr>
              <w:tab/>
            </w:r>
            <w:r>
              <w:rPr>
                <w:spacing w:val="-2"/>
                <w:sz w:val="24"/>
              </w:rPr>
              <w:t>Капли</w:t>
            </w:r>
            <w:r>
              <w:rPr>
                <w:sz w:val="24"/>
              </w:rPr>
              <w:tab/>
            </w:r>
            <w:r>
              <w:rPr>
                <w:spacing w:val="-2"/>
                <w:sz w:val="24"/>
              </w:rPr>
              <w:t>должны</w:t>
            </w:r>
            <w:r>
              <w:rPr>
                <w:sz w:val="24"/>
              </w:rPr>
              <w:tab/>
            </w:r>
            <w:r>
              <w:rPr>
                <w:spacing w:val="-2"/>
                <w:sz w:val="24"/>
              </w:rPr>
              <w:t>полностью</w:t>
            </w:r>
            <w:r>
              <w:rPr>
                <w:sz w:val="24"/>
              </w:rPr>
              <w:tab/>
            </w:r>
            <w:r>
              <w:rPr>
                <w:spacing w:val="-2"/>
                <w:sz w:val="24"/>
              </w:rPr>
              <w:t>пропитать</w:t>
            </w:r>
          </w:p>
        </w:tc>
      </w:tr>
      <w:tr>
        <w:trPr>
          <w:trHeight w:val="273" w:hRule="exact"/>
        </w:trPr>
        <w:tc>
          <w:tcPr>
            <w:tcW w:w="4821" w:type="dxa"/>
            <w:tcBorders>
              <w:top w:val="nil"/>
              <w:bottom w:val="nil"/>
            </w:tcBorders>
          </w:tcPr>
          <w:p>
            <w:pPr>
              <w:pStyle w:val="TableParagraph"/>
              <w:tabs>
                <w:tab w:pos="1265" w:val="left" w:leader="none"/>
                <w:tab w:pos="2455" w:val="left" w:leader="none"/>
                <w:tab w:pos="3270" w:val="left" w:leader="none"/>
                <w:tab w:pos="4637" w:val="left" w:leader="none"/>
              </w:tabs>
              <w:spacing w:line="248" w:lineRule="exact" w:before="5"/>
              <w:ind w:left="57"/>
              <w:rPr>
                <w:sz w:val="24"/>
              </w:rPr>
            </w:pPr>
            <w:r>
              <w:rPr>
                <w:spacing w:val="-2"/>
                <w:sz w:val="24"/>
              </w:rPr>
              <w:t>венозная.</w:t>
            </w:r>
            <w:r>
              <w:rPr>
                <w:sz w:val="24"/>
              </w:rPr>
              <w:tab/>
            </w:r>
            <w:r>
              <w:rPr>
                <w:spacing w:val="-2"/>
                <w:sz w:val="24"/>
              </w:rPr>
              <w:t>Венозная</w:t>
            </w:r>
            <w:r>
              <w:rPr>
                <w:sz w:val="24"/>
              </w:rPr>
              <w:tab/>
            </w:r>
            <w:r>
              <w:rPr>
                <w:spacing w:val="-4"/>
                <w:sz w:val="24"/>
              </w:rPr>
              <w:t>кровь</w:t>
            </w:r>
            <w:r>
              <w:rPr>
                <w:sz w:val="24"/>
              </w:rPr>
              <w:tab/>
            </w:r>
            <w:r>
              <w:rPr>
                <w:spacing w:val="-2"/>
                <w:sz w:val="24"/>
              </w:rPr>
              <w:t>собирается</w:t>
            </w:r>
            <w:r>
              <w:rPr>
                <w:sz w:val="24"/>
              </w:rPr>
              <w:tab/>
            </w:r>
            <w:r>
              <w:rPr>
                <w:spacing w:val="-10"/>
                <w:sz w:val="24"/>
              </w:rPr>
              <w:t>в</w:t>
            </w:r>
          </w:p>
        </w:tc>
        <w:tc>
          <w:tcPr>
            <w:tcW w:w="4821" w:type="dxa"/>
            <w:tcBorders>
              <w:top w:val="nil"/>
              <w:bottom w:val="nil"/>
            </w:tcBorders>
          </w:tcPr>
          <w:p>
            <w:pPr>
              <w:pStyle w:val="TableParagraph"/>
              <w:spacing w:line="254" w:lineRule="exact" w:before="0"/>
              <w:ind w:left="57"/>
              <w:rPr>
                <w:sz w:val="24"/>
              </w:rPr>
            </w:pPr>
            <w:r>
              <w:rPr>
                <w:sz w:val="24"/>
              </w:rPr>
              <w:t>кружки</w:t>
            </w:r>
            <w:r>
              <w:rPr>
                <w:spacing w:val="-1"/>
                <w:sz w:val="24"/>
              </w:rPr>
              <w:t> </w:t>
            </w:r>
            <w:r>
              <w:rPr>
                <w:sz w:val="24"/>
              </w:rPr>
              <w:t>с</w:t>
            </w:r>
            <w:r>
              <w:rPr>
                <w:spacing w:val="-1"/>
                <w:sz w:val="24"/>
              </w:rPr>
              <w:t> </w:t>
            </w:r>
            <w:r>
              <w:rPr>
                <w:sz w:val="24"/>
              </w:rPr>
              <w:t>обратной </w:t>
            </w:r>
            <w:r>
              <w:rPr>
                <w:spacing w:val="-2"/>
                <w:sz w:val="24"/>
              </w:rPr>
              <w:t>стороны</w:t>
            </w:r>
          </w:p>
        </w:tc>
      </w:tr>
      <w:tr>
        <w:trPr>
          <w:trHeight w:val="324" w:hRule="exact"/>
        </w:trPr>
        <w:tc>
          <w:tcPr>
            <w:tcW w:w="4821" w:type="dxa"/>
            <w:tcBorders>
              <w:top w:val="nil"/>
              <w:bottom w:val="nil"/>
            </w:tcBorders>
          </w:tcPr>
          <w:p>
            <w:pPr>
              <w:pStyle w:val="TableParagraph"/>
              <w:spacing w:line="260" w:lineRule="exact" w:before="10"/>
              <w:ind w:left="57"/>
              <w:rPr>
                <w:sz w:val="24"/>
              </w:rPr>
            </w:pPr>
            <w:r>
              <w:rPr>
                <w:sz w:val="24"/>
              </w:rPr>
              <w:t>пробирку,</w:t>
            </w:r>
            <w:r>
              <w:rPr>
                <w:spacing w:val="-1"/>
                <w:sz w:val="24"/>
              </w:rPr>
              <w:t> </w:t>
            </w:r>
            <w:r>
              <w:rPr>
                <w:sz w:val="24"/>
              </w:rPr>
              <w:t>аккуратно</w:t>
            </w:r>
            <w:r>
              <w:rPr>
                <w:spacing w:val="1"/>
                <w:sz w:val="24"/>
              </w:rPr>
              <w:t> </w:t>
            </w:r>
            <w:r>
              <w:rPr>
                <w:sz w:val="24"/>
              </w:rPr>
              <w:t>перемешивается</w:t>
            </w:r>
            <w:r>
              <w:rPr>
                <w:spacing w:val="-3"/>
                <w:sz w:val="24"/>
              </w:rPr>
              <w:t> </w:t>
            </w:r>
            <w:r>
              <w:rPr>
                <w:sz w:val="24"/>
              </w:rPr>
              <w:t>и</w:t>
            </w:r>
            <w:r>
              <w:rPr>
                <w:spacing w:val="-6"/>
                <w:sz w:val="24"/>
              </w:rPr>
              <w:t> </w:t>
            </w:r>
            <w:r>
              <w:rPr>
                <w:spacing w:val="-2"/>
                <w:sz w:val="24"/>
              </w:rPr>
              <w:t>затем</w:t>
            </w:r>
          </w:p>
        </w:tc>
        <w:tc>
          <w:tcPr>
            <w:tcW w:w="4821" w:type="dxa"/>
            <w:tcBorders>
              <w:top w:val="nil"/>
              <w:bottom w:val="nil"/>
            </w:tcBorders>
          </w:tcPr>
          <w:p>
            <w:pPr>
              <w:pStyle w:val="TableParagraph"/>
              <w:spacing w:line="258" w:lineRule="exact" w:before="0"/>
              <w:ind w:left="57"/>
              <w:rPr>
                <w:sz w:val="24"/>
              </w:rPr>
            </w:pPr>
            <w:r>
              <w:rPr>
                <w:sz w:val="24"/>
              </w:rPr>
              <w:t>-</w:t>
            </w:r>
            <w:r>
              <w:rPr>
                <w:spacing w:val="1"/>
                <w:sz w:val="24"/>
              </w:rPr>
              <w:t> </w:t>
            </w:r>
            <w:r>
              <w:rPr>
                <w:sz w:val="24"/>
              </w:rPr>
              <w:t>Не</w:t>
            </w:r>
            <w:r>
              <w:rPr>
                <w:spacing w:val="-3"/>
                <w:sz w:val="24"/>
              </w:rPr>
              <w:t> </w:t>
            </w:r>
            <w:r>
              <w:rPr>
                <w:sz w:val="24"/>
              </w:rPr>
              <w:t>касайтесь</w:t>
            </w:r>
            <w:r>
              <w:rPr>
                <w:spacing w:val="-5"/>
                <w:sz w:val="24"/>
              </w:rPr>
              <w:t> </w:t>
            </w:r>
            <w:r>
              <w:rPr>
                <w:sz w:val="24"/>
              </w:rPr>
              <w:t>области,</w:t>
            </w:r>
            <w:r>
              <w:rPr>
                <w:spacing w:val="-4"/>
                <w:sz w:val="24"/>
              </w:rPr>
              <w:t> </w:t>
            </w:r>
            <w:r>
              <w:rPr>
                <w:sz w:val="24"/>
              </w:rPr>
              <w:t>пропитанной</w:t>
            </w:r>
            <w:r>
              <w:rPr>
                <w:spacing w:val="-4"/>
                <w:sz w:val="24"/>
              </w:rPr>
              <w:t> </w:t>
            </w:r>
            <w:r>
              <w:rPr>
                <w:spacing w:val="-2"/>
                <w:sz w:val="24"/>
              </w:rPr>
              <w:t>кровью</w:t>
            </w:r>
          </w:p>
        </w:tc>
      </w:tr>
      <w:tr>
        <w:trPr>
          <w:trHeight w:val="241" w:hRule="exact"/>
        </w:trPr>
        <w:tc>
          <w:tcPr>
            <w:tcW w:w="4821" w:type="dxa"/>
            <w:tcBorders>
              <w:top w:val="nil"/>
              <w:bottom w:val="nil"/>
            </w:tcBorders>
          </w:tcPr>
          <w:p>
            <w:pPr>
              <w:pStyle w:val="TableParagraph"/>
              <w:spacing w:line="256" w:lineRule="exact" w:before="0"/>
              <w:ind w:left="57"/>
              <w:rPr>
                <w:sz w:val="24"/>
              </w:rPr>
            </w:pPr>
            <w:r>
              <w:rPr>
                <w:sz w:val="24"/>
              </w:rPr>
              <w:t>быстро</w:t>
            </w:r>
            <w:r>
              <w:rPr>
                <w:spacing w:val="58"/>
                <w:w w:val="150"/>
                <w:sz w:val="24"/>
              </w:rPr>
              <w:t> </w:t>
            </w:r>
            <w:r>
              <w:rPr>
                <w:sz w:val="24"/>
              </w:rPr>
              <w:t>с</w:t>
            </w:r>
            <w:r>
              <w:rPr>
                <w:spacing w:val="54"/>
                <w:w w:val="150"/>
                <w:sz w:val="24"/>
              </w:rPr>
              <w:t> </w:t>
            </w:r>
            <w:r>
              <w:rPr>
                <w:sz w:val="24"/>
              </w:rPr>
              <w:t>помощью</w:t>
            </w:r>
            <w:r>
              <w:rPr>
                <w:spacing w:val="54"/>
                <w:w w:val="150"/>
                <w:sz w:val="24"/>
              </w:rPr>
              <w:t> </w:t>
            </w:r>
            <w:r>
              <w:rPr>
                <w:sz w:val="24"/>
              </w:rPr>
              <w:t>пипетки</w:t>
            </w:r>
            <w:r>
              <w:rPr>
                <w:spacing w:val="60"/>
                <w:w w:val="150"/>
                <w:sz w:val="24"/>
              </w:rPr>
              <w:t> </w:t>
            </w:r>
            <w:r>
              <w:rPr>
                <w:sz w:val="24"/>
              </w:rPr>
              <w:t>наносится</w:t>
            </w:r>
            <w:r>
              <w:rPr>
                <w:spacing w:val="56"/>
                <w:w w:val="150"/>
                <w:sz w:val="24"/>
              </w:rPr>
              <w:t> </w:t>
            </w:r>
            <w:r>
              <w:rPr>
                <w:spacing w:val="-5"/>
                <w:sz w:val="24"/>
              </w:rPr>
              <w:t>на</w:t>
            </w:r>
          </w:p>
        </w:tc>
        <w:tc>
          <w:tcPr>
            <w:tcW w:w="4821" w:type="dxa"/>
            <w:vMerge w:val="restart"/>
            <w:tcBorders>
              <w:top w:val="nil"/>
              <w:bottom w:val="nil"/>
            </w:tcBorders>
          </w:tcPr>
          <w:p>
            <w:pPr>
              <w:pStyle w:val="TableParagraph"/>
              <w:spacing w:before="9"/>
              <w:ind w:left="0"/>
              <w:rPr>
                <w:sz w:val="5"/>
              </w:rPr>
            </w:pPr>
          </w:p>
          <w:p>
            <w:pPr>
              <w:pStyle w:val="TableParagraph"/>
              <w:spacing w:before="0"/>
              <w:ind w:left="194"/>
              <w:rPr>
                <w:sz w:val="20"/>
              </w:rPr>
            </w:pPr>
            <w:r>
              <w:rPr>
                <w:sz w:val="20"/>
              </w:rPr>
              <w:drawing>
                <wp:inline distT="0" distB="0" distL="0" distR="0">
                  <wp:extent cx="2786680" cy="766952"/>
                  <wp:effectExtent l="0" t="0" r="0" b="0"/>
                  <wp:docPr id="13" name="Image 13"/>
                  <wp:cNvGraphicFramePr>
                    <a:graphicFrameLocks/>
                  </wp:cNvGraphicFramePr>
                  <a:graphic>
                    <a:graphicData uri="http://schemas.openxmlformats.org/drawingml/2006/picture">
                      <pic:pic>
                        <pic:nvPicPr>
                          <pic:cNvPr id="13" name="Image 13"/>
                          <pic:cNvPicPr/>
                        </pic:nvPicPr>
                        <pic:blipFill>
                          <a:blip r:embed="rId9" cstate="print"/>
                          <a:stretch>
                            <a:fillRect/>
                          </a:stretch>
                        </pic:blipFill>
                        <pic:spPr>
                          <a:xfrm>
                            <a:off x="0" y="0"/>
                            <a:ext cx="2786680" cy="766952"/>
                          </a:xfrm>
                          <a:prstGeom prst="rect">
                            <a:avLst/>
                          </a:prstGeom>
                        </pic:spPr>
                      </pic:pic>
                    </a:graphicData>
                  </a:graphic>
                </wp:inline>
              </w:drawing>
            </w:r>
            <w:r>
              <w:rPr>
                <w:sz w:val="20"/>
              </w:rPr>
            </w:r>
          </w:p>
        </w:tc>
      </w:tr>
      <w:tr>
        <w:trPr>
          <w:trHeight w:val="276" w:hRule="exact"/>
        </w:trPr>
        <w:tc>
          <w:tcPr>
            <w:tcW w:w="4821" w:type="dxa"/>
            <w:tcBorders>
              <w:top w:val="nil"/>
              <w:bottom w:val="nil"/>
            </w:tcBorders>
          </w:tcPr>
          <w:p>
            <w:pPr>
              <w:pStyle w:val="TableParagraph"/>
              <w:tabs>
                <w:tab w:pos="1098" w:val="left" w:leader="none"/>
                <w:tab w:pos="1649" w:val="left" w:leader="none"/>
                <w:tab w:pos="2510" w:val="left" w:leader="none"/>
                <w:tab w:pos="3407" w:val="left" w:leader="none"/>
                <w:tab w:pos="3944" w:val="left" w:leader="none"/>
              </w:tabs>
              <w:spacing w:line="256" w:lineRule="exact" w:before="0"/>
              <w:ind w:left="57"/>
              <w:rPr>
                <w:sz w:val="24"/>
              </w:rPr>
            </w:pPr>
            <w:r>
              <w:rPr>
                <w:spacing w:val="-2"/>
                <w:sz w:val="24"/>
              </w:rPr>
              <w:t>фильтр</w:t>
            </w:r>
            <w:r>
              <w:rPr>
                <w:sz w:val="24"/>
              </w:rPr>
              <w:tab/>
            </w:r>
            <w:r>
              <w:rPr>
                <w:spacing w:val="-5"/>
                <w:sz w:val="24"/>
              </w:rPr>
              <w:t>по</w:t>
            </w:r>
            <w:r>
              <w:rPr>
                <w:sz w:val="24"/>
              </w:rPr>
              <w:tab/>
              <w:t>25-</w:t>
            </w:r>
            <w:r>
              <w:rPr>
                <w:spacing w:val="-5"/>
                <w:sz w:val="24"/>
              </w:rPr>
              <w:t>50</w:t>
            </w:r>
            <w:r>
              <w:rPr>
                <w:sz w:val="24"/>
              </w:rPr>
              <w:tab/>
            </w:r>
            <w:r>
              <w:rPr>
                <w:spacing w:val="-4"/>
                <w:sz w:val="24"/>
              </w:rPr>
              <w:t>крови</w:t>
            </w:r>
            <w:r>
              <w:rPr>
                <w:sz w:val="24"/>
              </w:rPr>
              <w:tab/>
            </w:r>
            <w:r>
              <w:rPr>
                <w:spacing w:val="-5"/>
                <w:sz w:val="24"/>
              </w:rPr>
              <w:t>на</w:t>
            </w:r>
            <w:r>
              <w:rPr>
                <w:sz w:val="24"/>
              </w:rPr>
              <w:tab/>
            </w:r>
            <w:r>
              <w:rPr>
                <w:spacing w:val="-2"/>
                <w:sz w:val="24"/>
              </w:rPr>
              <w:t>каждую</w:t>
            </w:r>
          </w:p>
        </w:tc>
        <w:tc>
          <w:tcPr>
            <w:tcW w:w="4821" w:type="dxa"/>
            <w:vMerge/>
            <w:tcBorders>
              <w:top w:val="nil"/>
              <w:bottom w:val="nil"/>
            </w:tcBorders>
          </w:tcPr>
          <w:p>
            <w:pPr>
              <w:rPr>
                <w:sz w:val="2"/>
                <w:szCs w:val="2"/>
              </w:rPr>
            </w:pPr>
          </w:p>
        </w:tc>
      </w:tr>
      <w:tr>
        <w:trPr>
          <w:trHeight w:val="276" w:hRule="exact"/>
        </w:trPr>
        <w:tc>
          <w:tcPr>
            <w:tcW w:w="4821" w:type="dxa"/>
            <w:tcBorders>
              <w:top w:val="nil"/>
              <w:bottom w:val="nil"/>
            </w:tcBorders>
          </w:tcPr>
          <w:p>
            <w:pPr>
              <w:pStyle w:val="TableParagraph"/>
              <w:spacing w:line="256" w:lineRule="exact" w:before="0"/>
              <w:ind w:left="57"/>
              <w:rPr>
                <w:sz w:val="24"/>
              </w:rPr>
            </w:pPr>
            <w:r>
              <w:rPr>
                <w:sz w:val="24"/>
              </w:rPr>
              <w:t>выделенную</w:t>
            </w:r>
            <w:r>
              <w:rPr>
                <w:spacing w:val="68"/>
                <w:w w:val="150"/>
                <w:sz w:val="24"/>
              </w:rPr>
              <w:t> </w:t>
            </w:r>
            <w:r>
              <w:rPr>
                <w:sz w:val="24"/>
              </w:rPr>
              <w:t>область.</w:t>
            </w:r>
            <w:r>
              <w:rPr>
                <w:spacing w:val="67"/>
                <w:w w:val="150"/>
                <w:sz w:val="24"/>
              </w:rPr>
              <w:t> </w:t>
            </w:r>
            <w:r>
              <w:rPr>
                <w:sz w:val="24"/>
              </w:rPr>
              <w:t>Необходимо</w:t>
            </w:r>
            <w:r>
              <w:rPr>
                <w:spacing w:val="70"/>
                <w:w w:val="150"/>
                <w:sz w:val="24"/>
              </w:rPr>
              <w:t> </w:t>
            </w:r>
            <w:r>
              <w:rPr>
                <w:spacing w:val="-2"/>
                <w:sz w:val="24"/>
              </w:rPr>
              <w:t>хорошо</w:t>
            </w:r>
          </w:p>
        </w:tc>
        <w:tc>
          <w:tcPr>
            <w:tcW w:w="4821" w:type="dxa"/>
            <w:vMerge/>
            <w:tcBorders>
              <w:top w:val="nil"/>
              <w:bottom w:val="nil"/>
            </w:tcBorders>
          </w:tcPr>
          <w:p>
            <w:pPr>
              <w:rPr>
                <w:sz w:val="2"/>
                <w:szCs w:val="2"/>
              </w:rPr>
            </w:pPr>
          </w:p>
        </w:tc>
      </w:tr>
      <w:tr>
        <w:trPr>
          <w:trHeight w:val="275" w:hRule="exact"/>
        </w:trPr>
        <w:tc>
          <w:tcPr>
            <w:tcW w:w="4821" w:type="dxa"/>
            <w:tcBorders>
              <w:top w:val="nil"/>
              <w:bottom w:val="nil"/>
            </w:tcBorders>
          </w:tcPr>
          <w:p>
            <w:pPr>
              <w:pStyle w:val="TableParagraph"/>
              <w:spacing w:line="256" w:lineRule="exact" w:before="0"/>
              <w:ind w:left="57"/>
              <w:rPr>
                <w:sz w:val="24"/>
              </w:rPr>
            </w:pPr>
            <w:r>
              <w:rPr>
                <w:sz w:val="24"/>
              </w:rPr>
              <w:t>пропитать</w:t>
            </w:r>
            <w:r>
              <w:rPr>
                <w:spacing w:val="54"/>
                <w:sz w:val="24"/>
              </w:rPr>
              <w:t> </w:t>
            </w:r>
            <w:r>
              <w:rPr>
                <w:sz w:val="24"/>
              </w:rPr>
              <w:t>выделенную</w:t>
            </w:r>
            <w:r>
              <w:rPr>
                <w:spacing w:val="57"/>
                <w:sz w:val="24"/>
              </w:rPr>
              <w:t> </w:t>
            </w:r>
            <w:r>
              <w:rPr>
                <w:sz w:val="24"/>
              </w:rPr>
              <w:t>область</w:t>
            </w:r>
            <w:r>
              <w:rPr>
                <w:spacing w:val="60"/>
                <w:sz w:val="24"/>
              </w:rPr>
              <w:t> </w:t>
            </w:r>
            <w:r>
              <w:rPr>
                <w:sz w:val="24"/>
              </w:rPr>
              <w:t>на</w:t>
            </w:r>
            <w:r>
              <w:rPr>
                <w:spacing w:val="58"/>
                <w:sz w:val="24"/>
              </w:rPr>
              <w:t> </w:t>
            </w:r>
            <w:r>
              <w:rPr>
                <w:spacing w:val="-2"/>
                <w:sz w:val="24"/>
              </w:rPr>
              <w:t>фильтре</w:t>
            </w:r>
          </w:p>
        </w:tc>
        <w:tc>
          <w:tcPr>
            <w:tcW w:w="4821" w:type="dxa"/>
            <w:vMerge/>
            <w:tcBorders>
              <w:top w:val="nil"/>
              <w:bottom w:val="nil"/>
            </w:tcBorders>
          </w:tcPr>
          <w:p>
            <w:pPr>
              <w:rPr>
                <w:sz w:val="2"/>
                <w:szCs w:val="2"/>
              </w:rPr>
            </w:pPr>
          </w:p>
        </w:tc>
      </w:tr>
      <w:tr>
        <w:trPr>
          <w:trHeight w:val="275" w:hRule="exact"/>
        </w:trPr>
        <w:tc>
          <w:tcPr>
            <w:tcW w:w="4821" w:type="dxa"/>
            <w:tcBorders>
              <w:top w:val="nil"/>
              <w:bottom w:val="nil"/>
            </w:tcBorders>
          </w:tcPr>
          <w:p>
            <w:pPr>
              <w:pStyle w:val="TableParagraph"/>
              <w:tabs>
                <w:tab w:pos="1241" w:val="left" w:leader="none"/>
                <w:tab w:pos="1766" w:val="left" w:leader="none"/>
                <w:tab w:pos="3839" w:val="left" w:leader="none"/>
              </w:tabs>
              <w:spacing w:line="256" w:lineRule="exact" w:before="0"/>
              <w:ind w:left="57"/>
              <w:rPr>
                <w:sz w:val="24"/>
              </w:rPr>
            </w:pPr>
            <w:hyperlink w:history="true" w:anchor="_bookmark47">
              <w:r>
                <w:rPr>
                  <w:color w:val="0000FF"/>
                  <w:spacing w:val="-2"/>
                  <w:sz w:val="24"/>
                </w:rPr>
                <w:t>(рисунок</w:t>
              </w:r>
              <w:r>
                <w:rPr>
                  <w:color w:val="0000FF"/>
                  <w:sz w:val="24"/>
                </w:rPr>
                <w:tab/>
              </w:r>
              <w:r>
                <w:rPr>
                  <w:color w:val="0000FF"/>
                  <w:spacing w:val="-5"/>
                  <w:sz w:val="24"/>
                </w:rPr>
                <w:t>1)</w:t>
              </w:r>
            </w:hyperlink>
            <w:r>
              <w:rPr>
                <w:spacing w:val="-5"/>
                <w:sz w:val="24"/>
              </w:rPr>
              <w:t>.</w:t>
            </w:r>
            <w:r>
              <w:rPr>
                <w:sz w:val="24"/>
              </w:rPr>
              <w:tab/>
            </w:r>
            <w:r>
              <w:rPr>
                <w:spacing w:val="-2"/>
                <w:sz w:val="24"/>
              </w:rPr>
              <w:t>Предпочтительно</w:t>
            </w:r>
            <w:r>
              <w:rPr>
                <w:sz w:val="24"/>
              </w:rPr>
              <w:tab/>
            </w:r>
            <w:r>
              <w:rPr>
                <w:spacing w:val="-2"/>
                <w:sz w:val="24"/>
              </w:rPr>
              <w:t>собирать</w:t>
            </w:r>
          </w:p>
        </w:tc>
        <w:tc>
          <w:tcPr>
            <w:tcW w:w="4821" w:type="dxa"/>
            <w:vMerge/>
            <w:tcBorders>
              <w:top w:val="nil"/>
              <w:bottom w:val="nil"/>
            </w:tcBorders>
          </w:tcPr>
          <w:p>
            <w:pPr>
              <w:rPr>
                <w:sz w:val="2"/>
                <w:szCs w:val="2"/>
              </w:rPr>
            </w:pPr>
          </w:p>
        </w:tc>
      </w:tr>
      <w:tr>
        <w:trPr>
          <w:trHeight w:val="670" w:hRule="exact"/>
        </w:trPr>
        <w:tc>
          <w:tcPr>
            <w:tcW w:w="4821" w:type="dxa"/>
            <w:vMerge w:val="restart"/>
            <w:tcBorders>
              <w:top w:val="nil"/>
              <w:bottom w:val="nil"/>
            </w:tcBorders>
          </w:tcPr>
          <w:p>
            <w:pPr>
              <w:pStyle w:val="TableParagraph"/>
              <w:spacing w:line="237" w:lineRule="auto" w:before="0"/>
              <w:ind w:left="57"/>
              <w:rPr>
                <w:sz w:val="24"/>
              </w:rPr>
            </w:pPr>
            <w:r>
              <w:rPr>
                <w:sz w:val="24"/>
              </w:rPr>
              <w:t>образцы</w:t>
            </w:r>
            <w:r>
              <w:rPr>
                <w:spacing w:val="36"/>
                <w:sz w:val="24"/>
              </w:rPr>
              <w:t> </w:t>
            </w:r>
            <w:r>
              <w:rPr>
                <w:sz w:val="24"/>
              </w:rPr>
              <w:t>после</w:t>
            </w:r>
            <w:r>
              <w:rPr>
                <w:spacing w:val="33"/>
                <w:sz w:val="24"/>
              </w:rPr>
              <w:t> </w:t>
            </w:r>
            <w:r>
              <w:rPr>
                <w:sz w:val="24"/>
              </w:rPr>
              <w:t>еды</w:t>
            </w:r>
            <w:r>
              <w:rPr>
                <w:spacing w:val="40"/>
                <w:sz w:val="24"/>
              </w:rPr>
              <w:t> </w:t>
            </w:r>
            <w:r>
              <w:rPr>
                <w:sz w:val="24"/>
              </w:rPr>
              <w:t>через</w:t>
            </w:r>
            <w:r>
              <w:rPr>
                <w:spacing w:val="35"/>
                <w:sz w:val="24"/>
              </w:rPr>
              <w:t> </w:t>
            </w:r>
            <w:r>
              <w:rPr>
                <w:sz w:val="24"/>
              </w:rPr>
              <w:t>40</w:t>
            </w:r>
            <w:r>
              <w:rPr>
                <w:spacing w:val="34"/>
                <w:sz w:val="24"/>
              </w:rPr>
              <w:t> </w:t>
            </w:r>
            <w:r>
              <w:rPr>
                <w:sz w:val="24"/>
              </w:rPr>
              <w:t>минут</w:t>
            </w:r>
            <w:r>
              <w:rPr>
                <w:spacing w:val="40"/>
                <w:sz w:val="24"/>
              </w:rPr>
              <w:t> </w:t>
            </w:r>
            <w:r>
              <w:rPr>
                <w:sz w:val="24"/>
              </w:rPr>
              <w:t>–</w:t>
            </w:r>
            <w:r>
              <w:rPr>
                <w:spacing w:val="39"/>
                <w:sz w:val="24"/>
              </w:rPr>
              <w:t> </w:t>
            </w:r>
            <w:r>
              <w:rPr>
                <w:sz w:val="24"/>
              </w:rPr>
              <w:t>1</w:t>
            </w:r>
            <w:r>
              <w:rPr>
                <w:spacing w:val="38"/>
                <w:sz w:val="24"/>
              </w:rPr>
              <w:t> </w:t>
            </w:r>
            <w:r>
              <w:rPr>
                <w:sz w:val="24"/>
              </w:rPr>
              <w:t>час. Возможно</w:t>
            </w:r>
            <w:r>
              <w:rPr>
                <w:spacing w:val="26"/>
                <w:sz w:val="24"/>
              </w:rPr>
              <w:t> </w:t>
            </w:r>
            <w:r>
              <w:rPr>
                <w:sz w:val="24"/>
              </w:rPr>
              <w:t>также</w:t>
            </w:r>
            <w:r>
              <w:rPr>
                <w:spacing w:val="22"/>
                <w:sz w:val="24"/>
              </w:rPr>
              <w:t> </w:t>
            </w:r>
            <w:r>
              <w:rPr>
                <w:sz w:val="24"/>
              </w:rPr>
              <w:t>осуществить</w:t>
            </w:r>
            <w:r>
              <w:rPr>
                <w:spacing w:val="24"/>
                <w:sz w:val="24"/>
              </w:rPr>
              <w:t> </w:t>
            </w:r>
            <w:r>
              <w:rPr>
                <w:sz w:val="24"/>
              </w:rPr>
              <w:t>забор</w:t>
            </w:r>
            <w:r>
              <w:rPr>
                <w:spacing w:val="23"/>
                <w:sz w:val="24"/>
              </w:rPr>
              <w:t> </w:t>
            </w:r>
            <w:r>
              <w:rPr>
                <w:sz w:val="24"/>
              </w:rPr>
              <w:t>крови</w:t>
            </w:r>
            <w:r>
              <w:rPr>
                <w:spacing w:val="24"/>
                <w:sz w:val="24"/>
              </w:rPr>
              <w:t> </w:t>
            </w:r>
            <w:r>
              <w:rPr>
                <w:spacing w:val="-10"/>
                <w:sz w:val="24"/>
              </w:rPr>
              <w:t>и</w:t>
            </w:r>
          </w:p>
          <w:p>
            <w:pPr>
              <w:pStyle w:val="TableParagraph"/>
              <w:spacing w:line="260" w:lineRule="exact" w:before="2"/>
              <w:ind w:left="57"/>
              <w:rPr>
                <w:sz w:val="24"/>
              </w:rPr>
            </w:pPr>
            <w:r>
              <w:rPr>
                <w:spacing w:val="-2"/>
                <w:sz w:val="24"/>
              </w:rPr>
              <w:t>натощак.</w:t>
            </w:r>
          </w:p>
        </w:tc>
        <w:tc>
          <w:tcPr>
            <w:tcW w:w="4821" w:type="dxa"/>
            <w:tcBorders>
              <w:top w:val="nil"/>
              <w:bottom w:val="nil"/>
            </w:tcBorders>
          </w:tcPr>
          <w:p>
            <w:pPr>
              <w:pStyle w:val="TableParagraph"/>
              <w:spacing w:line="237" w:lineRule="auto" w:before="56"/>
              <w:ind w:left="57"/>
              <w:rPr>
                <w:sz w:val="24"/>
              </w:rPr>
            </w:pPr>
            <w:bookmarkStart w:name="_bookmark47" w:id="117"/>
            <w:bookmarkEnd w:id="117"/>
            <w:r>
              <w:rPr/>
            </w:r>
            <w:r>
              <w:rPr>
                <w:sz w:val="24"/>
              </w:rPr>
              <w:t>Рисунок</w:t>
            </w:r>
            <w:r>
              <w:rPr>
                <w:spacing w:val="40"/>
                <w:sz w:val="24"/>
              </w:rPr>
              <w:t> </w:t>
            </w:r>
            <w:r>
              <w:rPr>
                <w:sz w:val="24"/>
              </w:rPr>
              <w:t>1.</w:t>
            </w:r>
            <w:r>
              <w:rPr>
                <w:spacing w:val="40"/>
                <w:sz w:val="24"/>
              </w:rPr>
              <w:t> </w:t>
            </w:r>
            <w:r>
              <w:rPr>
                <w:sz w:val="24"/>
              </w:rPr>
              <w:t>Образец</w:t>
            </w:r>
            <w:r>
              <w:rPr>
                <w:spacing w:val="40"/>
                <w:sz w:val="24"/>
              </w:rPr>
              <w:t> </w:t>
            </w:r>
            <w:r>
              <w:rPr>
                <w:sz w:val="24"/>
              </w:rPr>
              <w:t>правильного</w:t>
            </w:r>
            <w:r>
              <w:rPr>
                <w:spacing w:val="40"/>
                <w:sz w:val="24"/>
              </w:rPr>
              <w:t> </w:t>
            </w:r>
            <w:r>
              <w:rPr>
                <w:sz w:val="24"/>
              </w:rPr>
              <w:t>нанесения крови на карточку-фильтр</w:t>
            </w:r>
          </w:p>
        </w:tc>
      </w:tr>
      <w:tr>
        <w:trPr>
          <w:trHeight w:val="158" w:hRule="exact"/>
        </w:trPr>
        <w:tc>
          <w:tcPr>
            <w:tcW w:w="4821" w:type="dxa"/>
            <w:vMerge/>
            <w:tcBorders>
              <w:top w:val="nil"/>
              <w:bottom w:val="nil"/>
            </w:tcBorders>
          </w:tcPr>
          <w:p>
            <w:pPr>
              <w:rPr>
                <w:sz w:val="2"/>
                <w:szCs w:val="2"/>
              </w:rPr>
            </w:pPr>
          </w:p>
        </w:tc>
        <w:tc>
          <w:tcPr>
            <w:tcW w:w="4821" w:type="dxa"/>
            <w:vMerge w:val="restart"/>
            <w:tcBorders>
              <w:top w:val="nil"/>
              <w:bottom w:val="nil"/>
            </w:tcBorders>
          </w:tcPr>
          <w:p>
            <w:pPr>
              <w:pStyle w:val="TableParagraph"/>
              <w:spacing w:before="9"/>
              <w:ind w:left="0"/>
              <w:rPr>
                <w:sz w:val="5"/>
              </w:rPr>
            </w:pPr>
          </w:p>
          <w:p>
            <w:pPr>
              <w:pStyle w:val="TableParagraph"/>
              <w:spacing w:before="0"/>
              <w:ind w:left="194"/>
              <w:rPr>
                <w:sz w:val="20"/>
              </w:rPr>
            </w:pPr>
            <w:r>
              <w:rPr>
                <w:sz w:val="20"/>
              </w:rPr>
              <w:drawing>
                <wp:inline distT="0" distB="0" distL="0" distR="0">
                  <wp:extent cx="2816909" cy="3914679"/>
                  <wp:effectExtent l="0" t="0" r="0" b="0"/>
                  <wp:docPr id="14" name="Image 14"/>
                  <wp:cNvGraphicFramePr>
                    <a:graphicFrameLocks/>
                  </wp:cNvGraphicFramePr>
                  <a:graphic>
                    <a:graphicData uri="http://schemas.openxmlformats.org/drawingml/2006/picture">
                      <pic:pic>
                        <pic:nvPicPr>
                          <pic:cNvPr id="14" name="Image 14"/>
                          <pic:cNvPicPr/>
                        </pic:nvPicPr>
                        <pic:blipFill>
                          <a:blip r:embed="rId10" cstate="print"/>
                          <a:stretch>
                            <a:fillRect/>
                          </a:stretch>
                        </pic:blipFill>
                        <pic:spPr>
                          <a:xfrm>
                            <a:off x="0" y="0"/>
                            <a:ext cx="2816909" cy="3914679"/>
                          </a:xfrm>
                          <a:prstGeom prst="rect">
                            <a:avLst/>
                          </a:prstGeom>
                        </pic:spPr>
                      </pic:pic>
                    </a:graphicData>
                  </a:graphic>
                </wp:inline>
              </w:drawing>
            </w:r>
            <w:r>
              <w:rPr>
                <w:sz w:val="20"/>
              </w:rPr>
            </w:r>
          </w:p>
        </w:tc>
      </w:tr>
      <w:tr>
        <w:trPr>
          <w:trHeight w:val="275" w:hRule="exact"/>
        </w:trPr>
        <w:tc>
          <w:tcPr>
            <w:tcW w:w="4821" w:type="dxa"/>
            <w:tcBorders>
              <w:top w:val="nil"/>
              <w:bottom w:val="nil"/>
            </w:tcBorders>
          </w:tcPr>
          <w:p>
            <w:pPr>
              <w:pStyle w:val="TableParagraph"/>
              <w:spacing w:line="256" w:lineRule="exact" w:before="0"/>
              <w:ind w:left="57"/>
              <w:rPr>
                <w:sz w:val="24"/>
              </w:rPr>
            </w:pPr>
            <w:r>
              <w:rPr>
                <w:sz w:val="24"/>
              </w:rPr>
              <w:t>На</w:t>
            </w:r>
            <w:r>
              <w:rPr>
                <w:spacing w:val="25"/>
                <w:sz w:val="24"/>
              </w:rPr>
              <w:t>  </w:t>
            </w:r>
            <w:r>
              <w:rPr>
                <w:sz w:val="24"/>
              </w:rPr>
              <w:t>карточке-фильтре</w:t>
            </w:r>
            <w:r>
              <w:rPr>
                <w:spacing w:val="75"/>
                <w:w w:val="150"/>
                <w:sz w:val="24"/>
              </w:rPr>
              <w:t> </w:t>
            </w:r>
            <w:r>
              <w:rPr>
                <w:sz w:val="24"/>
              </w:rPr>
              <w:t>обязательно</w:t>
            </w:r>
            <w:r>
              <w:rPr>
                <w:spacing w:val="27"/>
                <w:sz w:val="24"/>
              </w:rPr>
              <w:t>  </w:t>
            </w:r>
            <w:r>
              <w:rPr>
                <w:spacing w:val="-2"/>
                <w:sz w:val="24"/>
              </w:rPr>
              <w:t>должны</w:t>
            </w:r>
          </w:p>
        </w:tc>
        <w:tc>
          <w:tcPr>
            <w:tcW w:w="4821" w:type="dxa"/>
            <w:vMerge/>
            <w:tcBorders>
              <w:top w:val="nil"/>
              <w:bottom w:val="nil"/>
            </w:tcBorders>
          </w:tcPr>
          <w:p>
            <w:pPr>
              <w:rPr>
                <w:sz w:val="2"/>
                <w:szCs w:val="2"/>
              </w:rPr>
            </w:pPr>
          </w:p>
        </w:tc>
      </w:tr>
      <w:tr>
        <w:trPr>
          <w:trHeight w:val="275" w:hRule="exact"/>
        </w:trPr>
        <w:tc>
          <w:tcPr>
            <w:tcW w:w="4821" w:type="dxa"/>
            <w:tcBorders>
              <w:top w:val="nil"/>
              <w:bottom w:val="nil"/>
            </w:tcBorders>
          </w:tcPr>
          <w:p>
            <w:pPr>
              <w:pStyle w:val="TableParagraph"/>
              <w:spacing w:line="256" w:lineRule="exact" w:before="0"/>
              <w:ind w:left="57"/>
              <w:rPr>
                <w:sz w:val="24"/>
              </w:rPr>
            </w:pPr>
            <w:r>
              <w:rPr>
                <w:sz w:val="24"/>
              </w:rPr>
              <w:t>быть</w:t>
            </w:r>
            <w:r>
              <w:rPr>
                <w:spacing w:val="75"/>
                <w:w w:val="150"/>
                <w:sz w:val="24"/>
              </w:rPr>
              <w:t> </w:t>
            </w:r>
            <w:r>
              <w:rPr>
                <w:sz w:val="24"/>
              </w:rPr>
              <w:t>четко</w:t>
            </w:r>
            <w:r>
              <w:rPr>
                <w:spacing w:val="78"/>
                <w:w w:val="150"/>
                <w:sz w:val="24"/>
              </w:rPr>
              <w:t> </w:t>
            </w:r>
            <w:r>
              <w:rPr>
                <w:sz w:val="24"/>
              </w:rPr>
              <w:t>указаны</w:t>
            </w:r>
            <w:r>
              <w:rPr>
                <w:spacing w:val="75"/>
                <w:w w:val="150"/>
                <w:sz w:val="24"/>
              </w:rPr>
              <w:t> </w:t>
            </w:r>
            <w:r>
              <w:rPr>
                <w:sz w:val="24"/>
              </w:rPr>
              <w:t>ФИО,</w:t>
            </w:r>
            <w:r>
              <w:rPr>
                <w:spacing w:val="75"/>
                <w:w w:val="150"/>
                <w:sz w:val="24"/>
              </w:rPr>
              <w:t> </w:t>
            </w:r>
            <w:r>
              <w:rPr>
                <w:sz w:val="24"/>
              </w:rPr>
              <w:t>кем</w:t>
            </w:r>
            <w:r>
              <w:rPr>
                <w:spacing w:val="75"/>
                <w:w w:val="150"/>
                <w:sz w:val="24"/>
              </w:rPr>
              <w:t> </w:t>
            </w:r>
            <w:r>
              <w:rPr>
                <w:sz w:val="24"/>
              </w:rPr>
              <w:t>и</w:t>
            </w:r>
            <w:r>
              <w:rPr>
                <w:spacing w:val="70"/>
                <w:w w:val="150"/>
                <w:sz w:val="24"/>
              </w:rPr>
              <w:t> </w:t>
            </w:r>
            <w:r>
              <w:rPr>
                <w:spacing w:val="-2"/>
                <w:sz w:val="24"/>
              </w:rPr>
              <w:t>откуда</w:t>
            </w:r>
          </w:p>
        </w:tc>
        <w:tc>
          <w:tcPr>
            <w:tcW w:w="4821" w:type="dxa"/>
            <w:vMerge/>
            <w:tcBorders>
              <w:top w:val="nil"/>
              <w:bottom w:val="nil"/>
            </w:tcBorders>
          </w:tcPr>
          <w:p>
            <w:pPr>
              <w:rPr>
                <w:sz w:val="2"/>
                <w:szCs w:val="2"/>
              </w:rPr>
            </w:pPr>
          </w:p>
        </w:tc>
      </w:tr>
      <w:tr>
        <w:trPr>
          <w:trHeight w:val="276" w:hRule="exact"/>
        </w:trPr>
        <w:tc>
          <w:tcPr>
            <w:tcW w:w="4821" w:type="dxa"/>
            <w:tcBorders>
              <w:top w:val="nil"/>
              <w:bottom w:val="nil"/>
            </w:tcBorders>
          </w:tcPr>
          <w:p>
            <w:pPr>
              <w:pStyle w:val="TableParagraph"/>
              <w:spacing w:line="256" w:lineRule="exact" w:before="0"/>
              <w:ind w:left="57"/>
              <w:rPr>
                <w:sz w:val="24"/>
              </w:rPr>
            </w:pPr>
            <w:r>
              <w:rPr>
                <w:sz w:val="24"/>
              </w:rPr>
              <w:t>направлен</w:t>
            </w:r>
            <w:r>
              <w:rPr>
                <w:spacing w:val="3"/>
                <w:sz w:val="24"/>
              </w:rPr>
              <w:t> </w:t>
            </w:r>
            <w:r>
              <w:rPr>
                <w:sz w:val="24"/>
              </w:rPr>
              <w:t>пациент,</w:t>
            </w:r>
            <w:r>
              <w:rPr>
                <w:spacing w:val="6"/>
                <w:sz w:val="24"/>
              </w:rPr>
              <w:t> </w:t>
            </w:r>
            <w:r>
              <w:rPr>
                <w:sz w:val="24"/>
              </w:rPr>
              <w:t>дата</w:t>
            </w:r>
            <w:r>
              <w:rPr>
                <w:spacing w:val="2"/>
                <w:sz w:val="24"/>
              </w:rPr>
              <w:t> </w:t>
            </w:r>
            <w:r>
              <w:rPr>
                <w:sz w:val="24"/>
              </w:rPr>
              <w:t>рождения</w:t>
            </w:r>
            <w:r>
              <w:rPr>
                <w:spacing w:val="3"/>
                <w:sz w:val="24"/>
              </w:rPr>
              <w:t> </w:t>
            </w:r>
            <w:r>
              <w:rPr>
                <w:sz w:val="24"/>
              </w:rPr>
              <w:t>и</w:t>
            </w:r>
            <w:r>
              <w:rPr>
                <w:spacing w:val="4"/>
                <w:sz w:val="24"/>
              </w:rPr>
              <w:t> </w:t>
            </w:r>
            <w:r>
              <w:rPr>
                <w:spacing w:val="-2"/>
                <w:sz w:val="24"/>
              </w:rPr>
              <w:t>телефон</w:t>
            </w:r>
          </w:p>
        </w:tc>
        <w:tc>
          <w:tcPr>
            <w:tcW w:w="4821" w:type="dxa"/>
            <w:vMerge/>
            <w:tcBorders>
              <w:top w:val="nil"/>
              <w:bottom w:val="nil"/>
            </w:tcBorders>
          </w:tcPr>
          <w:p>
            <w:pPr>
              <w:rPr>
                <w:sz w:val="2"/>
                <w:szCs w:val="2"/>
              </w:rPr>
            </w:pPr>
          </w:p>
        </w:tc>
      </w:tr>
      <w:tr>
        <w:trPr>
          <w:trHeight w:val="276" w:hRule="exact"/>
        </w:trPr>
        <w:tc>
          <w:tcPr>
            <w:tcW w:w="4821" w:type="dxa"/>
            <w:tcBorders>
              <w:top w:val="nil"/>
              <w:bottom w:val="nil"/>
            </w:tcBorders>
          </w:tcPr>
          <w:p>
            <w:pPr>
              <w:pStyle w:val="TableParagraph"/>
              <w:spacing w:line="256" w:lineRule="exact" w:before="0"/>
              <w:ind w:left="57"/>
              <w:rPr>
                <w:sz w:val="24"/>
              </w:rPr>
            </w:pPr>
            <w:r>
              <w:rPr>
                <w:sz w:val="24"/>
              </w:rPr>
              <w:t>лечащего</w:t>
            </w:r>
            <w:r>
              <w:rPr>
                <w:spacing w:val="-1"/>
                <w:sz w:val="24"/>
              </w:rPr>
              <w:t> </w:t>
            </w:r>
            <w:r>
              <w:rPr>
                <w:sz w:val="24"/>
              </w:rPr>
              <w:t>врача</w:t>
            </w:r>
            <w:r>
              <w:rPr>
                <w:spacing w:val="-5"/>
                <w:sz w:val="24"/>
              </w:rPr>
              <w:t> </w:t>
            </w:r>
            <w:hyperlink w:history="true" w:anchor="_bookmark48">
              <w:r>
                <w:rPr>
                  <w:color w:val="0000FF"/>
                  <w:sz w:val="24"/>
                </w:rPr>
                <w:t>(рисунок</w:t>
              </w:r>
              <w:r>
                <w:rPr>
                  <w:color w:val="0000FF"/>
                  <w:spacing w:val="-2"/>
                  <w:sz w:val="24"/>
                </w:rPr>
                <w:t> </w:t>
              </w:r>
              <w:r>
                <w:rPr>
                  <w:color w:val="0000FF"/>
                  <w:spacing w:val="-5"/>
                  <w:sz w:val="24"/>
                </w:rPr>
                <w:t>2)</w:t>
              </w:r>
            </w:hyperlink>
            <w:r>
              <w:rPr>
                <w:spacing w:val="-5"/>
                <w:sz w:val="24"/>
              </w:rPr>
              <w:t>.</w:t>
            </w:r>
          </w:p>
        </w:tc>
        <w:tc>
          <w:tcPr>
            <w:tcW w:w="4821" w:type="dxa"/>
            <w:vMerge/>
            <w:tcBorders>
              <w:top w:val="nil"/>
              <w:bottom w:val="nil"/>
            </w:tcBorders>
          </w:tcPr>
          <w:p>
            <w:pPr>
              <w:rPr>
                <w:sz w:val="2"/>
                <w:szCs w:val="2"/>
              </w:rPr>
            </w:pPr>
          </w:p>
        </w:tc>
      </w:tr>
      <w:tr>
        <w:trPr>
          <w:trHeight w:val="276" w:hRule="exact"/>
        </w:trPr>
        <w:tc>
          <w:tcPr>
            <w:tcW w:w="4821" w:type="dxa"/>
            <w:tcBorders>
              <w:top w:val="nil"/>
              <w:bottom w:val="nil"/>
            </w:tcBorders>
          </w:tcPr>
          <w:p>
            <w:pPr>
              <w:pStyle w:val="TableParagraph"/>
              <w:spacing w:line="256" w:lineRule="exact" w:before="0"/>
              <w:ind w:left="57"/>
              <w:rPr>
                <w:sz w:val="24"/>
              </w:rPr>
            </w:pPr>
            <w:r>
              <w:rPr>
                <w:sz w:val="24"/>
              </w:rPr>
              <w:t>Высушенный</w:t>
            </w:r>
            <w:r>
              <w:rPr>
                <w:spacing w:val="29"/>
                <w:sz w:val="24"/>
              </w:rPr>
              <w:t>  </w:t>
            </w:r>
            <w:r>
              <w:rPr>
                <w:sz w:val="24"/>
              </w:rPr>
              <w:t>образец</w:t>
            </w:r>
            <w:r>
              <w:rPr>
                <w:spacing w:val="32"/>
                <w:sz w:val="24"/>
              </w:rPr>
              <w:t>  </w:t>
            </w:r>
            <w:r>
              <w:rPr>
                <w:sz w:val="24"/>
              </w:rPr>
              <w:t>сухих</w:t>
            </w:r>
            <w:r>
              <w:rPr>
                <w:spacing w:val="29"/>
                <w:sz w:val="24"/>
              </w:rPr>
              <w:t>  </w:t>
            </w:r>
            <w:r>
              <w:rPr>
                <w:sz w:val="24"/>
              </w:rPr>
              <w:t>пятен</w:t>
            </w:r>
            <w:r>
              <w:rPr>
                <w:spacing w:val="31"/>
                <w:sz w:val="24"/>
              </w:rPr>
              <w:t>  </w:t>
            </w:r>
            <w:r>
              <w:rPr>
                <w:spacing w:val="-4"/>
                <w:sz w:val="24"/>
              </w:rPr>
              <w:t>крови</w:t>
            </w:r>
          </w:p>
        </w:tc>
        <w:tc>
          <w:tcPr>
            <w:tcW w:w="4821" w:type="dxa"/>
            <w:vMerge/>
            <w:tcBorders>
              <w:top w:val="nil"/>
              <w:bottom w:val="nil"/>
            </w:tcBorders>
          </w:tcPr>
          <w:p>
            <w:pPr>
              <w:rPr>
                <w:sz w:val="2"/>
                <w:szCs w:val="2"/>
              </w:rPr>
            </w:pPr>
          </w:p>
        </w:tc>
      </w:tr>
      <w:tr>
        <w:trPr>
          <w:trHeight w:val="275" w:hRule="exact"/>
        </w:trPr>
        <w:tc>
          <w:tcPr>
            <w:tcW w:w="4821" w:type="dxa"/>
            <w:tcBorders>
              <w:top w:val="nil"/>
              <w:bottom w:val="nil"/>
            </w:tcBorders>
          </w:tcPr>
          <w:p>
            <w:pPr>
              <w:pStyle w:val="TableParagraph"/>
              <w:spacing w:line="256" w:lineRule="exact" w:before="0"/>
              <w:ind w:left="57"/>
              <w:rPr>
                <w:sz w:val="24"/>
              </w:rPr>
            </w:pPr>
            <w:r>
              <w:rPr>
                <w:sz w:val="24"/>
              </w:rPr>
              <w:t>вкладывается</w:t>
            </w:r>
            <w:r>
              <w:rPr>
                <w:spacing w:val="35"/>
                <w:sz w:val="24"/>
              </w:rPr>
              <w:t>  </w:t>
            </w:r>
            <w:r>
              <w:rPr>
                <w:sz w:val="24"/>
              </w:rPr>
              <w:t>в</w:t>
            </w:r>
            <w:r>
              <w:rPr>
                <w:spacing w:val="36"/>
                <w:sz w:val="24"/>
              </w:rPr>
              <w:t>  </w:t>
            </w:r>
            <w:r>
              <w:rPr>
                <w:sz w:val="24"/>
              </w:rPr>
              <w:t>чистый</w:t>
            </w:r>
            <w:r>
              <w:rPr>
                <w:spacing w:val="34"/>
                <w:sz w:val="24"/>
              </w:rPr>
              <w:t>  </w:t>
            </w:r>
            <w:r>
              <w:rPr>
                <w:sz w:val="24"/>
              </w:rPr>
              <w:t>конверт,</w:t>
            </w:r>
            <w:r>
              <w:rPr>
                <w:spacing w:val="37"/>
                <w:sz w:val="24"/>
              </w:rPr>
              <w:t>  </w:t>
            </w:r>
            <w:r>
              <w:rPr>
                <w:sz w:val="24"/>
              </w:rPr>
              <w:t>либо</w:t>
            </w:r>
            <w:r>
              <w:rPr>
                <w:spacing w:val="35"/>
                <w:sz w:val="24"/>
              </w:rPr>
              <w:t>  </w:t>
            </w:r>
            <w:r>
              <w:rPr>
                <w:spacing w:val="-10"/>
                <w:sz w:val="24"/>
              </w:rPr>
              <w:t>в</w:t>
            </w:r>
          </w:p>
        </w:tc>
        <w:tc>
          <w:tcPr>
            <w:tcW w:w="4821" w:type="dxa"/>
            <w:vMerge/>
            <w:tcBorders>
              <w:top w:val="nil"/>
              <w:bottom w:val="nil"/>
            </w:tcBorders>
          </w:tcPr>
          <w:p>
            <w:pPr>
              <w:rPr>
                <w:sz w:val="2"/>
                <w:szCs w:val="2"/>
              </w:rPr>
            </w:pPr>
          </w:p>
        </w:tc>
      </w:tr>
      <w:tr>
        <w:trPr>
          <w:trHeight w:val="276" w:hRule="exact"/>
        </w:trPr>
        <w:tc>
          <w:tcPr>
            <w:tcW w:w="4821" w:type="dxa"/>
            <w:tcBorders>
              <w:top w:val="nil"/>
              <w:bottom w:val="nil"/>
            </w:tcBorders>
          </w:tcPr>
          <w:p>
            <w:pPr>
              <w:pStyle w:val="TableParagraph"/>
              <w:spacing w:line="256" w:lineRule="exact" w:before="0"/>
              <w:ind w:left="57"/>
              <w:rPr>
                <w:sz w:val="24"/>
              </w:rPr>
            </w:pPr>
            <w:r>
              <w:rPr>
                <w:sz w:val="24"/>
              </w:rPr>
              <w:t>чистый</w:t>
            </w:r>
            <w:r>
              <w:rPr>
                <w:spacing w:val="60"/>
                <w:w w:val="150"/>
                <w:sz w:val="24"/>
              </w:rPr>
              <w:t> </w:t>
            </w:r>
            <w:r>
              <w:rPr>
                <w:sz w:val="24"/>
              </w:rPr>
              <w:t>файл.</w:t>
            </w:r>
            <w:r>
              <w:rPr>
                <w:spacing w:val="61"/>
                <w:w w:val="150"/>
                <w:sz w:val="24"/>
              </w:rPr>
              <w:t> </w:t>
            </w:r>
            <w:r>
              <w:rPr>
                <w:sz w:val="24"/>
              </w:rPr>
              <w:t>Карточка-фильтр</w:t>
            </w:r>
            <w:r>
              <w:rPr>
                <w:spacing w:val="55"/>
                <w:w w:val="150"/>
                <w:sz w:val="24"/>
              </w:rPr>
              <w:t> </w:t>
            </w:r>
            <w:r>
              <w:rPr>
                <w:sz w:val="24"/>
              </w:rPr>
              <w:t>не</w:t>
            </w:r>
            <w:r>
              <w:rPr>
                <w:spacing w:val="59"/>
                <w:w w:val="150"/>
                <w:sz w:val="24"/>
              </w:rPr>
              <w:t> </w:t>
            </w:r>
            <w:r>
              <w:rPr>
                <w:spacing w:val="-2"/>
                <w:sz w:val="24"/>
              </w:rPr>
              <w:t>должна</w:t>
            </w:r>
          </w:p>
        </w:tc>
        <w:tc>
          <w:tcPr>
            <w:tcW w:w="4821" w:type="dxa"/>
            <w:vMerge/>
            <w:tcBorders>
              <w:top w:val="nil"/>
              <w:bottom w:val="nil"/>
            </w:tcBorders>
          </w:tcPr>
          <w:p>
            <w:pPr>
              <w:rPr>
                <w:sz w:val="2"/>
                <w:szCs w:val="2"/>
              </w:rPr>
            </w:pPr>
          </w:p>
        </w:tc>
      </w:tr>
      <w:tr>
        <w:trPr>
          <w:trHeight w:val="276" w:hRule="exact"/>
        </w:trPr>
        <w:tc>
          <w:tcPr>
            <w:tcW w:w="4821" w:type="dxa"/>
            <w:tcBorders>
              <w:top w:val="nil"/>
              <w:bottom w:val="nil"/>
            </w:tcBorders>
          </w:tcPr>
          <w:p>
            <w:pPr>
              <w:pStyle w:val="TableParagraph"/>
              <w:spacing w:line="256" w:lineRule="exact" w:before="0"/>
              <w:ind w:left="57"/>
              <w:rPr>
                <w:sz w:val="24"/>
              </w:rPr>
            </w:pPr>
            <w:r>
              <w:rPr>
                <w:sz w:val="24"/>
              </w:rPr>
              <w:t>соприкасаться</w:t>
            </w:r>
            <w:r>
              <w:rPr>
                <w:spacing w:val="62"/>
                <w:sz w:val="24"/>
              </w:rPr>
              <w:t> </w:t>
            </w:r>
            <w:r>
              <w:rPr>
                <w:sz w:val="24"/>
              </w:rPr>
              <w:t>с</w:t>
            </w:r>
            <w:r>
              <w:rPr>
                <w:spacing w:val="61"/>
                <w:sz w:val="24"/>
              </w:rPr>
              <w:t> </w:t>
            </w:r>
            <w:r>
              <w:rPr>
                <w:sz w:val="24"/>
              </w:rPr>
              <w:t>грязной</w:t>
            </w:r>
            <w:r>
              <w:rPr>
                <w:spacing w:val="63"/>
                <w:sz w:val="24"/>
              </w:rPr>
              <w:t> </w:t>
            </w:r>
            <w:r>
              <w:rPr>
                <w:sz w:val="24"/>
              </w:rPr>
              <w:t>поверхностью</w:t>
            </w:r>
            <w:r>
              <w:rPr>
                <w:spacing w:val="60"/>
                <w:sz w:val="24"/>
              </w:rPr>
              <w:t> </w:t>
            </w:r>
            <w:r>
              <w:rPr>
                <w:sz w:val="24"/>
              </w:rPr>
              <w:t>и</w:t>
            </w:r>
            <w:r>
              <w:rPr>
                <w:spacing w:val="64"/>
                <w:sz w:val="24"/>
              </w:rPr>
              <w:t> </w:t>
            </w:r>
            <w:r>
              <w:rPr>
                <w:spacing w:val="-10"/>
                <w:sz w:val="24"/>
              </w:rPr>
              <w:t>с</w:t>
            </w:r>
          </w:p>
        </w:tc>
        <w:tc>
          <w:tcPr>
            <w:tcW w:w="4821" w:type="dxa"/>
            <w:vMerge/>
            <w:tcBorders>
              <w:top w:val="nil"/>
              <w:bottom w:val="nil"/>
            </w:tcBorders>
          </w:tcPr>
          <w:p>
            <w:pPr>
              <w:rPr>
                <w:sz w:val="2"/>
                <w:szCs w:val="2"/>
              </w:rPr>
            </w:pPr>
          </w:p>
        </w:tc>
      </w:tr>
      <w:tr>
        <w:trPr>
          <w:trHeight w:val="275" w:hRule="exact"/>
        </w:trPr>
        <w:tc>
          <w:tcPr>
            <w:tcW w:w="4821" w:type="dxa"/>
            <w:tcBorders>
              <w:top w:val="nil"/>
              <w:bottom w:val="nil"/>
            </w:tcBorders>
          </w:tcPr>
          <w:p>
            <w:pPr>
              <w:pStyle w:val="TableParagraph"/>
              <w:spacing w:line="256" w:lineRule="exact" w:before="0"/>
              <w:ind w:left="57"/>
              <w:rPr>
                <w:sz w:val="24"/>
              </w:rPr>
            </w:pPr>
            <w:r>
              <w:rPr>
                <w:sz w:val="24"/>
              </w:rPr>
              <w:t>образцами</w:t>
            </w:r>
            <w:r>
              <w:rPr>
                <w:spacing w:val="71"/>
                <w:w w:val="150"/>
                <w:sz w:val="24"/>
              </w:rPr>
              <w:t> </w:t>
            </w:r>
            <w:r>
              <w:rPr>
                <w:sz w:val="24"/>
              </w:rPr>
              <w:t>других</w:t>
            </w:r>
            <w:r>
              <w:rPr>
                <w:spacing w:val="69"/>
                <w:w w:val="150"/>
                <w:sz w:val="24"/>
              </w:rPr>
              <w:t> </w:t>
            </w:r>
            <w:r>
              <w:rPr>
                <w:sz w:val="24"/>
              </w:rPr>
              <w:t>пациентов.</w:t>
            </w:r>
            <w:r>
              <w:rPr>
                <w:spacing w:val="72"/>
                <w:w w:val="150"/>
                <w:sz w:val="24"/>
              </w:rPr>
              <w:t> </w:t>
            </w:r>
            <w:r>
              <w:rPr>
                <w:spacing w:val="-2"/>
                <w:sz w:val="24"/>
              </w:rPr>
              <w:t>Необходимо</w:t>
            </w:r>
          </w:p>
        </w:tc>
        <w:tc>
          <w:tcPr>
            <w:tcW w:w="4821" w:type="dxa"/>
            <w:vMerge/>
            <w:tcBorders>
              <w:top w:val="nil"/>
              <w:bottom w:val="nil"/>
            </w:tcBorders>
          </w:tcPr>
          <w:p>
            <w:pPr>
              <w:rPr>
                <w:sz w:val="2"/>
                <w:szCs w:val="2"/>
              </w:rPr>
            </w:pPr>
          </w:p>
        </w:tc>
      </w:tr>
      <w:tr>
        <w:trPr>
          <w:trHeight w:val="276" w:hRule="exact"/>
        </w:trPr>
        <w:tc>
          <w:tcPr>
            <w:tcW w:w="4821" w:type="dxa"/>
            <w:tcBorders>
              <w:top w:val="nil"/>
              <w:bottom w:val="nil"/>
            </w:tcBorders>
          </w:tcPr>
          <w:p>
            <w:pPr>
              <w:pStyle w:val="TableParagraph"/>
              <w:spacing w:line="256" w:lineRule="exact" w:before="0"/>
              <w:ind w:left="57"/>
              <w:rPr>
                <w:sz w:val="24"/>
              </w:rPr>
            </w:pPr>
            <w:r>
              <w:rPr>
                <w:sz w:val="24"/>
              </w:rPr>
              <w:t>приложить</w:t>
            </w:r>
            <w:r>
              <w:rPr>
                <w:spacing w:val="37"/>
                <w:sz w:val="24"/>
              </w:rPr>
              <w:t>  </w:t>
            </w:r>
            <w:r>
              <w:rPr>
                <w:sz w:val="24"/>
              </w:rPr>
              <w:t>к</w:t>
            </w:r>
            <w:r>
              <w:rPr>
                <w:spacing w:val="35"/>
                <w:sz w:val="24"/>
              </w:rPr>
              <w:t>  </w:t>
            </w:r>
            <w:r>
              <w:rPr>
                <w:sz w:val="24"/>
              </w:rPr>
              <w:t>образцам</w:t>
            </w:r>
            <w:r>
              <w:rPr>
                <w:spacing w:val="36"/>
                <w:sz w:val="24"/>
              </w:rPr>
              <w:t>  </w:t>
            </w:r>
            <w:r>
              <w:rPr>
                <w:spacing w:val="-2"/>
                <w:sz w:val="24"/>
              </w:rPr>
              <w:t>информированные</w:t>
            </w:r>
          </w:p>
        </w:tc>
        <w:tc>
          <w:tcPr>
            <w:tcW w:w="4821" w:type="dxa"/>
            <w:vMerge/>
            <w:tcBorders>
              <w:top w:val="nil"/>
              <w:bottom w:val="nil"/>
            </w:tcBorders>
          </w:tcPr>
          <w:p>
            <w:pPr>
              <w:rPr>
                <w:sz w:val="2"/>
                <w:szCs w:val="2"/>
              </w:rPr>
            </w:pPr>
          </w:p>
        </w:tc>
      </w:tr>
      <w:tr>
        <w:trPr>
          <w:trHeight w:val="276" w:hRule="exact"/>
        </w:trPr>
        <w:tc>
          <w:tcPr>
            <w:tcW w:w="4821" w:type="dxa"/>
            <w:tcBorders>
              <w:top w:val="nil"/>
              <w:bottom w:val="nil"/>
            </w:tcBorders>
          </w:tcPr>
          <w:p>
            <w:pPr>
              <w:pStyle w:val="TableParagraph"/>
              <w:tabs>
                <w:tab w:pos="1251" w:val="left" w:leader="none"/>
                <w:tab w:pos="2484" w:val="left" w:leader="none"/>
                <w:tab w:pos="3155" w:val="left" w:leader="none"/>
                <w:tab w:pos="3774" w:val="left" w:leader="none"/>
              </w:tabs>
              <w:spacing w:line="256" w:lineRule="exact" w:before="0"/>
              <w:ind w:left="57"/>
              <w:rPr>
                <w:sz w:val="24"/>
              </w:rPr>
            </w:pPr>
            <w:r>
              <w:rPr>
                <w:spacing w:val="-2"/>
                <w:sz w:val="24"/>
              </w:rPr>
              <w:t>согласия</w:t>
            </w:r>
            <w:r>
              <w:rPr>
                <w:sz w:val="24"/>
              </w:rPr>
              <w:tab/>
            </w:r>
            <w:r>
              <w:rPr>
                <w:spacing w:val="-2"/>
                <w:sz w:val="24"/>
              </w:rPr>
              <w:t>пациента</w:t>
            </w:r>
            <w:r>
              <w:rPr>
                <w:sz w:val="24"/>
              </w:rPr>
              <w:tab/>
            </w:r>
            <w:r>
              <w:rPr>
                <w:spacing w:val="-5"/>
                <w:sz w:val="24"/>
              </w:rPr>
              <w:t>или</w:t>
            </w:r>
            <w:r>
              <w:rPr>
                <w:sz w:val="24"/>
              </w:rPr>
              <w:tab/>
            </w:r>
            <w:r>
              <w:rPr>
                <w:spacing w:val="-5"/>
                <w:sz w:val="24"/>
              </w:rPr>
              <w:t>его</w:t>
            </w:r>
            <w:r>
              <w:rPr>
                <w:sz w:val="24"/>
              </w:rPr>
              <w:tab/>
            </w:r>
            <w:r>
              <w:rPr>
                <w:spacing w:val="-2"/>
                <w:sz w:val="24"/>
              </w:rPr>
              <w:t>законных</w:t>
            </w:r>
          </w:p>
        </w:tc>
        <w:tc>
          <w:tcPr>
            <w:tcW w:w="4821" w:type="dxa"/>
            <w:vMerge/>
            <w:tcBorders>
              <w:top w:val="nil"/>
              <w:bottom w:val="nil"/>
            </w:tcBorders>
          </w:tcPr>
          <w:p>
            <w:pPr>
              <w:rPr>
                <w:sz w:val="2"/>
                <w:szCs w:val="2"/>
              </w:rPr>
            </w:pPr>
          </w:p>
        </w:tc>
      </w:tr>
      <w:tr>
        <w:trPr>
          <w:trHeight w:val="276" w:hRule="exact"/>
        </w:trPr>
        <w:tc>
          <w:tcPr>
            <w:tcW w:w="4821" w:type="dxa"/>
            <w:tcBorders>
              <w:top w:val="nil"/>
              <w:bottom w:val="nil"/>
            </w:tcBorders>
          </w:tcPr>
          <w:p>
            <w:pPr>
              <w:pStyle w:val="TableParagraph"/>
              <w:spacing w:line="256" w:lineRule="exact" w:before="0"/>
              <w:ind w:left="57"/>
              <w:rPr>
                <w:sz w:val="24"/>
              </w:rPr>
            </w:pPr>
            <w:r>
              <w:rPr>
                <w:sz w:val="24"/>
              </w:rPr>
              <w:t>представителей</w:t>
            </w:r>
            <w:r>
              <w:rPr>
                <w:spacing w:val="12"/>
                <w:sz w:val="24"/>
              </w:rPr>
              <w:t> </w:t>
            </w:r>
            <w:r>
              <w:rPr>
                <w:sz w:val="24"/>
              </w:rPr>
              <w:t>на</w:t>
            </w:r>
            <w:r>
              <w:rPr>
                <w:spacing w:val="11"/>
                <w:sz w:val="24"/>
              </w:rPr>
              <w:t> </w:t>
            </w:r>
            <w:r>
              <w:rPr>
                <w:sz w:val="24"/>
              </w:rPr>
              <w:t>проведение</w:t>
            </w:r>
            <w:r>
              <w:rPr>
                <w:spacing w:val="12"/>
                <w:sz w:val="24"/>
              </w:rPr>
              <w:t> </w:t>
            </w:r>
            <w:r>
              <w:rPr>
                <w:spacing w:val="-2"/>
                <w:sz w:val="24"/>
              </w:rPr>
              <w:t>лабораторных</w:t>
            </w:r>
          </w:p>
        </w:tc>
        <w:tc>
          <w:tcPr>
            <w:tcW w:w="4821" w:type="dxa"/>
            <w:vMerge/>
            <w:tcBorders>
              <w:top w:val="nil"/>
              <w:bottom w:val="nil"/>
            </w:tcBorders>
          </w:tcPr>
          <w:p>
            <w:pPr>
              <w:rPr>
                <w:sz w:val="2"/>
                <w:szCs w:val="2"/>
              </w:rPr>
            </w:pPr>
          </w:p>
        </w:tc>
      </w:tr>
      <w:tr>
        <w:trPr>
          <w:trHeight w:val="2790" w:hRule="exact"/>
        </w:trPr>
        <w:tc>
          <w:tcPr>
            <w:tcW w:w="4821" w:type="dxa"/>
            <w:tcBorders>
              <w:top w:val="nil"/>
              <w:bottom w:val="nil"/>
            </w:tcBorders>
          </w:tcPr>
          <w:p>
            <w:pPr>
              <w:pStyle w:val="TableParagraph"/>
              <w:spacing w:line="270" w:lineRule="exact" w:before="0"/>
              <w:ind w:left="57"/>
              <w:rPr>
                <w:sz w:val="24"/>
              </w:rPr>
            </w:pPr>
            <w:r>
              <w:rPr>
                <w:spacing w:val="-2"/>
                <w:sz w:val="24"/>
              </w:rPr>
              <w:t>исследований</w:t>
            </w:r>
          </w:p>
        </w:tc>
        <w:tc>
          <w:tcPr>
            <w:tcW w:w="4821" w:type="dxa"/>
            <w:vMerge/>
            <w:tcBorders>
              <w:top w:val="nil"/>
              <w:bottom w:val="nil"/>
            </w:tcBorders>
          </w:tcPr>
          <w:p>
            <w:pPr>
              <w:rPr>
                <w:sz w:val="2"/>
                <w:szCs w:val="2"/>
              </w:rPr>
            </w:pPr>
          </w:p>
        </w:tc>
      </w:tr>
      <w:tr>
        <w:trPr>
          <w:trHeight w:val="399" w:hRule="exact"/>
        </w:trPr>
        <w:tc>
          <w:tcPr>
            <w:tcW w:w="4821" w:type="dxa"/>
            <w:tcBorders>
              <w:top w:val="nil"/>
            </w:tcBorders>
          </w:tcPr>
          <w:p>
            <w:pPr>
              <w:pStyle w:val="TableParagraph"/>
              <w:spacing w:before="0"/>
              <w:ind w:left="0"/>
              <w:rPr>
                <w:sz w:val="22"/>
              </w:rPr>
            </w:pPr>
          </w:p>
        </w:tc>
        <w:tc>
          <w:tcPr>
            <w:tcW w:w="4821" w:type="dxa"/>
            <w:tcBorders>
              <w:top w:val="nil"/>
            </w:tcBorders>
          </w:tcPr>
          <w:p>
            <w:pPr>
              <w:pStyle w:val="TableParagraph"/>
              <w:spacing w:before="55"/>
              <w:ind w:left="57"/>
              <w:rPr>
                <w:sz w:val="24"/>
              </w:rPr>
            </w:pPr>
            <w:bookmarkStart w:name="_bookmark48" w:id="118"/>
            <w:bookmarkEnd w:id="118"/>
            <w:r>
              <w:rPr/>
            </w:r>
            <w:r>
              <w:rPr>
                <w:sz w:val="24"/>
              </w:rPr>
              <w:t>Рисунок</w:t>
            </w:r>
            <w:r>
              <w:rPr>
                <w:spacing w:val="-3"/>
                <w:sz w:val="24"/>
              </w:rPr>
              <w:t> </w:t>
            </w:r>
            <w:r>
              <w:rPr>
                <w:sz w:val="24"/>
              </w:rPr>
              <w:t>2.</w:t>
            </w:r>
            <w:r>
              <w:rPr>
                <w:spacing w:val="-4"/>
                <w:sz w:val="24"/>
              </w:rPr>
              <w:t> </w:t>
            </w:r>
            <w:r>
              <w:rPr>
                <w:sz w:val="24"/>
              </w:rPr>
              <w:t>Образец карточки-</w:t>
            </w:r>
            <w:r>
              <w:rPr>
                <w:spacing w:val="-2"/>
                <w:sz w:val="24"/>
              </w:rPr>
              <w:t>фильтра</w:t>
            </w:r>
          </w:p>
        </w:tc>
      </w:tr>
    </w:tbl>
    <w:p>
      <w:pPr>
        <w:pStyle w:val="BodyText"/>
        <w:spacing w:before="14"/>
        <w:ind w:left="0"/>
        <w:jc w:val="left"/>
      </w:pPr>
    </w:p>
    <w:p>
      <w:pPr>
        <w:pStyle w:val="Heading1"/>
        <w:spacing w:before="1"/>
      </w:pPr>
      <w:bookmarkStart w:name="Алгоритм действий медицинского персонала" w:id="119"/>
      <w:bookmarkEnd w:id="119"/>
      <w:r>
        <w:rPr>
          <w:b w:val="0"/>
        </w:rPr>
      </w:r>
      <w:r>
        <w:rPr/>
        <w:t>Алгоритм</w:t>
      </w:r>
      <w:r>
        <w:rPr>
          <w:spacing w:val="80"/>
        </w:rPr>
        <w:t> </w:t>
      </w:r>
      <w:r>
        <w:rPr/>
        <w:t>действий</w:t>
      </w:r>
      <w:r>
        <w:rPr>
          <w:spacing w:val="80"/>
        </w:rPr>
        <w:t> </w:t>
      </w:r>
      <w:r>
        <w:rPr/>
        <w:t>медицинского</w:t>
      </w:r>
      <w:r>
        <w:rPr>
          <w:spacing w:val="80"/>
        </w:rPr>
        <w:t> </w:t>
      </w:r>
      <w:r>
        <w:rPr/>
        <w:t>персонала</w:t>
      </w:r>
      <w:r>
        <w:rPr>
          <w:spacing w:val="80"/>
        </w:rPr>
        <w:t> </w:t>
      </w:r>
      <w:r>
        <w:rPr/>
        <w:t>при</w:t>
      </w:r>
      <w:r>
        <w:rPr>
          <w:spacing w:val="80"/>
        </w:rPr>
        <w:t> </w:t>
      </w:r>
      <w:r>
        <w:rPr/>
        <w:t>взятии</w:t>
      </w:r>
      <w:r>
        <w:rPr>
          <w:spacing w:val="80"/>
        </w:rPr>
        <w:t> </w:t>
      </w:r>
      <w:r>
        <w:rPr/>
        <w:t>образцов </w:t>
      </w:r>
      <w:r>
        <w:rPr>
          <w:spacing w:val="-2"/>
        </w:rPr>
        <w:t>крови</w:t>
      </w:r>
    </w:p>
    <w:p>
      <w:pPr>
        <w:pStyle w:val="ListParagraph"/>
        <w:numPr>
          <w:ilvl w:val="1"/>
          <w:numId w:val="13"/>
        </w:numPr>
        <w:tabs>
          <w:tab w:pos="825" w:val="left" w:leader="none"/>
        </w:tabs>
        <w:spacing w:line="275" w:lineRule="exact" w:before="234" w:after="0"/>
        <w:ind w:left="825" w:right="0" w:hanging="143"/>
        <w:jc w:val="left"/>
        <w:rPr>
          <w:sz w:val="24"/>
        </w:rPr>
      </w:pPr>
      <w:r>
        <w:rPr>
          <w:sz w:val="24"/>
        </w:rPr>
        <w:t>вымыть</w:t>
      </w:r>
      <w:r>
        <w:rPr>
          <w:spacing w:val="-7"/>
          <w:sz w:val="24"/>
        </w:rPr>
        <w:t> </w:t>
      </w:r>
      <w:r>
        <w:rPr>
          <w:sz w:val="24"/>
        </w:rPr>
        <w:t>руки</w:t>
      </w:r>
      <w:r>
        <w:rPr>
          <w:spacing w:val="-5"/>
          <w:sz w:val="24"/>
        </w:rPr>
        <w:t> </w:t>
      </w:r>
      <w:r>
        <w:rPr>
          <w:sz w:val="24"/>
        </w:rPr>
        <w:t>(гигиенический</w:t>
      </w:r>
      <w:r>
        <w:rPr>
          <w:spacing w:val="-5"/>
          <w:sz w:val="24"/>
        </w:rPr>
        <w:t> </w:t>
      </w:r>
      <w:r>
        <w:rPr>
          <w:sz w:val="24"/>
        </w:rPr>
        <w:t>уровень),</w:t>
      </w:r>
      <w:r>
        <w:rPr>
          <w:spacing w:val="-4"/>
          <w:sz w:val="24"/>
        </w:rPr>
        <w:t> </w:t>
      </w:r>
      <w:r>
        <w:rPr>
          <w:sz w:val="24"/>
        </w:rPr>
        <w:t>надеть</w:t>
      </w:r>
      <w:r>
        <w:rPr>
          <w:spacing w:val="-8"/>
          <w:sz w:val="24"/>
        </w:rPr>
        <w:t> </w:t>
      </w:r>
      <w:r>
        <w:rPr>
          <w:spacing w:val="-2"/>
          <w:sz w:val="24"/>
        </w:rPr>
        <w:t>перчатки;</w:t>
      </w:r>
    </w:p>
    <w:p>
      <w:pPr>
        <w:pStyle w:val="ListParagraph"/>
        <w:numPr>
          <w:ilvl w:val="1"/>
          <w:numId w:val="13"/>
        </w:numPr>
        <w:tabs>
          <w:tab w:pos="820" w:val="left" w:leader="none"/>
        </w:tabs>
        <w:spacing w:line="275" w:lineRule="exact" w:before="0" w:after="0"/>
        <w:ind w:left="820" w:right="0" w:hanging="143"/>
        <w:jc w:val="left"/>
        <w:rPr>
          <w:sz w:val="24"/>
        </w:rPr>
      </w:pPr>
      <w:r>
        <w:rPr>
          <w:sz w:val="24"/>
        </w:rPr>
        <w:t>вымыть</w:t>
      </w:r>
      <w:r>
        <w:rPr>
          <w:spacing w:val="-3"/>
          <w:sz w:val="24"/>
        </w:rPr>
        <w:t> </w:t>
      </w:r>
      <w:r>
        <w:rPr>
          <w:sz w:val="24"/>
        </w:rPr>
        <w:t>руки</w:t>
      </w:r>
      <w:r>
        <w:rPr>
          <w:spacing w:val="-1"/>
          <w:sz w:val="24"/>
        </w:rPr>
        <w:t> </w:t>
      </w:r>
      <w:r>
        <w:rPr>
          <w:sz w:val="24"/>
        </w:rPr>
        <w:t>пациента</w:t>
      </w:r>
      <w:r>
        <w:rPr>
          <w:spacing w:val="-2"/>
          <w:sz w:val="24"/>
        </w:rPr>
        <w:t> </w:t>
      </w:r>
      <w:r>
        <w:rPr>
          <w:sz w:val="24"/>
        </w:rPr>
        <w:t>(пятку</w:t>
      </w:r>
      <w:r>
        <w:rPr>
          <w:spacing w:val="-11"/>
          <w:sz w:val="24"/>
        </w:rPr>
        <w:t> </w:t>
      </w:r>
      <w:r>
        <w:rPr>
          <w:sz w:val="24"/>
        </w:rPr>
        <w:t>ребенка</w:t>
      </w:r>
      <w:r>
        <w:rPr>
          <w:spacing w:val="-3"/>
          <w:sz w:val="24"/>
        </w:rPr>
        <w:t> </w:t>
      </w:r>
      <w:r>
        <w:rPr>
          <w:sz w:val="24"/>
        </w:rPr>
        <w:t>в</w:t>
      </w:r>
      <w:r>
        <w:rPr>
          <w:spacing w:val="-1"/>
          <w:sz w:val="24"/>
        </w:rPr>
        <w:t> </w:t>
      </w:r>
      <w:r>
        <w:rPr>
          <w:sz w:val="24"/>
        </w:rPr>
        <w:t>случае,</w:t>
      </w:r>
      <w:r>
        <w:rPr>
          <w:spacing w:val="1"/>
          <w:sz w:val="24"/>
        </w:rPr>
        <w:t> </w:t>
      </w:r>
      <w:r>
        <w:rPr>
          <w:sz w:val="24"/>
        </w:rPr>
        <w:t>если</w:t>
      </w:r>
      <w:r>
        <w:rPr>
          <w:spacing w:val="-1"/>
          <w:sz w:val="24"/>
        </w:rPr>
        <w:t> </w:t>
      </w:r>
      <w:r>
        <w:rPr>
          <w:sz w:val="24"/>
        </w:rPr>
        <w:t>кровь</w:t>
      </w:r>
      <w:r>
        <w:rPr>
          <w:spacing w:val="-2"/>
          <w:sz w:val="24"/>
        </w:rPr>
        <w:t> </w:t>
      </w:r>
      <w:r>
        <w:rPr>
          <w:sz w:val="24"/>
        </w:rPr>
        <w:t>берется</w:t>
      </w:r>
      <w:r>
        <w:rPr>
          <w:spacing w:val="-2"/>
          <w:sz w:val="24"/>
        </w:rPr>
        <w:t> </w:t>
      </w:r>
      <w:r>
        <w:rPr>
          <w:sz w:val="24"/>
        </w:rPr>
        <w:t>из</w:t>
      </w:r>
      <w:r>
        <w:rPr>
          <w:spacing w:val="-5"/>
          <w:sz w:val="24"/>
        </w:rPr>
        <w:t> </w:t>
      </w:r>
      <w:r>
        <w:rPr>
          <w:spacing w:val="-2"/>
          <w:sz w:val="24"/>
        </w:rPr>
        <w:t>пятки);</w:t>
      </w:r>
    </w:p>
    <w:p>
      <w:pPr>
        <w:pStyle w:val="ListParagraph"/>
        <w:numPr>
          <w:ilvl w:val="1"/>
          <w:numId w:val="13"/>
        </w:numPr>
        <w:tabs>
          <w:tab w:pos="882" w:val="left" w:leader="none"/>
          <w:tab w:pos="1602" w:val="left" w:leader="none"/>
          <w:tab w:pos="2446" w:val="left" w:leader="none"/>
          <w:tab w:pos="3875" w:val="left" w:leader="none"/>
          <w:tab w:pos="5258" w:val="left" w:leader="none"/>
          <w:tab w:pos="5628" w:val="left" w:leader="none"/>
          <w:tab w:pos="6937" w:val="left" w:leader="none"/>
          <w:tab w:pos="8419" w:val="left" w:leader="none"/>
        </w:tabs>
        <w:spacing w:line="237" w:lineRule="auto" w:before="4" w:after="0"/>
        <w:ind w:left="139" w:right="142" w:firstLine="538"/>
        <w:jc w:val="left"/>
        <w:rPr>
          <w:sz w:val="24"/>
        </w:rPr>
      </w:pPr>
      <w:r>
        <w:rPr>
          <w:sz w:val="24"/>
        </w:rPr>
        <w:t>протереть</w:t>
      </w:r>
      <w:r>
        <w:rPr>
          <w:spacing w:val="40"/>
          <w:sz w:val="24"/>
        </w:rPr>
        <w:t> </w:t>
      </w:r>
      <w:r>
        <w:rPr>
          <w:sz w:val="24"/>
        </w:rPr>
        <w:t>область</w:t>
      </w:r>
      <w:r>
        <w:rPr>
          <w:spacing w:val="40"/>
          <w:sz w:val="24"/>
        </w:rPr>
        <w:t> </w:t>
      </w:r>
      <w:r>
        <w:rPr>
          <w:sz w:val="24"/>
        </w:rPr>
        <w:t>прокалывания</w:t>
      </w:r>
      <w:r>
        <w:rPr>
          <w:spacing w:val="40"/>
          <w:sz w:val="24"/>
        </w:rPr>
        <w:t> </w:t>
      </w:r>
      <w:r>
        <w:rPr>
          <w:sz w:val="24"/>
        </w:rPr>
        <w:t>стерильной</w:t>
      </w:r>
      <w:r>
        <w:rPr>
          <w:spacing w:val="40"/>
          <w:sz w:val="24"/>
        </w:rPr>
        <w:t> </w:t>
      </w:r>
      <w:r>
        <w:rPr>
          <w:sz w:val="24"/>
        </w:rPr>
        <w:t>салфеткой,</w:t>
      </w:r>
      <w:r>
        <w:rPr>
          <w:spacing w:val="40"/>
          <w:sz w:val="24"/>
        </w:rPr>
        <w:t> </w:t>
      </w:r>
      <w:r>
        <w:rPr>
          <w:sz w:val="24"/>
        </w:rPr>
        <w:t>смоченной</w:t>
      </w:r>
      <w:r>
        <w:rPr>
          <w:spacing w:val="40"/>
          <w:sz w:val="24"/>
        </w:rPr>
        <w:t> </w:t>
      </w:r>
      <w:r>
        <w:rPr>
          <w:sz w:val="24"/>
        </w:rPr>
        <w:t>70%</w:t>
      </w:r>
      <w:r>
        <w:rPr>
          <w:spacing w:val="40"/>
          <w:sz w:val="24"/>
        </w:rPr>
        <w:t> </w:t>
      </w:r>
      <w:r>
        <w:rPr>
          <w:sz w:val="24"/>
        </w:rPr>
        <w:t>спиртом, </w:t>
      </w:r>
      <w:r>
        <w:rPr>
          <w:spacing w:val="-2"/>
          <w:sz w:val="24"/>
        </w:rPr>
        <w:t>промокнуть</w:t>
      </w:r>
      <w:r>
        <w:rPr>
          <w:sz w:val="24"/>
        </w:rPr>
        <w:tab/>
      </w:r>
      <w:r>
        <w:rPr>
          <w:spacing w:val="-4"/>
          <w:sz w:val="24"/>
        </w:rPr>
        <w:t>сухой</w:t>
      </w:r>
      <w:r>
        <w:rPr>
          <w:sz w:val="24"/>
        </w:rPr>
        <w:tab/>
      </w:r>
      <w:r>
        <w:rPr>
          <w:spacing w:val="-2"/>
          <w:sz w:val="24"/>
        </w:rPr>
        <w:t>стерильной</w:t>
      </w:r>
      <w:r>
        <w:rPr>
          <w:sz w:val="24"/>
        </w:rPr>
        <w:tab/>
      </w:r>
      <w:r>
        <w:rPr>
          <w:spacing w:val="-2"/>
          <w:sz w:val="24"/>
        </w:rPr>
        <w:t>салфеткой;</w:t>
      </w:r>
      <w:r>
        <w:rPr>
          <w:sz w:val="24"/>
        </w:rPr>
        <w:tab/>
      </w:r>
      <w:r>
        <w:rPr>
          <w:spacing w:val="-10"/>
          <w:sz w:val="24"/>
        </w:rPr>
        <w:t>–</w:t>
      </w:r>
      <w:r>
        <w:rPr>
          <w:sz w:val="24"/>
        </w:rPr>
        <w:tab/>
      </w:r>
      <w:r>
        <w:rPr>
          <w:spacing w:val="-2"/>
          <w:sz w:val="24"/>
        </w:rPr>
        <w:t>проколоть</w:t>
      </w:r>
      <w:r>
        <w:rPr>
          <w:sz w:val="24"/>
        </w:rPr>
        <w:tab/>
      </w:r>
      <w:r>
        <w:rPr>
          <w:spacing w:val="-2"/>
          <w:sz w:val="24"/>
        </w:rPr>
        <w:t>стерильным</w:t>
      </w:r>
      <w:r>
        <w:rPr>
          <w:sz w:val="24"/>
        </w:rPr>
        <w:tab/>
      </w:r>
      <w:r>
        <w:rPr>
          <w:spacing w:val="-2"/>
          <w:sz w:val="24"/>
        </w:rPr>
        <w:t>одноразовым</w:t>
      </w:r>
    </w:p>
    <w:p>
      <w:pPr>
        <w:spacing w:after="0" w:line="237" w:lineRule="auto"/>
        <w:jc w:val="left"/>
        <w:rPr>
          <w:sz w:val="24"/>
        </w:rPr>
        <w:sectPr>
          <w:pgSz w:w="11910" w:h="16840"/>
          <w:pgMar w:header="572" w:footer="1177" w:top="1320" w:bottom="1360" w:left="1560" w:right="420"/>
        </w:sectPr>
      </w:pPr>
    </w:p>
    <w:p>
      <w:pPr>
        <w:pStyle w:val="BodyText"/>
        <w:spacing w:before="80"/>
        <w:jc w:val="left"/>
      </w:pPr>
      <w:r>
        <w:rPr>
          <w:spacing w:val="-2"/>
        </w:rPr>
        <w:t>скарификатором;</w:t>
      </w:r>
    </w:p>
    <w:p>
      <w:pPr>
        <w:pStyle w:val="ListParagraph"/>
        <w:numPr>
          <w:ilvl w:val="1"/>
          <w:numId w:val="13"/>
        </w:numPr>
        <w:tabs>
          <w:tab w:pos="820" w:val="left" w:leader="none"/>
        </w:tabs>
        <w:spacing w:line="275" w:lineRule="exact" w:before="2" w:after="0"/>
        <w:ind w:left="820" w:right="0" w:hanging="143"/>
        <w:jc w:val="left"/>
        <w:rPr>
          <w:sz w:val="24"/>
        </w:rPr>
      </w:pPr>
      <w:r>
        <w:rPr>
          <w:sz w:val="24"/>
        </w:rPr>
        <w:t>снять</w:t>
      </w:r>
      <w:r>
        <w:rPr>
          <w:spacing w:val="-10"/>
          <w:sz w:val="24"/>
        </w:rPr>
        <w:t> </w:t>
      </w:r>
      <w:r>
        <w:rPr>
          <w:sz w:val="24"/>
        </w:rPr>
        <w:t>первую</w:t>
      </w:r>
      <w:r>
        <w:rPr>
          <w:spacing w:val="-6"/>
          <w:sz w:val="24"/>
        </w:rPr>
        <w:t> </w:t>
      </w:r>
      <w:r>
        <w:rPr>
          <w:sz w:val="24"/>
        </w:rPr>
        <w:t>каплю</w:t>
      </w:r>
      <w:r>
        <w:rPr>
          <w:spacing w:val="-6"/>
          <w:sz w:val="24"/>
        </w:rPr>
        <w:t> </w:t>
      </w:r>
      <w:r>
        <w:rPr>
          <w:sz w:val="24"/>
        </w:rPr>
        <w:t>крови</w:t>
      </w:r>
      <w:r>
        <w:rPr>
          <w:spacing w:val="-3"/>
          <w:sz w:val="24"/>
        </w:rPr>
        <w:t> </w:t>
      </w:r>
      <w:r>
        <w:rPr>
          <w:sz w:val="24"/>
        </w:rPr>
        <w:t>стерильным</w:t>
      </w:r>
      <w:r>
        <w:rPr>
          <w:spacing w:val="-4"/>
          <w:sz w:val="24"/>
        </w:rPr>
        <w:t> </w:t>
      </w:r>
      <w:r>
        <w:rPr>
          <w:sz w:val="24"/>
        </w:rPr>
        <w:t>сухим</w:t>
      </w:r>
      <w:r>
        <w:rPr>
          <w:spacing w:val="2"/>
          <w:sz w:val="24"/>
        </w:rPr>
        <w:t> </w:t>
      </w:r>
      <w:r>
        <w:rPr>
          <w:spacing w:val="-2"/>
          <w:sz w:val="24"/>
        </w:rPr>
        <w:t>тампоном;</w:t>
      </w:r>
    </w:p>
    <w:p>
      <w:pPr>
        <w:pStyle w:val="ListParagraph"/>
        <w:numPr>
          <w:ilvl w:val="1"/>
          <w:numId w:val="13"/>
        </w:numPr>
        <w:tabs>
          <w:tab w:pos="820" w:val="left" w:leader="none"/>
        </w:tabs>
        <w:spacing w:line="275" w:lineRule="exact" w:before="0" w:after="0"/>
        <w:ind w:left="820" w:right="0" w:hanging="143"/>
        <w:jc w:val="left"/>
        <w:rPr>
          <w:sz w:val="24"/>
        </w:rPr>
      </w:pPr>
      <w:r>
        <w:rPr>
          <w:sz w:val="24"/>
        </w:rPr>
        <w:t>мягко</w:t>
      </w:r>
      <w:r>
        <w:rPr>
          <w:spacing w:val="-3"/>
          <w:sz w:val="24"/>
        </w:rPr>
        <w:t> </w:t>
      </w:r>
      <w:r>
        <w:rPr>
          <w:sz w:val="24"/>
        </w:rPr>
        <w:t>надавить</w:t>
      </w:r>
      <w:r>
        <w:rPr>
          <w:spacing w:val="-6"/>
          <w:sz w:val="24"/>
        </w:rPr>
        <w:t> </w:t>
      </w:r>
      <w:r>
        <w:rPr>
          <w:sz w:val="24"/>
        </w:rPr>
        <w:t>для</w:t>
      </w:r>
      <w:r>
        <w:rPr>
          <w:spacing w:val="-2"/>
          <w:sz w:val="24"/>
        </w:rPr>
        <w:t> </w:t>
      </w:r>
      <w:r>
        <w:rPr>
          <w:sz w:val="24"/>
        </w:rPr>
        <w:t>получения</w:t>
      </w:r>
      <w:r>
        <w:rPr>
          <w:spacing w:val="-3"/>
          <w:sz w:val="24"/>
        </w:rPr>
        <w:t> </w:t>
      </w:r>
      <w:r>
        <w:rPr>
          <w:sz w:val="24"/>
        </w:rPr>
        <w:t>второй</w:t>
      </w:r>
      <w:r>
        <w:rPr>
          <w:spacing w:val="-2"/>
          <w:sz w:val="24"/>
        </w:rPr>
        <w:t> </w:t>
      </w:r>
      <w:r>
        <w:rPr>
          <w:sz w:val="24"/>
        </w:rPr>
        <w:t>капли</w:t>
      </w:r>
      <w:r>
        <w:rPr>
          <w:spacing w:val="-6"/>
          <w:sz w:val="24"/>
        </w:rPr>
        <w:t> </w:t>
      </w:r>
      <w:r>
        <w:rPr>
          <w:spacing w:val="-2"/>
          <w:sz w:val="24"/>
        </w:rPr>
        <w:t>крови;</w:t>
      </w:r>
    </w:p>
    <w:p>
      <w:pPr>
        <w:pStyle w:val="ListParagraph"/>
        <w:numPr>
          <w:ilvl w:val="1"/>
          <w:numId w:val="13"/>
        </w:numPr>
        <w:tabs>
          <w:tab w:pos="901" w:val="left" w:leader="none"/>
        </w:tabs>
        <w:spacing w:line="240" w:lineRule="auto" w:before="2" w:after="0"/>
        <w:ind w:left="139" w:right="145" w:firstLine="538"/>
        <w:jc w:val="both"/>
        <w:rPr>
          <w:sz w:val="24"/>
        </w:rPr>
      </w:pPr>
      <w:r>
        <w:rPr>
          <w:sz w:val="24"/>
        </w:rPr>
        <w:t>приложить перпендикулярно тест-бланк к капле крови и пропитать его кровью </w:t>
      </w:r>
      <w:r>
        <w:rPr>
          <w:spacing w:val="-2"/>
          <w:sz w:val="24"/>
        </w:rPr>
        <w:t>насквозь;</w:t>
      </w:r>
    </w:p>
    <w:p>
      <w:pPr>
        <w:pStyle w:val="ListParagraph"/>
        <w:numPr>
          <w:ilvl w:val="1"/>
          <w:numId w:val="13"/>
        </w:numPr>
        <w:tabs>
          <w:tab w:pos="824" w:val="left" w:leader="none"/>
        </w:tabs>
        <w:spacing w:line="237" w:lineRule="auto" w:before="3" w:after="0"/>
        <w:ind w:left="139" w:right="143" w:firstLine="538"/>
        <w:jc w:val="both"/>
        <w:rPr>
          <w:sz w:val="24"/>
        </w:rPr>
      </w:pPr>
      <w:r>
        <w:rPr>
          <w:sz w:val="24"/>
        </w:rPr>
        <w:t>аналогичным образом нанести на тест-бланк 6-8 капель, вид пятен крови должен быть одинаковым с обеих сторон.</w:t>
      </w:r>
    </w:p>
    <w:p>
      <w:pPr>
        <w:pStyle w:val="ListParagraph"/>
        <w:numPr>
          <w:ilvl w:val="1"/>
          <w:numId w:val="13"/>
        </w:numPr>
        <w:tabs>
          <w:tab w:pos="954" w:val="left" w:leader="none"/>
        </w:tabs>
        <w:spacing w:line="240" w:lineRule="auto" w:before="4" w:after="0"/>
        <w:ind w:left="139" w:right="147" w:firstLine="538"/>
        <w:jc w:val="both"/>
        <w:rPr>
          <w:sz w:val="24"/>
        </w:rPr>
      </w:pPr>
      <w:r>
        <w:rPr>
          <w:sz w:val="24"/>
        </w:rPr>
        <w:t>высушить тест-бланк в горизонтальном положении на чистой обезжиренной поверхности не менее 4 ч без применения тепловой обработки и попадания прямых солнечных лучей;</w:t>
      </w:r>
    </w:p>
    <w:p>
      <w:pPr>
        <w:pStyle w:val="ListParagraph"/>
        <w:numPr>
          <w:ilvl w:val="1"/>
          <w:numId w:val="13"/>
        </w:numPr>
        <w:tabs>
          <w:tab w:pos="901" w:val="left" w:leader="none"/>
        </w:tabs>
        <w:spacing w:line="242" w:lineRule="auto" w:before="0" w:after="0"/>
        <w:ind w:left="139" w:right="148" w:firstLine="538"/>
        <w:jc w:val="both"/>
        <w:rPr>
          <w:sz w:val="24"/>
        </w:rPr>
      </w:pPr>
      <w:r>
        <w:rPr>
          <w:sz w:val="24"/>
        </w:rPr>
        <w:t>упаковать тест-бланки в чистый конверт таким образом, чтобы пятна крови не </w:t>
      </w:r>
      <w:r>
        <w:rPr>
          <w:spacing w:val="-2"/>
          <w:sz w:val="24"/>
        </w:rPr>
        <w:t>соприкасались.</w:t>
      </w:r>
    </w:p>
    <w:p>
      <w:pPr>
        <w:pStyle w:val="BodyText"/>
        <w:ind w:left="0"/>
        <w:jc w:val="left"/>
      </w:pPr>
    </w:p>
    <w:p>
      <w:pPr>
        <w:pStyle w:val="Heading1"/>
        <w:ind w:left="682" w:firstLine="0"/>
        <w:jc w:val="both"/>
      </w:pPr>
      <w:bookmarkStart w:name="Особенности при инфузионной терапии" w:id="120"/>
      <w:bookmarkEnd w:id="120"/>
      <w:r>
        <w:rPr>
          <w:b w:val="0"/>
        </w:rPr>
      </w:r>
      <w:r>
        <w:rPr/>
        <w:t>Особенности</w:t>
      </w:r>
      <w:r>
        <w:rPr>
          <w:spacing w:val="-11"/>
        </w:rPr>
        <w:t> </w:t>
      </w:r>
      <w:r>
        <w:rPr/>
        <w:t>при</w:t>
      </w:r>
      <w:r>
        <w:rPr>
          <w:spacing w:val="-10"/>
        </w:rPr>
        <w:t> </w:t>
      </w:r>
      <w:r>
        <w:rPr/>
        <w:t>инфузионной</w:t>
      </w:r>
      <w:r>
        <w:rPr>
          <w:spacing w:val="-10"/>
        </w:rPr>
        <w:t> </w:t>
      </w:r>
      <w:r>
        <w:rPr>
          <w:spacing w:val="-2"/>
        </w:rPr>
        <w:t>терапии</w:t>
      </w:r>
    </w:p>
    <w:p>
      <w:pPr>
        <w:pStyle w:val="BodyText"/>
        <w:spacing w:before="234"/>
        <w:ind w:right="140" w:firstLine="542"/>
      </w:pPr>
      <w:r>
        <w:rPr/>
        <w:t>Некоторые</w:t>
      </w:r>
      <w:r>
        <w:rPr>
          <w:spacing w:val="-4"/>
        </w:rPr>
        <w:t> </w:t>
      </w:r>
      <w:r>
        <w:rPr/>
        <w:t>пациенты</w:t>
      </w:r>
      <w:r>
        <w:rPr>
          <w:spacing w:val="-1"/>
        </w:rPr>
        <w:t> </w:t>
      </w:r>
      <w:r>
        <w:rPr/>
        <w:t>могут получать инфузионную терапию, переливание</w:t>
      </w:r>
      <w:r>
        <w:rPr>
          <w:spacing w:val="-4"/>
        </w:rPr>
        <w:t> </w:t>
      </w:r>
      <w:r>
        <w:rPr/>
        <w:t>компонентов крови, что может</w:t>
      </w:r>
      <w:r>
        <w:rPr>
          <w:spacing w:val="-1"/>
        </w:rPr>
        <w:t> </w:t>
      </w:r>
      <w:r>
        <w:rPr/>
        <w:t>оказать влияние на результаты тестов. Например, при переливании плазмы крови могут быть получены ложноотрицательные результаты, так как определяемые ферменты находятся в плазме и в клетках крови. Рекомендуется осуществить забор крови</w:t>
      </w:r>
      <w:r>
        <w:rPr>
          <w:spacing w:val="80"/>
        </w:rPr>
        <w:t> </w:t>
      </w:r>
      <w:r>
        <w:rPr/>
        <w:t>для ферментной и ДНК-диагностики не 9 ранее чем через 6-7 дней после переливания</w:t>
      </w:r>
      <w:r>
        <w:rPr>
          <w:spacing w:val="40"/>
        </w:rPr>
        <w:t> </w:t>
      </w:r>
      <w:r>
        <w:rPr/>
        <w:t>плазмы крови и через 7-10 дней после переливания компонентов крови</w:t>
      </w:r>
    </w:p>
    <w:p>
      <w:pPr>
        <w:pStyle w:val="BodyText"/>
        <w:spacing w:line="275" w:lineRule="exact" w:before="1"/>
        <w:ind w:left="677"/>
      </w:pPr>
      <w:r>
        <w:rPr/>
        <w:t>Не</w:t>
      </w:r>
      <w:r>
        <w:rPr>
          <w:spacing w:val="-3"/>
        </w:rPr>
        <w:t> </w:t>
      </w:r>
      <w:r>
        <w:rPr/>
        <w:t>допускается</w:t>
      </w:r>
      <w:r>
        <w:rPr>
          <w:spacing w:val="-1"/>
        </w:rPr>
        <w:t> </w:t>
      </w:r>
      <w:r>
        <w:rPr/>
        <w:t>забор </w:t>
      </w:r>
      <w:r>
        <w:rPr>
          <w:spacing w:val="-4"/>
        </w:rPr>
        <w:t>крови</w:t>
      </w:r>
    </w:p>
    <w:p>
      <w:pPr>
        <w:pStyle w:val="ListParagraph"/>
        <w:numPr>
          <w:ilvl w:val="1"/>
          <w:numId w:val="13"/>
        </w:numPr>
        <w:tabs>
          <w:tab w:pos="820" w:val="left" w:leader="none"/>
        </w:tabs>
        <w:spacing w:line="275" w:lineRule="exact" w:before="0" w:after="0"/>
        <w:ind w:left="820" w:right="0" w:hanging="143"/>
        <w:jc w:val="both"/>
        <w:rPr>
          <w:sz w:val="24"/>
        </w:rPr>
      </w:pPr>
      <w:r>
        <w:rPr>
          <w:sz w:val="24"/>
        </w:rPr>
        <w:t>сразу</w:t>
      </w:r>
      <w:r>
        <w:rPr>
          <w:spacing w:val="-11"/>
          <w:sz w:val="24"/>
        </w:rPr>
        <w:t> </w:t>
      </w:r>
      <w:r>
        <w:rPr>
          <w:sz w:val="24"/>
        </w:rPr>
        <w:t>после</w:t>
      </w:r>
      <w:r>
        <w:rPr>
          <w:spacing w:val="-2"/>
          <w:sz w:val="24"/>
        </w:rPr>
        <w:t> </w:t>
      </w:r>
      <w:r>
        <w:rPr>
          <w:sz w:val="24"/>
        </w:rPr>
        <w:t>проведения</w:t>
      </w:r>
      <w:r>
        <w:rPr>
          <w:spacing w:val="-6"/>
          <w:sz w:val="24"/>
        </w:rPr>
        <w:t> </w:t>
      </w:r>
      <w:r>
        <w:rPr>
          <w:sz w:val="24"/>
        </w:rPr>
        <w:t>пациенту</w:t>
      </w:r>
      <w:r>
        <w:rPr>
          <w:spacing w:val="-10"/>
          <w:sz w:val="24"/>
        </w:rPr>
        <w:t> </w:t>
      </w:r>
      <w:r>
        <w:rPr>
          <w:sz w:val="24"/>
        </w:rPr>
        <w:t>инфузионной </w:t>
      </w:r>
      <w:r>
        <w:rPr>
          <w:spacing w:val="-2"/>
          <w:sz w:val="24"/>
        </w:rPr>
        <w:t>терапии;</w:t>
      </w:r>
    </w:p>
    <w:p>
      <w:pPr>
        <w:pStyle w:val="ListParagraph"/>
        <w:numPr>
          <w:ilvl w:val="1"/>
          <w:numId w:val="13"/>
        </w:numPr>
        <w:tabs>
          <w:tab w:pos="820" w:val="left" w:leader="none"/>
        </w:tabs>
        <w:spacing w:line="240" w:lineRule="auto" w:before="2" w:after="0"/>
        <w:ind w:left="820" w:right="0" w:hanging="143"/>
        <w:jc w:val="both"/>
        <w:rPr>
          <w:sz w:val="24"/>
        </w:rPr>
      </w:pPr>
      <w:r>
        <w:rPr>
          <w:sz w:val="24"/>
        </w:rPr>
        <w:t>сразу</w:t>
      </w:r>
      <w:r>
        <w:rPr>
          <w:spacing w:val="-13"/>
          <w:sz w:val="24"/>
        </w:rPr>
        <w:t> </w:t>
      </w:r>
      <w:r>
        <w:rPr>
          <w:sz w:val="24"/>
        </w:rPr>
        <w:t>после</w:t>
      </w:r>
      <w:r>
        <w:rPr>
          <w:spacing w:val="-1"/>
          <w:sz w:val="24"/>
        </w:rPr>
        <w:t> </w:t>
      </w:r>
      <w:r>
        <w:rPr>
          <w:sz w:val="24"/>
        </w:rPr>
        <w:t>заменного</w:t>
      </w:r>
      <w:r>
        <w:rPr>
          <w:spacing w:val="-1"/>
          <w:sz w:val="24"/>
        </w:rPr>
        <w:t> </w:t>
      </w:r>
      <w:r>
        <w:rPr>
          <w:sz w:val="24"/>
        </w:rPr>
        <w:t>переливания</w:t>
      </w:r>
      <w:r>
        <w:rPr>
          <w:spacing w:val="-5"/>
          <w:sz w:val="24"/>
        </w:rPr>
        <w:t> </w:t>
      </w:r>
      <w:r>
        <w:rPr>
          <w:spacing w:val="-2"/>
          <w:sz w:val="24"/>
        </w:rPr>
        <w:t>крови.</w:t>
      </w:r>
    </w:p>
    <w:p>
      <w:pPr>
        <w:pStyle w:val="BodyText"/>
        <w:spacing w:before="6"/>
        <w:ind w:left="0"/>
        <w:jc w:val="left"/>
      </w:pPr>
    </w:p>
    <w:p>
      <w:pPr>
        <w:pStyle w:val="Heading1"/>
        <w:ind w:left="682" w:firstLine="0"/>
        <w:jc w:val="both"/>
      </w:pPr>
      <w:bookmarkStart w:name="Хранение и транспортировка биоматериала" w:id="121"/>
      <w:bookmarkEnd w:id="121"/>
      <w:r>
        <w:rPr>
          <w:b w:val="0"/>
        </w:rPr>
      </w:r>
      <w:r>
        <w:rPr/>
        <w:t>Хранение</w:t>
      </w:r>
      <w:r>
        <w:rPr>
          <w:spacing w:val="-12"/>
        </w:rPr>
        <w:t> </w:t>
      </w:r>
      <w:r>
        <w:rPr/>
        <w:t>и</w:t>
      </w:r>
      <w:r>
        <w:rPr>
          <w:spacing w:val="-11"/>
        </w:rPr>
        <w:t> </w:t>
      </w:r>
      <w:r>
        <w:rPr/>
        <w:t>транспортировка</w:t>
      </w:r>
      <w:r>
        <w:rPr>
          <w:spacing w:val="-13"/>
        </w:rPr>
        <w:t> </w:t>
      </w:r>
      <w:r>
        <w:rPr>
          <w:spacing w:val="-2"/>
        </w:rPr>
        <w:t>биоматериала</w:t>
      </w:r>
    </w:p>
    <w:p>
      <w:pPr>
        <w:pStyle w:val="BodyText"/>
        <w:spacing w:line="275" w:lineRule="exact" w:before="234"/>
        <w:ind w:left="682"/>
      </w:pPr>
      <w:r>
        <w:rPr/>
        <w:t>Образцы высушенных</w:t>
      </w:r>
      <w:r>
        <w:rPr>
          <w:spacing w:val="-2"/>
        </w:rPr>
        <w:t> </w:t>
      </w:r>
      <w:r>
        <w:rPr/>
        <w:t>пятен</w:t>
      </w:r>
      <w:r>
        <w:rPr>
          <w:spacing w:val="1"/>
        </w:rPr>
        <w:t> </w:t>
      </w:r>
      <w:r>
        <w:rPr/>
        <w:t>крови</w:t>
      </w:r>
      <w:r>
        <w:rPr>
          <w:spacing w:val="-1"/>
        </w:rPr>
        <w:t> </w:t>
      </w:r>
      <w:r>
        <w:rPr/>
        <w:t>можно хранить</w:t>
      </w:r>
      <w:r>
        <w:rPr>
          <w:spacing w:val="-1"/>
        </w:rPr>
        <w:t> </w:t>
      </w:r>
      <w:r>
        <w:rPr/>
        <w:t>в</w:t>
      </w:r>
      <w:r>
        <w:rPr>
          <w:spacing w:val="-2"/>
        </w:rPr>
        <w:t> </w:t>
      </w:r>
      <w:r>
        <w:rPr/>
        <w:t>обычной</w:t>
      </w:r>
      <w:r>
        <w:rPr>
          <w:spacing w:val="2"/>
        </w:rPr>
        <w:t> </w:t>
      </w:r>
      <w:r>
        <w:rPr/>
        <w:t>камере</w:t>
      </w:r>
      <w:r>
        <w:rPr>
          <w:spacing w:val="1"/>
        </w:rPr>
        <w:t> </w:t>
      </w:r>
      <w:r>
        <w:rPr/>
        <w:t>холодильника</w:t>
      </w:r>
      <w:r>
        <w:rPr>
          <w:spacing w:val="1"/>
        </w:rPr>
        <w:t> </w:t>
      </w:r>
      <w:r>
        <w:rPr>
          <w:spacing w:val="-5"/>
        </w:rPr>
        <w:t>при</w:t>
      </w:r>
    </w:p>
    <w:p>
      <w:pPr>
        <w:pStyle w:val="BodyText"/>
        <w:ind w:right="146"/>
      </w:pPr>
      <w:r>
        <w:rPr/>
        <w:t>+40 C до отправки. Срок хранения до момента отправки не должен превышать 7 дней. Если хранить дольше и при более высокой температуре, то активность фермента даже в норме может снижаться, что приведет к ложноположительным результатам.</w:t>
      </w:r>
    </w:p>
    <w:p>
      <w:pPr>
        <w:pStyle w:val="BodyText"/>
        <w:spacing w:before="5"/>
        <w:ind w:left="0"/>
        <w:jc w:val="left"/>
      </w:pPr>
    </w:p>
    <w:p>
      <w:pPr>
        <w:pStyle w:val="Heading1"/>
        <w:ind w:left="682" w:firstLine="0"/>
        <w:jc w:val="both"/>
      </w:pPr>
      <w:bookmarkStart w:name="Рекомендованные объемы введения себелипа" w:id="122"/>
      <w:bookmarkEnd w:id="122"/>
      <w:r>
        <w:rPr>
          <w:b w:val="0"/>
        </w:rPr>
      </w:r>
      <w:r>
        <w:rPr/>
        <w:t>Рекомендованные</w:t>
      </w:r>
      <w:r>
        <w:rPr>
          <w:spacing w:val="-14"/>
        </w:rPr>
        <w:t> </w:t>
      </w:r>
      <w:r>
        <w:rPr/>
        <w:t>объемы</w:t>
      </w:r>
      <w:r>
        <w:rPr>
          <w:spacing w:val="-15"/>
        </w:rPr>
        <w:t> </w:t>
      </w:r>
      <w:r>
        <w:rPr/>
        <w:t>введения</w:t>
      </w:r>
      <w:r>
        <w:rPr>
          <w:spacing w:val="-16"/>
        </w:rPr>
        <w:t> </w:t>
      </w:r>
      <w:r>
        <w:rPr/>
        <w:t>себелипазы</w:t>
      </w:r>
      <w:r>
        <w:rPr>
          <w:spacing w:val="-15"/>
        </w:rPr>
        <w:t> </w:t>
      </w:r>
      <w:r>
        <w:rPr>
          <w:spacing w:val="-2"/>
        </w:rPr>
        <w:t>альфа**</w:t>
      </w:r>
    </w:p>
    <w:p>
      <w:pPr>
        <w:pStyle w:val="BodyText"/>
        <w:spacing w:before="50"/>
        <w:ind w:left="0"/>
        <w:jc w:val="left"/>
        <w:rPr>
          <w:b/>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39"/>
        <w:gridCol w:w="5004"/>
      </w:tblGrid>
      <w:tr>
        <w:trPr>
          <w:trHeight w:val="388" w:hRule="atLeast"/>
        </w:trPr>
        <w:tc>
          <w:tcPr>
            <w:tcW w:w="4639" w:type="dxa"/>
          </w:tcPr>
          <w:p>
            <w:pPr>
              <w:pStyle w:val="TableParagraph"/>
              <w:spacing w:before="50"/>
              <w:rPr>
                <w:sz w:val="24"/>
              </w:rPr>
            </w:pPr>
            <w:r>
              <w:rPr>
                <w:sz w:val="24"/>
              </w:rPr>
              <w:t>Величина</w:t>
            </w:r>
            <w:r>
              <w:rPr>
                <w:spacing w:val="-4"/>
                <w:sz w:val="24"/>
              </w:rPr>
              <w:t> </w:t>
            </w:r>
            <w:r>
              <w:rPr>
                <w:sz w:val="24"/>
              </w:rPr>
              <w:t>массы</w:t>
            </w:r>
            <w:r>
              <w:rPr>
                <w:spacing w:val="1"/>
                <w:sz w:val="24"/>
              </w:rPr>
              <w:t> </w:t>
            </w:r>
            <w:r>
              <w:rPr>
                <w:sz w:val="24"/>
              </w:rPr>
              <w:t>тела</w:t>
            </w:r>
            <w:r>
              <w:rPr>
                <w:spacing w:val="-5"/>
                <w:sz w:val="24"/>
              </w:rPr>
              <w:t> </w:t>
            </w:r>
            <w:r>
              <w:rPr>
                <w:spacing w:val="-4"/>
                <w:sz w:val="24"/>
              </w:rPr>
              <w:t>(кг)</w:t>
            </w:r>
          </w:p>
        </w:tc>
        <w:tc>
          <w:tcPr>
            <w:tcW w:w="5004" w:type="dxa"/>
          </w:tcPr>
          <w:p>
            <w:pPr>
              <w:pStyle w:val="TableParagraph"/>
              <w:spacing w:before="50"/>
              <w:ind w:left="66"/>
              <w:rPr>
                <w:sz w:val="24"/>
              </w:rPr>
            </w:pPr>
            <w:r>
              <w:rPr>
                <w:sz w:val="24"/>
              </w:rPr>
              <w:t>Общий</w:t>
            </w:r>
            <w:r>
              <w:rPr>
                <w:spacing w:val="-5"/>
                <w:sz w:val="24"/>
              </w:rPr>
              <w:t> </w:t>
            </w:r>
            <w:r>
              <w:rPr>
                <w:sz w:val="24"/>
              </w:rPr>
              <w:t>объем</w:t>
            </w:r>
            <w:r>
              <w:rPr>
                <w:spacing w:val="-5"/>
                <w:sz w:val="24"/>
              </w:rPr>
              <w:t> </w:t>
            </w:r>
            <w:r>
              <w:rPr>
                <w:sz w:val="24"/>
              </w:rPr>
              <w:t>инфузии</w:t>
            </w:r>
            <w:r>
              <w:rPr>
                <w:spacing w:val="1"/>
                <w:sz w:val="24"/>
              </w:rPr>
              <w:t> </w:t>
            </w:r>
            <w:r>
              <w:rPr>
                <w:spacing w:val="-4"/>
                <w:sz w:val="24"/>
              </w:rPr>
              <w:t>(мл)</w:t>
            </w:r>
          </w:p>
        </w:tc>
      </w:tr>
      <w:tr>
        <w:trPr>
          <w:trHeight w:val="393" w:hRule="atLeast"/>
        </w:trPr>
        <w:tc>
          <w:tcPr>
            <w:tcW w:w="4639" w:type="dxa"/>
          </w:tcPr>
          <w:p>
            <w:pPr>
              <w:pStyle w:val="TableParagraph"/>
              <w:rPr>
                <w:sz w:val="24"/>
              </w:rPr>
            </w:pPr>
            <w:r>
              <w:rPr>
                <w:sz w:val="24"/>
              </w:rPr>
              <w:t>1-</w:t>
            </w:r>
            <w:r>
              <w:rPr>
                <w:spacing w:val="-5"/>
                <w:sz w:val="24"/>
              </w:rPr>
              <w:t>10</w:t>
            </w:r>
          </w:p>
        </w:tc>
        <w:tc>
          <w:tcPr>
            <w:tcW w:w="5004" w:type="dxa"/>
          </w:tcPr>
          <w:p>
            <w:pPr>
              <w:pStyle w:val="TableParagraph"/>
              <w:ind w:left="66"/>
              <w:rPr>
                <w:sz w:val="24"/>
              </w:rPr>
            </w:pPr>
            <w:r>
              <w:rPr>
                <w:spacing w:val="-5"/>
                <w:sz w:val="24"/>
              </w:rPr>
              <w:t>10</w:t>
            </w:r>
          </w:p>
        </w:tc>
      </w:tr>
      <w:tr>
        <w:trPr>
          <w:trHeight w:val="388" w:hRule="atLeast"/>
        </w:trPr>
        <w:tc>
          <w:tcPr>
            <w:tcW w:w="4639" w:type="dxa"/>
          </w:tcPr>
          <w:p>
            <w:pPr>
              <w:pStyle w:val="TableParagraph"/>
              <w:rPr>
                <w:sz w:val="24"/>
              </w:rPr>
            </w:pPr>
            <w:r>
              <w:rPr>
                <w:sz w:val="24"/>
              </w:rPr>
              <w:t>11-</w:t>
            </w:r>
            <w:r>
              <w:rPr>
                <w:spacing w:val="-5"/>
                <w:sz w:val="24"/>
              </w:rPr>
              <w:t>24</w:t>
            </w:r>
          </w:p>
        </w:tc>
        <w:tc>
          <w:tcPr>
            <w:tcW w:w="5004" w:type="dxa"/>
          </w:tcPr>
          <w:p>
            <w:pPr>
              <w:pStyle w:val="TableParagraph"/>
              <w:ind w:left="66"/>
              <w:rPr>
                <w:sz w:val="24"/>
              </w:rPr>
            </w:pPr>
            <w:r>
              <w:rPr>
                <w:spacing w:val="-5"/>
                <w:sz w:val="24"/>
              </w:rPr>
              <w:t>25</w:t>
            </w:r>
          </w:p>
        </w:tc>
      </w:tr>
      <w:tr>
        <w:trPr>
          <w:trHeight w:val="388" w:hRule="atLeast"/>
        </w:trPr>
        <w:tc>
          <w:tcPr>
            <w:tcW w:w="4639" w:type="dxa"/>
          </w:tcPr>
          <w:p>
            <w:pPr>
              <w:pStyle w:val="TableParagraph"/>
              <w:rPr>
                <w:sz w:val="24"/>
              </w:rPr>
            </w:pPr>
            <w:r>
              <w:rPr>
                <w:sz w:val="24"/>
              </w:rPr>
              <w:t>25-</w:t>
            </w:r>
            <w:r>
              <w:rPr>
                <w:spacing w:val="-5"/>
                <w:sz w:val="24"/>
              </w:rPr>
              <w:t>49</w:t>
            </w:r>
          </w:p>
        </w:tc>
        <w:tc>
          <w:tcPr>
            <w:tcW w:w="5004" w:type="dxa"/>
          </w:tcPr>
          <w:p>
            <w:pPr>
              <w:pStyle w:val="TableParagraph"/>
              <w:ind w:left="66"/>
              <w:rPr>
                <w:sz w:val="24"/>
              </w:rPr>
            </w:pPr>
            <w:r>
              <w:rPr>
                <w:spacing w:val="-5"/>
                <w:sz w:val="24"/>
              </w:rPr>
              <w:t>50</w:t>
            </w:r>
          </w:p>
        </w:tc>
      </w:tr>
      <w:tr>
        <w:trPr>
          <w:trHeight w:val="393" w:hRule="atLeast"/>
        </w:trPr>
        <w:tc>
          <w:tcPr>
            <w:tcW w:w="4639" w:type="dxa"/>
          </w:tcPr>
          <w:p>
            <w:pPr>
              <w:pStyle w:val="TableParagraph"/>
              <w:rPr>
                <w:sz w:val="24"/>
              </w:rPr>
            </w:pPr>
            <w:r>
              <w:rPr>
                <w:sz w:val="24"/>
              </w:rPr>
              <w:t>50-</w:t>
            </w:r>
            <w:r>
              <w:rPr>
                <w:spacing w:val="-5"/>
                <w:sz w:val="24"/>
              </w:rPr>
              <w:t>99</w:t>
            </w:r>
          </w:p>
        </w:tc>
        <w:tc>
          <w:tcPr>
            <w:tcW w:w="5004" w:type="dxa"/>
          </w:tcPr>
          <w:p>
            <w:pPr>
              <w:pStyle w:val="TableParagraph"/>
              <w:ind w:left="66"/>
              <w:rPr>
                <w:sz w:val="24"/>
              </w:rPr>
            </w:pPr>
            <w:r>
              <w:rPr>
                <w:spacing w:val="-5"/>
                <w:sz w:val="24"/>
              </w:rPr>
              <w:t>100</w:t>
            </w:r>
          </w:p>
        </w:tc>
      </w:tr>
      <w:tr>
        <w:trPr>
          <w:trHeight w:val="388" w:hRule="atLeast"/>
        </w:trPr>
        <w:tc>
          <w:tcPr>
            <w:tcW w:w="4639" w:type="dxa"/>
          </w:tcPr>
          <w:p>
            <w:pPr>
              <w:pStyle w:val="TableParagraph"/>
              <w:rPr>
                <w:sz w:val="24"/>
              </w:rPr>
            </w:pPr>
            <w:r>
              <w:rPr>
                <w:sz w:val="24"/>
              </w:rPr>
              <w:t>100-</w:t>
            </w:r>
            <w:r>
              <w:rPr>
                <w:spacing w:val="-5"/>
                <w:sz w:val="24"/>
              </w:rPr>
              <w:t>120</w:t>
            </w:r>
          </w:p>
        </w:tc>
        <w:tc>
          <w:tcPr>
            <w:tcW w:w="5004" w:type="dxa"/>
          </w:tcPr>
          <w:p>
            <w:pPr>
              <w:pStyle w:val="TableParagraph"/>
              <w:ind w:left="66"/>
              <w:rPr>
                <w:sz w:val="24"/>
              </w:rPr>
            </w:pPr>
            <w:r>
              <w:rPr>
                <w:spacing w:val="-5"/>
                <w:sz w:val="24"/>
              </w:rPr>
              <w:t>250</w:t>
            </w:r>
          </w:p>
        </w:tc>
      </w:tr>
    </w:tbl>
    <w:p>
      <w:pPr>
        <w:pStyle w:val="BodyText"/>
        <w:spacing w:before="189"/>
        <w:ind w:left="0"/>
        <w:jc w:val="left"/>
        <w:rPr>
          <w:b/>
          <w:sz w:val="20"/>
        </w:rPr>
      </w:pPr>
      <w:r>
        <w:rPr/>
        <mc:AlternateContent>
          <mc:Choice Requires="wps">
            <w:drawing>
              <wp:anchor distT="0" distB="0" distL="0" distR="0" allowOverlap="1" layoutInCell="1" locked="0" behindDoc="1" simplePos="0" relativeHeight="487588352">
                <wp:simplePos x="0" y="0"/>
                <wp:positionH relativeFrom="page">
                  <wp:posOffset>1424050</wp:posOffset>
                </wp:positionH>
                <wp:positionV relativeFrom="paragraph">
                  <wp:posOffset>281441</wp:posOffset>
                </wp:positionV>
                <wp:extent cx="1623695" cy="1270"/>
                <wp:effectExtent l="0" t="0" r="0" b="0"/>
                <wp:wrapTopAndBottom/>
                <wp:docPr id="15" name="Graphic 15"/>
                <wp:cNvGraphicFramePr>
                  <a:graphicFrameLocks/>
                </wp:cNvGraphicFramePr>
                <a:graphic>
                  <a:graphicData uri="http://schemas.microsoft.com/office/word/2010/wordprocessingShape">
                    <wps:wsp>
                      <wps:cNvPr id="15" name="Graphic 15"/>
                      <wps:cNvSpPr/>
                      <wps:spPr>
                        <a:xfrm>
                          <a:off x="0" y="0"/>
                          <a:ext cx="1623695" cy="1270"/>
                        </a:xfrm>
                        <a:custGeom>
                          <a:avLst/>
                          <a:gdLst/>
                          <a:ahLst/>
                          <a:cxnLst/>
                          <a:rect l="l" t="t" r="r" b="b"/>
                          <a:pathLst>
                            <a:path w="1623695" h="0">
                              <a:moveTo>
                                <a:pt x="0" y="0"/>
                              </a:moveTo>
                              <a:lnTo>
                                <a:pt x="1623403" y="0"/>
                              </a:lnTo>
                            </a:path>
                          </a:pathLst>
                        </a:custGeom>
                        <a:ln w="11246">
                          <a:solidFill>
                            <a:srgbClr val="000000"/>
                          </a:solidFill>
                          <a:prstDash val="sysDash"/>
                        </a:ln>
                      </wps:spPr>
                      <wps:bodyPr wrap="square" lIns="0" tIns="0" rIns="0" bIns="0" rtlCol="0">
                        <a:prstTxWarp prst="textNoShape">
                          <a:avLst/>
                        </a:prstTxWarp>
                        <a:noAutofit/>
                      </wps:bodyPr>
                    </wps:wsp>
                  </a:graphicData>
                </a:graphic>
              </wp:anchor>
            </w:drawing>
          </mc:Choice>
          <mc:Fallback>
            <w:pict>
              <v:shape style="position:absolute;margin-left:112.129997pt;margin-top:22.160763pt;width:127.85pt;height:.1pt;mso-position-horizontal-relative:page;mso-position-vertical-relative:paragraph;z-index:-15728128;mso-wrap-distance-left:0;mso-wrap-distance-right:0" id="docshape12" coordorigin="2243,443" coordsize="2557,0" path="m2243,443l4799,443e" filled="false" stroked="true" strokeweight=".885563pt" strokecolor="#000000">
                <v:path arrowok="t"/>
                <v:stroke dashstyle="shortdash"/>
                <w10:wrap type="topAndBottom"/>
              </v:shape>
            </w:pict>
          </mc:Fallback>
        </mc:AlternateContent>
      </w:r>
    </w:p>
    <w:p>
      <w:pPr>
        <w:pStyle w:val="BodyText"/>
        <w:spacing w:line="242" w:lineRule="auto" w:before="94"/>
        <w:ind w:right="153" w:firstLine="538"/>
      </w:pPr>
      <w:r>
        <w:rPr/>
        <w:t>&lt;*&gt; Объем инфузии должен базироваться на назначенной дозе и должен быть приготовлен до окончательной концентрации себелипазы альфа** 0,1-1,5 мг/мл.</w:t>
      </w:r>
    </w:p>
    <w:p>
      <w:pPr>
        <w:pStyle w:val="BodyText"/>
        <w:spacing w:line="271" w:lineRule="exact"/>
        <w:ind w:left="677"/>
      </w:pPr>
      <w:r>
        <w:rPr/>
        <w:t>(доза</w:t>
      </w:r>
      <w:r>
        <w:rPr>
          <w:spacing w:val="-1"/>
        </w:rPr>
        <w:t> </w:t>
      </w:r>
      <w:r>
        <w:rPr/>
        <w:t>1</w:t>
      </w:r>
      <w:r>
        <w:rPr>
          <w:spacing w:val="-4"/>
        </w:rPr>
        <w:t> </w:t>
      </w:r>
      <w:r>
        <w:rPr/>
        <w:t>мг/кг)</w:t>
      </w:r>
      <w:r>
        <w:rPr>
          <w:spacing w:val="2"/>
        </w:rPr>
        <w:t> </w:t>
      </w:r>
      <w:r>
        <w:rPr>
          <w:spacing w:val="-2"/>
        </w:rPr>
        <w:t>(https://grls.rosminzdrav.ru/)</w:t>
      </w:r>
    </w:p>
    <w:p>
      <w:pPr>
        <w:spacing w:after="0" w:line="271" w:lineRule="exact"/>
        <w:sectPr>
          <w:pgSz w:w="11910" w:h="16840"/>
          <w:pgMar w:header="572" w:footer="1177" w:top="1320" w:bottom="1360" w:left="1560" w:right="420"/>
        </w:sectPr>
      </w:pPr>
    </w:p>
    <w:p>
      <w:pPr>
        <w:pStyle w:val="Heading1"/>
        <w:spacing w:before="85"/>
        <w:ind w:left="682" w:firstLine="0"/>
      </w:pPr>
      <w:bookmarkStart w:name="Расшифровка примечаний" w:id="123"/>
      <w:bookmarkEnd w:id="123"/>
      <w:r>
        <w:rPr>
          <w:b w:val="0"/>
        </w:rPr>
      </w:r>
      <w:r>
        <w:rPr/>
        <w:t>Расшифровка</w:t>
      </w:r>
      <w:r>
        <w:rPr>
          <w:spacing w:val="-17"/>
        </w:rPr>
        <w:t> </w:t>
      </w:r>
      <w:r>
        <w:rPr>
          <w:spacing w:val="-2"/>
        </w:rPr>
        <w:t>примечаний</w:t>
      </w:r>
    </w:p>
    <w:p>
      <w:pPr>
        <w:pStyle w:val="BodyText"/>
        <w:spacing w:before="234"/>
        <w:ind w:right="142" w:firstLine="542"/>
      </w:pPr>
      <w:r>
        <w:rPr/>
        <w:t>...** –</w:t>
      </w:r>
      <w:r>
        <w:rPr>
          <w:spacing w:val="-1"/>
        </w:rPr>
        <w:t> </w:t>
      </w:r>
      <w:r>
        <w:rPr/>
        <w:t>препарат</w:t>
      </w:r>
      <w:r>
        <w:rPr>
          <w:spacing w:val="-1"/>
        </w:rPr>
        <w:t> </w:t>
      </w:r>
      <w:r>
        <w:rPr/>
        <w:t>входит</w:t>
      </w:r>
      <w:r>
        <w:rPr>
          <w:spacing w:val="-1"/>
        </w:rPr>
        <w:t> </w:t>
      </w:r>
      <w:r>
        <w:rPr/>
        <w:t>в перечень жизненно необходимых</w:t>
      </w:r>
      <w:r>
        <w:rPr>
          <w:spacing w:val="-1"/>
        </w:rPr>
        <w:t> </w:t>
      </w:r>
      <w:r>
        <w:rPr/>
        <w:t>и важнейших</w:t>
      </w:r>
      <w:r>
        <w:rPr>
          <w:spacing w:val="-1"/>
        </w:rPr>
        <w:t> </w:t>
      </w:r>
      <w:r>
        <w:rPr/>
        <w:t>лекарственных препаратов (Распоряжение Правительства РФ от 12.10.2019 N 2406-р "Об утверждении перечня жизненно необходимых и важнейших лекарственных препаратов на 2020 год,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pPr>
        <w:pStyle w:val="BodyText"/>
        <w:spacing w:before="3"/>
        <w:ind w:right="146" w:firstLine="538"/>
      </w:pPr>
      <w:r>
        <w:rPr/>
        <w:t># – применение off-label – вне зарегистрированных в инструкции лекарственного средства показаний осуществляется по решению врачебной комиссии, с разрешения Локального этического комитета медицинской организации (при наличии), с условием подписанного информированного согласия родителей (законного представителя) и пациента в возрасте старше 15 лет;</w:t>
      </w:r>
    </w:p>
    <w:p>
      <w:pPr>
        <w:pStyle w:val="BodyText"/>
        <w:ind w:right="140" w:firstLine="538"/>
      </w:pPr>
      <w:r>
        <w:rPr/>
        <w:t>*** – медицинское изделие, имплантируемое в организм человека при оказании медицинской помощи в рамках программы государственных гарантий бесплатного оказания гражданам медицинской помощи.</w:t>
      </w:r>
    </w:p>
    <w:p>
      <w:pPr>
        <w:pStyle w:val="BodyText"/>
        <w:ind w:left="0"/>
        <w:jc w:val="left"/>
        <w:rPr>
          <w:sz w:val="20"/>
        </w:rPr>
      </w:pPr>
    </w:p>
    <w:p>
      <w:pPr>
        <w:pStyle w:val="BodyText"/>
        <w:spacing w:before="3"/>
        <w:ind w:left="0"/>
        <w:jc w:val="left"/>
        <w:rPr>
          <w:sz w:val="20"/>
        </w:rPr>
      </w:pPr>
    </w:p>
    <w:p>
      <w:pPr>
        <w:spacing w:after="0"/>
        <w:jc w:val="left"/>
        <w:rPr>
          <w:sz w:val="20"/>
        </w:rPr>
        <w:sectPr>
          <w:pgSz w:w="11910" w:h="16840"/>
          <w:pgMar w:header="572" w:footer="1177" w:top="1320" w:bottom="1360" w:left="1560" w:right="420"/>
        </w:sectPr>
      </w:pPr>
    </w:p>
    <w:p>
      <w:pPr>
        <w:pStyle w:val="BodyText"/>
        <w:ind w:left="0"/>
        <w:jc w:val="left"/>
        <w:rPr>
          <w:sz w:val="28"/>
        </w:rPr>
      </w:pPr>
    </w:p>
    <w:p>
      <w:pPr>
        <w:pStyle w:val="BodyText"/>
        <w:spacing w:before="4"/>
        <w:ind w:left="0"/>
        <w:jc w:val="left"/>
        <w:rPr>
          <w:sz w:val="28"/>
        </w:rPr>
      </w:pPr>
    </w:p>
    <w:p>
      <w:pPr>
        <w:pStyle w:val="Heading1"/>
        <w:ind w:left="3189" w:firstLine="0"/>
      </w:pPr>
      <w:bookmarkStart w:name="Приложение Б" w:id="124"/>
      <w:bookmarkEnd w:id="124"/>
      <w:r>
        <w:rPr>
          <w:b w:val="0"/>
        </w:rPr>
      </w:r>
      <w:r>
        <w:rPr/>
        <w:t>Алгоритмы</w:t>
      </w:r>
      <w:r>
        <w:rPr>
          <w:spacing w:val="-11"/>
        </w:rPr>
        <w:t> </w:t>
      </w:r>
      <w:r>
        <w:rPr/>
        <w:t>действий</w:t>
      </w:r>
      <w:r>
        <w:rPr>
          <w:spacing w:val="-15"/>
        </w:rPr>
        <w:t> </w:t>
      </w:r>
      <w:r>
        <w:rPr>
          <w:spacing w:val="-4"/>
        </w:rPr>
        <w:t>врача</w:t>
      </w:r>
    </w:p>
    <w:p>
      <w:pPr>
        <w:pStyle w:val="BodyText"/>
        <w:spacing w:before="90"/>
        <w:ind w:left="1528"/>
        <w:jc w:val="left"/>
      </w:pPr>
      <w:r>
        <w:rPr/>
        <w:br w:type="column"/>
      </w:r>
      <w:r>
        <w:rPr/>
        <w:t>Приложение</w:t>
      </w:r>
      <w:r>
        <w:rPr>
          <w:spacing w:val="-5"/>
        </w:rPr>
        <w:t> </w:t>
      </w:r>
      <w:r>
        <w:rPr>
          <w:spacing w:val="-10"/>
        </w:rPr>
        <w:t>Б</w:t>
      </w:r>
    </w:p>
    <w:p>
      <w:pPr>
        <w:spacing w:after="0"/>
        <w:jc w:val="left"/>
        <w:sectPr>
          <w:type w:val="continuous"/>
          <w:pgSz w:w="11910" w:h="16840"/>
          <w:pgMar w:header="572" w:footer="1177" w:top="1320" w:bottom="1360" w:left="1560" w:right="420"/>
          <w:cols w:num="2" w:equalWidth="0">
            <w:col w:w="6720" w:space="40"/>
            <w:col w:w="3170"/>
          </w:cols>
        </w:sectPr>
      </w:pPr>
    </w:p>
    <w:p>
      <w:pPr>
        <w:pStyle w:val="BodyText"/>
        <w:spacing w:before="143" w:after="1"/>
        <w:ind w:left="0"/>
        <w:jc w:val="left"/>
        <w:rPr>
          <w:sz w:val="20"/>
        </w:rPr>
      </w:pPr>
    </w:p>
    <w:p>
      <w:pPr>
        <w:pStyle w:val="BodyText"/>
        <w:ind w:left="1058"/>
        <w:jc w:val="left"/>
        <w:rPr>
          <w:sz w:val="20"/>
        </w:rPr>
      </w:pPr>
      <w:r>
        <w:rPr>
          <w:sz w:val="20"/>
        </w:rPr>
        <w:drawing>
          <wp:inline distT="0" distB="0" distL="0" distR="0">
            <wp:extent cx="5002433" cy="4917376"/>
            <wp:effectExtent l="0" t="0" r="0" b="0"/>
            <wp:docPr id="16" name="Image 16"/>
            <wp:cNvGraphicFramePr>
              <a:graphicFrameLocks/>
            </wp:cNvGraphicFramePr>
            <a:graphic>
              <a:graphicData uri="http://schemas.openxmlformats.org/drawingml/2006/picture">
                <pic:pic>
                  <pic:nvPicPr>
                    <pic:cNvPr id="16" name="Image 16"/>
                    <pic:cNvPicPr/>
                  </pic:nvPicPr>
                  <pic:blipFill>
                    <a:blip r:embed="rId11" cstate="print"/>
                    <a:stretch>
                      <a:fillRect/>
                    </a:stretch>
                  </pic:blipFill>
                  <pic:spPr>
                    <a:xfrm>
                      <a:off x="0" y="0"/>
                      <a:ext cx="5002433" cy="4917376"/>
                    </a:xfrm>
                    <a:prstGeom prst="rect">
                      <a:avLst/>
                    </a:prstGeom>
                  </pic:spPr>
                </pic:pic>
              </a:graphicData>
            </a:graphic>
          </wp:inline>
        </w:drawing>
      </w:r>
      <w:r>
        <w:rPr>
          <w:sz w:val="20"/>
        </w:rPr>
      </w:r>
    </w:p>
    <w:p>
      <w:pPr>
        <w:spacing w:after="0"/>
        <w:jc w:val="left"/>
        <w:rPr>
          <w:sz w:val="20"/>
        </w:rPr>
        <w:sectPr>
          <w:type w:val="continuous"/>
          <w:pgSz w:w="11910" w:h="16840"/>
          <w:pgMar w:header="572" w:footer="1177" w:top="1320" w:bottom="1360" w:left="1560" w:right="420"/>
        </w:sectPr>
      </w:pPr>
    </w:p>
    <w:p>
      <w:pPr>
        <w:pStyle w:val="BodyText"/>
        <w:spacing w:before="82"/>
        <w:ind w:left="0"/>
        <w:jc w:val="left"/>
      </w:pPr>
    </w:p>
    <w:p>
      <w:pPr>
        <w:pStyle w:val="BodyText"/>
        <w:ind w:left="0" w:right="135"/>
        <w:jc w:val="right"/>
      </w:pPr>
      <w:bookmarkStart w:name="Приложение В" w:id="125"/>
      <w:bookmarkEnd w:id="125"/>
      <w:r>
        <w:rPr/>
      </w:r>
      <w:r>
        <w:rPr/>
        <w:t>Приложение </w:t>
      </w:r>
      <w:r>
        <w:rPr>
          <w:spacing w:val="-10"/>
        </w:rPr>
        <w:t>В</w:t>
      </w:r>
    </w:p>
    <w:p>
      <w:pPr>
        <w:pStyle w:val="Heading1"/>
        <w:spacing w:line="444" w:lineRule="auto" w:before="257"/>
        <w:ind w:left="682" w:right="3098" w:firstLine="2549"/>
      </w:pPr>
      <w:r>
        <w:rPr/>
        <w:t>Информация</w:t>
      </w:r>
      <w:r>
        <w:rPr>
          <w:spacing w:val="-18"/>
        </w:rPr>
        <w:t> </w:t>
      </w:r>
      <w:r>
        <w:rPr/>
        <w:t>для</w:t>
      </w:r>
      <w:r>
        <w:rPr>
          <w:spacing w:val="-17"/>
        </w:rPr>
        <w:t> </w:t>
      </w:r>
      <w:r>
        <w:rPr/>
        <w:t>пациента </w:t>
      </w:r>
      <w:bookmarkStart w:name="Почему возникает заболевание?" w:id="126"/>
      <w:bookmarkEnd w:id="126"/>
      <w:r>
        <w:rPr/>
        <w:t>П</w:t>
      </w:r>
      <w:r>
        <w:rPr/>
        <w:t>очему возникает заболевание?</w:t>
      </w:r>
    </w:p>
    <w:p>
      <w:pPr>
        <w:pStyle w:val="BodyText"/>
        <w:spacing w:line="266" w:lineRule="exact"/>
        <w:ind w:left="682"/>
        <w:jc w:val="left"/>
      </w:pPr>
      <w:r>
        <w:rPr/>
        <w:t>ДЛКЛ</w:t>
      </w:r>
      <w:r>
        <w:rPr>
          <w:spacing w:val="-4"/>
        </w:rPr>
        <w:t> </w:t>
      </w:r>
      <w:r>
        <w:rPr/>
        <w:t>–</w:t>
      </w:r>
      <w:r>
        <w:rPr>
          <w:spacing w:val="-1"/>
        </w:rPr>
        <w:t> </w:t>
      </w:r>
      <w:r>
        <w:rPr/>
        <w:t>наследственное</w:t>
      </w:r>
      <w:r>
        <w:rPr>
          <w:spacing w:val="-2"/>
        </w:rPr>
        <w:t> </w:t>
      </w:r>
      <w:r>
        <w:rPr/>
        <w:t>заболевание</w:t>
      </w:r>
      <w:r>
        <w:rPr>
          <w:spacing w:val="-7"/>
        </w:rPr>
        <w:t> </w:t>
      </w:r>
      <w:r>
        <w:rPr/>
        <w:t>и связано</w:t>
      </w:r>
      <w:r>
        <w:rPr>
          <w:spacing w:val="-1"/>
        </w:rPr>
        <w:t> </w:t>
      </w:r>
      <w:r>
        <w:rPr/>
        <w:t>с</w:t>
      </w:r>
      <w:r>
        <w:rPr>
          <w:spacing w:val="-2"/>
        </w:rPr>
        <w:t> </w:t>
      </w:r>
      <w:r>
        <w:rPr/>
        <w:t>поломками</w:t>
      </w:r>
      <w:r>
        <w:rPr>
          <w:spacing w:val="-5"/>
        </w:rPr>
        <w:t> </w:t>
      </w:r>
      <w:r>
        <w:rPr/>
        <w:t>(мутациями)</w:t>
      </w:r>
      <w:r>
        <w:rPr>
          <w:spacing w:val="-4"/>
        </w:rPr>
        <w:t> </w:t>
      </w:r>
      <w:r>
        <w:rPr/>
        <w:t>в</w:t>
      </w:r>
      <w:r>
        <w:rPr>
          <w:spacing w:val="-4"/>
        </w:rPr>
        <w:t> </w:t>
      </w:r>
      <w:r>
        <w:rPr/>
        <w:t>гене</w:t>
      </w:r>
      <w:r>
        <w:rPr>
          <w:spacing w:val="-2"/>
        </w:rPr>
        <w:t> LIPA.</w:t>
      </w:r>
    </w:p>
    <w:p>
      <w:pPr>
        <w:pStyle w:val="BodyText"/>
        <w:spacing w:before="237"/>
        <w:ind w:right="139" w:firstLine="542"/>
      </w:pPr>
      <w:r>
        <w:rPr/>
        <w:t>Гены представляют собой последовательность ДНК и в них записаны инструкции по "приготовлению" белков или РНК (рибонуклеиновая кислота). Гены находятся в</w:t>
      </w:r>
      <w:r>
        <w:rPr>
          <w:spacing w:val="40"/>
        </w:rPr>
        <w:t> </w:t>
      </w:r>
      <w:r>
        <w:rPr/>
        <w:t>хромосомах. У человека 23 пары хромосом, одну из хромосом с соответствующим набором генов он наследует от матери, вторую от отца. Среди хромосом еще есть две особые хромосомы, которые определяют пол ребенка – у девочек две X-хромосомы, а у мальчиков одна X и одна Y-хромосомы.</w:t>
      </w:r>
    </w:p>
    <w:p>
      <w:pPr>
        <w:pStyle w:val="BodyText"/>
        <w:spacing w:before="241"/>
        <w:ind w:left="682"/>
        <w:jc w:val="left"/>
      </w:pPr>
      <w:r>
        <w:rPr/>
        <w:t>Ген LIPA</w:t>
      </w:r>
      <w:r>
        <w:rPr>
          <w:spacing w:val="-6"/>
        </w:rPr>
        <w:t> </w:t>
      </w:r>
      <w:r>
        <w:rPr/>
        <w:t>находится</w:t>
      </w:r>
      <w:r>
        <w:rPr>
          <w:spacing w:val="-1"/>
        </w:rPr>
        <w:t> </w:t>
      </w:r>
      <w:r>
        <w:rPr/>
        <w:t>на</w:t>
      </w:r>
      <w:r>
        <w:rPr>
          <w:spacing w:val="-1"/>
        </w:rPr>
        <w:t> </w:t>
      </w:r>
      <w:r>
        <w:rPr/>
        <w:t>10</w:t>
      </w:r>
      <w:r>
        <w:rPr>
          <w:spacing w:val="1"/>
        </w:rPr>
        <w:t> </w:t>
      </w:r>
      <w:r>
        <w:rPr>
          <w:spacing w:val="-2"/>
        </w:rPr>
        <w:t>хромосоме.</w:t>
      </w:r>
    </w:p>
    <w:p>
      <w:pPr>
        <w:pStyle w:val="BodyText"/>
        <w:spacing w:before="243"/>
        <w:ind w:right="136" w:firstLine="542"/>
      </w:pPr>
      <w:r>
        <w:rPr/>
        <w:t>ДЛКЛ наследуется по аутосомно-рецессивному типу, что означает, что оба родителя являются носителями мутации, но не болеют, т.к. у них есть вторая копия здорового гена. Ребенок с ДЛКЛ наследует одну копию "больного" гена от отца и одну – от матери. Заболевание проявляется только в случае наличия двух копий поврежденного гена. Риск рождения ребенка с ДЛКЛ в данном случае составляет 25%. Мальчики и девочки болеют с одинаковой частотой. Носитель болезни наследует только одну копию либо от отца, либо от матери. Они не болеют и никаких признаков болезни у них нет.</w:t>
      </w:r>
    </w:p>
    <w:p>
      <w:pPr>
        <w:pStyle w:val="BodyText"/>
        <w:spacing w:before="23"/>
        <w:ind w:left="0"/>
        <w:jc w:val="left"/>
        <w:rPr>
          <w:sz w:val="20"/>
        </w:rPr>
      </w:pPr>
      <w:r>
        <w:rPr/>
        <w:drawing>
          <wp:anchor distT="0" distB="0" distL="0" distR="0" allowOverlap="1" layoutInCell="1" locked="0" behindDoc="1" simplePos="0" relativeHeight="487588864">
            <wp:simplePos x="0" y="0"/>
            <wp:positionH relativeFrom="page">
              <wp:posOffset>1078864</wp:posOffset>
            </wp:positionH>
            <wp:positionV relativeFrom="paragraph">
              <wp:posOffset>176157</wp:posOffset>
            </wp:positionV>
            <wp:extent cx="6026455" cy="2260473"/>
            <wp:effectExtent l="0" t="0" r="0" b="0"/>
            <wp:wrapTopAndBottom/>
            <wp:docPr id="17" name="Image 17"/>
            <wp:cNvGraphicFramePr>
              <a:graphicFrameLocks/>
            </wp:cNvGraphicFramePr>
            <a:graphic>
              <a:graphicData uri="http://schemas.openxmlformats.org/drawingml/2006/picture">
                <pic:pic>
                  <pic:nvPicPr>
                    <pic:cNvPr id="17" name="Image 17"/>
                    <pic:cNvPicPr/>
                  </pic:nvPicPr>
                  <pic:blipFill>
                    <a:blip r:embed="rId12" cstate="print"/>
                    <a:stretch>
                      <a:fillRect/>
                    </a:stretch>
                  </pic:blipFill>
                  <pic:spPr>
                    <a:xfrm>
                      <a:off x="0" y="0"/>
                      <a:ext cx="6026455" cy="2260473"/>
                    </a:xfrm>
                    <a:prstGeom prst="rect">
                      <a:avLst/>
                    </a:prstGeom>
                  </pic:spPr>
                </pic:pic>
              </a:graphicData>
            </a:graphic>
          </wp:anchor>
        </w:drawing>
      </w:r>
    </w:p>
    <w:p>
      <w:pPr>
        <w:pStyle w:val="BodyText"/>
        <w:spacing w:before="25"/>
        <w:ind w:left="0"/>
        <w:jc w:val="left"/>
      </w:pPr>
    </w:p>
    <w:p>
      <w:pPr>
        <w:pStyle w:val="Heading1"/>
        <w:ind w:left="682" w:firstLine="0"/>
      </w:pPr>
      <w:bookmarkStart w:name="Что нарушается в метаболизме при ДЛКЛ?" w:id="127"/>
      <w:bookmarkEnd w:id="127"/>
      <w:r>
        <w:rPr>
          <w:b w:val="0"/>
        </w:rPr>
      </w:r>
      <w:r>
        <w:rPr/>
        <w:t>Что</w:t>
      </w:r>
      <w:r>
        <w:rPr>
          <w:spacing w:val="-10"/>
        </w:rPr>
        <w:t> </w:t>
      </w:r>
      <w:r>
        <w:rPr/>
        <w:t>нарушается</w:t>
      </w:r>
      <w:r>
        <w:rPr>
          <w:spacing w:val="-8"/>
        </w:rPr>
        <w:t> </w:t>
      </w:r>
      <w:r>
        <w:rPr/>
        <w:t>в</w:t>
      </w:r>
      <w:r>
        <w:rPr>
          <w:spacing w:val="-5"/>
        </w:rPr>
        <w:t> </w:t>
      </w:r>
      <w:r>
        <w:rPr/>
        <w:t>метаболизме</w:t>
      </w:r>
      <w:r>
        <w:rPr>
          <w:spacing w:val="-5"/>
        </w:rPr>
        <w:t> </w:t>
      </w:r>
      <w:r>
        <w:rPr/>
        <w:t>при</w:t>
      </w:r>
      <w:r>
        <w:rPr>
          <w:spacing w:val="-8"/>
        </w:rPr>
        <w:t> </w:t>
      </w:r>
      <w:r>
        <w:rPr>
          <w:spacing w:val="-2"/>
        </w:rPr>
        <w:t>ДЛКЛ?</w:t>
      </w:r>
    </w:p>
    <w:p>
      <w:pPr>
        <w:pStyle w:val="BodyText"/>
        <w:spacing w:before="234"/>
        <w:ind w:right="142" w:firstLine="542"/>
      </w:pPr>
      <w:r>
        <w:rPr/>
        <w:t>При ДЛКЛ фермент лизосомная кислая липаза (ЛКЛ) не работает, что приводит к накоплению в особых клеточных органеллах, называемых лизосомами, таких крупных молекул как триглицериды и эфиры холестерина. В норме триглицериды и эфиры холестерина расщепляются в лизосомах, а образующиеся жирные кислоты и холестерин усваиваются организмом для строительства новых клеток и для пополнения энергии. У пациентов с ДЛКЛ из-за недостатка активности ЛКЛ клетки настолько переполняются нерасщепленными молекулами, что они перестают выполнять свои функции. Больше всего таких</w:t>
      </w:r>
      <w:r>
        <w:rPr>
          <w:spacing w:val="40"/>
        </w:rPr>
        <w:t> </w:t>
      </w:r>
      <w:r>
        <w:rPr/>
        <w:t>нефункционирующих</w:t>
      </w:r>
      <w:r>
        <w:rPr>
          <w:spacing w:val="40"/>
        </w:rPr>
        <w:t> </w:t>
      </w:r>
      <w:r>
        <w:rPr/>
        <w:t>клеток</w:t>
      </w:r>
      <w:r>
        <w:rPr>
          <w:spacing w:val="40"/>
        </w:rPr>
        <w:t> </w:t>
      </w:r>
      <w:r>
        <w:rPr/>
        <w:t>находится</w:t>
      </w:r>
      <w:r>
        <w:rPr>
          <w:spacing w:val="40"/>
        </w:rPr>
        <w:t> </w:t>
      </w:r>
      <w:r>
        <w:rPr/>
        <w:t>в</w:t>
      </w:r>
      <w:r>
        <w:rPr>
          <w:spacing w:val="40"/>
        </w:rPr>
        <w:t> </w:t>
      </w:r>
      <w:r>
        <w:rPr/>
        <w:t>печени,</w:t>
      </w:r>
      <w:r>
        <w:rPr>
          <w:spacing w:val="40"/>
        </w:rPr>
        <w:t> </w:t>
      </w:r>
      <w:r>
        <w:rPr/>
        <w:t>селезенке,</w:t>
      </w:r>
      <w:r>
        <w:rPr>
          <w:spacing w:val="67"/>
        </w:rPr>
        <w:t> </w:t>
      </w:r>
      <w:r>
        <w:rPr/>
        <w:t>стенках</w:t>
      </w:r>
      <w:r>
        <w:rPr>
          <w:spacing w:val="40"/>
        </w:rPr>
        <w:t> </w:t>
      </w:r>
      <w:r>
        <w:rPr/>
        <w:t>кровеносных</w:t>
      </w:r>
    </w:p>
    <w:p>
      <w:pPr>
        <w:spacing w:after="0"/>
        <w:sectPr>
          <w:pgSz w:w="11910" w:h="16840"/>
          <w:pgMar w:header="572" w:footer="1177" w:top="1320" w:bottom="1360" w:left="1560" w:right="420"/>
        </w:sectPr>
      </w:pPr>
    </w:p>
    <w:p>
      <w:pPr>
        <w:pStyle w:val="BodyText"/>
        <w:spacing w:before="80"/>
        <w:ind w:right="147"/>
      </w:pPr>
      <w:r>
        <w:rPr/>
        <w:t>сосудов, надпочечниках, но поражаются также и другие органы и ткани. Со временем, например,</w:t>
      </w:r>
      <w:r>
        <w:rPr>
          <w:spacing w:val="-3"/>
        </w:rPr>
        <w:t> </w:t>
      </w:r>
      <w:r>
        <w:rPr/>
        <w:t>печень, значительно</w:t>
      </w:r>
      <w:r>
        <w:rPr>
          <w:spacing w:val="-1"/>
        </w:rPr>
        <w:t> </w:t>
      </w:r>
      <w:r>
        <w:rPr/>
        <w:t>увеличивается</w:t>
      </w:r>
      <w:r>
        <w:rPr>
          <w:spacing w:val="-1"/>
        </w:rPr>
        <w:t> </w:t>
      </w:r>
      <w:r>
        <w:rPr/>
        <w:t>в размерах, перестает функционировать,</w:t>
      </w:r>
      <w:r>
        <w:rPr>
          <w:spacing w:val="-3"/>
        </w:rPr>
        <w:t> </w:t>
      </w:r>
      <w:r>
        <w:rPr/>
        <w:t>после чего орган зарастает соединительной тканью с переходом в цирроз. А повышение уровня холестерина в крови сопряжено с повышенным риском заболеваний сердца, а также рядом других заболеваний, вызванных нарушением проходимости артерий.</w:t>
      </w:r>
    </w:p>
    <w:p>
      <w:pPr>
        <w:pStyle w:val="BodyText"/>
        <w:spacing w:before="6"/>
        <w:ind w:left="0"/>
        <w:jc w:val="left"/>
      </w:pPr>
    </w:p>
    <w:p>
      <w:pPr>
        <w:pStyle w:val="Heading1"/>
        <w:ind w:left="682" w:firstLine="0"/>
      </w:pPr>
      <w:bookmarkStart w:name="Как проявляется ДЛКЛ?" w:id="128"/>
      <w:bookmarkEnd w:id="128"/>
      <w:r>
        <w:rPr>
          <w:b w:val="0"/>
        </w:rPr>
      </w:r>
      <w:r>
        <w:rPr/>
        <w:t>Как</w:t>
      </w:r>
      <w:r>
        <w:rPr>
          <w:spacing w:val="-13"/>
        </w:rPr>
        <w:t> </w:t>
      </w:r>
      <w:r>
        <w:rPr/>
        <w:t>проявляется</w:t>
      </w:r>
      <w:r>
        <w:rPr>
          <w:spacing w:val="-12"/>
        </w:rPr>
        <w:t> </w:t>
      </w:r>
      <w:r>
        <w:rPr>
          <w:spacing w:val="-4"/>
        </w:rPr>
        <w:t>ДЛКЛ?</w:t>
      </w:r>
    </w:p>
    <w:p>
      <w:pPr>
        <w:pStyle w:val="BodyText"/>
        <w:spacing w:before="234"/>
        <w:ind w:right="146" w:firstLine="542"/>
      </w:pPr>
      <w:r>
        <w:rPr/>
        <w:t>Впервые описанные М. Вольманом как отдельные заболевания, инфантильная форма ДЛКЛ (болезнь Вольмана) (в 1956 году) и болезнь накопления эфиров холестерина (в 1963 году), в настоящее время рассматриваются как клинические формы ДЛКЛ.</w:t>
      </w:r>
    </w:p>
    <w:p>
      <w:pPr>
        <w:pStyle w:val="BodyText"/>
        <w:spacing w:line="237" w:lineRule="auto" w:before="5"/>
        <w:ind w:right="152" w:firstLine="538"/>
      </w:pPr>
      <w:r>
        <w:rPr/>
        <w:t>Возраст начала заболевания и темпы его прогрессирования в значительной степени вариабельны и могут быть связаны с природой, лежащих в основе мутаций.</w:t>
      </w:r>
    </w:p>
    <w:p>
      <w:pPr>
        <w:pStyle w:val="BodyText"/>
        <w:spacing w:before="3"/>
        <w:ind w:right="145" w:firstLine="538"/>
      </w:pPr>
      <w:r>
        <w:rPr/>
        <w:t>При инфантильной форме ДЛКЛ (болезни Вольмана) у младенцев возникают глубокие нарушения роста и развития, фиброз печени, цирроз; дети погибают от печеночной недостаточности в раннем возрасте.</w:t>
      </w:r>
    </w:p>
    <w:p>
      <w:pPr>
        <w:pStyle w:val="BodyText"/>
        <w:ind w:right="147" w:firstLine="538"/>
      </w:pPr>
      <w:r>
        <w:rPr/>
        <w:t>При поздней форме ДЛКЛ (БНЭХ) у детей и взрослых наблюдается сочетание дислипидемии (нарушение баланса липидов в организме), гепатомегалии (увеличение печени), повышения уровня трансаминаз (ферментов, уровень которых повышается при заболеваниях</w:t>
      </w:r>
      <w:r>
        <w:rPr>
          <w:spacing w:val="-6"/>
        </w:rPr>
        <w:t> </w:t>
      </w:r>
      <w:r>
        <w:rPr/>
        <w:t>печени)</w:t>
      </w:r>
      <w:r>
        <w:rPr>
          <w:spacing w:val="-1"/>
        </w:rPr>
        <w:t> </w:t>
      </w:r>
      <w:r>
        <w:rPr/>
        <w:t>и</w:t>
      </w:r>
      <w:r>
        <w:rPr>
          <w:spacing w:val="-6"/>
        </w:rPr>
        <w:t> </w:t>
      </w:r>
      <w:r>
        <w:rPr/>
        <w:t>микровезикулярного стеатоза</w:t>
      </w:r>
      <w:r>
        <w:rPr>
          <w:spacing w:val="-3"/>
        </w:rPr>
        <w:t> </w:t>
      </w:r>
      <w:r>
        <w:rPr/>
        <w:t>(накопления</w:t>
      </w:r>
      <w:r>
        <w:rPr>
          <w:spacing w:val="-2"/>
        </w:rPr>
        <w:t> </w:t>
      </w:r>
      <w:r>
        <w:rPr/>
        <w:t>жировых</w:t>
      </w:r>
      <w:r>
        <w:rPr>
          <w:spacing w:val="-6"/>
        </w:rPr>
        <w:t> </w:t>
      </w:r>
      <w:r>
        <w:rPr/>
        <w:t>капель</w:t>
      </w:r>
      <w:r>
        <w:rPr>
          <w:spacing w:val="-1"/>
        </w:rPr>
        <w:t> </w:t>
      </w:r>
      <w:r>
        <w:rPr/>
        <w:t>в</w:t>
      </w:r>
      <w:r>
        <w:rPr>
          <w:spacing w:val="-1"/>
        </w:rPr>
        <w:t> </w:t>
      </w:r>
      <w:r>
        <w:rPr/>
        <w:t>клетках </w:t>
      </w:r>
      <w:r>
        <w:rPr>
          <w:spacing w:val="-2"/>
        </w:rPr>
        <w:t>печени).</w:t>
      </w:r>
    </w:p>
    <w:p>
      <w:pPr>
        <w:pStyle w:val="BodyText"/>
        <w:spacing w:before="1"/>
        <w:ind w:right="143" w:firstLine="538"/>
      </w:pPr>
      <w:r>
        <w:rPr/>
        <w:t>У детей и взрослых с ДЛКЛ на протяжении 3 лет после начала симптомов приблизительно в 50% случаев наблюдается прогрессирование в фиброз, цирроз или возникает необходимость в проведении трансплантации печени. Начиная с детского</w:t>
      </w:r>
      <w:r>
        <w:rPr>
          <w:spacing w:val="40"/>
        </w:rPr>
        <w:t> </w:t>
      </w:r>
      <w:r>
        <w:rPr/>
        <w:t>возраста, могут проявляться нарушения со стороны сердечно-сосудистой системы, обусловленные ранним атеросклерозом.</w:t>
      </w:r>
    </w:p>
    <w:p>
      <w:pPr>
        <w:pStyle w:val="BodyText"/>
        <w:ind w:right="144" w:firstLine="538"/>
      </w:pPr>
      <w:r>
        <w:rPr/>
        <w:t>Диагноз ДЛКЛ может быть заподозрен при наличии изменений со стороны печени (гепатомегалии, повышения активности трансаминаз, признаков стеатоза) и нарушения липидного профиля. Сложность диагностики заключается в отсутствии или немногочисленности жалоб пациента, несмотря на прогрессирование патологического процесса в печени и других органах. Во многих случаях ДЛКЛ находят случайно при обнаружении изменений в анализе крови биохимическом общетерапевтическом или ультразвуковом исследовании печени. Тем не менее, различные органы, в большей степени печень, теряют свою функциональность. В связи с тем, что организм может некоторое время функционировать даже с небольшой частью печени, некоторые пациенты с ДЛКЛ узнают о своем диагнозе, имея последние стадии цирроза, когда любой стрессовое состояние может закончиться полной потерей функционирования печени и даже смертью пациента.</w:t>
      </w:r>
    </w:p>
    <w:p>
      <w:pPr>
        <w:pStyle w:val="BodyText"/>
        <w:spacing w:line="275" w:lineRule="exact" w:before="242"/>
        <w:ind w:left="682"/>
        <w:jc w:val="left"/>
      </w:pPr>
      <w:r>
        <w:rPr/>
        <w:t>Со</w:t>
      </w:r>
      <w:r>
        <w:rPr>
          <w:spacing w:val="1"/>
        </w:rPr>
        <w:t> </w:t>
      </w:r>
      <w:r>
        <w:rPr/>
        <w:t>стороны</w:t>
      </w:r>
      <w:r>
        <w:rPr>
          <w:spacing w:val="-5"/>
        </w:rPr>
        <w:t> </w:t>
      </w:r>
      <w:r>
        <w:rPr>
          <w:spacing w:val="-2"/>
        </w:rPr>
        <w:t>печени:</w:t>
      </w:r>
    </w:p>
    <w:p>
      <w:pPr>
        <w:pStyle w:val="ListParagraph"/>
        <w:numPr>
          <w:ilvl w:val="0"/>
          <w:numId w:val="14"/>
        </w:numPr>
        <w:tabs>
          <w:tab w:pos="820" w:val="left" w:leader="none"/>
        </w:tabs>
        <w:spacing w:line="275" w:lineRule="exact" w:before="0" w:after="0"/>
        <w:ind w:left="820" w:right="0" w:hanging="143"/>
        <w:jc w:val="left"/>
        <w:rPr>
          <w:sz w:val="24"/>
        </w:rPr>
      </w:pPr>
      <w:r>
        <w:rPr>
          <w:spacing w:val="-2"/>
          <w:sz w:val="24"/>
        </w:rPr>
        <w:t>Фиброз</w:t>
      </w:r>
    </w:p>
    <w:p>
      <w:pPr>
        <w:pStyle w:val="ListParagraph"/>
        <w:numPr>
          <w:ilvl w:val="0"/>
          <w:numId w:val="14"/>
        </w:numPr>
        <w:tabs>
          <w:tab w:pos="820" w:val="left" w:leader="none"/>
        </w:tabs>
        <w:spacing w:line="275" w:lineRule="exact" w:before="3" w:after="0"/>
        <w:ind w:left="820" w:right="0" w:hanging="143"/>
        <w:jc w:val="left"/>
        <w:rPr>
          <w:sz w:val="24"/>
        </w:rPr>
      </w:pPr>
      <w:r>
        <w:rPr>
          <w:spacing w:val="-2"/>
          <w:sz w:val="24"/>
        </w:rPr>
        <w:t>Цирроз</w:t>
      </w:r>
    </w:p>
    <w:p>
      <w:pPr>
        <w:pStyle w:val="ListParagraph"/>
        <w:numPr>
          <w:ilvl w:val="0"/>
          <w:numId w:val="14"/>
        </w:numPr>
        <w:tabs>
          <w:tab w:pos="820" w:val="left" w:leader="none"/>
        </w:tabs>
        <w:spacing w:line="275" w:lineRule="exact" w:before="0" w:after="0"/>
        <w:ind w:left="820" w:right="0" w:hanging="143"/>
        <w:jc w:val="left"/>
        <w:rPr>
          <w:sz w:val="24"/>
        </w:rPr>
      </w:pPr>
      <w:r>
        <w:rPr>
          <w:sz w:val="24"/>
        </w:rPr>
        <w:t>Портальная</w:t>
      </w:r>
      <w:r>
        <w:rPr>
          <w:spacing w:val="-10"/>
          <w:sz w:val="24"/>
        </w:rPr>
        <w:t> </w:t>
      </w:r>
      <w:r>
        <w:rPr>
          <w:spacing w:val="-2"/>
          <w:sz w:val="24"/>
        </w:rPr>
        <w:t>гипертензия</w:t>
      </w:r>
    </w:p>
    <w:p>
      <w:pPr>
        <w:pStyle w:val="ListParagraph"/>
        <w:numPr>
          <w:ilvl w:val="0"/>
          <w:numId w:val="14"/>
        </w:numPr>
        <w:tabs>
          <w:tab w:pos="820" w:val="left" w:leader="none"/>
        </w:tabs>
        <w:spacing w:line="240" w:lineRule="auto" w:before="2" w:after="0"/>
        <w:ind w:left="820" w:right="0" w:hanging="143"/>
        <w:jc w:val="left"/>
        <w:rPr>
          <w:sz w:val="24"/>
        </w:rPr>
      </w:pPr>
      <w:r>
        <w:rPr>
          <w:sz w:val="24"/>
        </w:rPr>
        <w:t>Печеночная</w:t>
      </w:r>
      <w:r>
        <w:rPr>
          <w:spacing w:val="-5"/>
          <w:sz w:val="24"/>
        </w:rPr>
        <w:t> </w:t>
      </w:r>
      <w:r>
        <w:rPr>
          <w:spacing w:val="-2"/>
          <w:sz w:val="24"/>
        </w:rPr>
        <w:t>недостаточность</w:t>
      </w:r>
    </w:p>
    <w:p>
      <w:pPr>
        <w:pStyle w:val="BodyText"/>
        <w:spacing w:before="238"/>
        <w:ind w:left="682"/>
        <w:jc w:val="left"/>
      </w:pPr>
      <w:r>
        <w:rPr/>
        <w:t>Со</w:t>
      </w:r>
      <w:r>
        <w:rPr>
          <w:spacing w:val="-2"/>
        </w:rPr>
        <w:t> </w:t>
      </w:r>
      <w:r>
        <w:rPr/>
        <w:t>стороны</w:t>
      </w:r>
      <w:r>
        <w:rPr>
          <w:spacing w:val="-4"/>
        </w:rPr>
        <w:t> </w:t>
      </w:r>
      <w:r>
        <w:rPr/>
        <w:t>сердечно-сосудистой</w:t>
      </w:r>
      <w:r>
        <w:rPr>
          <w:spacing w:val="-3"/>
        </w:rPr>
        <w:t> </w:t>
      </w:r>
      <w:r>
        <w:rPr>
          <w:spacing w:val="-2"/>
        </w:rPr>
        <w:t>системы:</w:t>
      </w:r>
    </w:p>
    <w:p>
      <w:pPr>
        <w:pStyle w:val="ListParagraph"/>
        <w:numPr>
          <w:ilvl w:val="0"/>
          <w:numId w:val="14"/>
        </w:numPr>
        <w:tabs>
          <w:tab w:pos="820" w:val="left" w:leader="none"/>
        </w:tabs>
        <w:spacing w:line="275" w:lineRule="exact" w:before="2" w:after="0"/>
        <w:ind w:left="820" w:right="0" w:hanging="143"/>
        <w:jc w:val="left"/>
        <w:rPr>
          <w:sz w:val="24"/>
        </w:rPr>
      </w:pPr>
      <w:r>
        <w:rPr>
          <w:sz w:val="24"/>
        </w:rPr>
        <w:t>Ускоренное</w:t>
      </w:r>
      <w:r>
        <w:rPr>
          <w:spacing w:val="-9"/>
          <w:sz w:val="24"/>
        </w:rPr>
        <w:t> </w:t>
      </w:r>
      <w:r>
        <w:rPr>
          <w:sz w:val="24"/>
        </w:rPr>
        <w:t>формирование</w:t>
      </w:r>
      <w:r>
        <w:rPr>
          <w:spacing w:val="-3"/>
          <w:sz w:val="24"/>
        </w:rPr>
        <w:t> </w:t>
      </w:r>
      <w:r>
        <w:rPr>
          <w:spacing w:val="-2"/>
          <w:sz w:val="24"/>
        </w:rPr>
        <w:t>атеросклероза</w:t>
      </w:r>
    </w:p>
    <w:p>
      <w:pPr>
        <w:pStyle w:val="ListParagraph"/>
        <w:numPr>
          <w:ilvl w:val="0"/>
          <w:numId w:val="14"/>
        </w:numPr>
        <w:tabs>
          <w:tab w:pos="820" w:val="left" w:leader="none"/>
        </w:tabs>
        <w:spacing w:line="275" w:lineRule="exact" w:before="0" w:after="0"/>
        <w:ind w:left="820" w:right="0" w:hanging="143"/>
        <w:jc w:val="left"/>
        <w:rPr>
          <w:sz w:val="24"/>
        </w:rPr>
      </w:pPr>
      <w:r>
        <w:rPr>
          <w:sz w:val="24"/>
        </w:rPr>
        <w:t>Ишемическая</w:t>
      </w:r>
      <w:r>
        <w:rPr>
          <w:spacing w:val="-4"/>
          <w:sz w:val="24"/>
        </w:rPr>
        <w:t> </w:t>
      </w:r>
      <w:r>
        <w:rPr>
          <w:sz w:val="24"/>
        </w:rPr>
        <w:t>болезнь</w:t>
      </w:r>
      <w:r>
        <w:rPr>
          <w:spacing w:val="-6"/>
          <w:sz w:val="24"/>
        </w:rPr>
        <w:t> </w:t>
      </w:r>
      <w:r>
        <w:rPr>
          <w:spacing w:val="-2"/>
          <w:sz w:val="24"/>
        </w:rPr>
        <w:t>сердца</w:t>
      </w:r>
    </w:p>
    <w:p>
      <w:pPr>
        <w:pStyle w:val="ListParagraph"/>
        <w:numPr>
          <w:ilvl w:val="0"/>
          <w:numId w:val="14"/>
        </w:numPr>
        <w:tabs>
          <w:tab w:pos="820" w:val="left" w:leader="none"/>
        </w:tabs>
        <w:spacing w:line="275" w:lineRule="exact" w:before="3" w:after="0"/>
        <w:ind w:left="820" w:right="0" w:hanging="143"/>
        <w:jc w:val="left"/>
        <w:rPr>
          <w:sz w:val="24"/>
        </w:rPr>
      </w:pPr>
      <w:r>
        <w:rPr>
          <w:spacing w:val="-2"/>
          <w:sz w:val="24"/>
        </w:rPr>
        <w:t>Инсульт</w:t>
      </w:r>
    </w:p>
    <w:p>
      <w:pPr>
        <w:pStyle w:val="ListParagraph"/>
        <w:numPr>
          <w:ilvl w:val="0"/>
          <w:numId w:val="14"/>
        </w:numPr>
        <w:tabs>
          <w:tab w:pos="820" w:val="left" w:leader="none"/>
        </w:tabs>
        <w:spacing w:line="275" w:lineRule="exact" w:before="0" w:after="0"/>
        <w:ind w:left="820" w:right="0" w:hanging="143"/>
        <w:jc w:val="left"/>
        <w:rPr>
          <w:sz w:val="24"/>
        </w:rPr>
      </w:pPr>
      <w:r>
        <w:rPr>
          <w:sz w:val="24"/>
        </w:rPr>
        <w:t>Инфаркт</w:t>
      </w:r>
      <w:r>
        <w:rPr>
          <w:spacing w:val="-4"/>
          <w:sz w:val="24"/>
        </w:rPr>
        <w:t> </w:t>
      </w:r>
      <w:r>
        <w:rPr>
          <w:spacing w:val="-2"/>
          <w:sz w:val="24"/>
        </w:rPr>
        <w:t>миокарда</w:t>
      </w:r>
    </w:p>
    <w:p>
      <w:pPr>
        <w:spacing w:after="0" w:line="275" w:lineRule="exact"/>
        <w:jc w:val="left"/>
        <w:rPr>
          <w:sz w:val="24"/>
        </w:rPr>
        <w:sectPr>
          <w:pgSz w:w="11910" w:h="16840"/>
          <w:pgMar w:header="572" w:footer="1177" w:top="1320" w:bottom="1360" w:left="1560" w:right="420"/>
        </w:sectPr>
      </w:pPr>
    </w:p>
    <w:p>
      <w:pPr>
        <w:pStyle w:val="BodyText"/>
        <w:spacing w:before="80"/>
        <w:ind w:left="682"/>
        <w:jc w:val="left"/>
      </w:pPr>
      <w:r>
        <w:rPr/>
        <w:t>Со</w:t>
      </w:r>
      <w:r>
        <w:rPr>
          <w:spacing w:val="1"/>
        </w:rPr>
        <w:t> </w:t>
      </w:r>
      <w:r>
        <w:rPr/>
        <w:t>стороны</w:t>
      </w:r>
      <w:r>
        <w:rPr>
          <w:spacing w:val="-1"/>
        </w:rPr>
        <w:t> </w:t>
      </w:r>
      <w:r>
        <w:rPr>
          <w:spacing w:val="-2"/>
        </w:rPr>
        <w:t>селезенки:</w:t>
      </w:r>
    </w:p>
    <w:p>
      <w:pPr>
        <w:pStyle w:val="ListParagraph"/>
        <w:numPr>
          <w:ilvl w:val="0"/>
          <w:numId w:val="14"/>
        </w:numPr>
        <w:tabs>
          <w:tab w:pos="820" w:val="left" w:leader="none"/>
        </w:tabs>
        <w:spacing w:line="275" w:lineRule="exact" w:before="2" w:after="0"/>
        <w:ind w:left="820" w:right="0" w:hanging="143"/>
        <w:jc w:val="left"/>
        <w:rPr>
          <w:sz w:val="24"/>
        </w:rPr>
      </w:pPr>
      <w:r>
        <w:rPr>
          <w:spacing w:val="-2"/>
          <w:sz w:val="24"/>
        </w:rPr>
        <w:t>Анемия</w:t>
      </w:r>
    </w:p>
    <w:p>
      <w:pPr>
        <w:pStyle w:val="ListParagraph"/>
        <w:numPr>
          <w:ilvl w:val="0"/>
          <w:numId w:val="14"/>
        </w:numPr>
        <w:tabs>
          <w:tab w:pos="820" w:val="left" w:leader="none"/>
        </w:tabs>
        <w:spacing w:line="275" w:lineRule="exact" w:before="0" w:after="0"/>
        <w:ind w:left="820" w:right="0" w:hanging="143"/>
        <w:jc w:val="left"/>
        <w:rPr>
          <w:sz w:val="24"/>
        </w:rPr>
      </w:pPr>
      <w:r>
        <w:rPr>
          <w:spacing w:val="-2"/>
          <w:sz w:val="24"/>
        </w:rPr>
        <w:t>Тромбоцитопения</w:t>
      </w:r>
    </w:p>
    <w:p>
      <w:pPr>
        <w:pStyle w:val="ListParagraph"/>
        <w:numPr>
          <w:ilvl w:val="0"/>
          <w:numId w:val="14"/>
        </w:numPr>
        <w:tabs>
          <w:tab w:pos="820" w:val="left" w:leader="none"/>
        </w:tabs>
        <w:spacing w:line="240" w:lineRule="auto" w:before="2" w:after="0"/>
        <w:ind w:left="820" w:right="0" w:hanging="143"/>
        <w:jc w:val="left"/>
        <w:rPr>
          <w:sz w:val="24"/>
        </w:rPr>
      </w:pPr>
      <w:r>
        <w:rPr>
          <w:sz w:val="24"/>
        </w:rPr>
        <w:t>Риск</w:t>
      </w:r>
      <w:r>
        <w:rPr>
          <w:spacing w:val="-9"/>
          <w:sz w:val="24"/>
        </w:rPr>
        <w:t> </w:t>
      </w:r>
      <w:r>
        <w:rPr>
          <w:sz w:val="24"/>
        </w:rPr>
        <w:t>травматического</w:t>
      </w:r>
      <w:r>
        <w:rPr>
          <w:spacing w:val="-1"/>
          <w:sz w:val="24"/>
        </w:rPr>
        <w:t> </w:t>
      </w:r>
      <w:r>
        <w:rPr>
          <w:sz w:val="24"/>
        </w:rPr>
        <w:t>разрыва</w:t>
      </w:r>
      <w:r>
        <w:rPr>
          <w:spacing w:val="-11"/>
          <w:sz w:val="24"/>
        </w:rPr>
        <w:t> </w:t>
      </w:r>
      <w:r>
        <w:rPr>
          <w:sz w:val="24"/>
        </w:rPr>
        <w:t>селезенки</w:t>
      </w:r>
      <w:r>
        <w:rPr>
          <w:spacing w:val="-4"/>
          <w:sz w:val="24"/>
        </w:rPr>
        <w:t> </w:t>
      </w:r>
      <w:r>
        <w:rPr>
          <w:sz w:val="24"/>
        </w:rPr>
        <w:t>и/или</w:t>
      </w:r>
      <w:r>
        <w:rPr>
          <w:spacing w:val="-3"/>
          <w:sz w:val="24"/>
        </w:rPr>
        <w:t> </w:t>
      </w:r>
      <w:r>
        <w:rPr>
          <w:spacing w:val="-2"/>
          <w:sz w:val="24"/>
        </w:rPr>
        <w:t>спленэктомии</w:t>
      </w:r>
    </w:p>
    <w:p>
      <w:pPr>
        <w:pStyle w:val="BodyText"/>
        <w:spacing w:before="239"/>
        <w:ind w:left="682"/>
        <w:jc w:val="left"/>
      </w:pPr>
      <w:r>
        <w:rPr/>
        <w:t>Со</w:t>
      </w:r>
      <w:r>
        <w:rPr>
          <w:spacing w:val="-2"/>
        </w:rPr>
        <w:t> </w:t>
      </w:r>
      <w:r>
        <w:rPr/>
        <w:t>стороны</w:t>
      </w:r>
      <w:r>
        <w:rPr>
          <w:spacing w:val="-7"/>
        </w:rPr>
        <w:t> </w:t>
      </w:r>
      <w:r>
        <w:rPr/>
        <w:t>желудочно-кишечного</w:t>
      </w:r>
      <w:r>
        <w:rPr>
          <w:spacing w:val="-1"/>
        </w:rPr>
        <w:t> </w:t>
      </w:r>
      <w:r>
        <w:rPr>
          <w:spacing w:val="-2"/>
        </w:rPr>
        <w:t>тракта</w:t>
      </w:r>
    </w:p>
    <w:p>
      <w:pPr>
        <w:pStyle w:val="ListParagraph"/>
        <w:numPr>
          <w:ilvl w:val="0"/>
          <w:numId w:val="14"/>
        </w:numPr>
        <w:tabs>
          <w:tab w:pos="820" w:val="left" w:leader="none"/>
        </w:tabs>
        <w:spacing w:line="275" w:lineRule="exact" w:before="2" w:after="0"/>
        <w:ind w:left="820" w:right="0" w:hanging="143"/>
        <w:jc w:val="left"/>
        <w:rPr>
          <w:sz w:val="24"/>
        </w:rPr>
      </w:pPr>
      <w:r>
        <w:rPr>
          <w:sz w:val="24"/>
        </w:rPr>
        <w:t>Боль</w:t>
      </w:r>
      <w:r>
        <w:rPr>
          <w:spacing w:val="-5"/>
          <w:sz w:val="24"/>
        </w:rPr>
        <w:t> </w:t>
      </w:r>
      <w:r>
        <w:rPr>
          <w:sz w:val="24"/>
        </w:rPr>
        <w:t>в</w:t>
      </w:r>
      <w:r>
        <w:rPr>
          <w:spacing w:val="-1"/>
          <w:sz w:val="24"/>
        </w:rPr>
        <w:t> </w:t>
      </w:r>
      <w:r>
        <w:rPr>
          <w:spacing w:val="-2"/>
          <w:sz w:val="24"/>
        </w:rPr>
        <w:t>животе</w:t>
      </w:r>
    </w:p>
    <w:p>
      <w:pPr>
        <w:pStyle w:val="ListParagraph"/>
        <w:numPr>
          <w:ilvl w:val="0"/>
          <w:numId w:val="14"/>
        </w:numPr>
        <w:tabs>
          <w:tab w:pos="820" w:val="left" w:leader="none"/>
        </w:tabs>
        <w:spacing w:line="275" w:lineRule="exact" w:before="0" w:after="0"/>
        <w:ind w:left="820" w:right="0" w:hanging="143"/>
        <w:jc w:val="left"/>
        <w:rPr>
          <w:sz w:val="24"/>
        </w:rPr>
      </w:pPr>
      <w:r>
        <w:rPr>
          <w:sz w:val="24"/>
        </w:rPr>
        <w:t>Нарушение</w:t>
      </w:r>
      <w:r>
        <w:rPr>
          <w:spacing w:val="-10"/>
          <w:sz w:val="24"/>
        </w:rPr>
        <w:t> </w:t>
      </w:r>
      <w:r>
        <w:rPr>
          <w:spacing w:val="-2"/>
          <w:sz w:val="24"/>
        </w:rPr>
        <w:t>пищеварения</w:t>
      </w:r>
    </w:p>
    <w:p>
      <w:pPr>
        <w:pStyle w:val="ListParagraph"/>
        <w:numPr>
          <w:ilvl w:val="0"/>
          <w:numId w:val="14"/>
        </w:numPr>
        <w:tabs>
          <w:tab w:pos="820" w:val="left" w:leader="none"/>
        </w:tabs>
        <w:spacing w:line="240" w:lineRule="auto" w:before="2" w:after="0"/>
        <w:ind w:left="820" w:right="0" w:hanging="143"/>
        <w:jc w:val="left"/>
        <w:rPr>
          <w:sz w:val="24"/>
        </w:rPr>
      </w:pPr>
      <w:r>
        <w:rPr>
          <w:sz w:val="24"/>
        </w:rPr>
        <w:t>Отставание</w:t>
      </w:r>
      <w:r>
        <w:rPr>
          <w:spacing w:val="-8"/>
          <w:sz w:val="24"/>
        </w:rPr>
        <w:t> </w:t>
      </w:r>
      <w:r>
        <w:rPr>
          <w:sz w:val="24"/>
        </w:rPr>
        <w:t>в</w:t>
      </w:r>
      <w:r>
        <w:rPr>
          <w:spacing w:val="-2"/>
          <w:sz w:val="24"/>
        </w:rPr>
        <w:t> </w:t>
      </w:r>
      <w:r>
        <w:rPr>
          <w:spacing w:val="-4"/>
          <w:sz w:val="24"/>
        </w:rPr>
        <w:t>росте</w:t>
      </w:r>
    </w:p>
    <w:p>
      <w:pPr>
        <w:pStyle w:val="BodyText"/>
        <w:spacing w:before="7"/>
        <w:ind w:left="0"/>
        <w:jc w:val="left"/>
      </w:pPr>
    </w:p>
    <w:p>
      <w:pPr>
        <w:pStyle w:val="Heading1"/>
        <w:ind w:left="682" w:firstLine="0"/>
      </w:pPr>
      <w:bookmarkStart w:name="Какие у этого заболевания бывают осложне" w:id="129"/>
      <w:bookmarkEnd w:id="129"/>
      <w:r>
        <w:rPr>
          <w:b w:val="0"/>
        </w:rPr>
      </w:r>
      <w:r>
        <w:rPr/>
        <w:t>Какие</w:t>
      </w:r>
      <w:r>
        <w:rPr>
          <w:spacing w:val="-7"/>
        </w:rPr>
        <w:t> </w:t>
      </w:r>
      <w:r>
        <w:rPr/>
        <w:t>у</w:t>
      </w:r>
      <w:r>
        <w:rPr>
          <w:spacing w:val="-8"/>
        </w:rPr>
        <w:t> </w:t>
      </w:r>
      <w:r>
        <w:rPr/>
        <w:t>этого</w:t>
      </w:r>
      <w:r>
        <w:rPr>
          <w:spacing w:val="-7"/>
        </w:rPr>
        <w:t> </w:t>
      </w:r>
      <w:r>
        <w:rPr/>
        <w:t>заболевания</w:t>
      </w:r>
      <w:r>
        <w:rPr>
          <w:spacing w:val="-9"/>
        </w:rPr>
        <w:t> </w:t>
      </w:r>
      <w:r>
        <w:rPr/>
        <w:t>бывают</w:t>
      </w:r>
      <w:r>
        <w:rPr>
          <w:spacing w:val="-5"/>
        </w:rPr>
        <w:t> </w:t>
      </w:r>
      <w:r>
        <w:rPr>
          <w:spacing w:val="-2"/>
        </w:rPr>
        <w:t>осложнения?</w:t>
      </w:r>
    </w:p>
    <w:p>
      <w:pPr>
        <w:pStyle w:val="BodyText"/>
        <w:spacing w:before="233"/>
        <w:ind w:right="144" w:firstLine="542"/>
      </w:pPr>
      <w:r>
        <w:rPr/>
        <w:t>По мере прогрессирования ДЛКЛ может развиваться печеночная недостаточность. В связи с нарушением обмена жиров и холестерина может развиться атеросклероз, что приводит к инфарктам и инсультам. Анемия и снижение количества тромбоцитов, а</w:t>
      </w:r>
      <w:r>
        <w:rPr>
          <w:spacing w:val="-2"/>
        </w:rPr>
        <w:t> </w:t>
      </w:r>
      <w:r>
        <w:rPr/>
        <w:t>значит и частые кровотечения – это осложнение ДЛКЛ в связи с нарушением функции селезенки.</w:t>
      </w:r>
    </w:p>
    <w:p>
      <w:pPr>
        <w:pStyle w:val="BodyText"/>
        <w:spacing w:before="4"/>
        <w:ind w:left="0"/>
        <w:jc w:val="left"/>
      </w:pPr>
    </w:p>
    <w:p>
      <w:pPr>
        <w:pStyle w:val="Heading1"/>
        <w:spacing w:before="1"/>
        <w:ind w:left="682" w:firstLine="0"/>
      </w:pPr>
      <w:bookmarkStart w:name="Как устанавливают в лаборатории диагноз " w:id="130"/>
      <w:bookmarkEnd w:id="130"/>
      <w:r>
        <w:rPr>
          <w:b w:val="0"/>
        </w:rPr>
      </w:r>
      <w:r>
        <w:rPr/>
        <w:t>Как</w:t>
      </w:r>
      <w:r>
        <w:rPr>
          <w:spacing w:val="-10"/>
        </w:rPr>
        <w:t> </w:t>
      </w:r>
      <w:r>
        <w:rPr/>
        <w:t>устанавливают</w:t>
      </w:r>
      <w:r>
        <w:rPr>
          <w:spacing w:val="-10"/>
        </w:rPr>
        <w:t> </w:t>
      </w:r>
      <w:r>
        <w:rPr/>
        <w:t>в</w:t>
      </w:r>
      <w:r>
        <w:rPr>
          <w:spacing w:val="-9"/>
        </w:rPr>
        <w:t> </w:t>
      </w:r>
      <w:r>
        <w:rPr/>
        <w:t>лаборатории</w:t>
      </w:r>
      <w:r>
        <w:rPr>
          <w:spacing w:val="-10"/>
        </w:rPr>
        <w:t> </w:t>
      </w:r>
      <w:r>
        <w:rPr/>
        <w:t>диагноз</w:t>
      </w:r>
      <w:r>
        <w:rPr>
          <w:spacing w:val="-9"/>
        </w:rPr>
        <w:t> </w:t>
      </w:r>
      <w:r>
        <w:rPr>
          <w:spacing w:val="-2"/>
        </w:rPr>
        <w:t>ДЛКЛ?</w:t>
      </w:r>
    </w:p>
    <w:p>
      <w:pPr>
        <w:pStyle w:val="BodyText"/>
        <w:spacing w:before="238"/>
        <w:ind w:right="139" w:firstLine="542"/>
      </w:pPr>
      <w:r>
        <w:rPr/>
        <w:t>Врачи на основании клинических симптомов могут заподозрить болезнь. Затем проводятся лабораторные тесты и инструментальное исследование. Диагноз ДЛКЛ подтверждается на основании обнаружения значительного дефицита активности фермента. Активность ЛКЛ</w:t>
      </w:r>
      <w:r>
        <w:rPr>
          <w:spacing w:val="-1"/>
        </w:rPr>
        <w:t> </w:t>
      </w:r>
      <w:r>
        <w:rPr/>
        <w:t>оценивается</w:t>
      </w:r>
      <w:r>
        <w:rPr>
          <w:spacing w:val="-2"/>
        </w:rPr>
        <w:t> </w:t>
      </w:r>
      <w:r>
        <w:rPr/>
        <w:t>путем определения активности фермента</w:t>
      </w:r>
      <w:r>
        <w:rPr>
          <w:spacing w:val="-2"/>
        </w:rPr>
        <w:t> </w:t>
      </w:r>
      <w:r>
        <w:rPr/>
        <w:t>в сухих</w:t>
      </w:r>
      <w:r>
        <w:rPr>
          <w:spacing w:val="-1"/>
        </w:rPr>
        <w:t> </w:t>
      </w:r>
      <w:r>
        <w:rPr/>
        <w:t>пятнах</w:t>
      </w:r>
      <w:r>
        <w:rPr>
          <w:spacing w:val="-1"/>
        </w:rPr>
        <w:t> </w:t>
      </w:r>
      <w:r>
        <w:rPr/>
        <w:t>крови на фильтрах. Такой способ определения практически однозначно указывает на ДЛКЛ, так</w:t>
      </w:r>
      <w:r>
        <w:rPr>
          <w:spacing w:val="40"/>
        </w:rPr>
        <w:t> </w:t>
      </w:r>
      <w:r>
        <w:rPr/>
        <w:t>как у пациентов активность ЛКЛ снижена в десятки и сотни раз, а иногда, при тяжелых формах, вовсе отсутствует. Неизвестно больше никаких других состояний, когда активность ЛКЛ настолько низкая. Анализ крови на ЛКЛ может выступать в качестве инструмента в программах</w:t>
      </w:r>
      <w:r>
        <w:rPr>
          <w:spacing w:val="-4"/>
        </w:rPr>
        <w:t> </w:t>
      </w:r>
      <w:r>
        <w:rPr/>
        <w:t>скрининга</w:t>
      </w:r>
      <w:r>
        <w:rPr>
          <w:spacing w:val="-5"/>
        </w:rPr>
        <w:t> </w:t>
      </w:r>
      <w:r>
        <w:rPr/>
        <w:t>и крупных</w:t>
      </w:r>
      <w:r>
        <w:rPr>
          <w:spacing w:val="-4"/>
        </w:rPr>
        <w:t> </w:t>
      </w:r>
      <w:r>
        <w:rPr/>
        <w:t>популяционных</w:t>
      </w:r>
      <w:r>
        <w:rPr>
          <w:spacing w:val="-4"/>
        </w:rPr>
        <w:t> </w:t>
      </w:r>
      <w:r>
        <w:rPr/>
        <w:t>исследованиях</w:t>
      </w:r>
      <w:r>
        <w:rPr>
          <w:spacing w:val="-4"/>
        </w:rPr>
        <w:t> </w:t>
      </w:r>
      <w:r>
        <w:rPr/>
        <w:t>ДЛКЛ, а также</w:t>
      </w:r>
      <w:r>
        <w:rPr>
          <w:spacing w:val="-5"/>
        </w:rPr>
        <w:t> </w:t>
      </w:r>
      <w:r>
        <w:rPr/>
        <w:t>может быть адаптирован для скрининга новорожденных. Если активность фермента снижена, то проводится ДНК-диагностика. В результате которой выявляют мутации в гене LIPA. При этом заболевании у пациента выявляют две мутации в гене. Они могут быть в гомозиготном состоянии (то есть две одинаковые мутации) или в компаунд-гетерозиготном состоянии (две разные мутации).</w:t>
      </w:r>
    </w:p>
    <w:p>
      <w:pPr>
        <w:pStyle w:val="BodyText"/>
        <w:spacing w:line="272" w:lineRule="exact"/>
        <w:ind w:left="677"/>
      </w:pPr>
      <w:r>
        <w:rPr/>
        <w:t>Только</w:t>
      </w:r>
      <w:r>
        <w:rPr>
          <w:spacing w:val="-6"/>
        </w:rPr>
        <w:t> </w:t>
      </w:r>
      <w:r>
        <w:rPr/>
        <w:t>на</w:t>
      </w:r>
      <w:r>
        <w:rPr>
          <w:spacing w:val="-9"/>
        </w:rPr>
        <w:t> </w:t>
      </w:r>
      <w:r>
        <w:rPr/>
        <w:t>основании</w:t>
      </w:r>
      <w:r>
        <w:rPr>
          <w:spacing w:val="-3"/>
        </w:rPr>
        <w:t> </w:t>
      </w:r>
      <w:r>
        <w:rPr/>
        <w:t>лабораторного</w:t>
      </w:r>
      <w:r>
        <w:rPr>
          <w:spacing w:val="-3"/>
        </w:rPr>
        <w:t> </w:t>
      </w:r>
      <w:r>
        <w:rPr/>
        <w:t>тестирования</w:t>
      </w:r>
      <w:r>
        <w:rPr>
          <w:spacing w:val="-4"/>
        </w:rPr>
        <w:t> </w:t>
      </w:r>
      <w:r>
        <w:rPr/>
        <w:t>диагноз</w:t>
      </w:r>
      <w:r>
        <w:rPr>
          <w:spacing w:val="-2"/>
        </w:rPr>
        <w:t> </w:t>
      </w:r>
      <w:r>
        <w:rPr/>
        <w:t>может</w:t>
      </w:r>
      <w:r>
        <w:rPr>
          <w:spacing w:val="-4"/>
        </w:rPr>
        <w:t> </w:t>
      </w:r>
      <w:r>
        <w:rPr/>
        <w:t>быть</w:t>
      </w:r>
      <w:r>
        <w:rPr>
          <w:spacing w:val="-2"/>
        </w:rPr>
        <w:t> установлен.</w:t>
      </w:r>
    </w:p>
    <w:p>
      <w:pPr>
        <w:pStyle w:val="BodyText"/>
        <w:spacing w:before="7"/>
        <w:ind w:left="0"/>
        <w:jc w:val="left"/>
      </w:pPr>
    </w:p>
    <w:p>
      <w:pPr>
        <w:pStyle w:val="Heading1"/>
        <w:ind w:left="682" w:firstLine="0"/>
      </w:pPr>
      <w:bookmarkStart w:name="Какой прогноз у пациентов с ДЛКЛ?" w:id="131"/>
      <w:bookmarkEnd w:id="131"/>
      <w:r>
        <w:rPr>
          <w:b w:val="0"/>
        </w:rPr>
      </w:r>
      <w:r>
        <w:rPr/>
        <w:t>Какой</w:t>
      </w:r>
      <w:r>
        <w:rPr>
          <w:spacing w:val="-8"/>
        </w:rPr>
        <w:t> </w:t>
      </w:r>
      <w:r>
        <w:rPr/>
        <w:t>прогноз</w:t>
      </w:r>
      <w:r>
        <w:rPr>
          <w:spacing w:val="-7"/>
        </w:rPr>
        <w:t> </w:t>
      </w:r>
      <w:r>
        <w:rPr/>
        <w:t>у</w:t>
      </w:r>
      <w:r>
        <w:rPr>
          <w:spacing w:val="-6"/>
        </w:rPr>
        <w:t> </w:t>
      </w:r>
      <w:r>
        <w:rPr/>
        <w:t>пациентов</w:t>
      </w:r>
      <w:r>
        <w:rPr>
          <w:spacing w:val="-7"/>
        </w:rPr>
        <w:t> </w:t>
      </w:r>
      <w:r>
        <w:rPr/>
        <w:t>с</w:t>
      </w:r>
      <w:r>
        <w:rPr>
          <w:spacing w:val="-5"/>
        </w:rPr>
        <w:t> </w:t>
      </w:r>
      <w:r>
        <w:rPr>
          <w:spacing w:val="-4"/>
        </w:rPr>
        <w:t>ДЛКЛ?</w:t>
      </w:r>
    </w:p>
    <w:p>
      <w:pPr>
        <w:pStyle w:val="BodyText"/>
        <w:spacing w:line="237" w:lineRule="auto" w:before="241"/>
        <w:ind w:right="146" w:firstLine="542"/>
      </w:pPr>
      <w:r>
        <w:rPr/>
        <w:t>Без лечения прогноз неблагоприятный. Младенцы с инфантильной формой ДЛКЛ (болезнью Вольмана) погибают в течение первых шести месяцев жизни.</w:t>
      </w:r>
    </w:p>
    <w:p>
      <w:pPr>
        <w:pStyle w:val="BodyText"/>
        <w:ind w:right="144" w:firstLine="538"/>
      </w:pPr>
      <w:r>
        <w:rPr/>
        <w:t>У половины детей и взрослых с медленно развивающейся формой болезни (болезнь накопления эфиров холестерина) в течение 3х лет после появления симптомов ДЛКЛ поражение печени становится настолько тяжелым, что развивается фиброз, цирроз или требуется пересадка печени.</w:t>
      </w:r>
    </w:p>
    <w:p>
      <w:pPr>
        <w:pStyle w:val="BodyText"/>
        <w:spacing w:before="7"/>
        <w:ind w:left="0"/>
        <w:jc w:val="left"/>
      </w:pPr>
    </w:p>
    <w:p>
      <w:pPr>
        <w:pStyle w:val="Heading1"/>
        <w:ind w:left="682" w:firstLine="0"/>
      </w:pPr>
      <w:bookmarkStart w:name="Как лечат пациентов с ДЛКЛ?" w:id="132"/>
      <w:bookmarkEnd w:id="132"/>
      <w:r>
        <w:rPr>
          <w:b w:val="0"/>
        </w:rPr>
      </w:r>
      <w:r>
        <w:rPr/>
        <w:t>Как</w:t>
      </w:r>
      <w:r>
        <w:rPr>
          <w:spacing w:val="-8"/>
        </w:rPr>
        <w:t> </w:t>
      </w:r>
      <w:r>
        <w:rPr/>
        <w:t>лечат</w:t>
      </w:r>
      <w:r>
        <w:rPr>
          <w:spacing w:val="-8"/>
        </w:rPr>
        <w:t> </w:t>
      </w:r>
      <w:r>
        <w:rPr/>
        <w:t>пациентов</w:t>
      </w:r>
      <w:r>
        <w:rPr>
          <w:spacing w:val="-6"/>
        </w:rPr>
        <w:t> </w:t>
      </w:r>
      <w:r>
        <w:rPr/>
        <w:t>с</w:t>
      </w:r>
      <w:r>
        <w:rPr>
          <w:spacing w:val="-5"/>
        </w:rPr>
        <w:t> </w:t>
      </w:r>
      <w:r>
        <w:rPr>
          <w:spacing w:val="-4"/>
        </w:rPr>
        <w:t>ДЛКЛ?</w:t>
      </w:r>
    </w:p>
    <w:p>
      <w:pPr>
        <w:pStyle w:val="BodyText"/>
        <w:spacing w:before="234"/>
        <w:ind w:right="143" w:firstLine="542"/>
      </w:pPr>
      <w:r>
        <w:rPr/>
        <w:t>Для лечения недавно существует препарат, который является ферментом липазой, но только полученной генно-инженерным путем. Это препарат называется "Себелипаза альфа**" и он уже зарегистрирован в России. Суть лечения очень простая – пациенту</w:t>
      </w:r>
      <w:r>
        <w:rPr>
          <w:spacing w:val="-1"/>
        </w:rPr>
        <w:t> </w:t>
      </w:r>
      <w:r>
        <w:rPr/>
        <w:t>вводят недостающий</w:t>
      </w:r>
      <w:r>
        <w:rPr>
          <w:spacing w:val="28"/>
        </w:rPr>
        <w:t> </w:t>
      </w:r>
      <w:r>
        <w:rPr/>
        <w:t>в</w:t>
      </w:r>
      <w:r>
        <w:rPr>
          <w:spacing w:val="24"/>
        </w:rPr>
        <w:t> </w:t>
      </w:r>
      <w:r>
        <w:rPr/>
        <w:t>организме</w:t>
      </w:r>
      <w:r>
        <w:rPr>
          <w:spacing w:val="26"/>
        </w:rPr>
        <w:t> </w:t>
      </w:r>
      <w:r>
        <w:rPr/>
        <w:t>фермент,</w:t>
      </w:r>
      <w:r>
        <w:rPr>
          <w:spacing w:val="25"/>
        </w:rPr>
        <w:t> </w:t>
      </w:r>
      <w:r>
        <w:rPr/>
        <w:t>в</w:t>
      </w:r>
      <w:r>
        <w:rPr>
          <w:spacing w:val="28"/>
        </w:rPr>
        <w:t> </w:t>
      </w:r>
      <w:r>
        <w:rPr/>
        <w:t>результате</w:t>
      </w:r>
      <w:r>
        <w:rPr>
          <w:spacing w:val="31"/>
        </w:rPr>
        <w:t> </w:t>
      </w:r>
      <w:r>
        <w:rPr/>
        <w:t>себелипаза</w:t>
      </w:r>
      <w:r>
        <w:rPr>
          <w:spacing w:val="30"/>
        </w:rPr>
        <w:t> </w:t>
      </w:r>
      <w:r>
        <w:rPr/>
        <w:t>альфа**</w:t>
      </w:r>
      <w:r>
        <w:rPr>
          <w:spacing w:val="26"/>
        </w:rPr>
        <w:t> </w:t>
      </w:r>
      <w:r>
        <w:rPr/>
        <w:t>начинает</w:t>
      </w:r>
      <w:r>
        <w:rPr>
          <w:spacing w:val="27"/>
        </w:rPr>
        <w:t> </w:t>
      </w:r>
      <w:r>
        <w:rPr/>
        <w:t>расщеплять</w:t>
      </w:r>
    </w:p>
    <w:p>
      <w:pPr>
        <w:spacing w:after="0"/>
        <w:sectPr>
          <w:pgSz w:w="11910" w:h="16840"/>
          <w:pgMar w:header="572" w:footer="1177" w:top="1320" w:bottom="1360" w:left="1560" w:right="420"/>
        </w:sectPr>
      </w:pPr>
    </w:p>
    <w:p>
      <w:pPr>
        <w:pStyle w:val="BodyText"/>
        <w:spacing w:before="80"/>
        <w:jc w:val="left"/>
      </w:pPr>
      <w:r>
        <w:rPr/>
        <w:t>накапливаемые</w:t>
      </w:r>
      <w:r>
        <w:rPr>
          <w:spacing w:val="-8"/>
        </w:rPr>
        <w:t> </w:t>
      </w:r>
      <w:r>
        <w:rPr/>
        <w:t>вещества</w:t>
      </w:r>
      <w:r>
        <w:rPr>
          <w:spacing w:val="-6"/>
        </w:rPr>
        <w:t> </w:t>
      </w:r>
      <w:r>
        <w:rPr/>
        <w:t>и</w:t>
      </w:r>
      <w:r>
        <w:rPr>
          <w:spacing w:val="-4"/>
        </w:rPr>
        <w:t> </w:t>
      </w:r>
      <w:r>
        <w:rPr/>
        <w:t>останавливает</w:t>
      </w:r>
      <w:r>
        <w:rPr>
          <w:spacing w:val="-5"/>
        </w:rPr>
        <w:t> </w:t>
      </w:r>
      <w:r>
        <w:rPr/>
        <w:t>прогрессирование</w:t>
      </w:r>
      <w:r>
        <w:rPr>
          <w:spacing w:val="-5"/>
        </w:rPr>
        <w:t> </w:t>
      </w:r>
      <w:r>
        <w:rPr>
          <w:spacing w:val="-2"/>
        </w:rPr>
        <w:t>болезни.</w:t>
      </w:r>
    </w:p>
    <w:p>
      <w:pPr>
        <w:pStyle w:val="BodyText"/>
        <w:spacing w:before="5"/>
        <w:ind w:left="0"/>
        <w:jc w:val="left"/>
      </w:pPr>
    </w:p>
    <w:p>
      <w:pPr>
        <w:pStyle w:val="Heading1"/>
        <w:ind w:right="149"/>
        <w:jc w:val="both"/>
      </w:pPr>
      <w:bookmarkStart w:name="Терапия является пожизненной или можно п" w:id="133"/>
      <w:bookmarkEnd w:id="133"/>
      <w:r>
        <w:rPr>
          <w:b w:val="0"/>
        </w:rPr>
      </w:r>
      <w:r>
        <w:rPr/>
        <w:t>Терапия</w:t>
      </w:r>
      <w:r>
        <w:rPr>
          <w:spacing w:val="-1"/>
        </w:rPr>
        <w:t> </w:t>
      </w:r>
      <w:r>
        <w:rPr/>
        <w:t>является</w:t>
      </w:r>
      <w:r>
        <w:rPr>
          <w:spacing w:val="-1"/>
        </w:rPr>
        <w:t> </w:t>
      </w:r>
      <w:r>
        <w:rPr/>
        <w:t>пожизненной</w:t>
      </w:r>
      <w:r>
        <w:rPr>
          <w:spacing w:val="-1"/>
        </w:rPr>
        <w:t> </w:t>
      </w:r>
      <w:r>
        <w:rPr/>
        <w:t>или можно</w:t>
      </w:r>
      <w:r>
        <w:rPr>
          <w:spacing w:val="-4"/>
        </w:rPr>
        <w:t> </w:t>
      </w:r>
      <w:r>
        <w:rPr/>
        <w:t>пройти</w:t>
      </w:r>
      <w:r>
        <w:rPr>
          <w:spacing w:val="-1"/>
        </w:rPr>
        <w:t> </w:t>
      </w:r>
      <w:r>
        <w:rPr/>
        <w:t>несколько</w:t>
      </w:r>
      <w:r>
        <w:rPr>
          <w:spacing w:val="-4"/>
        </w:rPr>
        <w:t> </w:t>
      </w:r>
      <w:r>
        <w:rPr/>
        <w:t>курсов</w:t>
      </w:r>
      <w:r>
        <w:rPr>
          <w:spacing w:val="-1"/>
        </w:rPr>
        <w:t> </w:t>
      </w:r>
      <w:r>
        <w:rPr/>
        <w:t>и вылечить болезнь?</w:t>
      </w:r>
    </w:p>
    <w:p>
      <w:pPr>
        <w:pStyle w:val="BodyText"/>
        <w:spacing w:before="239"/>
        <w:ind w:right="145" w:firstLine="542"/>
      </w:pPr>
      <w:r>
        <w:rPr/>
        <w:t>Заместительная ферментная терапия себелипазой альфа** является пожизненной и значительно улучшает прогноз заболевания, улучшает качество жизни детей с ДЛКЛ и предотвращает развитие цирроза печени. К сожалению, фермент, который вводят внутривенно "живет" только ограниченное время и его недостаток нужно все время </w:t>
      </w:r>
      <w:r>
        <w:rPr>
          <w:spacing w:val="-2"/>
        </w:rPr>
        <w:t>восполнять.</w:t>
      </w:r>
    </w:p>
    <w:p>
      <w:pPr>
        <w:pStyle w:val="BodyText"/>
        <w:ind w:right="144" w:firstLine="538"/>
      </w:pPr>
      <w:r>
        <w:rPr/>
        <w:t>Себелипаза альфа** назначается 1 раз в две недели детям и взрослым и 1 раз в неделю младенцам. Доза составляет 1 мг/кг, то есть рассчитывается по весу ребенка. Препарат вводится</w:t>
      </w:r>
      <w:r>
        <w:rPr>
          <w:spacing w:val="-3"/>
        </w:rPr>
        <w:t> </w:t>
      </w:r>
      <w:r>
        <w:rPr/>
        <w:t>внутривенно. Коррекция</w:t>
      </w:r>
      <w:r>
        <w:rPr>
          <w:spacing w:val="-2"/>
        </w:rPr>
        <w:t> </w:t>
      </w:r>
      <w:r>
        <w:rPr/>
        <w:t>дозы</w:t>
      </w:r>
      <w:r>
        <w:rPr>
          <w:spacing w:val="-1"/>
        </w:rPr>
        <w:t> </w:t>
      </w:r>
      <w:r>
        <w:rPr/>
        <w:t>препарата</w:t>
      </w:r>
      <w:r>
        <w:rPr>
          <w:spacing w:val="-3"/>
        </w:rPr>
        <w:t> </w:t>
      </w:r>
      <w:r>
        <w:rPr/>
        <w:t>проводится</w:t>
      </w:r>
      <w:r>
        <w:rPr>
          <w:spacing w:val="-3"/>
        </w:rPr>
        <w:t> </w:t>
      </w:r>
      <w:r>
        <w:rPr/>
        <w:t>при</w:t>
      </w:r>
      <w:r>
        <w:rPr>
          <w:spacing w:val="-1"/>
        </w:rPr>
        <w:t> </w:t>
      </w:r>
      <w:r>
        <w:rPr/>
        <w:t>снижении</w:t>
      </w:r>
      <w:r>
        <w:rPr>
          <w:spacing w:val="-1"/>
        </w:rPr>
        <w:t> </w:t>
      </w:r>
      <w:r>
        <w:rPr/>
        <w:t>или</w:t>
      </w:r>
      <w:r>
        <w:rPr>
          <w:spacing w:val="-1"/>
        </w:rPr>
        <w:t> </w:t>
      </w:r>
      <w:r>
        <w:rPr/>
        <w:t>увеличении веса ребенка.</w:t>
      </w:r>
    </w:p>
    <w:p>
      <w:pPr>
        <w:pStyle w:val="BodyText"/>
        <w:spacing w:before="7"/>
        <w:ind w:left="0"/>
        <w:jc w:val="left"/>
      </w:pPr>
    </w:p>
    <w:p>
      <w:pPr>
        <w:pStyle w:val="Heading1"/>
        <w:ind w:left="682" w:firstLine="0"/>
      </w:pPr>
      <w:bookmarkStart w:name="Чего стоит опасаться при назначении себе" w:id="134"/>
      <w:bookmarkEnd w:id="134"/>
      <w:r>
        <w:rPr>
          <w:b w:val="0"/>
        </w:rPr>
      </w:r>
      <w:r>
        <w:rPr/>
        <w:t>Чего</w:t>
      </w:r>
      <w:r>
        <w:rPr>
          <w:spacing w:val="-12"/>
        </w:rPr>
        <w:t> </w:t>
      </w:r>
      <w:r>
        <w:rPr/>
        <w:t>стоит</w:t>
      </w:r>
      <w:r>
        <w:rPr>
          <w:spacing w:val="-6"/>
        </w:rPr>
        <w:t> </w:t>
      </w:r>
      <w:r>
        <w:rPr/>
        <w:t>опасаться</w:t>
      </w:r>
      <w:r>
        <w:rPr>
          <w:spacing w:val="-6"/>
        </w:rPr>
        <w:t> </w:t>
      </w:r>
      <w:r>
        <w:rPr/>
        <w:t>при</w:t>
      </w:r>
      <w:r>
        <w:rPr>
          <w:spacing w:val="-11"/>
        </w:rPr>
        <w:t> </w:t>
      </w:r>
      <w:r>
        <w:rPr/>
        <w:t>назначении</w:t>
      </w:r>
      <w:r>
        <w:rPr>
          <w:spacing w:val="-10"/>
        </w:rPr>
        <w:t> </w:t>
      </w:r>
      <w:r>
        <w:rPr/>
        <w:t>себелипазы</w:t>
      </w:r>
      <w:r>
        <w:rPr>
          <w:spacing w:val="-9"/>
        </w:rPr>
        <w:t> </w:t>
      </w:r>
      <w:r>
        <w:rPr>
          <w:spacing w:val="-2"/>
        </w:rPr>
        <w:t>альфа**?</w:t>
      </w:r>
    </w:p>
    <w:p>
      <w:pPr>
        <w:pStyle w:val="BodyText"/>
        <w:spacing w:before="234"/>
        <w:ind w:right="139" w:firstLine="542"/>
      </w:pPr>
      <w:r>
        <w:rPr/>
        <w:t>3% пациентов во время клинических исследований указывали на признаки и симптомы анафилаксии, то есть тяжелой аллергической реакцией. Поэтому инфузии себелипазы альфа** должны проводиться подготовленным медицинским работником, умеющим бороться с тяжелыми аллергическими реакциями. В случае развития подобных реакций, необходимо незамедлительно прекратить введение препарата и начать соответствующее </w:t>
      </w:r>
      <w:r>
        <w:rPr>
          <w:spacing w:val="-2"/>
        </w:rPr>
        <w:t>лечение.</w:t>
      </w:r>
    </w:p>
    <w:p>
      <w:pPr>
        <w:pStyle w:val="BodyText"/>
        <w:spacing w:before="4"/>
        <w:ind w:left="0"/>
        <w:jc w:val="left"/>
      </w:pPr>
    </w:p>
    <w:p>
      <w:pPr>
        <w:pStyle w:val="Heading1"/>
        <w:ind w:right="147"/>
        <w:jc w:val="both"/>
      </w:pPr>
      <w:bookmarkStart w:name="Можно ли лечить заболевание другими преп" w:id="135"/>
      <w:bookmarkEnd w:id="135"/>
      <w:r>
        <w:rPr>
          <w:b w:val="0"/>
        </w:rPr>
      </w:r>
      <w:r>
        <w:rPr/>
        <w:t>Можно ли лечить заболевание другими препаратами – которые снижают уровень холестерина или помогают работе печени?</w:t>
      </w:r>
    </w:p>
    <w:p>
      <w:pPr>
        <w:pStyle w:val="BodyText"/>
        <w:spacing w:before="234"/>
        <w:ind w:right="139" w:firstLine="542"/>
      </w:pPr>
      <w:r>
        <w:rPr/>
        <w:t>Эта терапия, которая применялась до появления препарата, способного воздействовать на течение болезни. К сожалению, такое лечение является симптоматическим, имеет нестойкий и непродолжительный эффект, не влияет на исходы заболевания. Кроме того, исследований, показывающих эффективность этой терапии не проводилось. Однако надо отметить, что один из подходов к терапии сохраняет актуальность до сих пор и улучшает состояние пациентов с ДЛКЛ. Это низкожировая диета. Однако без проведения заместительной ферментной терапии ее эффективность будет недостаточной.</w:t>
      </w:r>
    </w:p>
    <w:p>
      <w:pPr>
        <w:pStyle w:val="BodyText"/>
        <w:ind w:left="0"/>
        <w:jc w:val="left"/>
      </w:pPr>
    </w:p>
    <w:p>
      <w:pPr>
        <w:pStyle w:val="BodyText"/>
        <w:spacing w:before="1"/>
        <w:ind w:left="682"/>
        <w:jc w:val="left"/>
      </w:pPr>
      <w:r>
        <w:rPr/>
        <w:t>Таблица</w:t>
      </w:r>
      <w:r>
        <w:rPr>
          <w:spacing w:val="-2"/>
        </w:rPr>
        <w:t> </w:t>
      </w:r>
      <w:r>
        <w:rPr/>
        <w:t>1.</w:t>
      </w:r>
      <w:r>
        <w:rPr>
          <w:spacing w:val="-4"/>
        </w:rPr>
        <w:t> </w:t>
      </w:r>
      <w:r>
        <w:rPr/>
        <w:t>Обследование</w:t>
      </w:r>
      <w:r>
        <w:rPr>
          <w:spacing w:val="-6"/>
        </w:rPr>
        <w:t> </w:t>
      </w:r>
      <w:r>
        <w:rPr/>
        <w:t>пациентов с</w:t>
      </w:r>
      <w:r>
        <w:rPr>
          <w:spacing w:val="-2"/>
        </w:rPr>
        <w:t> </w:t>
      </w:r>
      <w:r>
        <w:rPr>
          <w:spacing w:val="-4"/>
        </w:rPr>
        <w:t>ДЛКЛ</w:t>
      </w:r>
    </w:p>
    <w:p>
      <w:pPr>
        <w:pStyle w:val="BodyText"/>
        <w:spacing w:before="54"/>
        <w:ind w:left="0"/>
        <w:jc w:val="left"/>
        <w:rPr>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46"/>
        <w:gridCol w:w="8197"/>
      </w:tblGrid>
      <w:tr>
        <w:trPr>
          <w:trHeight w:val="388" w:hRule="atLeast"/>
        </w:trPr>
        <w:tc>
          <w:tcPr>
            <w:tcW w:w="1446" w:type="dxa"/>
            <w:vMerge w:val="restart"/>
          </w:tcPr>
          <w:p>
            <w:pPr>
              <w:pStyle w:val="TableParagraph"/>
              <w:spacing w:before="0"/>
              <w:ind w:left="0"/>
              <w:rPr>
                <w:sz w:val="24"/>
              </w:rPr>
            </w:pPr>
          </w:p>
          <w:p>
            <w:pPr>
              <w:pStyle w:val="TableParagraph"/>
              <w:spacing w:before="0"/>
              <w:ind w:left="0"/>
              <w:rPr>
                <w:sz w:val="24"/>
              </w:rPr>
            </w:pPr>
          </w:p>
          <w:p>
            <w:pPr>
              <w:pStyle w:val="TableParagraph"/>
              <w:spacing w:before="0"/>
              <w:ind w:left="0"/>
              <w:rPr>
                <w:sz w:val="24"/>
              </w:rPr>
            </w:pPr>
          </w:p>
          <w:p>
            <w:pPr>
              <w:pStyle w:val="TableParagraph"/>
              <w:spacing w:before="208"/>
              <w:ind w:left="0"/>
              <w:rPr>
                <w:sz w:val="24"/>
              </w:rPr>
            </w:pPr>
          </w:p>
          <w:p>
            <w:pPr>
              <w:pStyle w:val="TableParagraph"/>
              <w:spacing w:line="242" w:lineRule="auto" w:before="0"/>
              <w:ind w:left="273" w:hanging="96"/>
              <w:rPr>
                <w:sz w:val="24"/>
              </w:rPr>
            </w:pPr>
            <w:r>
              <w:rPr>
                <w:spacing w:val="-2"/>
                <w:sz w:val="24"/>
              </w:rPr>
              <w:t>Несколько </w:t>
            </w:r>
            <w:r>
              <w:rPr>
                <w:sz w:val="24"/>
              </w:rPr>
              <w:t>раз в год</w:t>
            </w:r>
          </w:p>
        </w:tc>
        <w:tc>
          <w:tcPr>
            <w:tcW w:w="8197" w:type="dxa"/>
          </w:tcPr>
          <w:p>
            <w:pPr>
              <w:pStyle w:val="TableParagraph"/>
              <w:ind w:left="61"/>
              <w:rPr>
                <w:sz w:val="24"/>
              </w:rPr>
            </w:pPr>
            <w:r>
              <w:rPr>
                <w:sz w:val="24"/>
              </w:rPr>
              <w:t>Рост, </w:t>
            </w:r>
            <w:r>
              <w:rPr>
                <w:spacing w:val="-5"/>
                <w:sz w:val="24"/>
              </w:rPr>
              <w:t>см</w:t>
            </w:r>
          </w:p>
        </w:tc>
      </w:tr>
      <w:tr>
        <w:trPr>
          <w:trHeight w:val="393"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Вес, </w:t>
            </w:r>
            <w:r>
              <w:rPr>
                <w:spacing w:val="-5"/>
                <w:sz w:val="24"/>
              </w:rPr>
              <w:t>кг</w:t>
            </w:r>
          </w:p>
        </w:tc>
      </w:tr>
      <w:tr>
        <w:trPr>
          <w:trHeight w:val="388"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Размеры</w:t>
            </w:r>
            <w:r>
              <w:rPr>
                <w:spacing w:val="-7"/>
                <w:sz w:val="24"/>
              </w:rPr>
              <w:t> </w:t>
            </w:r>
            <w:r>
              <w:rPr>
                <w:sz w:val="24"/>
              </w:rPr>
              <w:t>печени</w:t>
            </w:r>
            <w:r>
              <w:rPr>
                <w:spacing w:val="-2"/>
                <w:sz w:val="24"/>
              </w:rPr>
              <w:t> </w:t>
            </w:r>
            <w:r>
              <w:rPr>
                <w:sz w:val="24"/>
              </w:rPr>
              <w:t>(пальпаторно),</w:t>
            </w:r>
            <w:r>
              <w:rPr>
                <w:spacing w:val="-6"/>
                <w:sz w:val="24"/>
              </w:rPr>
              <w:t> </w:t>
            </w:r>
            <w:r>
              <w:rPr>
                <w:spacing w:val="-5"/>
                <w:sz w:val="24"/>
              </w:rPr>
              <w:t>см</w:t>
            </w:r>
          </w:p>
        </w:tc>
      </w:tr>
      <w:tr>
        <w:trPr>
          <w:trHeight w:val="388"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Размеры</w:t>
            </w:r>
            <w:r>
              <w:rPr>
                <w:spacing w:val="-3"/>
                <w:sz w:val="24"/>
              </w:rPr>
              <w:t> </w:t>
            </w:r>
            <w:r>
              <w:rPr>
                <w:sz w:val="24"/>
              </w:rPr>
              <w:t>селезенки</w:t>
            </w:r>
            <w:r>
              <w:rPr>
                <w:spacing w:val="-8"/>
                <w:sz w:val="24"/>
              </w:rPr>
              <w:t> </w:t>
            </w:r>
            <w:r>
              <w:rPr>
                <w:sz w:val="24"/>
              </w:rPr>
              <w:t>(пальпаторно),</w:t>
            </w:r>
            <w:r>
              <w:rPr>
                <w:spacing w:val="-1"/>
                <w:sz w:val="24"/>
              </w:rPr>
              <w:t> </w:t>
            </w:r>
            <w:r>
              <w:rPr>
                <w:spacing w:val="-5"/>
                <w:sz w:val="24"/>
              </w:rPr>
              <w:t>см</w:t>
            </w:r>
          </w:p>
        </w:tc>
      </w:tr>
      <w:tr>
        <w:trPr>
          <w:trHeight w:val="393"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Размеры</w:t>
            </w:r>
            <w:r>
              <w:rPr>
                <w:spacing w:val="-6"/>
                <w:sz w:val="24"/>
              </w:rPr>
              <w:t> </w:t>
            </w:r>
            <w:r>
              <w:rPr>
                <w:sz w:val="24"/>
              </w:rPr>
              <w:t>печени</w:t>
            </w:r>
            <w:r>
              <w:rPr>
                <w:spacing w:val="-1"/>
                <w:sz w:val="24"/>
              </w:rPr>
              <w:t> </w:t>
            </w:r>
            <w:r>
              <w:rPr>
                <w:sz w:val="24"/>
              </w:rPr>
              <w:t>и</w:t>
            </w:r>
            <w:r>
              <w:rPr>
                <w:spacing w:val="-7"/>
                <w:sz w:val="24"/>
              </w:rPr>
              <w:t> </w:t>
            </w:r>
            <w:r>
              <w:rPr>
                <w:sz w:val="24"/>
              </w:rPr>
              <w:t>селезенки</w:t>
            </w:r>
            <w:r>
              <w:rPr>
                <w:spacing w:val="-1"/>
                <w:sz w:val="24"/>
              </w:rPr>
              <w:t> </w:t>
            </w:r>
            <w:r>
              <w:rPr>
                <w:sz w:val="24"/>
              </w:rPr>
              <w:t>(пальпаторно),</w:t>
            </w:r>
            <w:r>
              <w:rPr>
                <w:spacing w:val="-5"/>
                <w:sz w:val="24"/>
              </w:rPr>
              <w:t> см</w:t>
            </w:r>
          </w:p>
        </w:tc>
      </w:tr>
      <w:tr>
        <w:trPr>
          <w:trHeight w:val="388"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Общий анализ</w:t>
            </w:r>
            <w:r>
              <w:rPr>
                <w:spacing w:val="-5"/>
                <w:sz w:val="24"/>
              </w:rPr>
              <w:t> </w:t>
            </w:r>
            <w:r>
              <w:rPr>
                <w:sz w:val="24"/>
              </w:rPr>
              <w:t>крови</w:t>
            </w:r>
            <w:r>
              <w:rPr>
                <w:spacing w:val="-5"/>
                <w:sz w:val="24"/>
              </w:rPr>
              <w:t> </w:t>
            </w:r>
            <w:r>
              <w:rPr>
                <w:sz w:val="24"/>
              </w:rPr>
              <w:t>(лейкоциты),</w:t>
            </w:r>
            <w:r>
              <w:rPr>
                <w:spacing w:val="1"/>
                <w:sz w:val="24"/>
              </w:rPr>
              <w:t> </w:t>
            </w:r>
            <w:r>
              <w:rPr>
                <w:sz w:val="24"/>
              </w:rPr>
              <w:t>x</w:t>
            </w:r>
            <w:r>
              <w:rPr>
                <w:spacing w:val="-5"/>
                <w:sz w:val="24"/>
              </w:rPr>
              <w:t> </w:t>
            </w:r>
            <w:r>
              <w:rPr>
                <w:spacing w:val="-4"/>
                <w:sz w:val="24"/>
              </w:rPr>
              <w:t>10*9</w:t>
            </w:r>
          </w:p>
        </w:tc>
      </w:tr>
      <w:tr>
        <w:trPr>
          <w:trHeight w:val="388" w:hRule="atLeast"/>
        </w:trPr>
        <w:tc>
          <w:tcPr>
            <w:tcW w:w="1446" w:type="dxa"/>
            <w:vMerge/>
            <w:tcBorders>
              <w:top w:val="nil"/>
            </w:tcBorders>
          </w:tcPr>
          <w:p>
            <w:pPr>
              <w:rPr>
                <w:sz w:val="2"/>
                <w:szCs w:val="2"/>
              </w:rPr>
            </w:pPr>
          </w:p>
        </w:tc>
        <w:tc>
          <w:tcPr>
            <w:tcW w:w="8197" w:type="dxa"/>
          </w:tcPr>
          <w:p>
            <w:pPr>
              <w:pStyle w:val="TableParagraph"/>
              <w:spacing w:before="50"/>
              <w:ind w:left="61"/>
              <w:rPr>
                <w:sz w:val="24"/>
              </w:rPr>
            </w:pPr>
            <w:r>
              <w:rPr>
                <w:sz w:val="24"/>
              </w:rPr>
              <w:t>Общий</w:t>
            </w:r>
            <w:r>
              <w:rPr>
                <w:spacing w:val="-3"/>
                <w:sz w:val="24"/>
              </w:rPr>
              <w:t> </w:t>
            </w:r>
            <w:r>
              <w:rPr>
                <w:sz w:val="24"/>
              </w:rPr>
              <w:t>анализ</w:t>
            </w:r>
            <w:r>
              <w:rPr>
                <w:spacing w:val="-4"/>
                <w:sz w:val="24"/>
              </w:rPr>
              <w:t> </w:t>
            </w:r>
            <w:r>
              <w:rPr>
                <w:sz w:val="24"/>
              </w:rPr>
              <w:t>крови</w:t>
            </w:r>
            <w:r>
              <w:rPr>
                <w:spacing w:val="-2"/>
                <w:sz w:val="24"/>
              </w:rPr>
              <w:t> </w:t>
            </w:r>
            <w:r>
              <w:rPr>
                <w:sz w:val="24"/>
              </w:rPr>
              <w:t>(эритроциты), x</w:t>
            </w:r>
            <w:r>
              <w:rPr>
                <w:spacing w:val="-5"/>
                <w:sz w:val="24"/>
              </w:rPr>
              <w:t> </w:t>
            </w:r>
            <w:r>
              <w:rPr>
                <w:spacing w:val="-2"/>
                <w:sz w:val="24"/>
              </w:rPr>
              <w:t>10*12</w:t>
            </w:r>
          </w:p>
        </w:tc>
      </w:tr>
      <w:tr>
        <w:trPr>
          <w:trHeight w:val="393"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Общий</w:t>
            </w:r>
            <w:r>
              <w:rPr>
                <w:spacing w:val="-1"/>
                <w:sz w:val="24"/>
              </w:rPr>
              <w:t> </w:t>
            </w:r>
            <w:r>
              <w:rPr>
                <w:sz w:val="24"/>
              </w:rPr>
              <w:t>анализ</w:t>
            </w:r>
            <w:r>
              <w:rPr>
                <w:spacing w:val="-5"/>
                <w:sz w:val="24"/>
              </w:rPr>
              <w:t> </w:t>
            </w:r>
            <w:r>
              <w:rPr>
                <w:sz w:val="24"/>
              </w:rPr>
              <w:t>крови</w:t>
            </w:r>
            <w:r>
              <w:rPr>
                <w:spacing w:val="-5"/>
                <w:sz w:val="24"/>
              </w:rPr>
              <w:t> </w:t>
            </w:r>
            <w:r>
              <w:rPr>
                <w:sz w:val="24"/>
              </w:rPr>
              <w:t>(гемоглобин),</w:t>
            </w:r>
            <w:r>
              <w:rPr>
                <w:spacing w:val="-4"/>
                <w:sz w:val="24"/>
              </w:rPr>
              <w:t> </w:t>
            </w:r>
            <w:r>
              <w:rPr>
                <w:spacing w:val="-5"/>
                <w:sz w:val="24"/>
              </w:rPr>
              <w:t>г/л</w:t>
            </w:r>
          </w:p>
        </w:tc>
      </w:tr>
    </w:tbl>
    <w:p>
      <w:pPr>
        <w:spacing w:after="0"/>
        <w:rPr>
          <w:sz w:val="24"/>
        </w:rPr>
        <w:sectPr>
          <w:pgSz w:w="11910" w:h="16840"/>
          <w:pgMar w:header="572" w:footer="1177" w:top="1320" w:bottom="1360" w:left="1560" w:right="420"/>
        </w:sectPr>
      </w:pPr>
    </w:p>
    <w:p>
      <w:pPr>
        <w:pStyle w:val="BodyText"/>
        <w:spacing w:before="7"/>
        <w:ind w:left="0"/>
        <w:jc w:val="left"/>
        <w:rPr>
          <w:sz w:val="7"/>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46"/>
        <w:gridCol w:w="8197"/>
      </w:tblGrid>
      <w:tr>
        <w:trPr>
          <w:trHeight w:val="393" w:hRule="atLeast"/>
        </w:trPr>
        <w:tc>
          <w:tcPr>
            <w:tcW w:w="1446" w:type="dxa"/>
            <w:vMerge w:val="restart"/>
          </w:tcPr>
          <w:p>
            <w:pPr>
              <w:pStyle w:val="TableParagraph"/>
              <w:spacing w:before="0"/>
              <w:ind w:left="0"/>
              <w:rPr>
                <w:sz w:val="22"/>
              </w:rPr>
            </w:pPr>
          </w:p>
        </w:tc>
        <w:tc>
          <w:tcPr>
            <w:tcW w:w="8197" w:type="dxa"/>
          </w:tcPr>
          <w:p>
            <w:pPr>
              <w:pStyle w:val="TableParagraph"/>
              <w:ind w:left="61"/>
              <w:rPr>
                <w:sz w:val="24"/>
              </w:rPr>
            </w:pPr>
            <w:r>
              <w:rPr>
                <w:sz w:val="24"/>
              </w:rPr>
              <w:t>Общий</w:t>
            </w:r>
            <w:r>
              <w:rPr>
                <w:spacing w:val="-2"/>
                <w:sz w:val="24"/>
              </w:rPr>
              <w:t> </w:t>
            </w:r>
            <w:r>
              <w:rPr>
                <w:sz w:val="24"/>
              </w:rPr>
              <w:t>анализ</w:t>
            </w:r>
            <w:r>
              <w:rPr>
                <w:spacing w:val="-5"/>
                <w:sz w:val="24"/>
              </w:rPr>
              <w:t> </w:t>
            </w:r>
            <w:r>
              <w:rPr>
                <w:sz w:val="24"/>
              </w:rPr>
              <w:t>крови</w:t>
            </w:r>
            <w:r>
              <w:rPr>
                <w:spacing w:val="-4"/>
                <w:sz w:val="24"/>
              </w:rPr>
              <w:t> </w:t>
            </w:r>
            <w:r>
              <w:rPr>
                <w:sz w:val="24"/>
              </w:rPr>
              <w:t>(тромбоциты),</w:t>
            </w:r>
            <w:r>
              <w:rPr>
                <w:spacing w:val="-4"/>
                <w:sz w:val="24"/>
              </w:rPr>
              <w:t> </w:t>
            </w:r>
            <w:r>
              <w:rPr>
                <w:sz w:val="24"/>
              </w:rPr>
              <w:t>x</w:t>
            </w:r>
            <w:r>
              <w:rPr>
                <w:spacing w:val="-5"/>
                <w:sz w:val="24"/>
              </w:rPr>
              <w:t> </w:t>
            </w:r>
            <w:r>
              <w:rPr>
                <w:spacing w:val="-4"/>
                <w:sz w:val="24"/>
              </w:rPr>
              <w:t>10*9</w:t>
            </w:r>
          </w:p>
        </w:tc>
      </w:tr>
      <w:tr>
        <w:trPr>
          <w:trHeight w:val="388"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Биохимический</w:t>
            </w:r>
            <w:r>
              <w:rPr>
                <w:spacing w:val="-1"/>
                <w:sz w:val="24"/>
              </w:rPr>
              <w:t> </w:t>
            </w:r>
            <w:r>
              <w:rPr>
                <w:sz w:val="24"/>
              </w:rPr>
              <w:t>анализ</w:t>
            </w:r>
            <w:r>
              <w:rPr>
                <w:spacing w:val="-6"/>
                <w:sz w:val="24"/>
              </w:rPr>
              <w:t> </w:t>
            </w:r>
            <w:r>
              <w:rPr>
                <w:sz w:val="24"/>
              </w:rPr>
              <w:t>крови</w:t>
            </w:r>
            <w:r>
              <w:rPr>
                <w:spacing w:val="-6"/>
                <w:sz w:val="24"/>
              </w:rPr>
              <w:t> </w:t>
            </w:r>
            <w:r>
              <w:rPr>
                <w:sz w:val="24"/>
              </w:rPr>
              <w:t>(АЛТ),</w:t>
            </w:r>
            <w:r>
              <w:rPr>
                <w:spacing w:val="-4"/>
                <w:sz w:val="24"/>
              </w:rPr>
              <w:t> ед/л</w:t>
            </w:r>
          </w:p>
        </w:tc>
      </w:tr>
      <w:tr>
        <w:trPr>
          <w:trHeight w:val="388" w:hRule="atLeast"/>
        </w:trPr>
        <w:tc>
          <w:tcPr>
            <w:tcW w:w="1446" w:type="dxa"/>
            <w:vMerge/>
            <w:tcBorders>
              <w:top w:val="nil"/>
            </w:tcBorders>
          </w:tcPr>
          <w:p>
            <w:pPr>
              <w:rPr>
                <w:sz w:val="2"/>
                <w:szCs w:val="2"/>
              </w:rPr>
            </w:pPr>
          </w:p>
        </w:tc>
        <w:tc>
          <w:tcPr>
            <w:tcW w:w="8197" w:type="dxa"/>
          </w:tcPr>
          <w:p>
            <w:pPr>
              <w:pStyle w:val="TableParagraph"/>
              <w:spacing w:before="50"/>
              <w:ind w:left="61"/>
              <w:rPr>
                <w:sz w:val="24"/>
              </w:rPr>
            </w:pPr>
            <w:r>
              <w:rPr>
                <w:sz w:val="24"/>
              </w:rPr>
              <w:t>Биохимический</w:t>
            </w:r>
            <w:r>
              <w:rPr>
                <w:spacing w:val="-2"/>
                <w:sz w:val="24"/>
              </w:rPr>
              <w:t> </w:t>
            </w:r>
            <w:r>
              <w:rPr>
                <w:sz w:val="24"/>
              </w:rPr>
              <w:t>анализ</w:t>
            </w:r>
            <w:r>
              <w:rPr>
                <w:spacing w:val="-6"/>
                <w:sz w:val="24"/>
              </w:rPr>
              <w:t> </w:t>
            </w:r>
            <w:r>
              <w:rPr>
                <w:sz w:val="24"/>
              </w:rPr>
              <w:t>крови</w:t>
            </w:r>
            <w:r>
              <w:rPr>
                <w:spacing w:val="-7"/>
                <w:sz w:val="24"/>
              </w:rPr>
              <w:t> </w:t>
            </w:r>
            <w:r>
              <w:rPr>
                <w:sz w:val="24"/>
              </w:rPr>
              <w:t>(АСТ), </w:t>
            </w:r>
            <w:r>
              <w:rPr>
                <w:spacing w:val="-4"/>
                <w:sz w:val="24"/>
              </w:rPr>
              <w:t>ед/л</w:t>
            </w:r>
          </w:p>
        </w:tc>
      </w:tr>
      <w:tr>
        <w:trPr>
          <w:trHeight w:val="393"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Холестерин</w:t>
            </w:r>
            <w:r>
              <w:rPr>
                <w:spacing w:val="-10"/>
                <w:sz w:val="24"/>
              </w:rPr>
              <w:t> </w:t>
            </w:r>
            <w:r>
              <w:rPr>
                <w:sz w:val="24"/>
              </w:rPr>
              <w:t>общий,</w:t>
            </w:r>
            <w:r>
              <w:rPr>
                <w:spacing w:val="3"/>
                <w:sz w:val="24"/>
              </w:rPr>
              <w:t> </w:t>
            </w:r>
            <w:r>
              <w:rPr>
                <w:spacing w:val="-2"/>
                <w:sz w:val="24"/>
              </w:rPr>
              <w:t>ммоль/л</w:t>
            </w:r>
          </w:p>
        </w:tc>
      </w:tr>
      <w:tr>
        <w:trPr>
          <w:trHeight w:val="388" w:hRule="atLeast"/>
        </w:trPr>
        <w:tc>
          <w:tcPr>
            <w:tcW w:w="1446" w:type="dxa"/>
            <w:vMerge w:val="restart"/>
          </w:tcPr>
          <w:p>
            <w:pPr>
              <w:pStyle w:val="TableParagraph"/>
              <w:spacing w:before="0"/>
              <w:ind w:left="0"/>
              <w:rPr>
                <w:sz w:val="24"/>
              </w:rPr>
            </w:pPr>
          </w:p>
          <w:p>
            <w:pPr>
              <w:pStyle w:val="TableParagraph"/>
              <w:spacing w:before="0"/>
              <w:ind w:left="0"/>
              <w:rPr>
                <w:sz w:val="24"/>
              </w:rPr>
            </w:pPr>
          </w:p>
          <w:p>
            <w:pPr>
              <w:pStyle w:val="TableParagraph"/>
              <w:spacing w:before="0"/>
              <w:ind w:left="0"/>
              <w:rPr>
                <w:sz w:val="24"/>
              </w:rPr>
            </w:pPr>
          </w:p>
          <w:p>
            <w:pPr>
              <w:pStyle w:val="TableParagraph"/>
              <w:spacing w:before="8"/>
              <w:ind w:left="0"/>
              <w:rPr>
                <w:sz w:val="24"/>
              </w:rPr>
            </w:pPr>
          </w:p>
          <w:p>
            <w:pPr>
              <w:pStyle w:val="TableParagraph"/>
              <w:spacing w:line="237" w:lineRule="auto" w:before="1"/>
              <w:ind w:left="273" w:hanging="96"/>
              <w:rPr>
                <w:sz w:val="24"/>
              </w:rPr>
            </w:pPr>
            <w:r>
              <w:rPr>
                <w:spacing w:val="-2"/>
                <w:sz w:val="24"/>
              </w:rPr>
              <w:t>Несколько </w:t>
            </w:r>
            <w:r>
              <w:rPr>
                <w:sz w:val="24"/>
              </w:rPr>
              <w:t>раз в год</w:t>
            </w:r>
          </w:p>
        </w:tc>
        <w:tc>
          <w:tcPr>
            <w:tcW w:w="8197" w:type="dxa"/>
          </w:tcPr>
          <w:p>
            <w:pPr>
              <w:pStyle w:val="TableParagraph"/>
              <w:ind w:left="61"/>
              <w:rPr>
                <w:sz w:val="24"/>
              </w:rPr>
            </w:pPr>
            <w:r>
              <w:rPr>
                <w:sz w:val="24"/>
              </w:rPr>
              <w:t>Триглицериды,</w:t>
            </w:r>
            <w:r>
              <w:rPr>
                <w:spacing w:val="-8"/>
                <w:sz w:val="24"/>
              </w:rPr>
              <w:t> </w:t>
            </w:r>
            <w:r>
              <w:rPr>
                <w:spacing w:val="-2"/>
                <w:sz w:val="24"/>
              </w:rPr>
              <w:t>ммоль/л</w:t>
            </w:r>
          </w:p>
        </w:tc>
      </w:tr>
      <w:tr>
        <w:trPr>
          <w:trHeight w:val="388"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Холестерин-ЛПНП,</w:t>
            </w:r>
            <w:r>
              <w:rPr>
                <w:spacing w:val="-8"/>
                <w:sz w:val="24"/>
              </w:rPr>
              <w:t> </w:t>
            </w:r>
            <w:r>
              <w:rPr>
                <w:spacing w:val="-2"/>
                <w:sz w:val="24"/>
              </w:rPr>
              <w:t>ммоль/л</w:t>
            </w:r>
          </w:p>
        </w:tc>
      </w:tr>
      <w:tr>
        <w:trPr>
          <w:trHeight w:val="393"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Холестерин-Л</w:t>
            </w:r>
            <w:r>
              <w:rPr>
                <w:spacing w:val="-4"/>
                <w:sz w:val="24"/>
              </w:rPr>
              <w:t> </w:t>
            </w:r>
            <w:r>
              <w:rPr>
                <w:sz w:val="24"/>
              </w:rPr>
              <w:t>ПВП,</w:t>
            </w:r>
            <w:r>
              <w:rPr>
                <w:spacing w:val="-1"/>
                <w:sz w:val="24"/>
              </w:rPr>
              <w:t> </w:t>
            </w:r>
            <w:r>
              <w:rPr>
                <w:spacing w:val="-2"/>
                <w:sz w:val="24"/>
              </w:rPr>
              <w:t>ммоль/л</w:t>
            </w:r>
          </w:p>
        </w:tc>
      </w:tr>
      <w:tr>
        <w:trPr>
          <w:trHeight w:val="388" w:hRule="atLeast"/>
        </w:trPr>
        <w:tc>
          <w:tcPr>
            <w:tcW w:w="1446" w:type="dxa"/>
            <w:vMerge/>
            <w:tcBorders>
              <w:top w:val="nil"/>
            </w:tcBorders>
          </w:tcPr>
          <w:p>
            <w:pPr>
              <w:rPr>
                <w:sz w:val="2"/>
                <w:szCs w:val="2"/>
              </w:rPr>
            </w:pPr>
          </w:p>
        </w:tc>
        <w:tc>
          <w:tcPr>
            <w:tcW w:w="8197" w:type="dxa"/>
          </w:tcPr>
          <w:p>
            <w:pPr>
              <w:pStyle w:val="TableParagraph"/>
              <w:tabs>
                <w:tab w:pos="3985" w:val="left" w:leader="none"/>
              </w:tabs>
              <w:ind w:left="61"/>
              <w:rPr>
                <w:sz w:val="24"/>
              </w:rPr>
            </w:pPr>
            <w:r>
              <w:rPr>
                <w:sz w:val="24"/>
              </w:rPr>
              <w:t>Коагулограмма (параметр </w:t>
            </w:r>
            <w:r>
              <w:rPr>
                <w:sz w:val="24"/>
                <w:u w:val="single"/>
              </w:rPr>
              <w:tab/>
            </w:r>
            <w:r>
              <w:rPr>
                <w:spacing w:val="-10"/>
                <w:sz w:val="24"/>
              </w:rPr>
              <w:t>)</w:t>
            </w:r>
          </w:p>
        </w:tc>
      </w:tr>
      <w:tr>
        <w:trPr>
          <w:trHeight w:val="388"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УЗИ</w:t>
            </w:r>
            <w:r>
              <w:rPr>
                <w:spacing w:val="-2"/>
                <w:sz w:val="24"/>
              </w:rPr>
              <w:t> </w:t>
            </w:r>
            <w:r>
              <w:rPr>
                <w:sz w:val="24"/>
              </w:rPr>
              <w:t>брюшной</w:t>
            </w:r>
            <w:r>
              <w:rPr>
                <w:spacing w:val="-5"/>
                <w:sz w:val="24"/>
              </w:rPr>
              <w:t> </w:t>
            </w:r>
            <w:r>
              <w:rPr>
                <w:sz w:val="24"/>
              </w:rPr>
              <w:t>полости</w:t>
            </w:r>
            <w:r>
              <w:rPr>
                <w:spacing w:val="-4"/>
                <w:sz w:val="24"/>
              </w:rPr>
              <w:t> </w:t>
            </w:r>
            <w:r>
              <w:rPr>
                <w:sz w:val="24"/>
              </w:rPr>
              <w:t>(печень),</w:t>
            </w:r>
            <w:r>
              <w:rPr>
                <w:spacing w:val="-3"/>
                <w:sz w:val="24"/>
              </w:rPr>
              <w:t> </w:t>
            </w:r>
            <w:r>
              <w:rPr>
                <w:spacing w:val="-5"/>
                <w:sz w:val="24"/>
              </w:rPr>
              <w:t>см</w:t>
            </w:r>
          </w:p>
        </w:tc>
      </w:tr>
      <w:tr>
        <w:trPr>
          <w:trHeight w:val="393"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УЗИ</w:t>
            </w:r>
            <w:r>
              <w:rPr>
                <w:spacing w:val="-2"/>
                <w:sz w:val="24"/>
              </w:rPr>
              <w:t> </w:t>
            </w:r>
            <w:r>
              <w:rPr>
                <w:sz w:val="24"/>
              </w:rPr>
              <w:t>брюшной</w:t>
            </w:r>
            <w:r>
              <w:rPr>
                <w:spacing w:val="-5"/>
                <w:sz w:val="24"/>
              </w:rPr>
              <w:t> </w:t>
            </w:r>
            <w:r>
              <w:rPr>
                <w:sz w:val="24"/>
              </w:rPr>
              <w:t>полости</w:t>
            </w:r>
            <w:r>
              <w:rPr>
                <w:spacing w:val="-4"/>
                <w:sz w:val="24"/>
              </w:rPr>
              <w:t> </w:t>
            </w:r>
            <w:r>
              <w:rPr>
                <w:sz w:val="24"/>
              </w:rPr>
              <w:t>(селезенка),</w:t>
            </w:r>
            <w:r>
              <w:rPr>
                <w:spacing w:val="-3"/>
                <w:sz w:val="24"/>
              </w:rPr>
              <w:t> </w:t>
            </w:r>
            <w:r>
              <w:rPr>
                <w:spacing w:val="-5"/>
                <w:sz w:val="24"/>
              </w:rPr>
              <w:t>см</w:t>
            </w:r>
          </w:p>
        </w:tc>
      </w:tr>
      <w:tr>
        <w:trPr>
          <w:trHeight w:val="388" w:hRule="atLeast"/>
        </w:trPr>
        <w:tc>
          <w:tcPr>
            <w:tcW w:w="1446" w:type="dxa"/>
            <w:vMerge/>
            <w:tcBorders>
              <w:top w:val="nil"/>
            </w:tcBorders>
          </w:tcPr>
          <w:p>
            <w:pPr>
              <w:rPr>
                <w:sz w:val="2"/>
                <w:szCs w:val="2"/>
              </w:rPr>
            </w:pPr>
          </w:p>
        </w:tc>
        <w:tc>
          <w:tcPr>
            <w:tcW w:w="8197" w:type="dxa"/>
          </w:tcPr>
          <w:p>
            <w:pPr>
              <w:pStyle w:val="TableParagraph"/>
              <w:ind w:left="61"/>
              <w:rPr>
                <w:sz w:val="24"/>
              </w:rPr>
            </w:pPr>
            <w:r>
              <w:rPr>
                <w:sz w:val="24"/>
              </w:rPr>
              <w:t>УЗИ</w:t>
            </w:r>
            <w:r>
              <w:rPr>
                <w:spacing w:val="-4"/>
                <w:sz w:val="24"/>
              </w:rPr>
              <w:t> </w:t>
            </w:r>
            <w:r>
              <w:rPr>
                <w:sz w:val="24"/>
              </w:rPr>
              <w:t>брюшной</w:t>
            </w:r>
            <w:r>
              <w:rPr>
                <w:spacing w:val="-6"/>
                <w:sz w:val="24"/>
              </w:rPr>
              <w:t> </w:t>
            </w:r>
            <w:r>
              <w:rPr>
                <w:sz w:val="24"/>
              </w:rPr>
              <w:t>полости</w:t>
            </w:r>
            <w:r>
              <w:rPr>
                <w:spacing w:val="-6"/>
                <w:sz w:val="24"/>
              </w:rPr>
              <w:t> </w:t>
            </w:r>
            <w:r>
              <w:rPr>
                <w:sz w:val="24"/>
              </w:rPr>
              <w:t>(надпочечники), </w:t>
            </w:r>
            <w:r>
              <w:rPr>
                <w:spacing w:val="-5"/>
                <w:sz w:val="24"/>
              </w:rPr>
              <w:t>см</w:t>
            </w:r>
          </w:p>
        </w:tc>
      </w:tr>
    </w:tbl>
    <w:p>
      <w:pPr>
        <w:pStyle w:val="BodyText"/>
        <w:spacing w:before="1"/>
        <w:ind w:left="0"/>
        <w:jc w:val="left"/>
      </w:pPr>
    </w:p>
    <w:p>
      <w:pPr>
        <w:pStyle w:val="BodyText"/>
        <w:spacing w:line="237" w:lineRule="auto"/>
        <w:ind w:firstLine="542"/>
        <w:jc w:val="left"/>
      </w:pPr>
      <w:r>
        <w:rPr/>
        <w:t>Кроме</w:t>
      </w:r>
      <w:r>
        <w:rPr>
          <w:spacing w:val="80"/>
        </w:rPr>
        <w:t> </w:t>
      </w:r>
      <w:r>
        <w:rPr/>
        <w:t>того,</w:t>
      </w:r>
      <w:r>
        <w:rPr>
          <w:spacing w:val="80"/>
        </w:rPr>
        <w:t> </w:t>
      </w:r>
      <w:r>
        <w:rPr/>
        <w:t>нужно</w:t>
      </w:r>
      <w:r>
        <w:rPr>
          <w:spacing w:val="80"/>
        </w:rPr>
        <w:t> </w:t>
      </w:r>
      <w:r>
        <w:rPr/>
        <w:t>проходить</w:t>
      </w:r>
      <w:r>
        <w:rPr>
          <w:spacing w:val="80"/>
        </w:rPr>
        <w:t> </w:t>
      </w:r>
      <w:r>
        <w:rPr/>
        <w:t>контрольное</w:t>
      </w:r>
      <w:r>
        <w:rPr>
          <w:spacing w:val="80"/>
        </w:rPr>
        <w:t> </w:t>
      </w:r>
      <w:r>
        <w:rPr/>
        <w:t>обследование</w:t>
      </w:r>
      <w:r>
        <w:rPr>
          <w:spacing w:val="80"/>
        </w:rPr>
        <w:t> </w:t>
      </w:r>
      <w:r>
        <w:rPr/>
        <w:t>в</w:t>
      </w:r>
      <w:r>
        <w:rPr>
          <w:spacing w:val="80"/>
        </w:rPr>
        <w:t> </w:t>
      </w:r>
      <w:r>
        <w:rPr/>
        <w:t>круглосуточном</w:t>
      </w:r>
      <w:r>
        <w:rPr>
          <w:spacing w:val="80"/>
        </w:rPr>
        <w:t> </w:t>
      </w:r>
      <w:r>
        <w:rPr/>
        <w:t>или дневном стационаре 2 раза в год для оценки эффективности состояния.</w:t>
      </w:r>
    </w:p>
    <w:p>
      <w:pPr>
        <w:pStyle w:val="BodyText"/>
        <w:ind w:left="0"/>
        <w:jc w:val="left"/>
      </w:pPr>
    </w:p>
    <w:p>
      <w:pPr>
        <w:pStyle w:val="BodyText"/>
        <w:spacing w:before="3"/>
        <w:ind w:left="0"/>
        <w:jc w:val="left"/>
      </w:pPr>
    </w:p>
    <w:p>
      <w:pPr>
        <w:pStyle w:val="BodyText"/>
        <w:ind w:left="0" w:right="134"/>
        <w:jc w:val="right"/>
      </w:pPr>
      <w:bookmarkStart w:name="Приложение Г1-ГN" w:id="136"/>
      <w:bookmarkEnd w:id="136"/>
      <w:r>
        <w:rPr/>
      </w:r>
      <w:r>
        <w:rPr/>
        <w:t>Приложение</w:t>
      </w:r>
      <w:r>
        <w:rPr>
          <w:spacing w:val="-4"/>
        </w:rPr>
        <w:t> </w:t>
      </w:r>
      <w:r>
        <w:rPr/>
        <w:t>Г1-</w:t>
      </w:r>
      <w:r>
        <w:rPr>
          <w:spacing w:val="-5"/>
        </w:rPr>
        <w:t>ГN</w:t>
      </w:r>
    </w:p>
    <w:p>
      <w:pPr>
        <w:pStyle w:val="BodyText"/>
        <w:spacing w:before="7"/>
        <w:ind w:left="0"/>
        <w:jc w:val="left"/>
      </w:pPr>
    </w:p>
    <w:p>
      <w:pPr>
        <w:pStyle w:val="Heading1"/>
        <w:ind w:left="1460" w:hanging="1187"/>
      </w:pPr>
      <w:r>
        <w:rPr/>
        <w:t>Шкалы</w:t>
      </w:r>
      <w:r>
        <w:rPr>
          <w:spacing w:val="-5"/>
        </w:rPr>
        <w:t> </w:t>
      </w:r>
      <w:r>
        <w:rPr/>
        <w:t>оценки,</w:t>
      </w:r>
      <w:r>
        <w:rPr>
          <w:spacing w:val="-6"/>
        </w:rPr>
        <w:t> </w:t>
      </w:r>
      <w:r>
        <w:rPr/>
        <w:t>вопросники</w:t>
      </w:r>
      <w:r>
        <w:rPr>
          <w:spacing w:val="-6"/>
        </w:rPr>
        <w:t> </w:t>
      </w:r>
      <w:r>
        <w:rPr/>
        <w:t>и</w:t>
      </w:r>
      <w:r>
        <w:rPr>
          <w:spacing w:val="-11"/>
        </w:rPr>
        <w:t> </w:t>
      </w:r>
      <w:r>
        <w:rPr/>
        <w:t>другие</w:t>
      </w:r>
      <w:r>
        <w:rPr>
          <w:spacing w:val="-4"/>
        </w:rPr>
        <w:t> </w:t>
      </w:r>
      <w:r>
        <w:rPr/>
        <w:t>оценочные</w:t>
      </w:r>
      <w:r>
        <w:rPr>
          <w:spacing w:val="-4"/>
        </w:rPr>
        <w:t> </w:t>
      </w:r>
      <w:r>
        <w:rPr/>
        <w:t>инструменты</w:t>
      </w:r>
      <w:r>
        <w:rPr>
          <w:spacing w:val="-2"/>
        </w:rPr>
        <w:t> </w:t>
      </w:r>
      <w:r>
        <w:rPr/>
        <w:t>состояния пациента, приведенные в клинических рекомендациях</w:t>
      </w:r>
    </w:p>
    <w:p>
      <w:pPr>
        <w:pStyle w:val="BodyText"/>
        <w:spacing w:before="267"/>
        <w:ind w:left="682"/>
        <w:jc w:val="left"/>
      </w:pPr>
      <w:r>
        <w:rPr/>
        <w:t>Не </w:t>
      </w:r>
      <w:r>
        <w:rPr>
          <w:spacing w:val="-2"/>
        </w:rPr>
        <w:t>применимо.</w:t>
      </w:r>
    </w:p>
    <w:p>
      <w:pPr>
        <w:pStyle w:val="BodyText"/>
        <w:spacing w:before="131"/>
        <w:ind w:left="0"/>
        <w:jc w:val="left"/>
        <w:rPr>
          <w:sz w:val="20"/>
        </w:rPr>
      </w:pPr>
      <w:r>
        <w:rPr/>
        <mc:AlternateContent>
          <mc:Choice Requires="wps">
            <w:drawing>
              <wp:anchor distT="0" distB="0" distL="0" distR="0" allowOverlap="1" layoutInCell="1" locked="0" behindDoc="1" simplePos="0" relativeHeight="487589376">
                <wp:simplePos x="0" y="0"/>
                <wp:positionH relativeFrom="page">
                  <wp:posOffset>1061008</wp:posOffset>
                </wp:positionH>
                <wp:positionV relativeFrom="paragraph">
                  <wp:posOffset>244704</wp:posOffset>
                </wp:positionV>
                <wp:extent cx="6159500" cy="9525"/>
                <wp:effectExtent l="0" t="0" r="0" b="0"/>
                <wp:wrapTopAndBottom/>
                <wp:docPr id="18" name="Graphic 18"/>
                <wp:cNvGraphicFramePr>
                  <a:graphicFrameLocks/>
                </wp:cNvGraphicFramePr>
                <a:graphic>
                  <a:graphicData uri="http://schemas.microsoft.com/office/word/2010/wordprocessingShape">
                    <wps:wsp>
                      <wps:cNvPr id="18" name="Graphic 18"/>
                      <wps:cNvSpPr/>
                      <wps:spPr>
                        <a:xfrm>
                          <a:off x="0" y="0"/>
                          <a:ext cx="6159500" cy="9525"/>
                        </a:xfrm>
                        <a:custGeom>
                          <a:avLst/>
                          <a:gdLst/>
                          <a:ahLst/>
                          <a:cxnLst/>
                          <a:rect l="l" t="t" r="r" b="b"/>
                          <a:pathLst>
                            <a:path w="6159500" h="9525">
                              <a:moveTo>
                                <a:pt x="6159373" y="0"/>
                              </a:moveTo>
                              <a:lnTo>
                                <a:pt x="0" y="0"/>
                              </a:lnTo>
                              <a:lnTo>
                                <a:pt x="0" y="9144"/>
                              </a:lnTo>
                              <a:lnTo>
                                <a:pt x="6159373" y="9144"/>
                              </a:lnTo>
                              <a:lnTo>
                                <a:pt x="61593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83.543999pt;margin-top:19.268091pt;width:484.99pt;height:.72pt;mso-position-horizontal-relative:page;mso-position-vertical-relative:paragraph;z-index:-15727104;mso-wrap-distance-left:0;mso-wrap-distance-right:0" id="docshape13" filled="true" fillcolor="#000000" stroked="false">
                <v:fill type="solid"/>
                <w10:wrap type="topAndBottom"/>
              </v:rect>
            </w:pict>
          </mc:Fallback>
        </mc:AlternateContent>
      </w:r>
      <w:r>
        <w:rPr/>
        <mc:AlternateContent>
          <mc:Choice Requires="wps">
            <w:drawing>
              <wp:anchor distT="0" distB="0" distL="0" distR="0" allowOverlap="1" layoutInCell="1" locked="0" behindDoc="1" simplePos="0" relativeHeight="487589888">
                <wp:simplePos x="0" y="0"/>
                <wp:positionH relativeFrom="page">
                  <wp:posOffset>1061008</wp:posOffset>
                </wp:positionH>
                <wp:positionV relativeFrom="paragraph">
                  <wp:posOffset>506832</wp:posOffset>
                </wp:positionV>
                <wp:extent cx="6159500" cy="3064510"/>
                <wp:effectExtent l="0" t="0" r="0" b="0"/>
                <wp:wrapTopAndBottom/>
                <wp:docPr id="19" name="Group 19"/>
                <wp:cNvGraphicFramePr>
                  <a:graphicFrameLocks/>
                </wp:cNvGraphicFramePr>
                <a:graphic>
                  <a:graphicData uri="http://schemas.microsoft.com/office/word/2010/wordprocessingGroup">
                    <wpg:wgp>
                      <wpg:cNvPr id="19" name="Group 19"/>
                      <wpg:cNvGrpSpPr/>
                      <wpg:grpSpPr>
                        <a:xfrm>
                          <a:off x="0" y="0"/>
                          <a:ext cx="6159500" cy="3064510"/>
                          <a:chExt cx="6159500" cy="3064510"/>
                        </a:xfrm>
                      </wpg:grpSpPr>
                      <wps:wsp>
                        <wps:cNvPr id="20" name="Graphic 20"/>
                        <wps:cNvSpPr/>
                        <wps:spPr>
                          <a:xfrm>
                            <a:off x="36576" y="126"/>
                            <a:ext cx="6086475" cy="3064510"/>
                          </a:xfrm>
                          <a:custGeom>
                            <a:avLst/>
                            <a:gdLst/>
                            <a:ahLst/>
                            <a:cxnLst/>
                            <a:rect l="l" t="t" r="r" b="b"/>
                            <a:pathLst>
                              <a:path w="6086475" h="3064510">
                                <a:moveTo>
                                  <a:pt x="6086221" y="0"/>
                                </a:moveTo>
                                <a:lnTo>
                                  <a:pt x="0" y="0"/>
                                </a:lnTo>
                                <a:lnTo>
                                  <a:pt x="0" y="3064129"/>
                                </a:lnTo>
                                <a:lnTo>
                                  <a:pt x="6086221" y="3064129"/>
                                </a:lnTo>
                                <a:lnTo>
                                  <a:pt x="6086221" y="0"/>
                                </a:lnTo>
                                <a:close/>
                              </a:path>
                            </a:pathLst>
                          </a:custGeom>
                          <a:solidFill>
                            <a:srgbClr val="F4F3F8"/>
                          </a:solidFill>
                        </wps:spPr>
                        <wps:bodyPr wrap="square" lIns="0" tIns="0" rIns="0" bIns="0" rtlCol="0">
                          <a:prstTxWarp prst="textNoShape">
                            <a:avLst/>
                          </a:prstTxWarp>
                          <a:noAutofit/>
                        </wps:bodyPr>
                      </wps:wsp>
                      <pic:pic>
                        <pic:nvPicPr>
                          <pic:cNvPr id="21" name="Image 21"/>
                          <pic:cNvPicPr/>
                        </pic:nvPicPr>
                        <pic:blipFill>
                          <a:blip r:embed="rId13" cstate="print"/>
                          <a:stretch>
                            <a:fillRect/>
                          </a:stretch>
                        </pic:blipFill>
                        <pic:spPr>
                          <a:xfrm>
                            <a:off x="2145741" y="769112"/>
                            <a:ext cx="1868170" cy="1868804"/>
                          </a:xfrm>
                          <a:prstGeom prst="rect">
                            <a:avLst/>
                          </a:prstGeom>
                        </pic:spPr>
                      </pic:pic>
                      <wps:wsp>
                        <wps:cNvPr id="22" name="Graphic 22"/>
                        <wps:cNvSpPr/>
                        <wps:spPr>
                          <a:xfrm>
                            <a:off x="0" y="0"/>
                            <a:ext cx="36830" cy="73660"/>
                          </a:xfrm>
                          <a:custGeom>
                            <a:avLst/>
                            <a:gdLst/>
                            <a:ahLst/>
                            <a:cxnLst/>
                            <a:rect l="l" t="t" r="r" b="b"/>
                            <a:pathLst>
                              <a:path w="36830" h="73660">
                                <a:moveTo>
                                  <a:pt x="36575" y="0"/>
                                </a:moveTo>
                                <a:lnTo>
                                  <a:pt x="0" y="0"/>
                                </a:lnTo>
                                <a:lnTo>
                                  <a:pt x="0" y="73151"/>
                                </a:lnTo>
                                <a:lnTo>
                                  <a:pt x="36575" y="73151"/>
                                </a:lnTo>
                                <a:lnTo>
                                  <a:pt x="36575" y="0"/>
                                </a:lnTo>
                                <a:close/>
                              </a:path>
                            </a:pathLst>
                          </a:custGeom>
                          <a:solidFill>
                            <a:srgbClr val="CED2F0"/>
                          </a:solidFill>
                        </wps:spPr>
                        <wps:bodyPr wrap="square" lIns="0" tIns="0" rIns="0" bIns="0" rtlCol="0">
                          <a:prstTxWarp prst="textNoShape">
                            <a:avLst/>
                          </a:prstTxWarp>
                          <a:noAutofit/>
                        </wps:bodyPr>
                      </wps:wsp>
                      <wps:wsp>
                        <wps:cNvPr id="23" name="Graphic 23"/>
                        <wps:cNvSpPr/>
                        <wps:spPr>
                          <a:xfrm>
                            <a:off x="18288" y="0"/>
                            <a:ext cx="6141720" cy="3064510"/>
                          </a:xfrm>
                          <a:custGeom>
                            <a:avLst/>
                            <a:gdLst/>
                            <a:ahLst/>
                            <a:cxnLst/>
                            <a:rect l="l" t="t" r="r" b="b"/>
                            <a:pathLst>
                              <a:path w="6141720" h="3064510">
                                <a:moveTo>
                                  <a:pt x="6122797" y="2991104"/>
                                </a:moveTo>
                                <a:lnTo>
                                  <a:pt x="0" y="2991104"/>
                                </a:lnTo>
                                <a:lnTo>
                                  <a:pt x="0" y="3064256"/>
                                </a:lnTo>
                                <a:lnTo>
                                  <a:pt x="6122797" y="3064256"/>
                                </a:lnTo>
                                <a:lnTo>
                                  <a:pt x="6122797" y="2991104"/>
                                </a:lnTo>
                                <a:close/>
                              </a:path>
                              <a:path w="6141720" h="3064510">
                                <a:moveTo>
                                  <a:pt x="6141161" y="0"/>
                                </a:moveTo>
                                <a:lnTo>
                                  <a:pt x="6104585" y="0"/>
                                </a:lnTo>
                                <a:lnTo>
                                  <a:pt x="6104585" y="73152"/>
                                </a:lnTo>
                                <a:lnTo>
                                  <a:pt x="6141161" y="73152"/>
                                </a:lnTo>
                                <a:lnTo>
                                  <a:pt x="6141161" y="0"/>
                                </a:lnTo>
                                <a:close/>
                              </a:path>
                            </a:pathLst>
                          </a:custGeom>
                          <a:solidFill>
                            <a:srgbClr val="F4F3F8"/>
                          </a:solidFill>
                        </wps:spPr>
                        <wps:bodyPr wrap="square" lIns="0" tIns="0" rIns="0" bIns="0" rtlCol="0">
                          <a:prstTxWarp prst="textNoShape">
                            <a:avLst/>
                          </a:prstTxWarp>
                          <a:noAutofit/>
                        </wps:bodyPr>
                      </wps:wsp>
                      <wps:wsp>
                        <wps:cNvPr id="24" name="Graphic 24"/>
                        <wps:cNvSpPr/>
                        <wps:spPr>
                          <a:xfrm>
                            <a:off x="0" y="73278"/>
                            <a:ext cx="36830" cy="2991485"/>
                          </a:xfrm>
                          <a:custGeom>
                            <a:avLst/>
                            <a:gdLst/>
                            <a:ahLst/>
                            <a:cxnLst/>
                            <a:rect l="l" t="t" r="r" b="b"/>
                            <a:pathLst>
                              <a:path w="36830" h="2991485">
                                <a:moveTo>
                                  <a:pt x="36575" y="0"/>
                                </a:moveTo>
                                <a:lnTo>
                                  <a:pt x="0" y="0"/>
                                </a:lnTo>
                                <a:lnTo>
                                  <a:pt x="0" y="2990977"/>
                                </a:lnTo>
                                <a:lnTo>
                                  <a:pt x="36575" y="2990977"/>
                                </a:lnTo>
                                <a:lnTo>
                                  <a:pt x="36575" y="0"/>
                                </a:lnTo>
                                <a:close/>
                              </a:path>
                            </a:pathLst>
                          </a:custGeom>
                          <a:solidFill>
                            <a:srgbClr val="CED2F0"/>
                          </a:solidFill>
                        </wps:spPr>
                        <wps:bodyPr wrap="square" lIns="0" tIns="0" rIns="0" bIns="0" rtlCol="0">
                          <a:prstTxWarp prst="textNoShape">
                            <a:avLst/>
                          </a:prstTxWarp>
                          <a:noAutofit/>
                        </wps:bodyPr>
                      </wps:wsp>
                      <wps:wsp>
                        <wps:cNvPr id="25" name="Graphic 25"/>
                        <wps:cNvSpPr/>
                        <wps:spPr>
                          <a:xfrm>
                            <a:off x="6122873" y="73278"/>
                            <a:ext cx="36830" cy="2991485"/>
                          </a:xfrm>
                          <a:custGeom>
                            <a:avLst/>
                            <a:gdLst/>
                            <a:ahLst/>
                            <a:cxnLst/>
                            <a:rect l="l" t="t" r="r" b="b"/>
                            <a:pathLst>
                              <a:path w="36830" h="2991485">
                                <a:moveTo>
                                  <a:pt x="36575" y="0"/>
                                </a:moveTo>
                                <a:lnTo>
                                  <a:pt x="0" y="0"/>
                                </a:lnTo>
                                <a:lnTo>
                                  <a:pt x="0" y="2990977"/>
                                </a:lnTo>
                                <a:lnTo>
                                  <a:pt x="36575" y="2990977"/>
                                </a:lnTo>
                                <a:lnTo>
                                  <a:pt x="36575" y="0"/>
                                </a:lnTo>
                                <a:close/>
                              </a:path>
                            </a:pathLst>
                          </a:custGeom>
                          <a:solidFill>
                            <a:srgbClr val="F4F3F8"/>
                          </a:solidFill>
                        </wps:spPr>
                        <wps:bodyPr wrap="square" lIns="0" tIns="0" rIns="0" bIns="0" rtlCol="0">
                          <a:prstTxWarp prst="textNoShape">
                            <a:avLst/>
                          </a:prstTxWarp>
                          <a:noAutofit/>
                        </wps:bodyPr>
                      </wps:wsp>
                      <wps:wsp>
                        <wps:cNvPr id="26" name="Textbox 26"/>
                        <wps:cNvSpPr txBox="1"/>
                        <wps:spPr>
                          <a:xfrm>
                            <a:off x="36576" y="126"/>
                            <a:ext cx="6123305" cy="3064510"/>
                          </a:xfrm>
                          <a:prstGeom prst="rect">
                            <a:avLst/>
                          </a:prstGeom>
                        </wps:spPr>
                        <wps:txbx>
                          <w:txbxContent>
                            <w:p>
                              <w:pPr>
                                <w:spacing w:line="237" w:lineRule="auto" w:before="109"/>
                                <w:ind w:left="634" w:right="689" w:hanging="6"/>
                                <w:jc w:val="center"/>
                                <w:rPr>
                                  <w:sz w:val="24"/>
                                </w:rPr>
                              </w:pPr>
                              <w:r>
                                <w:rPr>
                                  <w:color w:val="392C69"/>
                                  <w:sz w:val="24"/>
                                </w:rPr>
                                <w:t>Новые, изданные в 2020-2023 гг. и официально утверждённые Минздравом РФ, клинические</w:t>
                              </w:r>
                              <w:r>
                                <w:rPr>
                                  <w:color w:val="392C69"/>
                                  <w:spacing w:val="-4"/>
                                  <w:sz w:val="24"/>
                                </w:rPr>
                                <w:t> </w:t>
                              </w:r>
                              <w:r>
                                <w:rPr>
                                  <w:color w:val="392C69"/>
                                  <w:sz w:val="24"/>
                                </w:rPr>
                                <w:t>рекомендации</w:t>
                              </w:r>
                              <w:r>
                                <w:rPr>
                                  <w:color w:val="392C69"/>
                                  <w:spacing w:val="-7"/>
                                  <w:sz w:val="24"/>
                                </w:rPr>
                                <w:t> </w:t>
                              </w:r>
                              <w:r>
                                <w:rPr>
                                  <w:color w:val="392C69"/>
                                  <w:sz w:val="24"/>
                                </w:rPr>
                                <w:t>(руководства,</w:t>
                              </w:r>
                              <w:r>
                                <w:rPr>
                                  <w:color w:val="392C69"/>
                                  <w:spacing w:val="-1"/>
                                  <w:sz w:val="24"/>
                                </w:rPr>
                                <w:t> </w:t>
                              </w:r>
                              <w:r>
                                <w:rPr>
                                  <w:color w:val="392C69"/>
                                  <w:sz w:val="24"/>
                                </w:rPr>
                                <w:t>протоколы</w:t>
                              </w:r>
                              <w:r>
                                <w:rPr>
                                  <w:color w:val="392C69"/>
                                  <w:spacing w:val="-6"/>
                                  <w:sz w:val="24"/>
                                </w:rPr>
                                <w:t> </w:t>
                              </w:r>
                              <w:r>
                                <w:rPr>
                                  <w:color w:val="392C69"/>
                                  <w:sz w:val="24"/>
                                </w:rPr>
                                <w:t>лечения) –</w:t>
                              </w:r>
                              <w:r>
                                <w:rPr>
                                  <w:color w:val="392C69"/>
                                  <w:spacing w:val="-3"/>
                                  <w:sz w:val="24"/>
                                </w:rPr>
                                <w:t> </w:t>
                              </w:r>
                              <w:r>
                                <w:rPr>
                                  <w:color w:val="392C69"/>
                                  <w:sz w:val="24"/>
                                </w:rPr>
                                <w:t>на</w:t>
                              </w:r>
                              <w:r>
                                <w:rPr>
                                  <w:color w:val="392C69"/>
                                  <w:spacing w:val="-9"/>
                                  <w:sz w:val="24"/>
                                </w:rPr>
                                <w:t> </w:t>
                              </w:r>
                              <w:r>
                                <w:rPr>
                                  <w:color w:val="392C69"/>
                                  <w:sz w:val="24"/>
                                </w:rPr>
                                <w:t>нашем</w:t>
                              </w:r>
                              <w:r>
                                <w:rPr>
                                  <w:color w:val="392C69"/>
                                  <w:spacing w:val="-6"/>
                                  <w:sz w:val="24"/>
                                </w:rPr>
                                <w:t> </w:t>
                              </w:r>
                              <w:r>
                                <w:rPr>
                                  <w:color w:val="392C69"/>
                                  <w:sz w:val="24"/>
                                </w:rPr>
                                <w:t>сайте.</w:t>
                              </w:r>
                            </w:p>
                            <w:p>
                              <w:pPr>
                                <w:spacing w:before="3"/>
                                <w:ind w:left="466" w:right="523" w:firstLine="5"/>
                                <w:jc w:val="center"/>
                                <w:rPr>
                                  <w:sz w:val="24"/>
                                </w:rPr>
                              </w:pPr>
                              <w:r>
                                <w:rPr>
                                  <w:color w:val="392C69"/>
                                  <w:spacing w:val="-2"/>
                                  <w:sz w:val="24"/>
                                </w:rPr>
                                <w:t>Интернет-ссылка: </w:t>
                              </w:r>
                              <w:hyperlink r:id="rId14">
                                <w:r>
                                  <w:rPr>
                                    <w:color w:val="0000FF"/>
                                    <w:spacing w:val="-2"/>
                                    <w:sz w:val="24"/>
                                    <w:u w:val="single" w:color="0000FF"/>
                                  </w:rPr>
                                  <w:t>http://disuria.ru/load/zakonodatelstvo/klinicheskie_rekomendacii_protokoly_lechenija/54</w:t>
                                </w:r>
                              </w:hyperlink>
                              <w:r>
                                <w:rPr>
                                  <w:color w:val="392C69"/>
                                  <w:spacing w:val="-2"/>
                                  <w:sz w:val="24"/>
                                </w:rPr>
                                <w:t>.</w:t>
                              </w: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179"/>
                                <w:rPr>
                                  <w:sz w:val="24"/>
                                </w:rPr>
                              </w:pPr>
                            </w:p>
                            <w:p>
                              <w:pPr>
                                <w:spacing w:line="242" w:lineRule="auto" w:before="0"/>
                                <w:ind w:left="0" w:right="54" w:firstLine="0"/>
                                <w:jc w:val="center"/>
                                <w:rPr>
                                  <w:sz w:val="24"/>
                                </w:rPr>
                              </w:pPr>
                              <w:r>
                                <w:rPr>
                                  <w:color w:val="392C69"/>
                                  <w:sz w:val="24"/>
                                </w:rPr>
                                <w:t>Если</w:t>
                              </w:r>
                              <w:r>
                                <w:rPr>
                                  <w:color w:val="392C69"/>
                                  <w:spacing w:val="-7"/>
                                  <w:sz w:val="24"/>
                                </w:rPr>
                                <w:t> </w:t>
                              </w:r>
                              <w:r>
                                <w:rPr>
                                  <w:color w:val="392C69"/>
                                  <w:sz w:val="24"/>
                                </w:rPr>
                                <w:t>где-то</w:t>
                              </w:r>
                              <w:r>
                                <w:rPr>
                                  <w:color w:val="392C69"/>
                                  <w:spacing w:val="-3"/>
                                  <w:sz w:val="24"/>
                                </w:rPr>
                                <w:t> </w:t>
                              </w:r>
                              <w:r>
                                <w:rPr>
                                  <w:color w:val="392C69"/>
                                  <w:sz w:val="24"/>
                                </w:rPr>
                                <w:t>кем-то</w:t>
                              </w:r>
                              <w:r>
                                <w:rPr>
                                  <w:color w:val="392C69"/>
                                  <w:spacing w:val="-3"/>
                                  <w:sz w:val="24"/>
                                </w:rPr>
                                <w:t> </w:t>
                              </w:r>
                              <w:r>
                                <w:rPr>
                                  <w:color w:val="392C69"/>
                                  <w:sz w:val="24"/>
                                </w:rPr>
                                <w:t>данный</w:t>
                              </w:r>
                              <w:r>
                                <w:rPr>
                                  <w:color w:val="392C69"/>
                                  <w:spacing w:val="-7"/>
                                  <w:sz w:val="24"/>
                                </w:rPr>
                                <w:t> </w:t>
                              </w:r>
                              <w:r>
                                <w:rPr>
                                  <w:color w:val="392C69"/>
                                  <w:sz w:val="24"/>
                                </w:rPr>
                                <w:t>документ</w:t>
                              </w:r>
                              <w:r>
                                <w:rPr>
                                  <w:color w:val="392C69"/>
                                  <w:spacing w:val="-3"/>
                                  <w:sz w:val="24"/>
                                </w:rPr>
                                <w:t> </w:t>
                              </w:r>
                              <w:r>
                                <w:rPr>
                                  <w:color w:val="392C69"/>
                                  <w:sz w:val="24"/>
                                </w:rPr>
                                <w:t>был</w:t>
                              </w:r>
                              <w:r>
                                <w:rPr>
                                  <w:color w:val="392C69"/>
                                  <w:spacing w:val="-3"/>
                                  <w:sz w:val="24"/>
                                </w:rPr>
                                <w:t> </w:t>
                              </w:r>
                              <w:r>
                                <w:rPr>
                                  <w:color w:val="392C69"/>
                                  <w:sz w:val="24"/>
                                </w:rPr>
                                <w:t>ранее</w:t>
                              </w:r>
                              <w:r>
                                <w:rPr>
                                  <w:color w:val="392C69"/>
                                  <w:spacing w:val="-4"/>
                                  <w:sz w:val="24"/>
                                </w:rPr>
                                <w:t> </w:t>
                              </w:r>
                              <w:r>
                                <w:rPr>
                                  <w:color w:val="392C69"/>
                                  <w:sz w:val="24"/>
                                </w:rPr>
                                <w:t>распечатан,</w:t>
                              </w:r>
                              <w:r>
                                <w:rPr>
                                  <w:color w:val="392C69"/>
                                  <w:spacing w:val="-2"/>
                                  <w:sz w:val="24"/>
                                </w:rPr>
                                <w:t> </w:t>
                              </w:r>
                              <w:r>
                                <w:rPr>
                                  <w:color w:val="392C69"/>
                                  <w:sz w:val="24"/>
                                </w:rPr>
                                <w:t>данное</w:t>
                              </w:r>
                              <w:r>
                                <w:rPr>
                                  <w:color w:val="392C69"/>
                                  <w:spacing w:val="-4"/>
                                  <w:sz w:val="24"/>
                                </w:rPr>
                                <w:t> </w:t>
                              </w:r>
                              <w:r>
                                <w:rPr>
                                  <w:color w:val="392C69"/>
                                  <w:sz w:val="24"/>
                                </w:rPr>
                                <w:t>изображение QR-кода поможет</w:t>
                              </w:r>
                              <w:r>
                                <w:rPr>
                                  <w:color w:val="392C69"/>
                                  <w:spacing w:val="-1"/>
                                  <w:sz w:val="24"/>
                                </w:rPr>
                                <w:t> </w:t>
                              </w:r>
                              <w:r>
                                <w:rPr>
                                  <w:color w:val="392C69"/>
                                  <w:sz w:val="24"/>
                                </w:rPr>
                                <w:t>вам быстро перейти по ссылке с бумажной копии –</w:t>
                              </w:r>
                              <w:r>
                                <w:rPr>
                                  <w:color w:val="392C69"/>
                                  <w:spacing w:val="-1"/>
                                  <w:sz w:val="24"/>
                                </w:rPr>
                                <w:t> </w:t>
                              </w:r>
                              <w:r>
                                <w:rPr>
                                  <w:color w:val="392C69"/>
                                  <w:sz w:val="24"/>
                                </w:rPr>
                                <w:t>в нём находится эта ссылка.</w:t>
                              </w:r>
                            </w:p>
                          </w:txbxContent>
                        </wps:txbx>
                        <wps:bodyPr wrap="square" lIns="0" tIns="0" rIns="0" bIns="0" rtlCol="0">
                          <a:noAutofit/>
                        </wps:bodyPr>
                      </wps:wsp>
                    </wpg:wgp>
                  </a:graphicData>
                </a:graphic>
              </wp:anchor>
            </w:drawing>
          </mc:Choice>
          <mc:Fallback>
            <w:pict>
              <v:group style="position:absolute;margin-left:83.543999pt;margin-top:39.908092pt;width:485pt;height:241.3pt;mso-position-horizontal-relative:page;mso-position-vertical-relative:paragraph;z-index:-15726592;mso-wrap-distance-left:0;mso-wrap-distance-right:0" id="docshapegroup14" coordorigin="1671,798" coordsize="9700,4826">
                <v:rect style="position:absolute;left:1728;top:798;width:9585;height:4826" id="docshape15" filled="true" fillcolor="#f4f3f8" stroked="false">
                  <v:fill type="solid"/>
                </v:rect>
                <v:shape style="position:absolute;left:5050;top:2009;width:2942;height:2943" type="#_x0000_t75" id="docshape16" stroked="false">
                  <v:imagedata r:id="rId13" o:title=""/>
                </v:shape>
                <v:rect style="position:absolute;left:1670;top:798;width:58;height:116" id="docshape17" filled="true" fillcolor="#ced2f0" stroked="false">
                  <v:fill type="solid"/>
                </v:rect>
                <v:shape style="position:absolute;left:1699;top:798;width:9672;height:4826" id="docshape18" coordorigin="1700,798" coordsize="9672,4826" path="m11342,5509l1700,5509,1700,5624,11342,5624,11342,5509xm11371,798l11313,798,11313,913,11371,913,11371,798xe" filled="true" fillcolor="#f4f3f8" stroked="false">
                  <v:path arrowok="t"/>
                  <v:fill type="solid"/>
                </v:shape>
                <v:rect style="position:absolute;left:1670;top:913;width:58;height:4711" id="docshape19" filled="true" fillcolor="#ced2f0" stroked="false">
                  <v:fill type="solid"/>
                </v:rect>
                <v:rect style="position:absolute;left:11313;top:913;width:58;height:4711" id="docshape20" filled="true" fillcolor="#f4f3f8" stroked="false">
                  <v:fill type="solid"/>
                </v:rect>
                <v:shape style="position:absolute;left:1728;top:798;width:9643;height:4826" type="#_x0000_t202" id="docshape21" filled="false" stroked="false">
                  <v:textbox inset="0,0,0,0">
                    <w:txbxContent>
                      <w:p>
                        <w:pPr>
                          <w:spacing w:line="237" w:lineRule="auto" w:before="109"/>
                          <w:ind w:left="634" w:right="689" w:hanging="6"/>
                          <w:jc w:val="center"/>
                          <w:rPr>
                            <w:sz w:val="24"/>
                          </w:rPr>
                        </w:pPr>
                        <w:r>
                          <w:rPr>
                            <w:color w:val="392C69"/>
                            <w:sz w:val="24"/>
                          </w:rPr>
                          <w:t>Новые, изданные в 2020-2023 гг. и официально утверждённые Минздравом РФ, клинические</w:t>
                        </w:r>
                        <w:r>
                          <w:rPr>
                            <w:color w:val="392C69"/>
                            <w:spacing w:val="-4"/>
                            <w:sz w:val="24"/>
                          </w:rPr>
                          <w:t> </w:t>
                        </w:r>
                        <w:r>
                          <w:rPr>
                            <w:color w:val="392C69"/>
                            <w:sz w:val="24"/>
                          </w:rPr>
                          <w:t>рекомендации</w:t>
                        </w:r>
                        <w:r>
                          <w:rPr>
                            <w:color w:val="392C69"/>
                            <w:spacing w:val="-7"/>
                            <w:sz w:val="24"/>
                          </w:rPr>
                          <w:t> </w:t>
                        </w:r>
                        <w:r>
                          <w:rPr>
                            <w:color w:val="392C69"/>
                            <w:sz w:val="24"/>
                          </w:rPr>
                          <w:t>(руководства,</w:t>
                        </w:r>
                        <w:r>
                          <w:rPr>
                            <w:color w:val="392C69"/>
                            <w:spacing w:val="-1"/>
                            <w:sz w:val="24"/>
                          </w:rPr>
                          <w:t> </w:t>
                        </w:r>
                        <w:r>
                          <w:rPr>
                            <w:color w:val="392C69"/>
                            <w:sz w:val="24"/>
                          </w:rPr>
                          <w:t>протоколы</w:t>
                        </w:r>
                        <w:r>
                          <w:rPr>
                            <w:color w:val="392C69"/>
                            <w:spacing w:val="-6"/>
                            <w:sz w:val="24"/>
                          </w:rPr>
                          <w:t> </w:t>
                        </w:r>
                        <w:r>
                          <w:rPr>
                            <w:color w:val="392C69"/>
                            <w:sz w:val="24"/>
                          </w:rPr>
                          <w:t>лечения) –</w:t>
                        </w:r>
                        <w:r>
                          <w:rPr>
                            <w:color w:val="392C69"/>
                            <w:spacing w:val="-3"/>
                            <w:sz w:val="24"/>
                          </w:rPr>
                          <w:t> </w:t>
                        </w:r>
                        <w:r>
                          <w:rPr>
                            <w:color w:val="392C69"/>
                            <w:sz w:val="24"/>
                          </w:rPr>
                          <w:t>на</w:t>
                        </w:r>
                        <w:r>
                          <w:rPr>
                            <w:color w:val="392C69"/>
                            <w:spacing w:val="-9"/>
                            <w:sz w:val="24"/>
                          </w:rPr>
                          <w:t> </w:t>
                        </w:r>
                        <w:r>
                          <w:rPr>
                            <w:color w:val="392C69"/>
                            <w:sz w:val="24"/>
                          </w:rPr>
                          <w:t>нашем</w:t>
                        </w:r>
                        <w:r>
                          <w:rPr>
                            <w:color w:val="392C69"/>
                            <w:spacing w:val="-6"/>
                            <w:sz w:val="24"/>
                          </w:rPr>
                          <w:t> </w:t>
                        </w:r>
                        <w:r>
                          <w:rPr>
                            <w:color w:val="392C69"/>
                            <w:sz w:val="24"/>
                          </w:rPr>
                          <w:t>сайте.</w:t>
                        </w:r>
                      </w:p>
                      <w:p>
                        <w:pPr>
                          <w:spacing w:before="3"/>
                          <w:ind w:left="466" w:right="523" w:firstLine="5"/>
                          <w:jc w:val="center"/>
                          <w:rPr>
                            <w:sz w:val="24"/>
                          </w:rPr>
                        </w:pPr>
                        <w:r>
                          <w:rPr>
                            <w:color w:val="392C69"/>
                            <w:spacing w:val="-2"/>
                            <w:sz w:val="24"/>
                          </w:rPr>
                          <w:t>Интернет-ссылка: </w:t>
                        </w:r>
                        <w:hyperlink r:id="rId14">
                          <w:r>
                            <w:rPr>
                              <w:color w:val="0000FF"/>
                              <w:spacing w:val="-2"/>
                              <w:sz w:val="24"/>
                              <w:u w:val="single" w:color="0000FF"/>
                            </w:rPr>
                            <w:t>http://disuria.ru/load/zakonodatelstvo/klinicheskie_rekomendacii_protokoly_lechenija/54</w:t>
                          </w:r>
                        </w:hyperlink>
                        <w:r>
                          <w:rPr>
                            <w:color w:val="392C69"/>
                            <w:spacing w:val="-2"/>
                            <w:sz w:val="24"/>
                          </w:rPr>
                          <w:t>.</w:t>
                        </w: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179"/>
                          <w:rPr>
                            <w:sz w:val="24"/>
                          </w:rPr>
                        </w:pPr>
                      </w:p>
                      <w:p>
                        <w:pPr>
                          <w:spacing w:line="242" w:lineRule="auto" w:before="0"/>
                          <w:ind w:left="0" w:right="54" w:firstLine="0"/>
                          <w:jc w:val="center"/>
                          <w:rPr>
                            <w:sz w:val="24"/>
                          </w:rPr>
                        </w:pPr>
                        <w:r>
                          <w:rPr>
                            <w:color w:val="392C69"/>
                            <w:sz w:val="24"/>
                          </w:rPr>
                          <w:t>Если</w:t>
                        </w:r>
                        <w:r>
                          <w:rPr>
                            <w:color w:val="392C69"/>
                            <w:spacing w:val="-7"/>
                            <w:sz w:val="24"/>
                          </w:rPr>
                          <w:t> </w:t>
                        </w:r>
                        <w:r>
                          <w:rPr>
                            <w:color w:val="392C69"/>
                            <w:sz w:val="24"/>
                          </w:rPr>
                          <w:t>где-то</w:t>
                        </w:r>
                        <w:r>
                          <w:rPr>
                            <w:color w:val="392C69"/>
                            <w:spacing w:val="-3"/>
                            <w:sz w:val="24"/>
                          </w:rPr>
                          <w:t> </w:t>
                        </w:r>
                        <w:r>
                          <w:rPr>
                            <w:color w:val="392C69"/>
                            <w:sz w:val="24"/>
                          </w:rPr>
                          <w:t>кем-то</w:t>
                        </w:r>
                        <w:r>
                          <w:rPr>
                            <w:color w:val="392C69"/>
                            <w:spacing w:val="-3"/>
                            <w:sz w:val="24"/>
                          </w:rPr>
                          <w:t> </w:t>
                        </w:r>
                        <w:r>
                          <w:rPr>
                            <w:color w:val="392C69"/>
                            <w:sz w:val="24"/>
                          </w:rPr>
                          <w:t>данный</w:t>
                        </w:r>
                        <w:r>
                          <w:rPr>
                            <w:color w:val="392C69"/>
                            <w:spacing w:val="-7"/>
                            <w:sz w:val="24"/>
                          </w:rPr>
                          <w:t> </w:t>
                        </w:r>
                        <w:r>
                          <w:rPr>
                            <w:color w:val="392C69"/>
                            <w:sz w:val="24"/>
                          </w:rPr>
                          <w:t>документ</w:t>
                        </w:r>
                        <w:r>
                          <w:rPr>
                            <w:color w:val="392C69"/>
                            <w:spacing w:val="-3"/>
                            <w:sz w:val="24"/>
                          </w:rPr>
                          <w:t> </w:t>
                        </w:r>
                        <w:r>
                          <w:rPr>
                            <w:color w:val="392C69"/>
                            <w:sz w:val="24"/>
                          </w:rPr>
                          <w:t>был</w:t>
                        </w:r>
                        <w:r>
                          <w:rPr>
                            <w:color w:val="392C69"/>
                            <w:spacing w:val="-3"/>
                            <w:sz w:val="24"/>
                          </w:rPr>
                          <w:t> </w:t>
                        </w:r>
                        <w:r>
                          <w:rPr>
                            <w:color w:val="392C69"/>
                            <w:sz w:val="24"/>
                          </w:rPr>
                          <w:t>ранее</w:t>
                        </w:r>
                        <w:r>
                          <w:rPr>
                            <w:color w:val="392C69"/>
                            <w:spacing w:val="-4"/>
                            <w:sz w:val="24"/>
                          </w:rPr>
                          <w:t> </w:t>
                        </w:r>
                        <w:r>
                          <w:rPr>
                            <w:color w:val="392C69"/>
                            <w:sz w:val="24"/>
                          </w:rPr>
                          <w:t>распечатан,</w:t>
                        </w:r>
                        <w:r>
                          <w:rPr>
                            <w:color w:val="392C69"/>
                            <w:spacing w:val="-2"/>
                            <w:sz w:val="24"/>
                          </w:rPr>
                          <w:t> </w:t>
                        </w:r>
                        <w:r>
                          <w:rPr>
                            <w:color w:val="392C69"/>
                            <w:sz w:val="24"/>
                          </w:rPr>
                          <w:t>данное</w:t>
                        </w:r>
                        <w:r>
                          <w:rPr>
                            <w:color w:val="392C69"/>
                            <w:spacing w:val="-4"/>
                            <w:sz w:val="24"/>
                          </w:rPr>
                          <w:t> </w:t>
                        </w:r>
                        <w:r>
                          <w:rPr>
                            <w:color w:val="392C69"/>
                            <w:sz w:val="24"/>
                          </w:rPr>
                          <w:t>изображение QR-кода поможет</w:t>
                        </w:r>
                        <w:r>
                          <w:rPr>
                            <w:color w:val="392C69"/>
                            <w:spacing w:val="-1"/>
                            <w:sz w:val="24"/>
                          </w:rPr>
                          <w:t> </w:t>
                        </w:r>
                        <w:r>
                          <w:rPr>
                            <w:color w:val="392C69"/>
                            <w:sz w:val="24"/>
                          </w:rPr>
                          <w:t>вам быстро перейти по ссылке с бумажной копии –</w:t>
                        </w:r>
                        <w:r>
                          <w:rPr>
                            <w:color w:val="392C69"/>
                            <w:spacing w:val="-1"/>
                            <w:sz w:val="24"/>
                          </w:rPr>
                          <w:t> </w:t>
                        </w:r>
                        <w:r>
                          <w:rPr>
                            <w:color w:val="392C69"/>
                            <w:sz w:val="24"/>
                          </w:rPr>
                          <w:t>в нём находится эта ссылка.</w:t>
                        </w:r>
                      </w:p>
                    </w:txbxContent>
                  </v:textbox>
                  <w10:wrap type="none"/>
                </v:shape>
                <w10:wrap type="topAndBottom"/>
              </v:group>
            </w:pict>
          </mc:Fallback>
        </mc:AlternateContent>
      </w:r>
      <w:r>
        <w:rPr/>
        <mc:AlternateContent>
          <mc:Choice Requires="wps">
            <w:drawing>
              <wp:anchor distT="0" distB="0" distL="0" distR="0" allowOverlap="1" layoutInCell="1" locked="0" behindDoc="1" simplePos="0" relativeHeight="487590400">
                <wp:simplePos x="0" y="0"/>
                <wp:positionH relativeFrom="page">
                  <wp:posOffset>1061008</wp:posOffset>
                </wp:positionH>
                <wp:positionV relativeFrom="paragraph">
                  <wp:posOffset>3808566</wp:posOffset>
                </wp:positionV>
                <wp:extent cx="6159500" cy="9525"/>
                <wp:effectExtent l="0" t="0" r="0" b="0"/>
                <wp:wrapTopAndBottom/>
                <wp:docPr id="27" name="Graphic 27"/>
                <wp:cNvGraphicFramePr>
                  <a:graphicFrameLocks/>
                </wp:cNvGraphicFramePr>
                <a:graphic>
                  <a:graphicData uri="http://schemas.microsoft.com/office/word/2010/wordprocessingShape">
                    <wps:wsp>
                      <wps:cNvPr id="27" name="Graphic 27"/>
                      <wps:cNvSpPr/>
                      <wps:spPr>
                        <a:xfrm>
                          <a:off x="0" y="0"/>
                          <a:ext cx="6159500" cy="9525"/>
                        </a:xfrm>
                        <a:custGeom>
                          <a:avLst/>
                          <a:gdLst/>
                          <a:ahLst/>
                          <a:cxnLst/>
                          <a:rect l="l" t="t" r="r" b="b"/>
                          <a:pathLst>
                            <a:path w="6159500" h="9525">
                              <a:moveTo>
                                <a:pt x="6159373" y="0"/>
                              </a:moveTo>
                              <a:lnTo>
                                <a:pt x="0" y="0"/>
                              </a:lnTo>
                              <a:lnTo>
                                <a:pt x="0" y="9144"/>
                              </a:lnTo>
                              <a:lnTo>
                                <a:pt x="6159373" y="9144"/>
                              </a:lnTo>
                              <a:lnTo>
                                <a:pt x="61593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83.543999pt;margin-top:299.887115pt;width:484.99pt;height:.72003pt;mso-position-horizontal-relative:page;mso-position-vertical-relative:paragraph;z-index:-15726080;mso-wrap-distance-left:0;mso-wrap-distance-right:0" id="docshape22" filled="true" fillcolor="#000000" stroked="false">
                <v:fill type="solid"/>
                <w10:wrap type="topAndBottom"/>
              </v:rect>
            </w:pict>
          </mc:Fallback>
        </mc:AlternateContent>
      </w:r>
    </w:p>
    <w:p>
      <w:pPr>
        <w:pStyle w:val="BodyText"/>
        <w:spacing w:before="144"/>
        <w:ind w:left="0"/>
        <w:jc w:val="left"/>
        <w:rPr>
          <w:sz w:val="20"/>
        </w:rPr>
      </w:pPr>
    </w:p>
    <w:p>
      <w:pPr>
        <w:pStyle w:val="BodyText"/>
        <w:spacing w:before="120"/>
        <w:ind w:left="0"/>
        <w:jc w:val="left"/>
        <w:rPr>
          <w:sz w:val="20"/>
        </w:rPr>
      </w:pPr>
    </w:p>
    <w:sectPr>
      <w:pgSz w:w="11910" w:h="16840"/>
      <w:pgMar w:header="572" w:footer="1177" w:top="1320" w:bottom="1360" w:left="1560" w:right="4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Microsoft Sans Serif">
    <w:altName w:val="Microsoft Sans Serif"/>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mc:AlternateContent>
        <mc:Choice Requires="wps">
          <w:drawing>
            <wp:anchor distT="0" distB="0" distL="0" distR="0" allowOverlap="1" layoutInCell="1" locked="0" behindDoc="1" simplePos="0" relativeHeight="486560256">
              <wp:simplePos x="0" y="0"/>
              <wp:positionH relativeFrom="page">
                <wp:posOffset>6314313</wp:posOffset>
              </wp:positionH>
              <wp:positionV relativeFrom="page">
                <wp:posOffset>9804986</wp:posOffset>
              </wp:positionV>
              <wp:extent cx="901065" cy="13779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901065" cy="137795"/>
                      </a:xfrm>
                      <a:prstGeom prst="rect">
                        <a:avLst/>
                      </a:prstGeom>
                    </wps:spPr>
                    <wps:txbx>
                      <w:txbxContent>
                        <w:p>
                          <w:pPr>
                            <w:spacing w:before="16"/>
                            <w:ind w:left="20" w:right="0" w:firstLine="0"/>
                            <w:jc w:val="left"/>
                            <w:rPr>
                              <w:rFonts w:ascii="Microsoft Sans Serif" w:hAnsi="Microsoft Sans Serif"/>
                              <w:sz w:val="16"/>
                            </w:rPr>
                          </w:pPr>
                          <w:r>
                            <w:rPr>
                              <w:rFonts w:ascii="Microsoft Sans Serif" w:hAnsi="Microsoft Sans Serif"/>
                              <w:sz w:val="16"/>
                            </w:rPr>
                            <w:t>Страница</w:t>
                          </w:r>
                          <w:r>
                            <w:rPr>
                              <w:rFonts w:ascii="Microsoft Sans Serif" w:hAnsi="Microsoft Sans Serif"/>
                              <w:spacing w:val="-6"/>
                              <w:sz w:val="16"/>
                            </w:rPr>
                            <w:t> </w:t>
                          </w:r>
                          <w:r>
                            <w:rPr>
                              <w:rFonts w:ascii="Microsoft Sans Serif" w:hAnsi="Microsoft Sans Serif"/>
                              <w:sz w:val="16"/>
                            </w:rPr>
                            <w:fldChar w:fldCharType="begin"/>
                          </w:r>
                          <w:r>
                            <w:rPr>
                              <w:rFonts w:ascii="Microsoft Sans Serif" w:hAnsi="Microsoft Sans Serif"/>
                              <w:sz w:val="16"/>
                            </w:rPr>
                            <w:instrText> PAGE </w:instrText>
                          </w:r>
                          <w:r>
                            <w:rPr>
                              <w:rFonts w:ascii="Microsoft Sans Serif" w:hAnsi="Microsoft Sans Serif"/>
                              <w:sz w:val="16"/>
                            </w:rPr>
                            <w:fldChar w:fldCharType="separate"/>
                          </w:r>
                          <w:r>
                            <w:rPr>
                              <w:rFonts w:ascii="Microsoft Sans Serif" w:hAnsi="Microsoft Sans Serif"/>
                              <w:sz w:val="16"/>
                            </w:rPr>
                            <w:t>10</w:t>
                          </w:r>
                          <w:r>
                            <w:rPr>
                              <w:rFonts w:ascii="Microsoft Sans Serif" w:hAnsi="Microsoft Sans Serif"/>
                              <w:sz w:val="16"/>
                            </w:rPr>
                            <w:fldChar w:fldCharType="end"/>
                          </w:r>
                          <w:r>
                            <w:rPr>
                              <w:rFonts w:ascii="Microsoft Sans Serif" w:hAnsi="Microsoft Sans Serif"/>
                              <w:spacing w:val="-3"/>
                              <w:sz w:val="16"/>
                            </w:rPr>
                            <w:t> </w:t>
                          </w:r>
                          <w:r>
                            <w:rPr>
                              <w:rFonts w:ascii="Microsoft Sans Serif" w:hAnsi="Microsoft Sans Serif"/>
                              <w:sz w:val="16"/>
                            </w:rPr>
                            <w:t>из</w:t>
                          </w:r>
                          <w:r>
                            <w:rPr>
                              <w:rFonts w:ascii="Microsoft Sans Serif" w:hAnsi="Microsoft Sans Serif"/>
                              <w:spacing w:val="-6"/>
                              <w:sz w:val="16"/>
                            </w:rPr>
                            <w:t> </w:t>
                          </w:r>
                          <w:r>
                            <w:rPr>
                              <w:rFonts w:ascii="Microsoft Sans Serif" w:hAnsi="Microsoft Sans Serif"/>
                              <w:spacing w:val="-5"/>
                              <w:sz w:val="16"/>
                            </w:rPr>
                            <w:fldChar w:fldCharType="begin"/>
                          </w:r>
                          <w:r>
                            <w:rPr>
                              <w:rFonts w:ascii="Microsoft Sans Serif" w:hAnsi="Microsoft Sans Serif"/>
                              <w:spacing w:val="-5"/>
                              <w:sz w:val="16"/>
                            </w:rPr>
                            <w:instrText> NUMPAGES </w:instrText>
                          </w:r>
                          <w:r>
                            <w:rPr>
                              <w:rFonts w:ascii="Microsoft Sans Serif" w:hAnsi="Microsoft Sans Serif"/>
                              <w:spacing w:val="-5"/>
                              <w:sz w:val="16"/>
                            </w:rPr>
                            <w:fldChar w:fldCharType="separate"/>
                          </w:r>
                          <w:r>
                            <w:rPr>
                              <w:rFonts w:ascii="Microsoft Sans Serif" w:hAnsi="Microsoft Sans Serif"/>
                              <w:spacing w:val="-5"/>
                              <w:sz w:val="16"/>
                            </w:rPr>
                            <w:t>44</w:t>
                          </w:r>
                          <w:r>
                            <w:rPr>
                              <w:rFonts w:ascii="Microsoft Sans Serif" w:hAnsi="Microsoft Sans Serif"/>
                              <w:spacing w:val="-5"/>
                              <w:sz w:val="16"/>
                            </w:rPr>
                            <w:fldChar w:fldCharType="end"/>
                          </w:r>
                        </w:p>
                      </w:txbxContent>
                    </wps:txbx>
                    <wps:bodyPr wrap="square" lIns="0" tIns="0" rIns="0" bIns="0" rtlCol="0">
                      <a:noAutofit/>
                    </wps:bodyPr>
                  </wps:wsp>
                </a:graphicData>
              </a:graphic>
            </wp:anchor>
          </w:drawing>
        </mc:Choice>
        <mc:Fallback>
          <w:pict>
            <v:shape style="position:absolute;margin-left:497.190002pt;margin-top:772.046204pt;width:70.95pt;height:10.85pt;mso-position-horizontal-relative:page;mso-position-vertical-relative:page;z-index:-16756224" type="#_x0000_t202" id="docshape2" filled="false" stroked="false">
              <v:textbox inset="0,0,0,0">
                <w:txbxContent>
                  <w:p>
                    <w:pPr>
                      <w:spacing w:before="16"/>
                      <w:ind w:left="20" w:right="0" w:firstLine="0"/>
                      <w:jc w:val="left"/>
                      <w:rPr>
                        <w:rFonts w:ascii="Microsoft Sans Serif" w:hAnsi="Microsoft Sans Serif"/>
                        <w:sz w:val="16"/>
                      </w:rPr>
                    </w:pPr>
                    <w:r>
                      <w:rPr>
                        <w:rFonts w:ascii="Microsoft Sans Serif" w:hAnsi="Microsoft Sans Serif"/>
                        <w:sz w:val="16"/>
                      </w:rPr>
                      <w:t>Страница</w:t>
                    </w:r>
                    <w:r>
                      <w:rPr>
                        <w:rFonts w:ascii="Microsoft Sans Serif" w:hAnsi="Microsoft Sans Serif"/>
                        <w:spacing w:val="-6"/>
                        <w:sz w:val="16"/>
                      </w:rPr>
                      <w:t> </w:t>
                    </w:r>
                    <w:r>
                      <w:rPr>
                        <w:rFonts w:ascii="Microsoft Sans Serif" w:hAnsi="Microsoft Sans Serif"/>
                        <w:sz w:val="16"/>
                      </w:rPr>
                      <w:fldChar w:fldCharType="begin"/>
                    </w:r>
                    <w:r>
                      <w:rPr>
                        <w:rFonts w:ascii="Microsoft Sans Serif" w:hAnsi="Microsoft Sans Serif"/>
                        <w:sz w:val="16"/>
                      </w:rPr>
                      <w:instrText> PAGE </w:instrText>
                    </w:r>
                    <w:r>
                      <w:rPr>
                        <w:rFonts w:ascii="Microsoft Sans Serif" w:hAnsi="Microsoft Sans Serif"/>
                        <w:sz w:val="16"/>
                      </w:rPr>
                      <w:fldChar w:fldCharType="separate"/>
                    </w:r>
                    <w:r>
                      <w:rPr>
                        <w:rFonts w:ascii="Microsoft Sans Serif" w:hAnsi="Microsoft Sans Serif"/>
                        <w:sz w:val="16"/>
                      </w:rPr>
                      <w:t>10</w:t>
                    </w:r>
                    <w:r>
                      <w:rPr>
                        <w:rFonts w:ascii="Microsoft Sans Serif" w:hAnsi="Microsoft Sans Serif"/>
                        <w:sz w:val="16"/>
                      </w:rPr>
                      <w:fldChar w:fldCharType="end"/>
                    </w:r>
                    <w:r>
                      <w:rPr>
                        <w:rFonts w:ascii="Microsoft Sans Serif" w:hAnsi="Microsoft Sans Serif"/>
                        <w:spacing w:val="-3"/>
                        <w:sz w:val="16"/>
                      </w:rPr>
                      <w:t> </w:t>
                    </w:r>
                    <w:r>
                      <w:rPr>
                        <w:rFonts w:ascii="Microsoft Sans Serif" w:hAnsi="Microsoft Sans Serif"/>
                        <w:sz w:val="16"/>
                      </w:rPr>
                      <w:t>из</w:t>
                    </w:r>
                    <w:r>
                      <w:rPr>
                        <w:rFonts w:ascii="Microsoft Sans Serif" w:hAnsi="Microsoft Sans Serif"/>
                        <w:spacing w:val="-6"/>
                        <w:sz w:val="16"/>
                      </w:rPr>
                      <w:t> </w:t>
                    </w:r>
                    <w:r>
                      <w:rPr>
                        <w:rFonts w:ascii="Microsoft Sans Serif" w:hAnsi="Microsoft Sans Serif"/>
                        <w:spacing w:val="-5"/>
                        <w:sz w:val="16"/>
                      </w:rPr>
                      <w:fldChar w:fldCharType="begin"/>
                    </w:r>
                    <w:r>
                      <w:rPr>
                        <w:rFonts w:ascii="Microsoft Sans Serif" w:hAnsi="Microsoft Sans Serif"/>
                        <w:spacing w:val="-5"/>
                        <w:sz w:val="16"/>
                      </w:rPr>
                      <w:instrText> NUMPAGES </w:instrText>
                    </w:r>
                    <w:r>
                      <w:rPr>
                        <w:rFonts w:ascii="Microsoft Sans Serif" w:hAnsi="Microsoft Sans Serif"/>
                        <w:spacing w:val="-5"/>
                        <w:sz w:val="16"/>
                      </w:rPr>
                      <w:fldChar w:fldCharType="separate"/>
                    </w:r>
                    <w:r>
                      <w:rPr>
                        <w:rFonts w:ascii="Microsoft Sans Serif" w:hAnsi="Microsoft Sans Serif"/>
                        <w:spacing w:val="-5"/>
                        <w:sz w:val="16"/>
                      </w:rPr>
                      <w:t>44</w:t>
                    </w:r>
                    <w:r>
                      <w:rPr>
                        <w:rFonts w:ascii="Microsoft Sans Serif" w:hAnsi="Microsoft Sans Serif"/>
                        <w:spacing w:val="-5"/>
                        <w:sz w:val="16"/>
                      </w:rPr>
                      <w:fldChar w:fldCharType="end"/>
                    </w:r>
                  </w:p>
                </w:txbxContent>
              </v:textbox>
              <w10:wrap type="none"/>
            </v:shape>
          </w:pict>
        </mc:Fallback>
      </mc:AlternateContent>
    </w:r>
    <w:r>
      <w:rPr/>
      <mc:AlternateContent>
        <mc:Choice Requires="wps">
          <w:drawing>
            <wp:anchor distT="0" distB="0" distL="0" distR="0" allowOverlap="1" layoutInCell="1" locked="0" behindDoc="1" simplePos="0" relativeHeight="486560768">
              <wp:simplePos x="0" y="0"/>
              <wp:positionH relativeFrom="page">
                <wp:posOffset>1066596</wp:posOffset>
              </wp:positionH>
              <wp:positionV relativeFrom="page">
                <wp:posOffset>9920810</wp:posOffset>
              </wp:positionV>
              <wp:extent cx="3007995" cy="13779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3007995" cy="137795"/>
                      </a:xfrm>
                      <a:prstGeom prst="rect">
                        <a:avLst/>
                      </a:prstGeom>
                    </wps:spPr>
                    <wps:txbx>
                      <w:txbxContent>
                        <w:p>
                          <w:pPr>
                            <w:spacing w:before="16"/>
                            <w:ind w:left="20" w:right="0" w:firstLine="0"/>
                            <w:jc w:val="left"/>
                            <w:rPr>
                              <w:rFonts w:ascii="Microsoft Sans Serif" w:hAnsi="Microsoft Sans Serif"/>
                              <w:sz w:val="16"/>
                            </w:rPr>
                          </w:pPr>
                          <w:r>
                            <w:rPr>
                              <w:rFonts w:ascii="Microsoft Sans Serif" w:hAnsi="Microsoft Sans Serif"/>
                              <w:color w:val="A6A6A6"/>
                              <w:spacing w:val="-2"/>
                              <w:sz w:val="16"/>
                            </w:rPr>
                            <w:t>Улучшенная</w:t>
                          </w:r>
                          <w:r>
                            <w:rPr>
                              <w:rFonts w:ascii="Microsoft Sans Serif" w:hAnsi="Microsoft Sans Serif"/>
                              <w:color w:val="A6A6A6"/>
                              <w:spacing w:val="4"/>
                              <w:sz w:val="16"/>
                            </w:rPr>
                            <w:t> </w:t>
                          </w:r>
                          <w:r>
                            <w:rPr>
                              <w:rFonts w:ascii="Microsoft Sans Serif" w:hAnsi="Microsoft Sans Serif"/>
                              <w:color w:val="A6A6A6"/>
                              <w:spacing w:val="-2"/>
                              <w:sz w:val="16"/>
                            </w:rPr>
                            <w:t>вёрстка:</w:t>
                          </w:r>
                          <w:r>
                            <w:rPr>
                              <w:rFonts w:ascii="Microsoft Sans Serif" w:hAnsi="Microsoft Sans Serif"/>
                              <w:color w:val="A6A6A6"/>
                              <w:spacing w:val="-3"/>
                              <w:sz w:val="16"/>
                            </w:rPr>
                            <w:t> </w:t>
                          </w:r>
                          <w:r>
                            <w:rPr>
                              <w:rFonts w:ascii="Microsoft Sans Serif" w:hAnsi="Microsoft Sans Serif"/>
                              <w:color w:val="A6A6A6"/>
                              <w:spacing w:val="-2"/>
                              <w:sz w:val="16"/>
                            </w:rPr>
                            <w:t>Детская</w:t>
                          </w:r>
                          <w:r>
                            <w:rPr>
                              <w:rFonts w:ascii="Microsoft Sans Serif" w:hAnsi="Microsoft Sans Serif"/>
                              <w:color w:val="A6A6A6"/>
                              <w:spacing w:val="3"/>
                              <w:sz w:val="16"/>
                            </w:rPr>
                            <w:t> </w:t>
                          </w:r>
                          <w:r>
                            <w:rPr>
                              <w:rFonts w:ascii="Microsoft Sans Serif" w:hAnsi="Microsoft Sans Serif"/>
                              <w:color w:val="A6A6A6"/>
                              <w:spacing w:val="-2"/>
                              <w:sz w:val="16"/>
                            </w:rPr>
                            <w:t>урология</w:t>
                          </w:r>
                          <w:r>
                            <w:rPr>
                              <w:rFonts w:ascii="Microsoft Sans Serif" w:hAnsi="Microsoft Sans Serif"/>
                              <w:color w:val="A6A6A6"/>
                              <w:spacing w:val="3"/>
                              <w:sz w:val="16"/>
                            </w:rPr>
                            <w:t> </w:t>
                          </w:r>
                          <w:r>
                            <w:rPr>
                              <w:rFonts w:ascii="Microsoft Sans Serif" w:hAnsi="Microsoft Sans Serif"/>
                              <w:color w:val="A6A6A6"/>
                              <w:spacing w:val="-2"/>
                              <w:sz w:val="16"/>
                            </w:rPr>
                            <w:t>в</w:t>
                          </w:r>
                          <w:r>
                            <w:rPr>
                              <w:rFonts w:ascii="Microsoft Sans Serif" w:hAnsi="Microsoft Sans Serif"/>
                              <w:color w:val="A6A6A6"/>
                              <w:spacing w:val="-4"/>
                              <w:sz w:val="16"/>
                            </w:rPr>
                            <w:t> </w:t>
                          </w:r>
                          <w:r>
                            <w:rPr>
                              <w:rFonts w:ascii="Microsoft Sans Serif" w:hAnsi="Microsoft Sans Serif"/>
                              <w:color w:val="A6A6A6"/>
                              <w:spacing w:val="-2"/>
                              <w:sz w:val="16"/>
                            </w:rPr>
                            <w:t>Омске</w:t>
                          </w:r>
                          <w:r>
                            <w:rPr>
                              <w:rFonts w:ascii="Microsoft Sans Serif" w:hAnsi="Microsoft Sans Serif"/>
                              <w:color w:val="A6A6A6"/>
                              <w:spacing w:val="7"/>
                              <w:sz w:val="16"/>
                            </w:rPr>
                            <w:t> </w:t>
                          </w:r>
                          <w:hyperlink r:id="rId1">
                            <w:r>
                              <w:rPr>
                                <w:rFonts w:ascii="Microsoft Sans Serif" w:hAnsi="Microsoft Sans Serif"/>
                                <w:color w:val="A6A6A6"/>
                                <w:spacing w:val="-2"/>
                                <w:sz w:val="16"/>
                              </w:rPr>
                              <w:t>http://disuria.ru</w:t>
                            </w:r>
                          </w:hyperlink>
                        </w:p>
                      </w:txbxContent>
                    </wps:txbx>
                    <wps:bodyPr wrap="square" lIns="0" tIns="0" rIns="0" bIns="0" rtlCol="0">
                      <a:noAutofit/>
                    </wps:bodyPr>
                  </wps:wsp>
                </a:graphicData>
              </a:graphic>
            </wp:anchor>
          </w:drawing>
        </mc:Choice>
        <mc:Fallback>
          <w:pict>
            <v:shape style="position:absolute;margin-left:83.984001pt;margin-top:781.166199pt;width:236.85pt;height:10.85pt;mso-position-horizontal-relative:page;mso-position-vertical-relative:page;z-index:-16755712" type="#_x0000_t202" id="docshape3" filled="false" stroked="false">
              <v:textbox inset="0,0,0,0">
                <w:txbxContent>
                  <w:p>
                    <w:pPr>
                      <w:spacing w:before="16"/>
                      <w:ind w:left="20" w:right="0" w:firstLine="0"/>
                      <w:jc w:val="left"/>
                      <w:rPr>
                        <w:rFonts w:ascii="Microsoft Sans Serif" w:hAnsi="Microsoft Sans Serif"/>
                        <w:sz w:val="16"/>
                      </w:rPr>
                    </w:pPr>
                    <w:r>
                      <w:rPr>
                        <w:rFonts w:ascii="Microsoft Sans Serif" w:hAnsi="Microsoft Sans Serif"/>
                        <w:color w:val="A6A6A6"/>
                        <w:spacing w:val="-2"/>
                        <w:sz w:val="16"/>
                      </w:rPr>
                      <w:t>Улучшенная</w:t>
                    </w:r>
                    <w:r>
                      <w:rPr>
                        <w:rFonts w:ascii="Microsoft Sans Serif" w:hAnsi="Microsoft Sans Serif"/>
                        <w:color w:val="A6A6A6"/>
                        <w:spacing w:val="4"/>
                        <w:sz w:val="16"/>
                      </w:rPr>
                      <w:t> </w:t>
                    </w:r>
                    <w:r>
                      <w:rPr>
                        <w:rFonts w:ascii="Microsoft Sans Serif" w:hAnsi="Microsoft Sans Serif"/>
                        <w:color w:val="A6A6A6"/>
                        <w:spacing w:val="-2"/>
                        <w:sz w:val="16"/>
                      </w:rPr>
                      <w:t>вёрстка:</w:t>
                    </w:r>
                    <w:r>
                      <w:rPr>
                        <w:rFonts w:ascii="Microsoft Sans Serif" w:hAnsi="Microsoft Sans Serif"/>
                        <w:color w:val="A6A6A6"/>
                        <w:spacing w:val="-3"/>
                        <w:sz w:val="16"/>
                      </w:rPr>
                      <w:t> </w:t>
                    </w:r>
                    <w:r>
                      <w:rPr>
                        <w:rFonts w:ascii="Microsoft Sans Serif" w:hAnsi="Microsoft Sans Serif"/>
                        <w:color w:val="A6A6A6"/>
                        <w:spacing w:val="-2"/>
                        <w:sz w:val="16"/>
                      </w:rPr>
                      <w:t>Детская</w:t>
                    </w:r>
                    <w:r>
                      <w:rPr>
                        <w:rFonts w:ascii="Microsoft Sans Serif" w:hAnsi="Microsoft Sans Serif"/>
                        <w:color w:val="A6A6A6"/>
                        <w:spacing w:val="3"/>
                        <w:sz w:val="16"/>
                      </w:rPr>
                      <w:t> </w:t>
                    </w:r>
                    <w:r>
                      <w:rPr>
                        <w:rFonts w:ascii="Microsoft Sans Serif" w:hAnsi="Microsoft Sans Serif"/>
                        <w:color w:val="A6A6A6"/>
                        <w:spacing w:val="-2"/>
                        <w:sz w:val="16"/>
                      </w:rPr>
                      <w:t>урология</w:t>
                    </w:r>
                    <w:r>
                      <w:rPr>
                        <w:rFonts w:ascii="Microsoft Sans Serif" w:hAnsi="Microsoft Sans Serif"/>
                        <w:color w:val="A6A6A6"/>
                        <w:spacing w:val="3"/>
                        <w:sz w:val="16"/>
                      </w:rPr>
                      <w:t> </w:t>
                    </w:r>
                    <w:r>
                      <w:rPr>
                        <w:rFonts w:ascii="Microsoft Sans Serif" w:hAnsi="Microsoft Sans Serif"/>
                        <w:color w:val="A6A6A6"/>
                        <w:spacing w:val="-2"/>
                        <w:sz w:val="16"/>
                      </w:rPr>
                      <w:t>в</w:t>
                    </w:r>
                    <w:r>
                      <w:rPr>
                        <w:rFonts w:ascii="Microsoft Sans Serif" w:hAnsi="Microsoft Sans Serif"/>
                        <w:color w:val="A6A6A6"/>
                        <w:spacing w:val="-4"/>
                        <w:sz w:val="16"/>
                      </w:rPr>
                      <w:t> </w:t>
                    </w:r>
                    <w:r>
                      <w:rPr>
                        <w:rFonts w:ascii="Microsoft Sans Serif" w:hAnsi="Microsoft Sans Serif"/>
                        <w:color w:val="A6A6A6"/>
                        <w:spacing w:val="-2"/>
                        <w:sz w:val="16"/>
                      </w:rPr>
                      <w:t>Омске</w:t>
                    </w:r>
                    <w:r>
                      <w:rPr>
                        <w:rFonts w:ascii="Microsoft Sans Serif" w:hAnsi="Microsoft Sans Serif"/>
                        <w:color w:val="A6A6A6"/>
                        <w:spacing w:val="7"/>
                        <w:sz w:val="16"/>
                      </w:rPr>
                      <w:t> </w:t>
                    </w:r>
                    <w:hyperlink r:id="rId1">
                      <w:r>
                        <w:rPr>
                          <w:rFonts w:ascii="Microsoft Sans Serif" w:hAnsi="Microsoft Sans Serif"/>
                          <w:color w:val="A6A6A6"/>
                          <w:spacing w:val="-2"/>
                          <w:sz w:val="16"/>
                        </w:rPr>
                        <w:t>http://disuria.ru</w:t>
                      </w:r>
                    </w:hyperlink>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mc:AlternateContent>
        <mc:Choice Requires="wps">
          <w:drawing>
            <wp:anchor distT="0" distB="0" distL="0" distR="0" allowOverlap="1" layoutInCell="1" locked="0" behindDoc="1" simplePos="0" relativeHeight="486559744">
              <wp:simplePos x="0" y="0"/>
              <wp:positionH relativeFrom="page">
                <wp:posOffset>1145844</wp:posOffset>
              </wp:positionH>
              <wp:positionV relativeFrom="page">
                <wp:posOffset>350395</wp:posOffset>
              </wp:positionV>
              <wp:extent cx="5991225" cy="2540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5991225" cy="254000"/>
                      </a:xfrm>
                      <a:prstGeom prst="rect">
                        <a:avLst/>
                      </a:prstGeom>
                    </wps:spPr>
                    <wps:txbx>
                      <w:txbxContent>
                        <w:p>
                          <w:pPr>
                            <w:spacing w:before="16"/>
                            <w:ind w:left="3079" w:right="18" w:hanging="3060"/>
                            <w:jc w:val="left"/>
                            <w:rPr>
                              <w:rFonts w:ascii="Microsoft Sans Serif" w:hAnsi="Microsoft Sans Serif"/>
                              <w:sz w:val="16"/>
                            </w:rPr>
                          </w:pPr>
                          <w:r>
                            <w:rPr>
                              <w:rFonts w:ascii="Microsoft Sans Serif" w:hAnsi="Microsoft Sans Serif"/>
                              <w:color w:val="808080"/>
                              <w:sz w:val="16"/>
                            </w:rPr>
                            <w:t>Клинические</w:t>
                          </w:r>
                          <w:r>
                            <w:rPr>
                              <w:rFonts w:ascii="Microsoft Sans Serif" w:hAnsi="Microsoft Sans Serif"/>
                              <w:color w:val="808080"/>
                              <w:spacing w:val="-4"/>
                              <w:sz w:val="16"/>
                            </w:rPr>
                            <w:t> </w:t>
                          </w:r>
                          <w:r>
                            <w:rPr>
                              <w:rFonts w:ascii="Microsoft Sans Serif" w:hAnsi="Microsoft Sans Serif"/>
                              <w:color w:val="808080"/>
                              <w:sz w:val="16"/>
                            </w:rPr>
                            <w:t>рекомендации</w:t>
                          </w:r>
                          <w:r>
                            <w:rPr>
                              <w:rFonts w:ascii="Microsoft Sans Serif" w:hAnsi="Microsoft Sans Serif"/>
                              <w:color w:val="808080"/>
                              <w:spacing w:val="-1"/>
                              <w:sz w:val="16"/>
                            </w:rPr>
                            <w:t> </w:t>
                          </w:r>
                          <w:r>
                            <w:rPr>
                              <w:rFonts w:ascii="Microsoft Sans Serif" w:hAnsi="Microsoft Sans Serif"/>
                              <w:color w:val="808080"/>
                              <w:sz w:val="16"/>
                            </w:rPr>
                            <w:t>–</w:t>
                          </w:r>
                          <w:r>
                            <w:rPr>
                              <w:rFonts w:ascii="Microsoft Sans Serif" w:hAnsi="Microsoft Sans Serif"/>
                              <w:color w:val="808080"/>
                              <w:spacing w:val="-4"/>
                              <w:sz w:val="16"/>
                            </w:rPr>
                            <w:t> </w:t>
                          </w:r>
                          <w:r>
                            <w:rPr>
                              <w:rFonts w:ascii="Microsoft Sans Serif" w:hAnsi="Microsoft Sans Serif"/>
                              <w:color w:val="808080"/>
                              <w:sz w:val="16"/>
                            </w:rPr>
                            <w:t>Другие</w:t>
                          </w:r>
                          <w:r>
                            <w:rPr>
                              <w:rFonts w:ascii="Microsoft Sans Serif" w:hAnsi="Microsoft Sans Serif"/>
                              <w:color w:val="808080"/>
                              <w:spacing w:val="-8"/>
                              <w:sz w:val="16"/>
                            </w:rPr>
                            <w:t> </w:t>
                          </w:r>
                          <w:r>
                            <w:rPr>
                              <w:rFonts w:ascii="Microsoft Sans Serif" w:hAnsi="Microsoft Sans Serif"/>
                              <w:color w:val="808080"/>
                              <w:sz w:val="16"/>
                            </w:rPr>
                            <w:t>нарушения</w:t>
                          </w:r>
                          <w:r>
                            <w:rPr>
                              <w:rFonts w:ascii="Microsoft Sans Serif" w:hAnsi="Microsoft Sans Serif"/>
                              <w:color w:val="808080"/>
                              <w:spacing w:val="-1"/>
                              <w:sz w:val="16"/>
                            </w:rPr>
                            <w:t> </w:t>
                          </w:r>
                          <w:r>
                            <w:rPr>
                              <w:rFonts w:ascii="Microsoft Sans Serif" w:hAnsi="Microsoft Sans Serif"/>
                              <w:color w:val="808080"/>
                              <w:sz w:val="16"/>
                            </w:rPr>
                            <w:t>накопления</w:t>
                          </w:r>
                          <w:r>
                            <w:rPr>
                              <w:rFonts w:ascii="Microsoft Sans Serif" w:hAnsi="Microsoft Sans Serif"/>
                              <w:color w:val="808080"/>
                              <w:spacing w:val="-6"/>
                              <w:sz w:val="16"/>
                            </w:rPr>
                            <w:t> </w:t>
                          </w:r>
                          <w:r>
                            <w:rPr>
                              <w:rFonts w:ascii="Microsoft Sans Serif" w:hAnsi="Microsoft Sans Serif"/>
                              <w:color w:val="808080"/>
                              <w:sz w:val="16"/>
                            </w:rPr>
                            <w:t>липидов</w:t>
                          </w:r>
                          <w:r>
                            <w:rPr>
                              <w:rFonts w:ascii="Microsoft Sans Serif" w:hAnsi="Microsoft Sans Serif"/>
                              <w:color w:val="808080"/>
                              <w:spacing w:val="-5"/>
                              <w:sz w:val="16"/>
                            </w:rPr>
                            <w:t> </w:t>
                          </w:r>
                          <w:r>
                            <w:rPr>
                              <w:rFonts w:ascii="Microsoft Sans Serif" w:hAnsi="Microsoft Sans Serif"/>
                              <w:color w:val="808080"/>
                              <w:sz w:val="16"/>
                            </w:rPr>
                            <w:t>(Дефицит</w:t>
                          </w:r>
                          <w:r>
                            <w:rPr>
                              <w:rFonts w:ascii="Microsoft Sans Serif" w:hAnsi="Microsoft Sans Serif"/>
                              <w:color w:val="808080"/>
                              <w:spacing w:val="-7"/>
                              <w:sz w:val="16"/>
                            </w:rPr>
                            <w:t> </w:t>
                          </w:r>
                          <w:r>
                            <w:rPr>
                              <w:rFonts w:ascii="Microsoft Sans Serif" w:hAnsi="Microsoft Sans Serif"/>
                              <w:color w:val="808080"/>
                              <w:sz w:val="16"/>
                            </w:rPr>
                            <w:t>лизосомой</w:t>
                          </w:r>
                          <w:r>
                            <w:rPr>
                              <w:rFonts w:ascii="Microsoft Sans Serif" w:hAnsi="Microsoft Sans Serif"/>
                              <w:color w:val="808080"/>
                              <w:spacing w:val="-4"/>
                              <w:sz w:val="16"/>
                            </w:rPr>
                            <w:t> </w:t>
                          </w:r>
                          <w:r>
                            <w:rPr>
                              <w:rFonts w:ascii="Microsoft Sans Serif" w:hAnsi="Microsoft Sans Serif"/>
                              <w:color w:val="808080"/>
                              <w:sz w:val="16"/>
                            </w:rPr>
                            <w:t>кислой</w:t>
                          </w:r>
                          <w:r>
                            <w:rPr>
                              <w:rFonts w:ascii="Microsoft Sans Serif" w:hAnsi="Microsoft Sans Serif"/>
                              <w:color w:val="808080"/>
                              <w:spacing w:val="-4"/>
                              <w:sz w:val="16"/>
                            </w:rPr>
                            <w:t> </w:t>
                          </w:r>
                          <w:r>
                            <w:rPr>
                              <w:rFonts w:ascii="Microsoft Sans Serif" w:hAnsi="Microsoft Sans Serif"/>
                              <w:color w:val="808080"/>
                              <w:sz w:val="16"/>
                            </w:rPr>
                            <w:t>липазы) –</w:t>
                          </w:r>
                          <w:r>
                            <w:rPr>
                              <w:rFonts w:ascii="Microsoft Sans Serif" w:hAnsi="Microsoft Sans Serif"/>
                              <w:color w:val="808080"/>
                              <w:spacing w:val="-4"/>
                              <w:sz w:val="16"/>
                            </w:rPr>
                            <w:t> </w:t>
                          </w:r>
                          <w:r>
                            <w:rPr>
                              <w:rFonts w:ascii="Microsoft Sans Serif" w:hAnsi="Microsoft Sans Serif"/>
                              <w:color w:val="808080"/>
                              <w:sz w:val="16"/>
                            </w:rPr>
                            <w:t>2023-2024-2025 </w:t>
                          </w:r>
                          <w:r>
                            <w:rPr>
                              <w:rFonts w:ascii="Microsoft Sans Serif" w:hAnsi="Microsoft Sans Serif"/>
                              <w:color w:val="808080"/>
                              <w:w w:val="105"/>
                              <w:sz w:val="16"/>
                            </w:rPr>
                            <w:t>(22.05.2023)</w:t>
                          </w:r>
                          <w:r>
                            <w:rPr>
                              <w:rFonts w:ascii="Microsoft Sans Serif" w:hAnsi="Microsoft Sans Serif"/>
                              <w:color w:val="808080"/>
                              <w:spacing w:val="-12"/>
                              <w:w w:val="105"/>
                              <w:sz w:val="16"/>
                            </w:rPr>
                            <w:t> </w:t>
                          </w:r>
                          <w:r>
                            <w:rPr>
                              <w:rFonts w:ascii="Microsoft Sans Serif" w:hAnsi="Microsoft Sans Serif"/>
                              <w:color w:val="808080"/>
                              <w:w w:val="160"/>
                              <w:sz w:val="16"/>
                            </w:rPr>
                            <w:t>–</w:t>
                          </w:r>
                          <w:r>
                            <w:rPr>
                              <w:rFonts w:ascii="Microsoft Sans Serif" w:hAnsi="Microsoft Sans Serif"/>
                              <w:color w:val="808080"/>
                              <w:spacing w:val="-26"/>
                              <w:w w:val="160"/>
                              <w:sz w:val="16"/>
                            </w:rPr>
                            <w:t> </w:t>
                          </w:r>
                          <w:r>
                            <w:rPr>
                              <w:rFonts w:ascii="Microsoft Sans Serif" w:hAnsi="Microsoft Sans Serif"/>
                              <w:color w:val="808080"/>
                              <w:w w:val="105"/>
                              <w:sz w:val="16"/>
                            </w:rPr>
                            <w:t>Утверждены</w:t>
                          </w:r>
                          <w:r>
                            <w:rPr>
                              <w:rFonts w:ascii="Microsoft Sans Serif" w:hAnsi="Microsoft Sans Serif"/>
                              <w:color w:val="808080"/>
                              <w:spacing w:val="-11"/>
                              <w:w w:val="105"/>
                              <w:sz w:val="16"/>
                            </w:rPr>
                            <w:t> </w:t>
                          </w:r>
                          <w:r>
                            <w:rPr>
                              <w:rFonts w:ascii="Microsoft Sans Serif" w:hAnsi="Microsoft Sans Serif"/>
                              <w:color w:val="808080"/>
                              <w:w w:val="105"/>
                              <w:sz w:val="16"/>
                            </w:rPr>
                            <w:t>Минздравом</w:t>
                          </w:r>
                          <w:r>
                            <w:rPr>
                              <w:rFonts w:ascii="Microsoft Sans Serif" w:hAnsi="Microsoft Sans Serif"/>
                              <w:color w:val="808080"/>
                              <w:spacing w:val="-11"/>
                              <w:w w:val="105"/>
                              <w:sz w:val="16"/>
                            </w:rPr>
                            <w:t> </w:t>
                          </w:r>
                          <w:r>
                            <w:rPr>
                              <w:rFonts w:ascii="Microsoft Sans Serif" w:hAnsi="Microsoft Sans Serif"/>
                              <w:color w:val="808080"/>
                              <w:w w:val="105"/>
                              <w:sz w:val="16"/>
                            </w:rPr>
                            <w:t>РФ</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90.223999pt;margin-top:27.590218pt;width:471.75pt;height:20pt;mso-position-horizontal-relative:page;mso-position-vertical-relative:page;z-index:-16756736" type="#_x0000_t202" id="docshape1" filled="false" stroked="false">
              <v:textbox inset="0,0,0,0">
                <w:txbxContent>
                  <w:p>
                    <w:pPr>
                      <w:spacing w:before="16"/>
                      <w:ind w:left="3079" w:right="18" w:hanging="3060"/>
                      <w:jc w:val="left"/>
                      <w:rPr>
                        <w:rFonts w:ascii="Microsoft Sans Serif" w:hAnsi="Microsoft Sans Serif"/>
                        <w:sz w:val="16"/>
                      </w:rPr>
                    </w:pPr>
                    <w:r>
                      <w:rPr>
                        <w:rFonts w:ascii="Microsoft Sans Serif" w:hAnsi="Microsoft Sans Serif"/>
                        <w:color w:val="808080"/>
                        <w:sz w:val="16"/>
                      </w:rPr>
                      <w:t>Клинические</w:t>
                    </w:r>
                    <w:r>
                      <w:rPr>
                        <w:rFonts w:ascii="Microsoft Sans Serif" w:hAnsi="Microsoft Sans Serif"/>
                        <w:color w:val="808080"/>
                        <w:spacing w:val="-4"/>
                        <w:sz w:val="16"/>
                      </w:rPr>
                      <w:t> </w:t>
                    </w:r>
                    <w:r>
                      <w:rPr>
                        <w:rFonts w:ascii="Microsoft Sans Serif" w:hAnsi="Microsoft Sans Serif"/>
                        <w:color w:val="808080"/>
                        <w:sz w:val="16"/>
                      </w:rPr>
                      <w:t>рекомендации</w:t>
                    </w:r>
                    <w:r>
                      <w:rPr>
                        <w:rFonts w:ascii="Microsoft Sans Serif" w:hAnsi="Microsoft Sans Serif"/>
                        <w:color w:val="808080"/>
                        <w:spacing w:val="-1"/>
                        <w:sz w:val="16"/>
                      </w:rPr>
                      <w:t> </w:t>
                    </w:r>
                    <w:r>
                      <w:rPr>
                        <w:rFonts w:ascii="Microsoft Sans Serif" w:hAnsi="Microsoft Sans Serif"/>
                        <w:color w:val="808080"/>
                        <w:sz w:val="16"/>
                      </w:rPr>
                      <w:t>–</w:t>
                    </w:r>
                    <w:r>
                      <w:rPr>
                        <w:rFonts w:ascii="Microsoft Sans Serif" w:hAnsi="Microsoft Sans Serif"/>
                        <w:color w:val="808080"/>
                        <w:spacing w:val="-4"/>
                        <w:sz w:val="16"/>
                      </w:rPr>
                      <w:t> </w:t>
                    </w:r>
                    <w:r>
                      <w:rPr>
                        <w:rFonts w:ascii="Microsoft Sans Serif" w:hAnsi="Microsoft Sans Serif"/>
                        <w:color w:val="808080"/>
                        <w:sz w:val="16"/>
                      </w:rPr>
                      <w:t>Другие</w:t>
                    </w:r>
                    <w:r>
                      <w:rPr>
                        <w:rFonts w:ascii="Microsoft Sans Serif" w:hAnsi="Microsoft Sans Serif"/>
                        <w:color w:val="808080"/>
                        <w:spacing w:val="-8"/>
                        <w:sz w:val="16"/>
                      </w:rPr>
                      <w:t> </w:t>
                    </w:r>
                    <w:r>
                      <w:rPr>
                        <w:rFonts w:ascii="Microsoft Sans Serif" w:hAnsi="Microsoft Sans Serif"/>
                        <w:color w:val="808080"/>
                        <w:sz w:val="16"/>
                      </w:rPr>
                      <w:t>нарушения</w:t>
                    </w:r>
                    <w:r>
                      <w:rPr>
                        <w:rFonts w:ascii="Microsoft Sans Serif" w:hAnsi="Microsoft Sans Serif"/>
                        <w:color w:val="808080"/>
                        <w:spacing w:val="-1"/>
                        <w:sz w:val="16"/>
                      </w:rPr>
                      <w:t> </w:t>
                    </w:r>
                    <w:r>
                      <w:rPr>
                        <w:rFonts w:ascii="Microsoft Sans Serif" w:hAnsi="Microsoft Sans Serif"/>
                        <w:color w:val="808080"/>
                        <w:sz w:val="16"/>
                      </w:rPr>
                      <w:t>накопления</w:t>
                    </w:r>
                    <w:r>
                      <w:rPr>
                        <w:rFonts w:ascii="Microsoft Sans Serif" w:hAnsi="Microsoft Sans Serif"/>
                        <w:color w:val="808080"/>
                        <w:spacing w:val="-6"/>
                        <w:sz w:val="16"/>
                      </w:rPr>
                      <w:t> </w:t>
                    </w:r>
                    <w:r>
                      <w:rPr>
                        <w:rFonts w:ascii="Microsoft Sans Serif" w:hAnsi="Microsoft Sans Serif"/>
                        <w:color w:val="808080"/>
                        <w:sz w:val="16"/>
                      </w:rPr>
                      <w:t>липидов</w:t>
                    </w:r>
                    <w:r>
                      <w:rPr>
                        <w:rFonts w:ascii="Microsoft Sans Serif" w:hAnsi="Microsoft Sans Serif"/>
                        <w:color w:val="808080"/>
                        <w:spacing w:val="-5"/>
                        <w:sz w:val="16"/>
                      </w:rPr>
                      <w:t> </w:t>
                    </w:r>
                    <w:r>
                      <w:rPr>
                        <w:rFonts w:ascii="Microsoft Sans Serif" w:hAnsi="Microsoft Sans Serif"/>
                        <w:color w:val="808080"/>
                        <w:sz w:val="16"/>
                      </w:rPr>
                      <w:t>(Дефицит</w:t>
                    </w:r>
                    <w:r>
                      <w:rPr>
                        <w:rFonts w:ascii="Microsoft Sans Serif" w:hAnsi="Microsoft Sans Serif"/>
                        <w:color w:val="808080"/>
                        <w:spacing w:val="-7"/>
                        <w:sz w:val="16"/>
                      </w:rPr>
                      <w:t> </w:t>
                    </w:r>
                    <w:r>
                      <w:rPr>
                        <w:rFonts w:ascii="Microsoft Sans Serif" w:hAnsi="Microsoft Sans Serif"/>
                        <w:color w:val="808080"/>
                        <w:sz w:val="16"/>
                      </w:rPr>
                      <w:t>лизосомой</w:t>
                    </w:r>
                    <w:r>
                      <w:rPr>
                        <w:rFonts w:ascii="Microsoft Sans Serif" w:hAnsi="Microsoft Sans Serif"/>
                        <w:color w:val="808080"/>
                        <w:spacing w:val="-4"/>
                        <w:sz w:val="16"/>
                      </w:rPr>
                      <w:t> </w:t>
                    </w:r>
                    <w:r>
                      <w:rPr>
                        <w:rFonts w:ascii="Microsoft Sans Serif" w:hAnsi="Microsoft Sans Serif"/>
                        <w:color w:val="808080"/>
                        <w:sz w:val="16"/>
                      </w:rPr>
                      <w:t>кислой</w:t>
                    </w:r>
                    <w:r>
                      <w:rPr>
                        <w:rFonts w:ascii="Microsoft Sans Serif" w:hAnsi="Microsoft Sans Serif"/>
                        <w:color w:val="808080"/>
                        <w:spacing w:val="-4"/>
                        <w:sz w:val="16"/>
                      </w:rPr>
                      <w:t> </w:t>
                    </w:r>
                    <w:r>
                      <w:rPr>
                        <w:rFonts w:ascii="Microsoft Sans Serif" w:hAnsi="Microsoft Sans Serif"/>
                        <w:color w:val="808080"/>
                        <w:sz w:val="16"/>
                      </w:rPr>
                      <w:t>липазы) –</w:t>
                    </w:r>
                    <w:r>
                      <w:rPr>
                        <w:rFonts w:ascii="Microsoft Sans Serif" w:hAnsi="Microsoft Sans Serif"/>
                        <w:color w:val="808080"/>
                        <w:spacing w:val="-4"/>
                        <w:sz w:val="16"/>
                      </w:rPr>
                      <w:t> </w:t>
                    </w:r>
                    <w:r>
                      <w:rPr>
                        <w:rFonts w:ascii="Microsoft Sans Serif" w:hAnsi="Microsoft Sans Serif"/>
                        <w:color w:val="808080"/>
                        <w:sz w:val="16"/>
                      </w:rPr>
                      <w:t>2023-2024-2025 </w:t>
                    </w:r>
                    <w:r>
                      <w:rPr>
                        <w:rFonts w:ascii="Microsoft Sans Serif" w:hAnsi="Microsoft Sans Serif"/>
                        <w:color w:val="808080"/>
                        <w:w w:val="105"/>
                        <w:sz w:val="16"/>
                      </w:rPr>
                      <w:t>(22.05.2023)</w:t>
                    </w:r>
                    <w:r>
                      <w:rPr>
                        <w:rFonts w:ascii="Microsoft Sans Serif" w:hAnsi="Microsoft Sans Serif"/>
                        <w:color w:val="808080"/>
                        <w:spacing w:val="-12"/>
                        <w:w w:val="105"/>
                        <w:sz w:val="16"/>
                      </w:rPr>
                      <w:t> </w:t>
                    </w:r>
                    <w:r>
                      <w:rPr>
                        <w:rFonts w:ascii="Microsoft Sans Serif" w:hAnsi="Microsoft Sans Serif"/>
                        <w:color w:val="808080"/>
                        <w:w w:val="160"/>
                        <w:sz w:val="16"/>
                      </w:rPr>
                      <w:t>–</w:t>
                    </w:r>
                    <w:r>
                      <w:rPr>
                        <w:rFonts w:ascii="Microsoft Sans Serif" w:hAnsi="Microsoft Sans Serif"/>
                        <w:color w:val="808080"/>
                        <w:spacing w:val="-26"/>
                        <w:w w:val="160"/>
                        <w:sz w:val="16"/>
                      </w:rPr>
                      <w:t> </w:t>
                    </w:r>
                    <w:r>
                      <w:rPr>
                        <w:rFonts w:ascii="Microsoft Sans Serif" w:hAnsi="Microsoft Sans Serif"/>
                        <w:color w:val="808080"/>
                        <w:w w:val="105"/>
                        <w:sz w:val="16"/>
                      </w:rPr>
                      <w:t>Утверждены</w:t>
                    </w:r>
                    <w:r>
                      <w:rPr>
                        <w:rFonts w:ascii="Microsoft Sans Serif" w:hAnsi="Microsoft Sans Serif"/>
                        <w:color w:val="808080"/>
                        <w:spacing w:val="-11"/>
                        <w:w w:val="105"/>
                        <w:sz w:val="16"/>
                      </w:rPr>
                      <w:t> </w:t>
                    </w:r>
                    <w:r>
                      <w:rPr>
                        <w:rFonts w:ascii="Microsoft Sans Serif" w:hAnsi="Microsoft Sans Serif"/>
                        <w:color w:val="808080"/>
                        <w:w w:val="105"/>
                        <w:sz w:val="16"/>
                      </w:rPr>
                      <w:t>Минздравом</w:t>
                    </w:r>
                    <w:r>
                      <w:rPr>
                        <w:rFonts w:ascii="Microsoft Sans Serif" w:hAnsi="Microsoft Sans Serif"/>
                        <w:color w:val="808080"/>
                        <w:spacing w:val="-11"/>
                        <w:w w:val="105"/>
                        <w:sz w:val="16"/>
                      </w:rPr>
                      <w:t> </w:t>
                    </w:r>
                    <w:r>
                      <w:rPr>
                        <w:rFonts w:ascii="Microsoft Sans Serif" w:hAnsi="Microsoft Sans Serif"/>
                        <w:color w:val="808080"/>
                        <w:w w:val="105"/>
                        <w:sz w:val="16"/>
                      </w:rPr>
                      <w:t>РФ</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3">
    <w:multiLevelType w:val="hybridMultilevel"/>
    <w:lvl w:ilvl="0">
      <w:start w:val="0"/>
      <w:numFmt w:val="bullet"/>
      <w:lvlText w:val="-"/>
      <w:lvlJc w:val="left"/>
      <w:pPr>
        <w:ind w:left="821" w:hanging="144"/>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730" w:hanging="144"/>
      </w:pPr>
      <w:rPr>
        <w:rFonts w:hint="default"/>
        <w:lang w:val="ru-RU" w:eastAsia="en-US" w:bidi="ar-SA"/>
      </w:rPr>
    </w:lvl>
    <w:lvl w:ilvl="2">
      <w:start w:val="0"/>
      <w:numFmt w:val="bullet"/>
      <w:lvlText w:val="•"/>
      <w:lvlJc w:val="left"/>
      <w:pPr>
        <w:ind w:left="2640" w:hanging="144"/>
      </w:pPr>
      <w:rPr>
        <w:rFonts w:hint="default"/>
        <w:lang w:val="ru-RU" w:eastAsia="en-US" w:bidi="ar-SA"/>
      </w:rPr>
    </w:lvl>
    <w:lvl w:ilvl="3">
      <w:start w:val="0"/>
      <w:numFmt w:val="bullet"/>
      <w:lvlText w:val="•"/>
      <w:lvlJc w:val="left"/>
      <w:pPr>
        <w:ind w:left="3551" w:hanging="144"/>
      </w:pPr>
      <w:rPr>
        <w:rFonts w:hint="default"/>
        <w:lang w:val="ru-RU" w:eastAsia="en-US" w:bidi="ar-SA"/>
      </w:rPr>
    </w:lvl>
    <w:lvl w:ilvl="4">
      <w:start w:val="0"/>
      <w:numFmt w:val="bullet"/>
      <w:lvlText w:val="•"/>
      <w:lvlJc w:val="left"/>
      <w:pPr>
        <w:ind w:left="4461" w:hanging="144"/>
      </w:pPr>
      <w:rPr>
        <w:rFonts w:hint="default"/>
        <w:lang w:val="ru-RU" w:eastAsia="en-US" w:bidi="ar-SA"/>
      </w:rPr>
    </w:lvl>
    <w:lvl w:ilvl="5">
      <w:start w:val="0"/>
      <w:numFmt w:val="bullet"/>
      <w:lvlText w:val="•"/>
      <w:lvlJc w:val="left"/>
      <w:pPr>
        <w:ind w:left="5372" w:hanging="144"/>
      </w:pPr>
      <w:rPr>
        <w:rFonts w:hint="default"/>
        <w:lang w:val="ru-RU" w:eastAsia="en-US" w:bidi="ar-SA"/>
      </w:rPr>
    </w:lvl>
    <w:lvl w:ilvl="6">
      <w:start w:val="0"/>
      <w:numFmt w:val="bullet"/>
      <w:lvlText w:val="•"/>
      <w:lvlJc w:val="left"/>
      <w:pPr>
        <w:ind w:left="6282" w:hanging="144"/>
      </w:pPr>
      <w:rPr>
        <w:rFonts w:hint="default"/>
        <w:lang w:val="ru-RU" w:eastAsia="en-US" w:bidi="ar-SA"/>
      </w:rPr>
    </w:lvl>
    <w:lvl w:ilvl="7">
      <w:start w:val="0"/>
      <w:numFmt w:val="bullet"/>
      <w:lvlText w:val="•"/>
      <w:lvlJc w:val="left"/>
      <w:pPr>
        <w:ind w:left="7192" w:hanging="144"/>
      </w:pPr>
      <w:rPr>
        <w:rFonts w:hint="default"/>
        <w:lang w:val="ru-RU" w:eastAsia="en-US" w:bidi="ar-SA"/>
      </w:rPr>
    </w:lvl>
    <w:lvl w:ilvl="8">
      <w:start w:val="0"/>
      <w:numFmt w:val="bullet"/>
      <w:lvlText w:val="•"/>
      <w:lvlJc w:val="left"/>
      <w:pPr>
        <w:ind w:left="8103" w:hanging="144"/>
      </w:pPr>
      <w:rPr>
        <w:rFonts w:hint="default"/>
        <w:lang w:val="ru-RU" w:eastAsia="en-US" w:bidi="ar-SA"/>
      </w:rPr>
    </w:lvl>
  </w:abstractNum>
  <w:abstractNum w:abstractNumId="12">
    <w:multiLevelType w:val="hybridMultilevel"/>
    <w:lvl w:ilvl="0">
      <w:start w:val="1"/>
      <w:numFmt w:val="decimal"/>
      <w:lvlText w:val="%1."/>
      <w:lvlJc w:val="left"/>
      <w:pPr>
        <w:ind w:left="139" w:hanging="284"/>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39" w:hanging="144"/>
      </w:pPr>
      <w:rPr>
        <w:rFonts w:hint="default" w:ascii="Times New Roman" w:hAnsi="Times New Roman" w:eastAsia="Times New Roman" w:cs="Times New Roman"/>
        <w:b w:val="0"/>
        <w:bCs w:val="0"/>
        <w:i w:val="0"/>
        <w:iCs w:val="0"/>
        <w:spacing w:val="0"/>
        <w:w w:val="100"/>
        <w:sz w:val="24"/>
        <w:szCs w:val="24"/>
        <w:lang w:val="ru-RU" w:eastAsia="en-US" w:bidi="ar-SA"/>
      </w:rPr>
    </w:lvl>
    <w:lvl w:ilvl="2">
      <w:start w:val="0"/>
      <w:numFmt w:val="bullet"/>
      <w:lvlText w:val="•"/>
      <w:lvlJc w:val="left"/>
      <w:pPr>
        <w:ind w:left="2096" w:hanging="144"/>
      </w:pPr>
      <w:rPr>
        <w:rFonts w:hint="default"/>
        <w:lang w:val="ru-RU" w:eastAsia="en-US" w:bidi="ar-SA"/>
      </w:rPr>
    </w:lvl>
    <w:lvl w:ilvl="3">
      <w:start w:val="0"/>
      <w:numFmt w:val="bullet"/>
      <w:lvlText w:val="•"/>
      <w:lvlJc w:val="left"/>
      <w:pPr>
        <w:ind w:left="3075" w:hanging="144"/>
      </w:pPr>
      <w:rPr>
        <w:rFonts w:hint="default"/>
        <w:lang w:val="ru-RU" w:eastAsia="en-US" w:bidi="ar-SA"/>
      </w:rPr>
    </w:lvl>
    <w:lvl w:ilvl="4">
      <w:start w:val="0"/>
      <w:numFmt w:val="bullet"/>
      <w:lvlText w:val="•"/>
      <w:lvlJc w:val="left"/>
      <w:pPr>
        <w:ind w:left="4053" w:hanging="144"/>
      </w:pPr>
      <w:rPr>
        <w:rFonts w:hint="default"/>
        <w:lang w:val="ru-RU" w:eastAsia="en-US" w:bidi="ar-SA"/>
      </w:rPr>
    </w:lvl>
    <w:lvl w:ilvl="5">
      <w:start w:val="0"/>
      <w:numFmt w:val="bullet"/>
      <w:lvlText w:val="•"/>
      <w:lvlJc w:val="left"/>
      <w:pPr>
        <w:ind w:left="5032" w:hanging="144"/>
      </w:pPr>
      <w:rPr>
        <w:rFonts w:hint="default"/>
        <w:lang w:val="ru-RU" w:eastAsia="en-US" w:bidi="ar-SA"/>
      </w:rPr>
    </w:lvl>
    <w:lvl w:ilvl="6">
      <w:start w:val="0"/>
      <w:numFmt w:val="bullet"/>
      <w:lvlText w:val="•"/>
      <w:lvlJc w:val="left"/>
      <w:pPr>
        <w:ind w:left="6010" w:hanging="144"/>
      </w:pPr>
      <w:rPr>
        <w:rFonts w:hint="default"/>
        <w:lang w:val="ru-RU" w:eastAsia="en-US" w:bidi="ar-SA"/>
      </w:rPr>
    </w:lvl>
    <w:lvl w:ilvl="7">
      <w:start w:val="0"/>
      <w:numFmt w:val="bullet"/>
      <w:lvlText w:val="•"/>
      <w:lvlJc w:val="left"/>
      <w:pPr>
        <w:ind w:left="6988" w:hanging="144"/>
      </w:pPr>
      <w:rPr>
        <w:rFonts w:hint="default"/>
        <w:lang w:val="ru-RU" w:eastAsia="en-US" w:bidi="ar-SA"/>
      </w:rPr>
    </w:lvl>
    <w:lvl w:ilvl="8">
      <w:start w:val="0"/>
      <w:numFmt w:val="bullet"/>
      <w:lvlText w:val="•"/>
      <w:lvlJc w:val="left"/>
      <w:pPr>
        <w:ind w:left="7967" w:hanging="144"/>
      </w:pPr>
      <w:rPr>
        <w:rFonts w:hint="default"/>
        <w:lang w:val="ru-RU" w:eastAsia="en-US" w:bidi="ar-SA"/>
      </w:rPr>
    </w:lvl>
  </w:abstractNum>
  <w:abstractNum w:abstractNumId="11">
    <w:multiLevelType w:val="hybridMultilevel"/>
    <w:lvl w:ilvl="0">
      <w:start w:val="1"/>
      <w:numFmt w:val="decimal"/>
      <w:lvlText w:val="%1."/>
      <w:lvlJc w:val="left"/>
      <w:pPr>
        <w:ind w:left="139" w:hanging="317"/>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118" w:hanging="317"/>
      </w:pPr>
      <w:rPr>
        <w:rFonts w:hint="default"/>
        <w:lang w:val="ru-RU" w:eastAsia="en-US" w:bidi="ar-SA"/>
      </w:rPr>
    </w:lvl>
    <w:lvl w:ilvl="2">
      <w:start w:val="0"/>
      <w:numFmt w:val="bullet"/>
      <w:lvlText w:val="•"/>
      <w:lvlJc w:val="left"/>
      <w:pPr>
        <w:ind w:left="2096" w:hanging="317"/>
      </w:pPr>
      <w:rPr>
        <w:rFonts w:hint="default"/>
        <w:lang w:val="ru-RU" w:eastAsia="en-US" w:bidi="ar-SA"/>
      </w:rPr>
    </w:lvl>
    <w:lvl w:ilvl="3">
      <w:start w:val="0"/>
      <w:numFmt w:val="bullet"/>
      <w:lvlText w:val="•"/>
      <w:lvlJc w:val="left"/>
      <w:pPr>
        <w:ind w:left="3075" w:hanging="317"/>
      </w:pPr>
      <w:rPr>
        <w:rFonts w:hint="default"/>
        <w:lang w:val="ru-RU" w:eastAsia="en-US" w:bidi="ar-SA"/>
      </w:rPr>
    </w:lvl>
    <w:lvl w:ilvl="4">
      <w:start w:val="0"/>
      <w:numFmt w:val="bullet"/>
      <w:lvlText w:val="•"/>
      <w:lvlJc w:val="left"/>
      <w:pPr>
        <w:ind w:left="4053" w:hanging="317"/>
      </w:pPr>
      <w:rPr>
        <w:rFonts w:hint="default"/>
        <w:lang w:val="ru-RU" w:eastAsia="en-US" w:bidi="ar-SA"/>
      </w:rPr>
    </w:lvl>
    <w:lvl w:ilvl="5">
      <w:start w:val="0"/>
      <w:numFmt w:val="bullet"/>
      <w:lvlText w:val="•"/>
      <w:lvlJc w:val="left"/>
      <w:pPr>
        <w:ind w:left="5032" w:hanging="317"/>
      </w:pPr>
      <w:rPr>
        <w:rFonts w:hint="default"/>
        <w:lang w:val="ru-RU" w:eastAsia="en-US" w:bidi="ar-SA"/>
      </w:rPr>
    </w:lvl>
    <w:lvl w:ilvl="6">
      <w:start w:val="0"/>
      <w:numFmt w:val="bullet"/>
      <w:lvlText w:val="•"/>
      <w:lvlJc w:val="left"/>
      <w:pPr>
        <w:ind w:left="6010" w:hanging="317"/>
      </w:pPr>
      <w:rPr>
        <w:rFonts w:hint="default"/>
        <w:lang w:val="ru-RU" w:eastAsia="en-US" w:bidi="ar-SA"/>
      </w:rPr>
    </w:lvl>
    <w:lvl w:ilvl="7">
      <w:start w:val="0"/>
      <w:numFmt w:val="bullet"/>
      <w:lvlText w:val="•"/>
      <w:lvlJc w:val="left"/>
      <w:pPr>
        <w:ind w:left="6988" w:hanging="317"/>
      </w:pPr>
      <w:rPr>
        <w:rFonts w:hint="default"/>
        <w:lang w:val="ru-RU" w:eastAsia="en-US" w:bidi="ar-SA"/>
      </w:rPr>
    </w:lvl>
    <w:lvl w:ilvl="8">
      <w:start w:val="0"/>
      <w:numFmt w:val="bullet"/>
      <w:lvlText w:val="•"/>
      <w:lvlJc w:val="left"/>
      <w:pPr>
        <w:ind w:left="7967" w:hanging="317"/>
      </w:pPr>
      <w:rPr>
        <w:rFonts w:hint="default"/>
        <w:lang w:val="ru-RU" w:eastAsia="en-US" w:bidi="ar-SA"/>
      </w:rPr>
    </w:lvl>
  </w:abstractNum>
  <w:abstractNum w:abstractNumId="10">
    <w:multiLevelType w:val="hybridMultilevel"/>
    <w:lvl w:ilvl="0">
      <w:start w:val="1"/>
      <w:numFmt w:val="decimal"/>
      <w:lvlText w:val="%1."/>
      <w:lvlJc w:val="left"/>
      <w:pPr>
        <w:ind w:left="139" w:hanging="250"/>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118" w:hanging="250"/>
      </w:pPr>
      <w:rPr>
        <w:rFonts w:hint="default"/>
        <w:lang w:val="ru-RU" w:eastAsia="en-US" w:bidi="ar-SA"/>
      </w:rPr>
    </w:lvl>
    <w:lvl w:ilvl="2">
      <w:start w:val="0"/>
      <w:numFmt w:val="bullet"/>
      <w:lvlText w:val="•"/>
      <w:lvlJc w:val="left"/>
      <w:pPr>
        <w:ind w:left="2096" w:hanging="250"/>
      </w:pPr>
      <w:rPr>
        <w:rFonts w:hint="default"/>
        <w:lang w:val="ru-RU" w:eastAsia="en-US" w:bidi="ar-SA"/>
      </w:rPr>
    </w:lvl>
    <w:lvl w:ilvl="3">
      <w:start w:val="0"/>
      <w:numFmt w:val="bullet"/>
      <w:lvlText w:val="•"/>
      <w:lvlJc w:val="left"/>
      <w:pPr>
        <w:ind w:left="3075" w:hanging="250"/>
      </w:pPr>
      <w:rPr>
        <w:rFonts w:hint="default"/>
        <w:lang w:val="ru-RU" w:eastAsia="en-US" w:bidi="ar-SA"/>
      </w:rPr>
    </w:lvl>
    <w:lvl w:ilvl="4">
      <w:start w:val="0"/>
      <w:numFmt w:val="bullet"/>
      <w:lvlText w:val="•"/>
      <w:lvlJc w:val="left"/>
      <w:pPr>
        <w:ind w:left="4053" w:hanging="250"/>
      </w:pPr>
      <w:rPr>
        <w:rFonts w:hint="default"/>
        <w:lang w:val="ru-RU" w:eastAsia="en-US" w:bidi="ar-SA"/>
      </w:rPr>
    </w:lvl>
    <w:lvl w:ilvl="5">
      <w:start w:val="0"/>
      <w:numFmt w:val="bullet"/>
      <w:lvlText w:val="•"/>
      <w:lvlJc w:val="left"/>
      <w:pPr>
        <w:ind w:left="5032" w:hanging="250"/>
      </w:pPr>
      <w:rPr>
        <w:rFonts w:hint="default"/>
        <w:lang w:val="ru-RU" w:eastAsia="en-US" w:bidi="ar-SA"/>
      </w:rPr>
    </w:lvl>
    <w:lvl w:ilvl="6">
      <w:start w:val="0"/>
      <w:numFmt w:val="bullet"/>
      <w:lvlText w:val="•"/>
      <w:lvlJc w:val="left"/>
      <w:pPr>
        <w:ind w:left="6010" w:hanging="250"/>
      </w:pPr>
      <w:rPr>
        <w:rFonts w:hint="default"/>
        <w:lang w:val="ru-RU" w:eastAsia="en-US" w:bidi="ar-SA"/>
      </w:rPr>
    </w:lvl>
    <w:lvl w:ilvl="7">
      <w:start w:val="0"/>
      <w:numFmt w:val="bullet"/>
      <w:lvlText w:val="•"/>
      <w:lvlJc w:val="left"/>
      <w:pPr>
        <w:ind w:left="6988" w:hanging="250"/>
      </w:pPr>
      <w:rPr>
        <w:rFonts w:hint="default"/>
        <w:lang w:val="ru-RU" w:eastAsia="en-US" w:bidi="ar-SA"/>
      </w:rPr>
    </w:lvl>
    <w:lvl w:ilvl="8">
      <w:start w:val="0"/>
      <w:numFmt w:val="bullet"/>
      <w:lvlText w:val="•"/>
      <w:lvlJc w:val="left"/>
      <w:pPr>
        <w:ind w:left="7967" w:hanging="250"/>
      </w:pPr>
      <w:rPr>
        <w:rFonts w:hint="default"/>
        <w:lang w:val="ru-RU" w:eastAsia="en-US" w:bidi="ar-SA"/>
      </w:rPr>
    </w:lvl>
  </w:abstractNum>
  <w:abstractNum w:abstractNumId="9">
    <w:multiLevelType w:val="hybridMultilevel"/>
    <w:lvl w:ilvl="0">
      <w:start w:val="1"/>
      <w:numFmt w:val="decimal"/>
      <w:lvlText w:val="%1."/>
      <w:lvlJc w:val="left"/>
      <w:pPr>
        <w:ind w:left="926" w:hanging="245"/>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820" w:hanging="245"/>
      </w:pPr>
      <w:rPr>
        <w:rFonts w:hint="default"/>
        <w:lang w:val="ru-RU" w:eastAsia="en-US" w:bidi="ar-SA"/>
      </w:rPr>
    </w:lvl>
    <w:lvl w:ilvl="2">
      <w:start w:val="0"/>
      <w:numFmt w:val="bullet"/>
      <w:lvlText w:val="•"/>
      <w:lvlJc w:val="left"/>
      <w:pPr>
        <w:ind w:left="2720" w:hanging="245"/>
      </w:pPr>
      <w:rPr>
        <w:rFonts w:hint="default"/>
        <w:lang w:val="ru-RU" w:eastAsia="en-US" w:bidi="ar-SA"/>
      </w:rPr>
    </w:lvl>
    <w:lvl w:ilvl="3">
      <w:start w:val="0"/>
      <w:numFmt w:val="bullet"/>
      <w:lvlText w:val="•"/>
      <w:lvlJc w:val="left"/>
      <w:pPr>
        <w:ind w:left="3621" w:hanging="245"/>
      </w:pPr>
      <w:rPr>
        <w:rFonts w:hint="default"/>
        <w:lang w:val="ru-RU" w:eastAsia="en-US" w:bidi="ar-SA"/>
      </w:rPr>
    </w:lvl>
    <w:lvl w:ilvl="4">
      <w:start w:val="0"/>
      <w:numFmt w:val="bullet"/>
      <w:lvlText w:val="•"/>
      <w:lvlJc w:val="left"/>
      <w:pPr>
        <w:ind w:left="4521" w:hanging="245"/>
      </w:pPr>
      <w:rPr>
        <w:rFonts w:hint="default"/>
        <w:lang w:val="ru-RU" w:eastAsia="en-US" w:bidi="ar-SA"/>
      </w:rPr>
    </w:lvl>
    <w:lvl w:ilvl="5">
      <w:start w:val="0"/>
      <w:numFmt w:val="bullet"/>
      <w:lvlText w:val="•"/>
      <w:lvlJc w:val="left"/>
      <w:pPr>
        <w:ind w:left="5422" w:hanging="245"/>
      </w:pPr>
      <w:rPr>
        <w:rFonts w:hint="default"/>
        <w:lang w:val="ru-RU" w:eastAsia="en-US" w:bidi="ar-SA"/>
      </w:rPr>
    </w:lvl>
    <w:lvl w:ilvl="6">
      <w:start w:val="0"/>
      <w:numFmt w:val="bullet"/>
      <w:lvlText w:val="•"/>
      <w:lvlJc w:val="left"/>
      <w:pPr>
        <w:ind w:left="6322" w:hanging="245"/>
      </w:pPr>
      <w:rPr>
        <w:rFonts w:hint="default"/>
        <w:lang w:val="ru-RU" w:eastAsia="en-US" w:bidi="ar-SA"/>
      </w:rPr>
    </w:lvl>
    <w:lvl w:ilvl="7">
      <w:start w:val="0"/>
      <w:numFmt w:val="bullet"/>
      <w:lvlText w:val="•"/>
      <w:lvlJc w:val="left"/>
      <w:pPr>
        <w:ind w:left="7222" w:hanging="245"/>
      </w:pPr>
      <w:rPr>
        <w:rFonts w:hint="default"/>
        <w:lang w:val="ru-RU" w:eastAsia="en-US" w:bidi="ar-SA"/>
      </w:rPr>
    </w:lvl>
    <w:lvl w:ilvl="8">
      <w:start w:val="0"/>
      <w:numFmt w:val="bullet"/>
      <w:lvlText w:val="•"/>
      <w:lvlJc w:val="left"/>
      <w:pPr>
        <w:ind w:left="8123" w:hanging="245"/>
      </w:pPr>
      <w:rPr>
        <w:rFonts w:hint="default"/>
        <w:lang w:val="ru-RU" w:eastAsia="en-US" w:bidi="ar-SA"/>
      </w:rPr>
    </w:lvl>
  </w:abstractNum>
  <w:abstractNum w:abstractNumId="8">
    <w:multiLevelType w:val="hybridMultilevel"/>
    <w:lvl w:ilvl="0">
      <w:start w:val="1"/>
      <w:numFmt w:val="decimal"/>
      <w:lvlText w:val="%1."/>
      <w:lvlJc w:val="left"/>
      <w:pPr>
        <w:ind w:left="139" w:hanging="269"/>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118" w:hanging="269"/>
      </w:pPr>
      <w:rPr>
        <w:rFonts w:hint="default"/>
        <w:lang w:val="ru-RU" w:eastAsia="en-US" w:bidi="ar-SA"/>
      </w:rPr>
    </w:lvl>
    <w:lvl w:ilvl="2">
      <w:start w:val="0"/>
      <w:numFmt w:val="bullet"/>
      <w:lvlText w:val="•"/>
      <w:lvlJc w:val="left"/>
      <w:pPr>
        <w:ind w:left="2096" w:hanging="269"/>
      </w:pPr>
      <w:rPr>
        <w:rFonts w:hint="default"/>
        <w:lang w:val="ru-RU" w:eastAsia="en-US" w:bidi="ar-SA"/>
      </w:rPr>
    </w:lvl>
    <w:lvl w:ilvl="3">
      <w:start w:val="0"/>
      <w:numFmt w:val="bullet"/>
      <w:lvlText w:val="•"/>
      <w:lvlJc w:val="left"/>
      <w:pPr>
        <w:ind w:left="3075" w:hanging="269"/>
      </w:pPr>
      <w:rPr>
        <w:rFonts w:hint="default"/>
        <w:lang w:val="ru-RU" w:eastAsia="en-US" w:bidi="ar-SA"/>
      </w:rPr>
    </w:lvl>
    <w:lvl w:ilvl="4">
      <w:start w:val="0"/>
      <w:numFmt w:val="bullet"/>
      <w:lvlText w:val="•"/>
      <w:lvlJc w:val="left"/>
      <w:pPr>
        <w:ind w:left="4053" w:hanging="269"/>
      </w:pPr>
      <w:rPr>
        <w:rFonts w:hint="default"/>
        <w:lang w:val="ru-RU" w:eastAsia="en-US" w:bidi="ar-SA"/>
      </w:rPr>
    </w:lvl>
    <w:lvl w:ilvl="5">
      <w:start w:val="0"/>
      <w:numFmt w:val="bullet"/>
      <w:lvlText w:val="•"/>
      <w:lvlJc w:val="left"/>
      <w:pPr>
        <w:ind w:left="5032" w:hanging="269"/>
      </w:pPr>
      <w:rPr>
        <w:rFonts w:hint="default"/>
        <w:lang w:val="ru-RU" w:eastAsia="en-US" w:bidi="ar-SA"/>
      </w:rPr>
    </w:lvl>
    <w:lvl w:ilvl="6">
      <w:start w:val="0"/>
      <w:numFmt w:val="bullet"/>
      <w:lvlText w:val="•"/>
      <w:lvlJc w:val="left"/>
      <w:pPr>
        <w:ind w:left="6010" w:hanging="269"/>
      </w:pPr>
      <w:rPr>
        <w:rFonts w:hint="default"/>
        <w:lang w:val="ru-RU" w:eastAsia="en-US" w:bidi="ar-SA"/>
      </w:rPr>
    </w:lvl>
    <w:lvl w:ilvl="7">
      <w:start w:val="0"/>
      <w:numFmt w:val="bullet"/>
      <w:lvlText w:val="•"/>
      <w:lvlJc w:val="left"/>
      <w:pPr>
        <w:ind w:left="6988" w:hanging="269"/>
      </w:pPr>
      <w:rPr>
        <w:rFonts w:hint="default"/>
        <w:lang w:val="ru-RU" w:eastAsia="en-US" w:bidi="ar-SA"/>
      </w:rPr>
    </w:lvl>
    <w:lvl w:ilvl="8">
      <w:start w:val="0"/>
      <w:numFmt w:val="bullet"/>
      <w:lvlText w:val="•"/>
      <w:lvlJc w:val="left"/>
      <w:pPr>
        <w:ind w:left="7967" w:hanging="269"/>
      </w:pPr>
      <w:rPr>
        <w:rFonts w:hint="default"/>
        <w:lang w:val="ru-RU" w:eastAsia="en-US" w:bidi="ar-SA"/>
      </w:rPr>
    </w:lvl>
  </w:abstractNum>
  <w:abstractNum w:abstractNumId="7">
    <w:multiLevelType w:val="hybridMultilevel"/>
    <w:lvl w:ilvl="0">
      <w:start w:val="1"/>
      <w:numFmt w:val="decimal"/>
      <w:lvlText w:val="%1."/>
      <w:lvlJc w:val="left"/>
      <w:pPr>
        <w:ind w:left="139" w:hanging="346"/>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118" w:hanging="346"/>
      </w:pPr>
      <w:rPr>
        <w:rFonts w:hint="default"/>
        <w:lang w:val="ru-RU" w:eastAsia="en-US" w:bidi="ar-SA"/>
      </w:rPr>
    </w:lvl>
    <w:lvl w:ilvl="2">
      <w:start w:val="0"/>
      <w:numFmt w:val="bullet"/>
      <w:lvlText w:val="•"/>
      <w:lvlJc w:val="left"/>
      <w:pPr>
        <w:ind w:left="2096" w:hanging="346"/>
      </w:pPr>
      <w:rPr>
        <w:rFonts w:hint="default"/>
        <w:lang w:val="ru-RU" w:eastAsia="en-US" w:bidi="ar-SA"/>
      </w:rPr>
    </w:lvl>
    <w:lvl w:ilvl="3">
      <w:start w:val="0"/>
      <w:numFmt w:val="bullet"/>
      <w:lvlText w:val="•"/>
      <w:lvlJc w:val="left"/>
      <w:pPr>
        <w:ind w:left="3075" w:hanging="346"/>
      </w:pPr>
      <w:rPr>
        <w:rFonts w:hint="default"/>
        <w:lang w:val="ru-RU" w:eastAsia="en-US" w:bidi="ar-SA"/>
      </w:rPr>
    </w:lvl>
    <w:lvl w:ilvl="4">
      <w:start w:val="0"/>
      <w:numFmt w:val="bullet"/>
      <w:lvlText w:val="•"/>
      <w:lvlJc w:val="left"/>
      <w:pPr>
        <w:ind w:left="4053" w:hanging="346"/>
      </w:pPr>
      <w:rPr>
        <w:rFonts w:hint="default"/>
        <w:lang w:val="ru-RU" w:eastAsia="en-US" w:bidi="ar-SA"/>
      </w:rPr>
    </w:lvl>
    <w:lvl w:ilvl="5">
      <w:start w:val="0"/>
      <w:numFmt w:val="bullet"/>
      <w:lvlText w:val="•"/>
      <w:lvlJc w:val="left"/>
      <w:pPr>
        <w:ind w:left="5032" w:hanging="346"/>
      </w:pPr>
      <w:rPr>
        <w:rFonts w:hint="default"/>
        <w:lang w:val="ru-RU" w:eastAsia="en-US" w:bidi="ar-SA"/>
      </w:rPr>
    </w:lvl>
    <w:lvl w:ilvl="6">
      <w:start w:val="0"/>
      <w:numFmt w:val="bullet"/>
      <w:lvlText w:val="•"/>
      <w:lvlJc w:val="left"/>
      <w:pPr>
        <w:ind w:left="6010" w:hanging="346"/>
      </w:pPr>
      <w:rPr>
        <w:rFonts w:hint="default"/>
        <w:lang w:val="ru-RU" w:eastAsia="en-US" w:bidi="ar-SA"/>
      </w:rPr>
    </w:lvl>
    <w:lvl w:ilvl="7">
      <w:start w:val="0"/>
      <w:numFmt w:val="bullet"/>
      <w:lvlText w:val="•"/>
      <w:lvlJc w:val="left"/>
      <w:pPr>
        <w:ind w:left="6988" w:hanging="346"/>
      </w:pPr>
      <w:rPr>
        <w:rFonts w:hint="default"/>
        <w:lang w:val="ru-RU" w:eastAsia="en-US" w:bidi="ar-SA"/>
      </w:rPr>
    </w:lvl>
    <w:lvl w:ilvl="8">
      <w:start w:val="0"/>
      <w:numFmt w:val="bullet"/>
      <w:lvlText w:val="•"/>
      <w:lvlJc w:val="left"/>
      <w:pPr>
        <w:ind w:left="7967" w:hanging="346"/>
      </w:pPr>
      <w:rPr>
        <w:rFonts w:hint="default"/>
        <w:lang w:val="ru-RU" w:eastAsia="en-US" w:bidi="ar-SA"/>
      </w:rPr>
    </w:lvl>
  </w:abstractNum>
  <w:abstractNum w:abstractNumId="6">
    <w:multiLevelType w:val="hybridMultilevel"/>
    <w:lvl w:ilvl="0">
      <w:start w:val="1"/>
      <w:numFmt w:val="decimal"/>
      <w:lvlText w:val="%1)"/>
      <w:lvlJc w:val="left"/>
      <w:pPr>
        <w:ind w:left="139" w:hanging="278"/>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118" w:hanging="278"/>
      </w:pPr>
      <w:rPr>
        <w:rFonts w:hint="default"/>
        <w:lang w:val="ru-RU" w:eastAsia="en-US" w:bidi="ar-SA"/>
      </w:rPr>
    </w:lvl>
    <w:lvl w:ilvl="2">
      <w:start w:val="0"/>
      <w:numFmt w:val="bullet"/>
      <w:lvlText w:val="•"/>
      <w:lvlJc w:val="left"/>
      <w:pPr>
        <w:ind w:left="2096" w:hanging="278"/>
      </w:pPr>
      <w:rPr>
        <w:rFonts w:hint="default"/>
        <w:lang w:val="ru-RU" w:eastAsia="en-US" w:bidi="ar-SA"/>
      </w:rPr>
    </w:lvl>
    <w:lvl w:ilvl="3">
      <w:start w:val="0"/>
      <w:numFmt w:val="bullet"/>
      <w:lvlText w:val="•"/>
      <w:lvlJc w:val="left"/>
      <w:pPr>
        <w:ind w:left="3075" w:hanging="278"/>
      </w:pPr>
      <w:rPr>
        <w:rFonts w:hint="default"/>
        <w:lang w:val="ru-RU" w:eastAsia="en-US" w:bidi="ar-SA"/>
      </w:rPr>
    </w:lvl>
    <w:lvl w:ilvl="4">
      <w:start w:val="0"/>
      <w:numFmt w:val="bullet"/>
      <w:lvlText w:val="•"/>
      <w:lvlJc w:val="left"/>
      <w:pPr>
        <w:ind w:left="4053" w:hanging="278"/>
      </w:pPr>
      <w:rPr>
        <w:rFonts w:hint="default"/>
        <w:lang w:val="ru-RU" w:eastAsia="en-US" w:bidi="ar-SA"/>
      </w:rPr>
    </w:lvl>
    <w:lvl w:ilvl="5">
      <w:start w:val="0"/>
      <w:numFmt w:val="bullet"/>
      <w:lvlText w:val="•"/>
      <w:lvlJc w:val="left"/>
      <w:pPr>
        <w:ind w:left="5032" w:hanging="278"/>
      </w:pPr>
      <w:rPr>
        <w:rFonts w:hint="default"/>
        <w:lang w:val="ru-RU" w:eastAsia="en-US" w:bidi="ar-SA"/>
      </w:rPr>
    </w:lvl>
    <w:lvl w:ilvl="6">
      <w:start w:val="0"/>
      <w:numFmt w:val="bullet"/>
      <w:lvlText w:val="•"/>
      <w:lvlJc w:val="left"/>
      <w:pPr>
        <w:ind w:left="6010" w:hanging="278"/>
      </w:pPr>
      <w:rPr>
        <w:rFonts w:hint="default"/>
        <w:lang w:val="ru-RU" w:eastAsia="en-US" w:bidi="ar-SA"/>
      </w:rPr>
    </w:lvl>
    <w:lvl w:ilvl="7">
      <w:start w:val="0"/>
      <w:numFmt w:val="bullet"/>
      <w:lvlText w:val="•"/>
      <w:lvlJc w:val="left"/>
      <w:pPr>
        <w:ind w:left="6988" w:hanging="278"/>
      </w:pPr>
      <w:rPr>
        <w:rFonts w:hint="default"/>
        <w:lang w:val="ru-RU" w:eastAsia="en-US" w:bidi="ar-SA"/>
      </w:rPr>
    </w:lvl>
    <w:lvl w:ilvl="8">
      <w:start w:val="0"/>
      <w:numFmt w:val="bullet"/>
      <w:lvlText w:val="•"/>
      <w:lvlJc w:val="left"/>
      <w:pPr>
        <w:ind w:left="7967" w:hanging="278"/>
      </w:pPr>
      <w:rPr>
        <w:rFonts w:hint="default"/>
        <w:lang w:val="ru-RU" w:eastAsia="en-US" w:bidi="ar-SA"/>
      </w:rPr>
    </w:lvl>
  </w:abstractNum>
  <w:abstractNum w:abstractNumId="5">
    <w:multiLevelType w:val="hybridMultilevel"/>
    <w:lvl w:ilvl="0">
      <w:start w:val="0"/>
      <w:numFmt w:val="bullet"/>
      <w:lvlText w:val="-"/>
      <w:lvlJc w:val="left"/>
      <w:pPr>
        <w:ind w:left="139" w:hanging="250"/>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118" w:hanging="250"/>
      </w:pPr>
      <w:rPr>
        <w:rFonts w:hint="default"/>
        <w:lang w:val="ru-RU" w:eastAsia="en-US" w:bidi="ar-SA"/>
      </w:rPr>
    </w:lvl>
    <w:lvl w:ilvl="2">
      <w:start w:val="0"/>
      <w:numFmt w:val="bullet"/>
      <w:lvlText w:val="•"/>
      <w:lvlJc w:val="left"/>
      <w:pPr>
        <w:ind w:left="2096" w:hanging="250"/>
      </w:pPr>
      <w:rPr>
        <w:rFonts w:hint="default"/>
        <w:lang w:val="ru-RU" w:eastAsia="en-US" w:bidi="ar-SA"/>
      </w:rPr>
    </w:lvl>
    <w:lvl w:ilvl="3">
      <w:start w:val="0"/>
      <w:numFmt w:val="bullet"/>
      <w:lvlText w:val="•"/>
      <w:lvlJc w:val="left"/>
      <w:pPr>
        <w:ind w:left="3075" w:hanging="250"/>
      </w:pPr>
      <w:rPr>
        <w:rFonts w:hint="default"/>
        <w:lang w:val="ru-RU" w:eastAsia="en-US" w:bidi="ar-SA"/>
      </w:rPr>
    </w:lvl>
    <w:lvl w:ilvl="4">
      <w:start w:val="0"/>
      <w:numFmt w:val="bullet"/>
      <w:lvlText w:val="•"/>
      <w:lvlJc w:val="left"/>
      <w:pPr>
        <w:ind w:left="4053" w:hanging="250"/>
      </w:pPr>
      <w:rPr>
        <w:rFonts w:hint="default"/>
        <w:lang w:val="ru-RU" w:eastAsia="en-US" w:bidi="ar-SA"/>
      </w:rPr>
    </w:lvl>
    <w:lvl w:ilvl="5">
      <w:start w:val="0"/>
      <w:numFmt w:val="bullet"/>
      <w:lvlText w:val="•"/>
      <w:lvlJc w:val="left"/>
      <w:pPr>
        <w:ind w:left="5032" w:hanging="250"/>
      </w:pPr>
      <w:rPr>
        <w:rFonts w:hint="default"/>
        <w:lang w:val="ru-RU" w:eastAsia="en-US" w:bidi="ar-SA"/>
      </w:rPr>
    </w:lvl>
    <w:lvl w:ilvl="6">
      <w:start w:val="0"/>
      <w:numFmt w:val="bullet"/>
      <w:lvlText w:val="•"/>
      <w:lvlJc w:val="left"/>
      <w:pPr>
        <w:ind w:left="6010" w:hanging="250"/>
      </w:pPr>
      <w:rPr>
        <w:rFonts w:hint="default"/>
        <w:lang w:val="ru-RU" w:eastAsia="en-US" w:bidi="ar-SA"/>
      </w:rPr>
    </w:lvl>
    <w:lvl w:ilvl="7">
      <w:start w:val="0"/>
      <w:numFmt w:val="bullet"/>
      <w:lvlText w:val="•"/>
      <w:lvlJc w:val="left"/>
      <w:pPr>
        <w:ind w:left="6988" w:hanging="250"/>
      </w:pPr>
      <w:rPr>
        <w:rFonts w:hint="default"/>
        <w:lang w:val="ru-RU" w:eastAsia="en-US" w:bidi="ar-SA"/>
      </w:rPr>
    </w:lvl>
    <w:lvl w:ilvl="8">
      <w:start w:val="0"/>
      <w:numFmt w:val="bullet"/>
      <w:lvlText w:val="•"/>
      <w:lvlJc w:val="left"/>
      <w:pPr>
        <w:ind w:left="7967" w:hanging="250"/>
      </w:pPr>
      <w:rPr>
        <w:rFonts w:hint="default"/>
        <w:lang w:val="ru-RU" w:eastAsia="en-US" w:bidi="ar-SA"/>
      </w:rPr>
    </w:lvl>
  </w:abstractNum>
  <w:abstractNum w:abstractNumId="4">
    <w:multiLevelType w:val="hybridMultilevel"/>
    <w:lvl w:ilvl="0">
      <w:start w:val="3"/>
      <w:numFmt w:val="decimal"/>
      <w:lvlText w:val="%1"/>
      <w:lvlJc w:val="left"/>
      <w:pPr>
        <w:ind w:left="1104" w:hanging="423"/>
        <w:jc w:val="left"/>
      </w:pPr>
      <w:rPr>
        <w:rFonts w:hint="default"/>
        <w:lang w:val="ru-RU" w:eastAsia="en-US" w:bidi="ar-SA"/>
      </w:rPr>
    </w:lvl>
    <w:lvl w:ilvl="1">
      <w:start w:val="3"/>
      <w:numFmt w:val="decimal"/>
      <w:lvlText w:val="%1.%2"/>
      <w:lvlJc w:val="left"/>
      <w:pPr>
        <w:ind w:left="1104" w:hanging="423"/>
        <w:jc w:val="left"/>
      </w:pPr>
      <w:rPr>
        <w:rFonts w:hint="default" w:ascii="Times New Roman" w:hAnsi="Times New Roman" w:eastAsia="Times New Roman" w:cs="Times New Roman"/>
        <w:b/>
        <w:bCs/>
        <w:i w:val="0"/>
        <w:iCs w:val="0"/>
        <w:spacing w:val="0"/>
        <w:w w:val="99"/>
        <w:sz w:val="28"/>
        <w:szCs w:val="28"/>
        <w:lang w:val="ru-RU" w:eastAsia="en-US" w:bidi="ar-SA"/>
      </w:rPr>
    </w:lvl>
    <w:lvl w:ilvl="2">
      <w:start w:val="1"/>
      <w:numFmt w:val="decimal"/>
      <w:lvlText w:val="%1.%2.%3."/>
      <w:lvlJc w:val="left"/>
      <w:pPr>
        <w:ind w:left="139" w:hanging="894"/>
        <w:jc w:val="left"/>
      </w:pPr>
      <w:rPr>
        <w:rFonts w:hint="default" w:ascii="Times New Roman" w:hAnsi="Times New Roman" w:eastAsia="Times New Roman" w:cs="Times New Roman"/>
        <w:b/>
        <w:bCs/>
        <w:i w:val="0"/>
        <w:iCs w:val="0"/>
        <w:spacing w:val="0"/>
        <w:w w:val="99"/>
        <w:sz w:val="28"/>
        <w:szCs w:val="28"/>
        <w:lang w:val="ru-RU" w:eastAsia="en-US" w:bidi="ar-SA"/>
      </w:rPr>
    </w:lvl>
    <w:lvl w:ilvl="3">
      <w:start w:val="0"/>
      <w:numFmt w:val="bullet"/>
      <w:lvlText w:val="-"/>
      <w:lvlJc w:val="left"/>
      <w:pPr>
        <w:ind w:left="139" w:hanging="164"/>
      </w:pPr>
      <w:rPr>
        <w:rFonts w:hint="default" w:ascii="Times New Roman" w:hAnsi="Times New Roman" w:eastAsia="Times New Roman" w:cs="Times New Roman"/>
        <w:b w:val="0"/>
        <w:bCs w:val="0"/>
        <w:i w:val="0"/>
        <w:iCs w:val="0"/>
        <w:spacing w:val="0"/>
        <w:w w:val="100"/>
        <w:sz w:val="24"/>
        <w:szCs w:val="24"/>
        <w:lang w:val="ru-RU" w:eastAsia="en-US" w:bidi="ar-SA"/>
      </w:rPr>
    </w:lvl>
    <w:lvl w:ilvl="4">
      <w:start w:val="0"/>
      <w:numFmt w:val="bullet"/>
      <w:lvlText w:val="•"/>
      <w:lvlJc w:val="left"/>
      <w:pPr>
        <w:ind w:left="4041" w:hanging="164"/>
      </w:pPr>
      <w:rPr>
        <w:rFonts w:hint="default"/>
        <w:lang w:val="ru-RU" w:eastAsia="en-US" w:bidi="ar-SA"/>
      </w:rPr>
    </w:lvl>
    <w:lvl w:ilvl="5">
      <w:start w:val="0"/>
      <w:numFmt w:val="bullet"/>
      <w:lvlText w:val="•"/>
      <w:lvlJc w:val="left"/>
      <w:pPr>
        <w:ind w:left="5021" w:hanging="164"/>
      </w:pPr>
      <w:rPr>
        <w:rFonts w:hint="default"/>
        <w:lang w:val="ru-RU" w:eastAsia="en-US" w:bidi="ar-SA"/>
      </w:rPr>
    </w:lvl>
    <w:lvl w:ilvl="6">
      <w:start w:val="0"/>
      <w:numFmt w:val="bullet"/>
      <w:lvlText w:val="•"/>
      <w:lvlJc w:val="left"/>
      <w:pPr>
        <w:ind w:left="6002" w:hanging="164"/>
      </w:pPr>
      <w:rPr>
        <w:rFonts w:hint="default"/>
        <w:lang w:val="ru-RU" w:eastAsia="en-US" w:bidi="ar-SA"/>
      </w:rPr>
    </w:lvl>
    <w:lvl w:ilvl="7">
      <w:start w:val="0"/>
      <w:numFmt w:val="bullet"/>
      <w:lvlText w:val="•"/>
      <w:lvlJc w:val="left"/>
      <w:pPr>
        <w:ind w:left="6982" w:hanging="164"/>
      </w:pPr>
      <w:rPr>
        <w:rFonts w:hint="default"/>
        <w:lang w:val="ru-RU" w:eastAsia="en-US" w:bidi="ar-SA"/>
      </w:rPr>
    </w:lvl>
    <w:lvl w:ilvl="8">
      <w:start w:val="0"/>
      <w:numFmt w:val="bullet"/>
      <w:lvlText w:val="•"/>
      <w:lvlJc w:val="left"/>
      <w:pPr>
        <w:ind w:left="7963" w:hanging="164"/>
      </w:pPr>
      <w:rPr>
        <w:rFonts w:hint="default"/>
        <w:lang w:val="ru-RU" w:eastAsia="en-US" w:bidi="ar-SA"/>
      </w:rPr>
    </w:lvl>
  </w:abstractNum>
  <w:abstractNum w:abstractNumId="3">
    <w:multiLevelType w:val="hybridMultilevel"/>
    <w:lvl w:ilvl="0">
      <w:start w:val="0"/>
      <w:numFmt w:val="bullet"/>
      <w:lvlText w:val="-"/>
      <w:lvlJc w:val="left"/>
      <w:pPr>
        <w:ind w:left="139" w:hanging="212"/>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118" w:hanging="212"/>
      </w:pPr>
      <w:rPr>
        <w:rFonts w:hint="default"/>
        <w:lang w:val="ru-RU" w:eastAsia="en-US" w:bidi="ar-SA"/>
      </w:rPr>
    </w:lvl>
    <w:lvl w:ilvl="2">
      <w:start w:val="0"/>
      <w:numFmt w:val="bullet"/>
      <w:lvlText w:val="•"/>
      <w:lvlJc w:val="left"/>
      <w:pPr>
        <w:ind w:left="2096" w:hanging="212"/>
      </w:pPr>
      <w:rPr>
        <w:rFonts w:hint="default"/>
        <w:lang w:val="ru-RU" w:eastAsia="en-US" w:bidi="ar-SA"/>
      </w:rPr>
    </w:lvl>
    <w:lvl w:ilvl="3">
      <w:start w:val="0"/>
      <w:numFmt w:val="bullet"/>
      <w:lvlText w:val="•"/>
      <w:lvlJc w:val="left"/>
      <w:pPr>
        <w:ind w:left="3075" w:hanging="212"/>
      </w:pPr>
      <w:rPr>
        <w:rFonts w:hint="default"/>
        <w:lang w:val="ru-RU" w:eastAsia="en-US" w:bidi="ar-SA"/>
      </w:rPr>
    </w:lvl>
    <w:lvl w:ilvl="4">
      <w:start w:val="0"/>
      <w:numFmt w:val="bullet"/>
      <w:lvlText w:val="•"/>
      <w:lvlJc w:val="left"/>
      <w:pPr>
        <w:ind w:left="4053" w:hanging="212"/>
      </w:pPr>
      <w:rPr>
        <w:rFonts w:hint="default"/>
        <w:lang w:val="ru-RU" w:eastAsia="en-US" w:bidi="ar-SA"/>
      </w:rPr>
    </w:lvl>
    <w:lvl w:ilvl="5">
      <w:start w:val="0"/>
      <w:numFmt w:val="bullet"/>
      <w:lvlText w:val="•"/>
      <w:lvlJc w:val="left"/>
      <w:pPr>
        <w:ind w:left="5032" w:hanging="212"/>
      </w:pPr>
      <w:rPr>
        <w:rFonts w:hint="default"/>
        <w:lang w:val="ru-RU" w:eastAsia="en-US" w:bidi="ar-SA"/>
      </w:rPr>
    </w:lvl>
    <w:lvl w:ilvl="6">
      <w:start w:val="0"/>
      <w:numFmt w:val="bullet"/>
      <w:lvlText w:val="•"/>
      <w:lvlJc w:val="left"/>
      <w:pPr>
        <w:ind w:left="6010" w:hanging="212"/>
      </w:pPr>
      <w:rPr>
        <w:rFonts w:hint="default"/>
        <w:lang w:val="ru-RU" w:eastAsia="en-US" w:bidi="ar-SA"/>
      </w:rPr>
    </w:lvl>
    <w:lvl w:ilvl="7">
      <w:start w:val="0"/>
      <w:numFmt w:val="bullet"/>
      <w:lvlText w:val="•"/>
      <w:lvlJc w:val="left"/>
      <w:pPr>
        <w:ind w:left="6988" w:hanging="212"/>
      </w:pPr>
      <w:rPr>
        <w:rFonts w:hint="default"/>
        <w:lang w:val="ru-RU" w:eastAsia="en-US" w:bidi="ar-SA"/>
      </w:rPr>
    </w:lvl>
    <w:lvl w:ilvl="8">
      <w:start w:val="0"/>
      <w:numFmt w:val="bullet"/>
      <w:lvlText w:val="•"/>
      <w:lvlJc w:val="left"/>
      <w:pPr>
        <w:ind w:left="7967" w:hanging="212"/>
      </w:pPr>
      <w:rPr>
        <w:rFonts w:hint="default"/>
        <w:lang w:val="ru-RU" w:eastAsia="en-US" w:bidi="ar-SA"/>
      </w:rPr>
    </w:lvl>
  </w:abstractNum>
  <w:abstractNum w:abstractNumId="2">
    <w:multiLevelType w:val="hybridMultilevel"/>
    <w:lvl w:ilvl="0">
      <w:start w:val="0"/>
      <w:numFmt w:val="bullet"/>
      <w:lvlText w:val="-"/>
      <w:lvlJc w:val="left"/>
      <w:pPr>
        <w:ind w:left="139" w:hanging="144"/>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118" w:hanging="144"/>
      </w:pPr>
      <w:rPr>
        <w:rFonts w:hint="default"/>
        <w:lang w:val="ru-RU" w:eastAsia="en-US" w:bidi="ar-SA"/>
      </w:rPr>
    </w:lvl>
    <w:lvl w:ilvl="2">
      <w:start w:val="0"/>
      <w:numFmt w:val="bullet"/>
      <w:lvlText w:val="•"/>
      <w:lvlJc w:val="left"/>
      <w:pPr>
        <w:ind w:left="2096" w:hanging="144"/>
      </w:pPr>
      <w:rPr>
        <w:rFonts w:hint="default"/>
        <w:lang w:val="ru-RU" w:eastAsia="en-US" w:bidi="ar-SA"/>
      </w:rPr>
    </w:lvl>
    <w:lvl w:ilvl="3">
      <w:start w:val="0"/>
      <w:numFmt w:val="bullet"/>
      <w:lvlText w:val="•"/>
      <w:lvlJc w:val="left"/>
      <w:pPr>
        <w:ind w:left="3075" w:hanging="144"/>
      </w:pPr>
      <w:rPr>
        <w:rFonts w:hint="default"/>
        <w:lang w:val="ru-RU" w:eastAsia="en-US" w:bidi="ar-SA"/>
      </w:rPr>
    </w:lvl>
    <w:lvl w:ilvl="4">
      <w:start w:val="0"/>
      <w:numFmt w:val="bullet"/>
      <w:lvlText w:val="•"/>
      <w:lvlJc w:val="left"/>
      <w:pPr>
        <w:ind w:left="4053" w:hanging="144"/>
      </w:pPr>
      <w:rPr>
        <w:rFonts w:hint="default"/>
        <w:lang w:val="ru-RU" w:eastAsia="en-US" w:bidi="ar-SA"/>
      </w:rPr>
    </w:lvl>
    <w:lvl w:ilvl="5">
      <w:start w:val="0"/>
      <w:numFmt w:val="bullet"/>
      <w:lvlText w:val="•"/>
      <w:lvlJc w:val="left"/>
      <w:pPr>
        <w:ind w:left="5032" w:hanging="144"/>
      </w:pPr>
      <w:rPr>
        <w:rFonts w:hint="default"/>
        <w:lang w:val="ru-RU" w:eastAsia="en-US" w:bidi="ar-SA"/>
      </w:rPr>
    </w:lvl>
    <w:lvl w:ilvl="6">
      <w:start w:val="0"/>
      <w:numFmt w:val="bullet"/>
      <w:lvlText w:val="•"/>
      <w:lvlJc w:val="left"/>
      <w:pPr>
        <w:ind w:left="6010" w:hanging="144"/>
      </w:pPr>
      <w:rPr>
        <w:rFonts w:hint="default"/>
        <w:lang w:val="ru-RU" w:eastAsia="en-US" w:bidi="ar-SA"/>
      </w:rPr>
    </w:lvl>
    <w:lvl w:ilvl="7">
      <w:start w:val="0"/>
      <w:numFmt w:val="bullet"/>
      <w:lvlText w:val="•"/>
      <w:lvlJc w:val="left"/>
      <w:pPr>
        <w:ind w:left="6988" w:hanging="144"/>
      </w:pPr>
      <w:rPr>
        <w:rFonts w:hint="default"/>
        <w:lang w:val="ru-RU" w:eastAsia="en-US" w:bidi="ar-SA"/>
      </w:rPr>
    </w:lvl>
    <w:lvl w:ilvl="8">
      <w:start w:val="0"/>
      <w:numFmt w:val="bullet"/>
      <w:lvlText w:val="•"/>
      <w:lvlJc w:val="left"/>
      <w:pPr>
        <w:ind w:left="7967" w:hanging="144"/>
      </w:pPr>
      <w:rPr>
        <w:rFonts w:hint="default"/>
        <w:lang w:val="ru-RU" w:eastAsia="en-US" w:bidi="ar-SA"/>
      </w:rPr>
    </w:lvl>
  </w:abstractNum>
  <w:abstractNum w:abstractNumId="1">
    <w:multiLevelType w:val="hybridMultilevel"/>
    <w:lvl w:ilvl="0">
      <w:start w:val="1"/>
      <w:numFmt w:val="decimal"/>
      <w:lvlText w:val="%1."/>
      <w:lvlJc w:val="left"/>
      <w:pPr>
        <w:ind w:left="139" w:hanging="408"/>
        <w:jc w:val="left"/>
      </w:pPr>
      <w:rPr>
        <w:rFonts w:hint="default" w:ascii="Times New Roman" w:hAnsi="Times New Roman" w:eastAsia="Times New Roman" w:cs="Times New Roman"/>
        <w:b/>
        <w:bCs/>
        <w:i w:val="0"/>
        <w:iCs w:val="0"/>
        <w:spacing w:val="0"/>
        <w:w w:val="99"/>
        <w:sz w:val="28"/>
        <w:szCs w:val="28"/>
        <w:lang w:val="ru-RU" w:eastAsia="en-US" w:bidi="ar-SA"/>
      </w:rPr>
    </w:lvl>
    <w:lvl w:ilvl="1">
      <w:start w:val="1"/>
      <w:numFmt w:val="decimal"/>
      <w:lvlText w:val="%1.%2."/>
      <w:lvlJc w:val="left"/>
      <w:pPr>
        <w:ind w:left="139" w:hanging="504"/>
        <w:jc w:val="left"/>
      </w:pPr>
      <w:rPr>
        <w:rFonts w:hint="default" w:ascii="Times New Roman" w:hAnsi="Times New Roman" w:eastAsia="Times New Roman" w:cs="Times New Roman"/>
        <w:b/>
        <w:bCs/>
        <w:i w:val="0"/>
        <w:iCs w:val="0"/>
        <w:spacing w:val="0"/>
        <w:w w:val="99"/>
        <w:sz w:val="28"/>
        <w:szCs w:val="28"/>
        <w:lang w:val="ru-RU" w:eastAsia="en-US" w:bidi="ar-SA"/>
      </w:rPr>
    </w:lvl>
    <w:lvl w:ilvl="2">
      <w:start w:val="1"/>
      <w:numFmt w:val="decimal"/>
      <w:lvlText w:val="%1.%2.%3."/>
      <w:lvlJc w:val="left"/>
      <w:pPr>
        <w:ind w:left="139" w:hanging="725"/>
        <w:jc w:val="left"/>
      </w:pPr>
      <w:rPr>
        <w:rFonts w:hint="default" w:ascii="Times New Roman" w:hAnsi="Times New Roman" w:eastAsia="Times New Roman" w:cs="Times New Roman"/>
        <w:b/>
        <w:bCs/>
        <w:i w:val="0"/>
        <w:iCs w:val="0"/>
        <w:spacing w:val="0"/>
        <w:w w:val="99"/>
        <w:sz w:val="28"/>
        <w:szCs w:val="28"/>
        <w:lang w:val="ru-RU" w:eastAsia="en-US" w:bidi="ar-SA"/>
      </w:rPr>
    </w:lvl>
    <w:lvl w:ilvl="3">
      <w:start w:val="0"/>
      <w:numFmt w:val="bullet"/>
      <w:lvlText w:val="-"/>
      <w:lvlJc w:val="left"/>
      <w:pPr>
        <w:ind w:left="821" w:hanging="144"/>
      </w:pPr>
      <w:rPr>
        <w:rFonts w:hint="default" w:ascii="Times New Roman" w:hAnsi="Times New Roman" w:eastAsia="Times New Roman" w:cs="Times New Roman"/>
        <w:b w:val="0"/>
        <w:bCs w:val="0"/>
        <w:i w:val="0"/>
        <w:iCs w:val="0"/>
        <w:spacing w:val="0"/>
        <w:w w:val="100"/>
        <w:sz w:val="24"/>
        <w:szCs w:val="24"/>
        <w:lang w:val="ru-RU" w:eastAsia="en-US" w:bidi="ar-SA"/>
      </w:rPr>
    </w:lvl>
    <w:lvl w:ilvl="4">
      <w:start w:val="0"/>
      <w:numFmt w:val="bullet"/>
      <w:lvlText w:val="•"/>
      <w:lvlJc w:val="left"/>
      <w:pPr>
        <w:ind w:left="2600" w:hanging="144"/>
      </w:pPr>
      <w:rPr>
        <w:rFonts w:hint="default"/>
        <w:lang w:val="ru-RU" w:eastAsia="en-US" w:bidi="ar-SA"/>
      </w:rPr>
    </w:lvl>
    <w:lvl w:ilvl="5">
      <w:start w:val="0"/>
      <w:numFmt w:val="bullet"/>
      <w:lvlText w:val="•"/>
      <w:lvlJc w:val="left"/>
      <w:pPr>
        <w:ind w:left="3821" w:hanging="144"/>
      </w:pPr>
      <w:rPr>
        <w:rFonts w:hint="default"/>
        <w:lang w:val="ru-RU" w:eastAsia="en-US" w:bidi="ar-SA"/>
      </w:rPr>
    </w:lvl>
    <w:lvl w:ilvl="6">
      <w:start w:val="0"/>
      <w:numFmt w:val="bullet"/>
      <w:lvlText w:val="•"/>
      <w:lvlJc w:val="left"/>
      <w:pPr>
        <w:ind w:left="5041" w:hanging="144"/>
      </w:pPr>
      <w:rPr>
        <w:rFonts w:hint="default"/>
        <w:lang w:val="ru-RU" w:eastAsia="en-US" w:bidi="ar-SA"/>
      </w:rPr>
    </w:lvl>
    <w:lvl w:ilvl="7">
      <w:start w:val="0"/>
      <w:numFmt w:val="bullet"/>
      <w:lvlText w:val="•"/>
      <w:lvlJc w:val="left"/>
      <w:pPr>
        <w:ind w:left="6262" w:hanging="144"/>
      </w:pPr>
      <w:rPr>
        <w:rFonts w:hint="default"/>
        <w:lang w:val="ru-RU" w:eastAsia="en-US" w:bidi="ar-SA"/>
      </w:rPr>
    </w:lvl>
    <w:lvl w:ilvl="8">
      <w:start w:val="0"/>
      <w:numFmt w:val="bullet"/>
      <w:lvlText w:val="•"/>
      <w:lvlJc w:val="left"/>
      <w:pPr>
        <w:ind w:left="7482" w:hanging="144"/>
      </w:pPr>
      <w:rPr>
        <w:rFonts w:hint="default"/>
        <w:lang w:val="ru-RU" w:eastAsia="en-US" w:bidi="ar-SA"/>
      </w:rPr>
    </w:lvl>
  </w:abstractNum>
  <w:abstractNum w:abstractNumId="0">
    <w:multiLevelType w:val="hybridMultilevel"/>
    <w:lvl w:ilvl="0">
      <w:start w:val="0"/>
      <w:numFmt w:val="bullet"/>
      <w:lvlText w:val="-"/>
      <w:lvlJc w:val="left"/>
      <w:pPr>
        <w:ind w:left="682" w:hanging="144"/>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1604" w:hanging="144"/>
      </w:pPr>
      <w:rPr>
        <w:rFonts w:hint="default"/>
        <w:lang w:val="ru-RU" w:eastAsia="en-US" w:bidi="ar-SA"/>
      </w:rPr>
    </w:lvl>
    <w:lvl w:ilvl="2">
      <w:start w:val="0"/>
      <w:numFmt w:val="bullet"/>
      <w:lvlText w:val="•"/>
      <w:lvlJc w:val="left"/>
      <w:pPr>
        <w:ind w:left="2528" w:hanging="144"/>
      </w:pPr>
      <w:rPr>
        <w:rFonts w:hint="default"/>
        <w:lang w:val="ru-RU" w:eastAsia="en-US" w:bidi="ar-SA"/>
      </w:rPr>
    </w:lvl>
    <w:lvl w:ilvl="3">
      <w:start w:val="0"/>
      <w:numFmt w:val="bullet"/>
      <w:lvlText w:val="•"/>
      <w:lvlJc w:val="left"/>
      <w:pPr>
        <w:ind w:left="3453" w:hanging="144"/>
      </w:pPr>
      <w:rPr>
        <w:rFonts w:hint="default"/>
        <w:lang w:val="ru-RU" w:eastAsia="en-US" w:bidi="ar-SA"/>
      </w:rPr>
    </w:lvl>
    <w:lvl w:ilvl="4">
      <w:start w:val="0"/>
      <w:numFmt w:val="bullet"/>
      <w:lvlText w:val="•"/>
      <w:lvlJc w:val="left"/>
      <w:pPr>
        <w:ind w:left="4377" w:hanging="144"/>
      </w:pPr>
      <w:rPr>
        <w:rFonts w:hint="default"/>
        <w:lang w:val="ru-RU" w:eastAsia="en-US" w:bidi="ar-SA"/>
      </w:rPr>
    </w:lvl>
    <w:lvl w:ilvl="5">
      <w:start w:val="0"/>
      <w:numFmt w:val="bullet"/>
      <w:lvlText w:val="•"/>
      <w:lvlJc w:val="left"/>
      <w:pPr>
        <w:ind w:left="5302" w:hanging="144"/>
      </w:pPr>
      <w:rPr>
        <w:rFonts w:hint="default"/>
        <w:lang w:val="ru-RU" w:eastAsia="en-US" w:bidi="ar-SA"/>
      </w:rPr>
    </w:lvl>
    <w:lvl w:ilvl="6">
      <w:start w:val="0"/>
      <w:numFmt w:val="bullet"/>
      <w:lvlText w:val="•"/>
      <w:lvlJc w:val="left"/>
      <w:pPr>
        <w:ind w:left="6226" w:hanging="144"/>
      </w:pPr>
      <w:rPr>
        <w:rFonts w:hint="default"/>
        <w:lang w:val="ru-RU" w:eastAsia="en-US" w:bidi="ar-SA"/>
      </w:rPr>
    </w:lvl>
    <w:lvl w:ilvl="7">
      <w:start w:val="0"/>
      <w:numFmt w:val="bullet"/>
      <w:lvlText w:val="•"/>
      <w:lvlJc w:val="left"/>
      <w:pPr>
        <w:ind w:left="7150" w:hanging="144"/>
      </w:pPr>
      <w:rPr>
        <w:rFonts w:hint="default"/>
        <w:lang w:val="ru-RU" w:eastAsia="en-US" w:bidi="ar-SA"/>
      </w:rPr>
    </w:lvl>
    <w:lvl w:ilvl="8">
      <w:start w:val="0"/>
      <w:numFmt w:val="bullet"/>
      <w:lvlText w:val="•"/>
      <w:lvlJc w:val="left"/>
      <w:pPr>
        <w:ind w:left="8075" w:hanging="144"/>
      </w:pPr>
      <w:rPr>
        <w:rFonts w:hint="default"/>
        <w:lang w:val="ru-RU" w:eastAsia="en-US" w:bidi="ar-SA"/>
      </w:rPr>
    </w:lvl>
  </w:abstract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BodyText" w:type="paragraph">
    <w:name w:val="Body Text"/>
    <w:basedOn w:val="Normal"/>
    <w:uiPriority w:val="1"/>
    <w:qFormat/>
    <w:pPr>
      <w:ind w:left="139"/>
      <w:jc w:val="both"/>
    </w:pPr>
    <w:rPr>
      <w:rFonts w:ascii="Times New Roman" w:hAnsi="Times New Roman" w:eastAsia="Times New Roman" w:cs="Times New Roman"/>
      <w:sz w:val="24"/>
      <w:szCs w:val="24"/>
      <w:lang w:val="ru-RU" w:eastAsia="en-US" w:bidi="ar-SA"/>
    </w:rPr>
  </w:style>
  <w:style w:styleId="Heading1" w:type="paragraph">
    <w:name w:val="Heading 1"/>
    <w:basedOn w:val="Normal"/>
    <w:uiPriority w:val="1"/>
    <w:qFormat/>
    <w:pPr>
      <w:ind w:left="139" w:firstLine="542"/>
      <w:outlineLvl w:val="1"/>
    </w:pPr>
    <w:rPr>
      <w:rFonts w:ascii="Times New Roman" w:hAnsi="Times New Roman" w:eastAsia="Times New Roman" w:cs="Times New Roman"/>
      <w:b/>
      <w:bCs/>
      <w:sz w:val="28"/>
      <w:szCs w:val="28"/>
      <w:lang w:val="ru-RU" w:eastAsia="en-US" w:bidi="ar-SA"/>
    </w:rPr>
  </w:style>
  <w:style w:styleId="Title" w:type="paragraph">
    <w:name w:val="Title"/>
    <w:basedOn w:val="Normal"/>
    <w:uiPriority w:val="1"/>
    <w:qFormat/>
    <w:pPr>
      <w:spacing w:before="86"/>
      <w:ind w:left="384" w:right="387" w:hanging="2"/>
      <w:jc w:val="center"/>
    </w:pPr>
    <w:rPr>
      <w:rFonts w:ascii="Times New Roman" w:hAnsi="Times New Roman" w:eastAsia="Times New Roman" w:cs="Times New Roman"/>
      <w:b/>
      <w:bCs/>
      <w:sz w:val="32"/>
      <w:szCs w:val="32"/>
      <w:lang w:val="ru-RU" w:eastAsia="en-US" w:bidi="ar-SA"/>
    </w:rPr>
  </w:style>
  <w:style w:styleId="ListParagraph" w:type="paragraph">
    <w:name w:val="List Paragraph"/>
    <w:basedOn w:val="Normal"/>
    <w:uiPriority w:val="1"/>
    <w:qFormat/>
    <w:pPr>
      <w:ind w:left="139" w:firstLine="538"/>
      <w:jc w:val="both"/>
    </w:pPr>
    <w:rPr>
      <w:rFonts w:ascii="Times New Roman" w:hAnsi="Times New Roman" w:eastAsia="Times New Roman" w:cs="Times New Roman"/>
      <w:lang w:val="ru-RU" w:eastAsia="en-US" w:bidi="ar-SA"/>
    </w:rPr>
  </w:style>
  <w:style w:styleId="TableParagraph" w:type="paragraph">
    <w:name w:val="Table Paragraph"/>
    <w:basedOn w:val="Normal"/>
    <w:uiPriority w:val="1"/>
    <w:qFormat/>
    <w:pPr>
      <w:spacing w:before="49"/>
      <w:ind w:left="62"/>
    </w:pPr>
    <w:rPr>
      <w:rFonts w:ascii="Times New Roman" w:hAnsi="Times New Roman" w:eastAsia="Times New Roman" w:cs="Times New Roman"/>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www.ncbi.nlm.nih.gov/books/NBK305870/" TargetMode="Externa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hyperlink" Target="http://disuria.ru/load/zakonodatelstvo/klinicheskie_rekomendacii_protokoly_lechenija/54" TargetMode="External"/><Relationship Id="rId15"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hyperlink" Target="http://disuri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 - Нарушения накопления липидов (Дефицит лизосомой кислой липазы, ДЛКЛ, ЛКЛ, дефект гена LIPA) - 2023-2024-2025 (22.05.2023) - Протоколы, руководства лечения - Утв. МЗ РФ - 44 страниц А4</dc:creator>
  <cp:keywords>Клинические рекомендации - Нарушения накопления липидов (Дефицит лизосомой кислой липазы, ДЛКЛ, ЛКЛ, дефект гена LIPA) - 2023-2024-2025 (22.05.2023) - Протоколы, руководства лечения - Утверждены Минздравом РФ</cp:keywords>
  <dc:subject>Клинические рекомендации - Нарушения накопления липидов (Дефицит лизосомой кислой липазы, ДЛКЛ, ЛКЛ, дефект гена LIPA) - 2023-2024-2025 (22.05.2023) - Протоколы, руководства лечения - Утверждены Минздравом РФ</dc:subject>
  <dc:title>Клинические рекомендации - Нарушения накопления липидов (Дефицит лизосомой кислой липазы, ДЛКЛ, ЛКЛ, дефект гена LIPA) - 2023-2024-2025 (22.05.2023) - Протоколы, руководства лечения - Утверждены Минздравом РФ - 44 страниц А4</dc:title>
  <dcterms:created xsi:type="dcterms:W3CDTF">2023-12-20T12:26:10Z</dcterms:created>
  <dcterms:modified xsi:type="dcterms:W3CDTF">2023-12-20T12:26:10Z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2023-07-25T00:00:00Z</vt:filetime>
  </property>
  <property fmtid="{D5CDD505-2E9C-101B-9397-08002B2CF9AE}" pid="3" name="Creator">
    <vt:lpwstr>Microsoft® Word 2016</vt:lpwstr>
  </property>
  <property fmtid="{D5CDD505-2E9C-101B-9397-08002B2CF9AE}" pid="4" name="LastSaved">
    <vt:filetime>2023-12-20T00:00:00Z</vt:filetime>
  </property>
  <property fmtid="{D5CDD505-2E9C-101B-9397-08002B2CF9AE}" pid="5" name="Producer">
    <vt:lpwstr>www.ilovepdf.com</vt:lpwstr>
  </property>
</Properties>
</file>