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doi: 10.17116/neiro201781296-102</w:t>
      </w:r>
    </w:p>
    <w:p>
      <w:pPr>
        <w:pStyle w:val="Style9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0" w:name="bookmark0"/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Хирургическая коррекция синдромов сосудистой компрессии черепных нервов</w:t>
      </w:r>
      <w:bookmarkEnd w:id="0"/>
    </w:p>
    <w:p>
      <w:pPr>
        <w:pStyle w:val="Style11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left"/>
        <w:rPr>
          <w:sz w:val="18"/>
          <w:szCs w:val="18"/>
        </w:rPr>
      </w:pPr>
      <w:r>
        <w:rPr>
          <w:rFonts w:ascii="Arial" w:eastAsia="Arial" w:hAnsi="Arial" w:cs="Arial"/>
          <w:color w:val="000000"/>
          <w:spacing w:val="0"/>
          <w:w w:val="100"/>
          <w:position w:val="0"/>
          <w:sz w:val="18"/>
          <w:szCs w:val="18"/>
          <w:shd w:val="clear" w:color="auto" w:fill="auto"/>
          <w:lang w:val="ru-RU" w:eastAsia="ru-RU" w:bidi="ru-RU"/>
        </w:rPr>
        <w:t>Проф. В.Н. ШИМАНСКИЙ, д.м.н. С.В. ТАНЯШИН, к.м.н. В.К. ПОШАТАЕВ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ФГАУ «Национальный научно-практический центр нейрохирургии им. акад. Н.Н. Бурденко» Минздрава России, Москва, Россия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60"/>
        <w:ind w:left="360" w:right="0" w:firstLine="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Ключевые слова: тригеминальная невралгия, гемифациальный спазм, языкоглоточная невралгия, васкулярная декомпрессия.</w:t>
      </w:r>
    </w:p>
    <w:p>
      <w:pPr>
        <w:pStyle w:val="Style15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2" w:name="bookmark2"/>
      <w:r>
        <w:rPr>
          <w:spacing w:val="0"/>
          <w:w w:val="100"/>
          <w:position w:val="0"/>
          <w:shd w:val="clear" w:color="auto" w:fill="auto"/>
        </w:rPr>
        <w:t>Surgical correction of cranial nerve vascular compression syndromes</w:t>
      </w:r>
      <w:bookmarkEnd w:id="2"/>
    </w:p>
    <w:p>
      <w:pPr>
        <w:pStyle w:val="Style11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left"/>
        <w:rPr>
          <w:sz w:val="16"/>
          <w:szCs w:val="16"/>
        </w:rPr>
      </w:pPr>
      <w:r>
        <w:rPr>
          <w:rFonts w:ascii="Arial" w:eastAsia="Arial" w:hAnsi="Arial" w:cs="Arial"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en-US" w:eastAsia="en-US" w:bidi="en-US"/>
        </w:rPr>
        <w:t>V.N. SHIMANSKIY, S.V. TANYASHIN, V.K. POSHATAEV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Burdenko Neurosurgical Institute, Moscow, Russia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00" w:line="240" w:lineRule="auto"/>
        <w:ind w:left="0" w:right="0" w:firstLine="36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Keywords: trigeminal neuralgia, hemifacial spasm, glossopharyngeal neuralgia, vascular decompression.</w:t>
      </w:r>
    </w:p>
    <w:p>
      <w:pPr>
        <w:pStyle w:val="Style18"/>
        <w:keepNext w:val="0"/>
        <w:keepLines w:val="0"/>
        <w:widowControl w:val="0"/>
        <w:shd w:val="clear" w:color="auto" w:fill="auto"/>
        <w:bidi w:val="0"/>
        <w:spacing w:before="0" w:after="0"/>
        <w:ind w:right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Список сокращений</w:t>
      </w:r>
    </w:p>
    <w:p>
      <w:pPr>
        <w:pStyle w:val="Style18"/>
        <w:keepNext w:val="0"/>
        <w:keepLines w:val="0"/>
        <w:widowControl w:val="0"/>
        <w:shd w:val="clear" w:color="auto" w:fill="auto"/>
        <w:bidi w:val="0"/>
        <w:spacing w:before="0" w:after="0"/>
        <w:ind w:right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НТН — невралгия тройничного нерва</w:t>
      </w:r>
    </w:p>
    <w:p>
      <w:pPr>
        <w:pStyle w:val="Style18"/>
        <w:keepNext w:val="0"/>
        <w:keepLines w:val="0"/>
        <w:widowControl w:val="0"/>
        <w:shd w:val="clear" w:color="auto" w:fill="auto"/>
        <w:bidi w:val="0"/>
        <w:spacing w:before="0" w:after="0"/>
        <w:ind w:right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НЯН — невралгия языкоглоточного нерва СРХ — стереотаксическая радиохирургия ТМО — твердая мозговая оболочка</w:t>
      </w:r>
    </w:p>
    <w:p>
      <w:pPr>
        <w:pStyle w:val="Style18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60"/>
        <w:jc w:val="left"/>
        <w:sectPr>
          <w:headerReference w:type="default" r:id="rId5"/>
          <w:footerReference w:type="default" r:id="rId6"/>
          <w:headerReference w:type="even" r:id="rId7"/>
          <w:footerReference w:type="even" r:id="rId8"/>
          <w:footnotePr>
            <w:pos w:val="pageBottom"/>
            <w:numFmt w:val="decimal"/>
            <w:numRestart w:val="continuous"/>
          </w:footnotePr>
          <w:pgSz w:w="11900" w:h="16840"/>
          <w:pgMar w:top="1515" w:right="1298" w:bottom="1462" w:left="900" w:header="0" w:footer="3" w:gutter="0"/>
          <w:pgNumType w:start="96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КР — клинические рекомендации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1" w:after="11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486" w:right="0" w:bottom="1462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237490" distB="254635" distL="114300" distR="3094990" simplePos="0" relativeHeight="125829378" behindDoc="0" locked="0" layoutInCell="1" allowOverlap="1">
                <wp:simplePos x="0" y="0"/>
                <wp:positionH relativeFrom="page">
                  <wp:posOffset>577850</wp:posOffset>
                </wp:positionH>
                <wp:positionV relativeFrom="paragraph">
                  <wp:posOffset>3849370</wp:posOffset>
                </wp:positionV>
                <wp:extent cx="1280160" cy="146050"/>
                <wp:wrapTopAndBottom/>
                <wp:docPr id="8" name="Shape 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280160" cy="14605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© Коллектив авторов, 2017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45.5pt;margin-top:303.10000000000002pt;width:100.8pt;height:11.5pt;z-index:-125829375;mso-wrap-distance-left:9.pt;mso-wrap-distance-top:18.699999999999999pt;mso-wrap-distance-right:243.70000000000002pt;mso-wrap-distance-bottom:20.050000000000001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pBdr>
                          <w:top w:val="single" w:sz="4" w:space="0" w:color="auto"/>
                        </w:pBdr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© Коллектив авторов, 2017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28600" distB="254000" distL="3244850" distR="113665" simplePos="0" relativeHeight="125829380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3840480</wp:posOffset>
                </wp:positionV>
                <wp:extent cx="1130935" cy="155575"/>
                <wp:wrapTopAndBottom/>
                <wp:docPr id="10" name="Shape 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130935" cy="1555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 xml:space="preserve">e-mail: </w:t>
                            </w:r>
                            <w:r>
                              <w:fldChar w:fldCharType="begin"/>
                            </w:r>
                            <w:r>
                              <w:rPr/>
                              <w:instrText> HYPERLINK "mailto:stanyashin@nsi.ru"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stanyashin@nsi.ru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292.pt;margin-top:302.40000000000003pt;width:89.049999999999997pt;height:12.25pt;z-index:-125829373;mso-wrap-distance-left:255.5pt;mso-wrap-distance-top:18.pt;mso-wrap-distance-right:8.9500000000000011pt;mso-wrap-distance-bottom:20.pt;mso-position-horizontal-relative:page" filled="f" stroked="f">
                <v:textbox inset="0,0,0,0">
                  <w:txbxContent>
                    <w:p>
                      <w:pPr>
                        <w:pStyle w:val="Style11"/>
                        <w:keepNext w:val="0"/>
                        <w:keepLines w:val="0"/>
                        <w:widowControl w:val="0"/>
                        <w:pBdr>
                          <w:top w:val="single" w:sz="4" w:space="0" w:color="auto"/>
                        </w:pBdr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17"/>
                          <w:szCs w:val="17"/>
                          <w:shd w:val="clear" w:color="auto" w:fill="auto"/>
                          <w:lang w:val="en-US" w:eastAsia="en-US" w:bidi="en-US"/>
                        </w:rPr>
                        <w:t xml:space="preserve">e-mail: </w:t>
                      </w:r>
                      <w:r>
                        <w:fldChar w:fldCharType="begin"/>
                      </w:r>
                      <w:r>
                        <w:rPr/>
                        <w:instrText> HYPERLINK "mailto:stanyashin@nsi.ru" </w:instrText>
                      </w:r>
                      <w:r>
                        <w:fldChar w:fldCharType="separate"/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17"/>
                          <w:szCs w:val="17"/>
                          <w:shd w:val="clear" w:color="auto" w:fill="auto"/>
                          <w:lang w:val="en-US" w:eastAsia="en-US" w:bidi="en-US"/>
                        </w:rPr>
                        <w:t>stanyashin@nsi.ru</w: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Клинические рекомендации (КР) — это акту</w:t>
        <w:softHyphen/>
        <w:t>альные систематически разработанные положения, созданные для того, чтобы помочь врачу в принятии решений относительно врачебной тактики в опре</w:t>
        <w:softHyphen/>
        <w:t>деленных клинических ситуациях, они содержат установки по проведению диагностических и скри- нирующих тестов, по объему медицинской и хирур</w:t>
        <w:softHyphen/>
        <w:t>гической помощи и по другим аспектам клиниче</w:t>
        <w:softHyphen/>
        <w:t>ской практики [1].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Цель составления КР — попытка в определен</w:t>
        <w:softHyphen/>
        <w:t>ной степени стандартизировать практические во</w:t>
        <w:softHyphen/>
        <w:t>просы диагностики и лечения заболеваний по всем разделам медицины, в том числе по нейрохирургии.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КР включают методы диагностики и лечения профильных заболеваний, уровни доказательности основных положений, лекарственные препараты с обозначением международного непатентованного названия, оценку информационных ресурсов, ис</w:t>
        <w:softHyphen/>
        <w:t>пользованных для разработки документа. Все ос</w:t>
        <w:softHyphen/>
        <w:t>новные разделы КР («Общие сведения», «Диагно</w:t>
        <w:softHyphen/>
        <w:t>стика», «Лечение») должны содержать уровни до</w:t>
        <w:softHyphen/>
        <w:t>казательности приводимых в данном разделе поло</w:t>
        <w:softHyphen/>
        <w:t>жений.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КР могут использоваться различные шкалы уровней доказательности, например критерии, ос</w:t>
        <w:softHyphen/>
        <w:t>нованные на шкале уровней (категорий) доказа</w:t>
        <w:softHyphen/>
        <w:t>тельности Оксфордского центра доказательной ме</w:t>
        <w:softHyphen/>
        <w:t>дицины. По рекомендации Ассоциации нейрохи</w:t>
        <w:softHyphen/>
        <w:t>рургов России в КР нейрохирургического профиля используется шкала «Стандарты — рекомендации — опции», в которой «стандарт» соответствует уров</w:t>
        <w:softHyphen/>
        <w:t>ню доказательности класса А, «рекомендация» — уровню доказательности класса В и С, «опция» — уровню доказательности класса С.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Стандарты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общепризнанные принципы диа</w:t>
        <w:softHyphen/>
        <w:t>гностики и лечения, которые рассматриваются как обязательная лечебная тактика. Большей частью это данные, подтвержденные наиболее доказательными исследованиями (1—2-го класса) — мультицентро</w:t>
        <w:softHyphen/>
        <w:t>выми проспективными рандомизированными либо результатами независимых крупных нерандомизи</w:t>
        <w:softHyphen/>
        <w:t>рованных проспективных или ретроспективных ис</w:t>
        <w:softHyphen/>
        <w:t>следований, выводы которых совпадают.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Рекомендации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лечебные и диагностические мероприятия, рекомендованные к использованию большинством экспертов в данной области, рассмат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риваемые как варианты выбора лечения в конкрет</w:t>
        <w:softHyphen/>
        <w:t>ных клинических ситуациях. Эффективность реко</w:t>
        <w:softHyphen/>
        <w:t>мендаций показана в исследованиях 2-го и реже 3-го класса доказательности, т.е. в проспективных неран</w:t>
        <w:softHyphen/>
        <w:t>домизированных и крупных ретроспективных ис</w:t>
        <w:softHyphen/>
        <w:t>следованиях. Для перехода этих положений в разряд стандартов необходимо их подтверждение в про</w:t>
        <w:softHyphen/>
        <w:t>спективных рандомизированных исследованиях.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Опции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основанные на небольших исследова</w:t>
        <w:softHyphen/>
        <w:t>тельских работах 3-го класса доказательности вари</w:t>
        <w:softHyphen/>
        <w:t>анты выбора, предлагаемые, но необязательные для исполнения, представляют, главным образом, мне</w:t>
        <w:softHyphen/>
        <w:t>ние отдельных авторитетных в тех или иных вопро</w:t>
        <w:softHyphen/>
        <w:t>сах экспертов или экспертных групп.</w:t>
      </w:r>
    </w:p>
    <w:p>
      <w:pPr>
        <w:pStyle w:val="Style2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630" w:val="left"/>
        </w:tabs>
        <w:bidi w:val="0"/>
        <w:spacing w:before="0" w:after="8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Синдромы компрессии черепных нервов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Невралгия тройничного нерва (НТН), или триге</w:t>
        <w:softHyphen/>
        <w:t xml:space="preserve">минальная невралгия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[G50.00, G53.80]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заболева</w:t>
        <w:softHyphen/>
        <w:t>ние, которое проявляется в основном в возрасте старше 50 лет, характеризуется внезапными, мучи</w:t>
        <w:softHyphen/>
        <w:t>тельными болями в зоне иннервации тройничного нерва. Встречаемость: у 3—4 человек на 100 000 на</w:t>
        <w:softHyphen/>
        <w:t>селения, в 1,5 раза чаще — у женщин [2].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Гемифациальный спазм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(лицевой гемиспазм, бо</w:t>
        <w:softHyphen/>
        <w:t xml:space="preserve">лезнь Бриссо)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[G51.30]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непроизвольные сокра</w:t>
        <w:softHyphen/>
        <w:t>щения мышц половины лица, вызванные компрес</w:t>
        <w:softHyphen/>
        <w:t>сией корешка лицевого нерва в зоне его выхода из ствола головного мозга.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Встречаемость: 0,8 случая на 100 000 населения в год. Возникает гемифациальный спазм чаще у жен</w:t>
        <w:softHyphen/>
        <w:t>щин пожилого возраста.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Невралгия языкоглоточного нерва (НЯН)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[G52.10]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встречается редко (в 70 раз реже, чем НТН).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Этиология и патогенез.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Основной причиной воз</w:t>
        <w:softHyphen/>
        <w:t>никновения истинной НТН является компрессия корешка тройничного нерва непосредственно у ствола головного мозга. Компрессия нерва в боль</w:t>
        <w:softHyphen/>
        <w:t>шинстве случаев вызывается артериальными и реже венозными сосудами [3—5]. Причиной симптома</w:t>
        <w:softHyphen/>
        <w:t>тической НТН могут быть опухоли (менингиома, невринома, дермоидная киста), сосудистые маль</w:t>
        <w:softHyphen/>
        <w:t>формации этой области.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Существует несколько предположений, объяс</w:t>
        <w:softHyphen/>
        <w:t xml:space="preserve">няющих, почему компрессия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V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нерва около ствола мозга приводит к развитию тригеминальных болей. Гипотеза центрального происхождения боли оцени</w:t>
        <w:softHyphen/>
        <w:t>вает НТН как подобие фокальной эпилепсии, к ко</w:t>
        <w:softHyphen/>
        <w:t>торой приводит раздражение ядер тройничного нер</w:t>
        <w:softHyphen/>
        <w:t>ва. «Периферическая» гипотеза рассматривает при</w:t>
        <w:softHyphen/>
        <w:t>ступы боли, как следствие, демиелинизации кореш</w:t>
        <w:softHyphen/>
        <w:t>ка нерва в зоне нейроваскулярного конфликта и повышенной его чувствительности к механическо</w:t>
        <w:softHyphen/>
        <w:t>му давлению.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Наиболее адекватной является гипотеза о том, что на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этапе заболевания, вследствие постоянного раздражения чувствительной порции корешка трой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ничного нерва, в месте ее вхождения в ствол голов</w:t>
        <w:softHyphen/>
        <w:t>ного мозга пульсирующим сосудом развивается де</w:t>
        <w:softHyphen/>
        <w:t>миелинизация нерва. В последующем постоянное раздражение тройничного нерва приводит к форми</w:t>
        <w:softHyphen/>
        <w:t>рованию в головном мозге «болевой системы» с низ</w:t>
        <w:softHyphen/>
        <w:t>ким порогом возбудимости [3, 4].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Основной причиной гемифациального спазма является компрессия лицевого нерва артерией, наи</w:t>
        <w:softHyphen/>
        <w:t>более часто — передней нижней мозжечковой арте</w:t>
        <w:softHyphen/>
        <w:t>рией, которая в ряде случаев проходит между слухо</w:t>
        <w:softHyphen/>
        <w:t>вым и лицевым нервами в непосредственной близо</w:t>
        <w:softHyphen/>
        <w:t>сти от ствола головного мозга. Реже сосудистую компрессию вызывают дистопированные верте</w:t>
        <w:softHyphen/>
        <w:t>бральная, основная, задняя нижняя мозжечковая артерии [6].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НЯН причиной болей становится сдавле</w:t>
        <w:softHyphen/>
        <w:t>ние корешка языкоглоточного нерва артериальным или венозным сосудом в непосредственной близо</w:t>
        <w:softHyphen/>
        <w:t>сти от ствола головного мозга [7].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36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Клиническая картина васкулярных компрессий черепных нервов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выраженности болевого синдрома при НТН используют следующие шкалы: вербаль</w:t>
        <w:softHyphen/>
        <w:t xml:space="preserve">ную описательную шкалу оценки боли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(Verbal De</w:t>
        <w:softHyphen/>
        <w:t xml:space="preserve">scriptor Scale),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модифицированную лицевую шкалу боли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(Faces Pain Scale),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 также визуальную аналого</w:t>
        <w:softHyphen/>
        <w:t xml:space="preserve">вую шкалу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(Visual Analogue Scale).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установления диагноза НТН используются диагностические критерии Международного обще</w:t>
        <w:softHyphen/>
        <w:t xml:space="preserve">ства головной боли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(IHS, ICHD-II)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[2].</w:t>
      </w:r>
    </w:p>
    <w:p>
      <w:pPr>
        <w:pStyle w:val="Style2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639" w:val="left"/>
        </w:tabs>
        <w:bidi w:val="0"/>
        <w:spacing w:before="0" w:after="20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Диагностика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Инструментальная диагностика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Во всех случаях подтверждением нейроваску</w:t>
        <w:softHyphen/>
        <w:t>лярного конфликта служит МРТ с Т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2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-взвешенными изображениями. МРТ в режимах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FIESTA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(более ранняя версия —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DRIVE),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 также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3D-T2-FSE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трехмерная взвешенная по Т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2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быстрое спин-эхо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(ре</w:t>
        <w:softHyphen/>
        <w:t>комендация)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При симптоматической НТН в зависи</w:t>
        <w:softHyphen/>
        <w:t>мости от вида и локализации васкулярного кон</w:t>
        <w:softHyphen/>
        <w:t>фликта проведение МРТ преследует различные це</w:t>
        <w:softHyphen/>
        <w:t>ли.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идиопатической НТН, гемифациальном спазме и НЯН МРТ обеспечивает визуализацию то</w:t>
        <w:softHyphen/>
        <w:t>пографии цистернальной части корешков тройнич</w:t>
        <w:softHyphen/>
        <w:t>ного, лицевого и языкоглоточного нервов и в пода</w:t>
        <w:softHyphen/>
        <w:t>вляющем большинстве случаев визуализирует вид и расположение компримирующего сосуда.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этом во всех случаях васкулярных конфлик</w:t>
        <w:softHyphen/>
        <w:t>тов и в первую очередь в случаях симптоматической НТН, МРТ необходима для исключения или под</w:t>
        <w:softHyphen/>
        <w:t>тверждения локализации и вида объемного образо</w:t>
        <w:softHyphen/>
        <w:t>вания, как одной из возможных причин невралгии. Так, у 15% пациентов с классической НТН МРТ вы</w:t>
        <w:softHyphen/>
        <w:t xml:space="preserve">являет причину, отличную от нейроваскулярного конфликта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649" w:val="left"/>
        </w:tabs>
        <w:bidi w:val="0"/>
        <w:spacing w:before="0" w:after="180" w:line="240" w:lineRule="auto"/>
        <w:ind w:left="36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Формулировка диагноза и составление плана лечебных мероприятий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Классическая невралгия тройничного нерва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Стандарт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постановки диагноза предполагает на</w:t>
        <w:softHyphen/>
        <w:t>личие четырех критериев.</w:t>
      </w:r>
    </w:p>
    <w:p>
      <w:pPr>
        <w:pStyle w:val="Style2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2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Боли протекают в виде приступов, длящихся от нескольких секунд до 2 мин в областях лица, со</w:t>
        <w:softHyphen/>
        <w:t>ответствующих зонам иннервации тройничного не</w:t>
        <w:softHyphen/>
        <w:t>рва.</w:t>
      </w:r>
    </w:p>
    <w:p>
      <w:pPr>
        <w:pStyle w:val="Style2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15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своему характеру боли внезапные, интен</w:t>
        <w:softHyphen/>
        <w:t>сивные, острые, похожие на «разряд тока», вызыва</w:t>
        <w:softHyphen/>
        <w:t>ются раздражением различных зон лица и полости рта при еде, разговоре, умывании, чистке зубов.</w:t>
      </w:r>
    </w:p>
    <w:p>
      <w:pPr>
        <w:pStyle w:val="Style2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15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Приступы болей стереотипны для каждого па</w:t>
        <w:softHyphen/>
        <w:t>циента.</w:t>
      </w:r>
    </w:p>
    <w:p>
      <w:pPr>
        <w:pStyle w:val="Style2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2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межприступный период отсутствует невро</w:t>
        <w:softHyphen/>
        <w:t>логическая симптоматика.</w:t>
      </w:r>
    </w:p>
    <w:p>
      <w:pPr>
        <w:pStyle w:val="Style2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1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Прием карбамазепина вызывает ослабление болей в дебюте заболевания.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Основным критерием для постановки диагноза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симптоматической НТН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[G53.80]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является наличие органического поражения (опухоль, мальформация, эпидермоидная киста, рассеянный склероз), вери</w:t>
        <w:softHyphen/>
        <w:t xml:space="preserve">фицированного по данным МРТ и при оперативном вмешательстве в области задней черепной ямки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Наиболее эффективным подходом к дифферен</w:t>
        <w:softHyphen/>
        <w:t>циальному диагнозу между классической НТН и симптоматической НТН является исследование рефлексов тройничного нерва — стволовых вызван</w:t>
        <w:softHyphen/>
        <w:t xml:space="preserve">ных потенциалов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(рекомендация)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Клинический симптомокомплекс односторон</w:t>
        <w:softHyphen/>
        <w:t>ней гиперактивной дисфункции лицевого нерва вы</w:t>
        <w:softHyphen/>
        <w:t>ражен непроизвольными сокращениями мышц по</w:t>
        <w:softHyphen/>
        <w:t>ловины лица. Частота приступов и их выраженность крайне вариабельны, но, как правило, стереотипны для конкретного пациента.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Диагноз гемифациального спазма ставится на основании клинической картины заболевания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Клинические проявления НЯН: острая присту</w:t>
        <w:softHyphen/>
        <w:t>пообразная боль, начинающаяся в корне языка или в миндалине и распространяющаяся на небную за</w:t>
        <w:softHyphen/>
        <w:t>навеску, глотку, иррадиирующая в ухо, в нижнюю челюсть, в шею. Приступы боли могут провоциро</w:t>
        <w:softHyphen/>
        <w:t>ваться движениями языка, глотанием, особенно при приеме горячей или холодной пищи. Болевой при</w:t>
        <w:softHyphen/>
        <w:t>ступ длится до 2 мин. По характеру болевые парок</w:t>
        <w:softHyphen/>
        <w:t>сизмы имеют большое сходство с болевыми присту</w:t>
        <w:softHyphen/>
        <w:t>пами при НТН; главное их отличие — иная зона рас</w:t>
        <w:softHyphen/>
        <w:t>пространения болевых ощущений.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Критерии для установления диагноза классиче</w:t>
        <w:softHyphen/>
        <w:t>ской ЯН [2, 5]: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Пароксизмы боли длятся до 2 мин и имеют следующие характеристики:</w:t>
      </w:r>
    </w:p>
    <w:p>
      <w:pPr>
        <w:pStyle w:val="Style26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39" w:val="left"/>
        </w:tabs>
        <w:bidi w:val="0"/>
        <w:spacing w:before="0" w:after="12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боль всегда односторонняя;</w:t>
      </w:r>
    </w:p>
    <w:p>
      <w:pPr>
        <w:pStyle w:val="Style26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3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распространяется в задней части языка, в об</w:t>
        <w:softHyphen/>
        <w:t>ласти миндалин, глотки, или ниже уровня угла че</w:t>
        <w:softHyphen/>
        <w:t>люсти, или в области уха;</w:t>
      </w:r>
    </w:p>
    <w:p>
      <w:pPr>
        <w:pStyle w:val="Style26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34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своему характеру боли внезапные, интен</w:t>
        <w:softHyphen/>
        <w:t>сивные, острые, похожие на разряд тока;</w:t>
      </w:r>
    </w:p>
    <w:p>
      <w:pPr>
        <w:pStyle w:val="Style26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34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вызываются проглатыванием, жеванием, раз</w:t>
        <w:softHyphen/>
        <w:t>говором, кашлем, зеванием.</w:t>
      </w:r>
    </w:p>
    <w:p>
      <w:pPr>
        <w:pStyle w:val="Style26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673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Приступы болей стереотипны для каждого пациента.</w:t>
      </w:r>
    </w:p>
    <w:p>
      <w:pPr>
        <w:pStyle w:val="Style26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75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межприступный период отсутствует не</w:t>
        <w:softHyphen/>
        <w:t>врологическая симптоматика.</w:t>
      </w:r>
    </w:p>
    <w:p>
      <w:pPr>
        <w:pStyle w:val="Style26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721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Боли не связаны с другим заболеванием (ор</w:t>
        <w:softHyphen/>
        <w:t>ганическим поражением).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Диагноз НЯН ставится на основании клиниче</w:t>
        <w:softHyphen/>
        <w:t xml:space="preserve">ской картины заболевания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4. Лечение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Консервативная терапия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Лечение НТН и НЯН всегда начинается с кон</w:t>
        <w:softHyphen/>
        <w:t>сервативной терапии, основой которой являются препараты карбамазепина. Его применение в дебю</w:t>
        <w:softHyphen/>
        <w:t>те истинной НТН приводит к регрессу болевого синдрома у 90% больных [8]. При этом чувствитель</w:t>
        <w:softHyphen/>
        <w:t>ность пациентов к различным модификациям кар</w:t>
        <w:softHyphen/>
        <w:t>бамазепина вариабельна, поэтому относительная неэффективность одного препарата не говорит в пользу отказа от приема карбамазепина в других ва</w:t>
        <w:softHyphen/>
        <w:t xml:space="preserve">риантах и комбинациях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При адекватном подборе дозы и вида препарата карбамазепин может длительное время сдерживать прогрессию заболева</w:t>
        <w:softHyphen/>
        <w:t>ния или приводить к длительным ремиссиям.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протяжении лечения карбамазепином обяза</w:t>
        <w:softHyphen/>
        <w:t xml:space="preserve">телен контроль накопления карбамазепина в крови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осуществляемый не реже 1 раза в 3 мес. Однако на фоне длительного применения эффек</w:t>
        <w:softHyphen/>
        <w:t>тивность карбамазепина рано или поздно снижает</w:t>
        <w:softHyphen/>
        <w:t>ся, могут развиваться токсические поражения пече</w:t>
        <w:softHyphen/>
        <w:t>ни, почек, изменения клеточного состава крови, поэтому консервативная терапия при НТН и НЯН может рассматриваться только как временная, пал</w:t>
        <w:softHyphen/>
        <w:t xml:space="preserve">лиативная лечебная методика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Эффективность лекарственной терапии при ге</w:t>
        <w:softHyphen/>
        <w:t>мифациальном спазме крайне низкая. Более эффек</w:t>
        <w:softHyphen/>
        <w:t>тивной методикой являются избирательные инъек</w:t>
        <w:softHyphen/>
        <w:t>ции ботулотоксина в мимические мышцы на стороне поражения, что ведет к парезу соответствующих мышц и на определенный период, зачастую длитель</w:t>
        <w:softHyphen/>
        <w:t>ный (до 5—12 мес), устраняет симптомы заболева</w:t>
        <w:softHyphen/>
        <w:t xml:space="preserve">ния. Поэтому данный вид лечения может считаться адекватным на ранних стадиях заболевания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Хирургическое лечение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Васкулярная декомпрессия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Среди всех методов лечения НТН, гемифациального спазма, НЯН ва</w:t>
        <w:softHyphen/>
        <w:t>скулярная декомпрессия черепных нервов как един</w:t>
        <w:softHyphen/>
        <w:t xml:space="preserve">ственная патогенетически обоснованная является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методом выбора [8] при всех видах васкулярной компрессии черепных нервов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Показанием к хирургической васкулярной де</w:t>
        <w:softHyphen/>
        <w:t>компрессии служат идиопатическая НТН, гемифа</w:t>
        <w:softHyphen/>
        <w:t xml:space="preserve">циальный спазм, НЯН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Противопоказания к хирургической васкуляр</w:t>
        <w:softHyphen/>
        <w:t>ной декомпресии: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тяжелая сопутствующая патология, препят</w:t>
        <w:softHyphen/>
        <w:t>ствующая проведению нейрохирургической опера</w:t>
        <w:softHyphen/>
        <w:t>ции;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4" w:val="left"/>
        </w:tabs>
        <w:bidi w:val="0"/>
        <w:spacing w:before="0" w:after="12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отказ пациента от хирургического вмешатель</w:t>
        <w:softHyphen/>
        <w:t>ства.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Оснащение операционной и подготовка персонала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всех операциях удаления неврином слухо</w:t>
        <w:softHyphen/>
        <w:t>вого нерва должны быть соблюдены обязательные условия: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7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оснащение операционной;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7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применение интраоперационных технологий;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7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достаточный уровень подготовки хирурга.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Стандартом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оснащения операционной на сегод</w:t>
        <w:softHyphen/>
        <w:t>няшний день является: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7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операционный микроскоп;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7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микрохирургический инструментарий;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высокоскоростные (электрические или пнев</w:t>
        <w:softHyphen/>
        <w:t>матические дрели) с наличием алмазных фрез;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монитор для интраоперационной идентифи</w:t>
        <w:softHyphen/>
        <w:t>кации лицевого нерва;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комплексы контроля стволовых вызванных слуховых потенциалов, потенциала действия слухо</w:t>
        <w:softHyphen/>
        <w:t>вых нервов;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703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использование интраоперационных техно</w:t>
        <w:softHyphen/>
        <w:t>логий;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костно-пластическая трепанация кости чере</w:t>
        <w:softHyphen/>
        <w:t>па (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7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эндоскопическая ассистенция (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703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нейромониторинг корешков лицевого и слу</w:t>
        <w:softHyphen/>
        <w:t>хового нервов (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70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герметизация ТМО (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стандарт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применение фибрин-тромбинового клея (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</w:t>
        <w:softHyphen/>
        <w:t>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);</w:t>
      </w:r>
    </w:p>
    <w:p>
      <w:pPr>
        <w:pStyle w:val="Style2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699" w:val="left"/>
        </w:tabs>
        <w:bidi w:val="0"/>
        <w:spacing w:before="0" w:after="20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герметизация воздухоносных ячеек сосцевид</w:t>
        <w:softHyphen/>
        <w:t>ного отростка при помощи аутотрансплантатов и/ или искусственных биодеградирующих материалов (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Подготовка персонала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данным проведенного в 2012 г. в США мета</w:t>
        <w:softHyphen/>
        <w:t>анализа, квалификация хирурга, выполняющего конкретную операцию, а также количество пациен</w:t>
        <w:softHyphen/>
        <w:t>тов с конкретной патологией, обращающихся в ней</w:t>
        <w:softHyphen/>
        <w:t>рохирургический стационар в течение года, являют</w:t>
        <w:softHyphen/>
        <w:t>ся основными факторами, достоверно влияющими на длительность пребывания пациента на стацио</w:t>
        <w:softHyphen/>
        <w:t>нарной койке и исход лечения. Поэтому проведение хирургической васкулярной декомпрессии необхо</w:t>
        <w:softHyphen/>
        <w:t xml:space="preserve">димо осуществлять в крупных клиниках, которые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могут обеспечить ежегодное количество данного ви</w:t>
        <w:softHyphen/>
        <w:t xml:space="preserve">да операций не менее 50 в год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а уровень ква</w:t>
        <w:softHyphen/>
        <w:t>лификации персонала, в первую очередь ведущего хирурга, должен основываться на не менее чем 3-летней специальной подготовке в клинике (отде</w:t>
        <w:softHyphen/>
        <w:t>лении), специализирующейся на данном виде опе</w:t>
        <w:softHyphen/>
        <w:t xml:space="preserve">раций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Операция проводится под эндотрахеальным наркозом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Основной целью операции является механиче</w:t>
        <w:softHyphen/>
        <w:t xml:space="preserve">ское разъединение корешка пораженного нерва и компримирующего сосуда с имплантацией между ними демпфирующей прокладки из искусственного имплантата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Ввиду того что основной областью хирургиче</w:t>
        <w:softHyphen/>
        <w:t>ских манипуляций является понтомедуллярная ци</w:t>
        <w:softHyphen/>
        <w:t xml:space="preserve">стерна, где на разных уровнях располагаются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V—XII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черепные нервы и где будет проводиться васкуляр</w:t>
        <w:softHyphen/>
        <w:t xml:space="preserve">ная декомпрессия соответствующего заболеванию нерва, основным хирургическим доступом служит ретросигмовидный субокципитальный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(рекоменда</w:t>
        <w:softHyphen/>
        <w:t>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Операция проводится в положении «полусидя» или «лежа» на операционном столе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При этом лежачее положение предпочтительно, так как оно позволяет сократить объем наиболее частых ин</w:t>
        <w:softHyphen/>
        <w:t>траоперационных осложнений — воздушной эмбо</w:t>
        <w:softHyphen/>
        <w:t>лии и пневмоцефалии.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Пациент лежит на операционном столе на спи</w:t>
        <w:softHyphen/>
        <w:t>не, его голова расположена на подголовнике. Под плечом больного на стороне операции укладывается валик, обеспечивающий наклон туловища 30°. В та</w:t>
        <w:softHyphen/>
        <w:t>ком положении голова пациента фиксируется в ме</w:t>
        <w:softHyphen/>
        <w:t>таллической скобе и поворачивается на 30° в проти</w:t>
        <w:softHyphen/>
        <w:t xml:space="preserve">воположную от патологического процесса сторону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c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максимально возможным наклоном вперед. Луч</w:t>
        <w:softHyphen/>
        <w:t>ший обзор достигается при положении сагиттально</w:t>
        <w:softHyphen/>
        <w:t xml:space="preserve">го шва параллельно полу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Ретросигмовидный субокципитальный доступ производится в шейно-затылочной области ниже верхней выйной линии. Кожный разрез проводится параллельно ушной раковине таким образом, что верхняя его треть располагается выше линии проек</w:t>
        <w:softHyphen/>
        <w:t>ции поперечного синуса, а нижняя треть — ниже уровня вырезки сосцевидного отростка. После рас</w:t>
        <w:softHyphen/>
        <w:t>сечения мягких тканей и скелетирования затылоч</w:t>
        <w:softHyphen/>
        <w:t xml:space="preserve">ной кости накладывается фрезевое отверстие на 5 мм ниже астериона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Оптимальной является костно-пластическая трепанация с формированием трепанационного ок</w:t>
        <w:softHyphen/>
        <w:t>на размером не более 20 мм в диаметре. В случае не</w:t>
        <w:softHyphen/>
        <w:t xml:space="preserve">возможности формирования костного лоскута и осуществления резекционной трепанации костный дефект в конце операции закрывается титановой пластиной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зависимости от того, какой нерв компримиро</w:t>
        <w:softHyphen/>
        <w:t>ван, используются различные варианты формирова-</w:t>
      </w:r>
      <w:r>
        <w:br w:type="page"/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mc:AlternateContent>
          <mc:Choice Requires="wps">
            <w:drawing>
              <wp:anchor distT="189230" distB="558800" distL="120650" distR="114300" simplePos="0" relativeHeight="125829382" behindDoc="0" locked="0" layoutInCell="1" allowOverlap="1">
                <wp:simplePos x="0" y="0"/>
                <wp:positionH relativeFrom="page">
                  <wp:posOffset>698500</wp:posOffset>
                </wp:positionH>
                <wp:positionV relativeFrom="margin">
                  <wp:posOffset>207645</wp:posOffset>
                </wp:positionV>
                <wp:extent cx="6123305" cy="5492750"/>
                <wp:wrapTopAndBottom/>
                <wp:docPr id="12" name="Shape 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6123305" cy="5492750"/>
                        </a:xfrm>
                        <a:prstGeom prst="rect"/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jc w:val="left"/>
                              <w:tblLayout w:type="fixed"/>
                            </w:tblPr>
                            <w:tblGrid>
                              <w:gridCol w:w="859"/>
                              <w:gridCol w:w="5198"/>
                              <w:gridCol w:w="1555"/>
                              <w:gridCol w:w="2030"/>
                            </w:tblGrid>
                            <w:tr>
                              <w:trPr>
                                <w:tblHeader/>
                                <w:trHeight w:val="422" w:hRule="exact"/>
                              </w:trPr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4AF"/>
                                  <w:vAlign w:val="center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№ п/п</w:t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4AF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Уро</w:t>
                                  </w:r>
                                </w:p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180" w:lineRule="auto"/>
                                    <w:ind w:left="172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Критерии качества</w:t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4AF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вень достоверности доказательств</w:t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4AF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Уровень убедительности рекомендаций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5" w:hRule="exact"/>
                              </w:trPr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296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Этап постановки диагноза</w:t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>
                                    <w:top w:val="single" w:sz="4"/>
                                  </w:tcBorders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0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 неврологический осмотр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6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 оториноларингологический осмотр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6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Выполнена МРТ головного мозга с контрастным усилением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 xml:space="preserve">Выполнена МРТ головного мозга в режиме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FIESTA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0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296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Этап лечения. Наблюдение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27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Выполнена консультация нейрохирурга (обследования с ин</w:t>
                                    <w:softHyphen/>
                                    <w:t>тервалом 6, 12, 24 мес)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18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 контроль уровня накопления крабамазепина в кро</w:t>
                                    <w:softHyphen/>
                                    <w:t>ви (не реже 1 раза в 3 мес)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gridSpan w:val="2"/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258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Этап лечения. Хирургическое лечение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06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 общий анализ крови с подсчетом лейкоцитарной формулы, биохимический анализ крови (мочевина, креати</w:t>
                                    <w:softHyphen/>
                                    <w:t>нин, общий белок, альбумин, общий билирубин, АЛТ, АСТ, ЛДГ, натрий, калий, хлор), общий анализ мочи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 xml:space="preserve">Выполнены анализы на особо опасные инфекции —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 xml:space="preserve">RW,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ан</w:t>
                                    <w:softHyphen/>
                                    <w:t>титела к вирусам гепатита В и С, ВИЧ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Выполнены анализы свертывающей системы крови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Выполнена специализированная предоперационная подго-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3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Опция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87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товка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35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Операция выполнена в специализированной операционной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6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Операция выполнена микрохирургическим методом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en-US" w:eastAsia="en-US" w:bidi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6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Выполнена костно-пластическая трепанация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Рекомендация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22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Операция выполнена с использованием эндоскопической ас</w:t>
                                    <w:softHyphen/>
                                    <w:t>систенции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3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Опция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14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Операция выполнена с использованием интраоперационного нейрофизиологического мониторинга функции черепных не</w:t>
                                    <w:softHyphen/>
                                    <w:t>рвов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3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Опция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6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Выполнено разобщение нейроваскулярного конфликта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6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Выполнена герметизация ТМО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Рекомендация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0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Отсутствие послеоперационной ликвореи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Рекомендация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Этап лечения. Лучевое лечение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30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14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Выполнено радиохирургическое лечение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Рекомендация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Этап постлечебного наблюдения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27" w:hRule="exact"/>
                              </w:trPr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bottom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Выполнена консультация нейрохирурга (обследования с ин</w:t>
                                    <w:softHyphen/>
                                    <w:t>тервалом 6, 12, 24 мес)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/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exact"/>
                              </w:trPr>
                              <w:tc>
                                <w:tcPr>
                                  <w:tcBorders>
                                    <w:bottom w:val="single" w:sz="4"/>
                                  </w:tcBorders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bottom w:val="single" w:sz="4"/>
                                  </w:tcBorders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140" w:right="0" w:firstLine="0"/>
                                    <w:jc w:val="lef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Отсутствует необходимость противоболевой терапии</w:t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bottom w:val="single" w:sz="4"/>
                                  </w:tcBorders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220"/>
                                    <w:jc w:val="both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Стандарт</w:t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bottom w:val="single" w:sz="4"/>
                                  </w:tcBorders>
                                  <w:shd w:val="clear" w:color="auto" w:fill="FFEFCE"/>
                                  <w:vAlign w:val="top"/>
                                </w:tcPr>
                                <w:p>
                                  <w:pPr>
                                    <w:pStyle w:val="Style11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w w:val="100"/>
                                      <w:position w:val="0"/>
                                      <w:sz w:val="17"/>
                                      <w:szCs w:val="17"/>
                                      <w:shd w:val="clear" w:color="auto" w:fill="auto"/>
                                      <w:lang w:val="ru-RU" w:eastAsia="ru-RU" w:bidi="ru-RU"/>
                                    </w:rPr>
                                    <w:t>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idowControl w:val="0"/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55.pt;margin-top:16.350000000000001pt;width:482.15000000000003pt;height:432.5pt;z-index:-125829371;mso-wrap-distance-left:9.5pt;mso-wrap-distance-top:14.9pt;mso-wrap-distance-right:9.pt;mso-wrap-distance-bottom:44.pt;mso-position-horizontal-relative:page;mso-position-vertical-relative:margin" filled="f" stroked="f">
                <v:textbox inset="0,0,0,0">
                  <w:txbxContent>
                    <w:tbl>
                      <w:tblPr>
                        <w:tblOverlap w:val="never"/>
                        <w:jc w:val="left"/>
                        <w:tblLayout w:type="fixed"/>
                      </w:tblPr>
                      <w:tblGrid>
                        <w:gridCol w:w="859"/>
                        <w:gridCol w:w="5198"/>
                        <w:gridCol w:w="1555"/>
                        <w:gridCol w:w="2030"/>
                      </w:tblGrid>
                      <w:tr>
                        <w:trPr>
                          <w:tblHeader/>
                          <w:trHeight w:val="422" w:hRule="exact"/>
                        </w:trPr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4AF"/>
                            <w:vAlign w:val="center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№ п/п</w:t>
                            </w:r>
                          </w:p>
                        </w:tc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4AF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Уро</w:t>
                            </w:r>
                          </w:p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180" w:lineRule="auto"/>
                              <w:ind w:left="172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Критерии качества</w:t>
                            </w:r>
                          </w:p>
                        </w:tc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4AF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вень достоверности доказательств</w:t>
                            </w:r>
                          </w:p>
                        </w:tc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4AF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Уровень убедительности рекомендаций</w:t>
                            </w:r>
                          </w:p>
                        </w:tc>
                      </w:tr>
                      <w:tr>
                        <w:trPr>
                          <w:trHeight w:val="235" w:hRule="exact"/>
                        </w:trPr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296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Этап постановки диагноза</w:t>
                            </w:r>
                          </w:p>
                        </w:tc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>
                              <w:top w:val="single" w:sz="4"/>
                            </w:tcBorders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0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 неврологический осмотр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226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 оториноларингологический осмотр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</w:t>
                            </w:r>
                          </w:p>
                        </w:tc>
                      </w:tr>
                      <w:tr>
                        <w:trPr>
                          <w:trHeight w:val="226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Выполнена МРТ головного мозга с контрастным усилением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221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 xml:space="preserve">Выполнена МРТ головного мозга в режиме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FIESTA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</w:t>
                            </w:r>
                          </w:p>
                        </w:tc>
                      </w:tr>
                      <w:tr>
                        <w:trPr>
                          <w:trHeight w:val="230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296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Этап лечения. Наблюдение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27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Выполнена консультация нейрохирурга (обследования с ин</w:t>
                              <w:softHyphen/>
                              <w:t>тервалом 6, 12, 24 мес)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</w:t>
                            </w:r>
                          </w:p>
                        </w:tc>
                      </w:tr>
                      <w:tr>
                        <w:trPr>
                          <w:trHeight w:val="418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 контроль уровня накопления крабамазепина в кро</w:t>
                              <w:softHyphen/>
                              <w:t>ви (не реже 1 раза в 3 мес)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</w:t>
                            </w:r>
                          </w:p>
                        </w:tc>
                      </w:tr>
                      <w:tr>
                        <w:trPr>
                          <w:trHeight w:val="221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gridSpan w:val="2"/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258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Этап лечения. Хирургическое лечение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06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 общий анализ крови с подсчетом лейкоцитарной формулы, биохимический анализ крови (мочевина, креати</w:t>
                              <w:softHyphen/>
                              <w:t>нин, общий белок, альбумин, общий билирубин, АЛТ, АСТ, ЛДГ, натрий, калий, хлор), общий анализ мочи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514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 xml:space="preserve">Выполнены анализы на особо опасные инфекции —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 xml:space="preserve">RW,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ан</w:t>
                              <w:softHyphen/>
                              <w:t>титела к вирусам гепатита В и С, ВИЧ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331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Выполнены анализы свертывающей системы крови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221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Выполнена специализированная предоперационная подго-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3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Опция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187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товка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35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Операция выполнена в специализированной операционной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226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Операция выполнена микрохирургическим методом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en-US" w:eastAsia="en-US" w:bidi="en-US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226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Выполнена костно-пластическая трепанация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Рекомендация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</w:t>
                            </w:r>
                          </w:p>
                        </w:tc>
                      </w:tr>
                      <w:tr>
                        <w:trPr>
                          <w:trHeight w:val="422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Операция выполнена с использованием эндоскопической ас</w:t>
                              <w:softHyphen/>
                              <w:t>систенции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3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Опция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614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Операция выполнена с использованием интраоперационного нейрофизиологического мониторинга функции черепных не</w:t>
                              <w:softHyphen/>
                              <w:t>рвов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3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Опция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226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Выполнено разобщение нейроваскулярного конфликта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</w:t>
                            </w:r>
                          </w:p>
                        </w:tc>
                      </w:tr>
                      <w:tr>
                        <w:trPr>
                          <w:trHeight w:val="226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Выполнена герметизация ТМО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Рекомендация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</w:t>
                            </w:r>
                          </w:p>
                        </w:tc>
                      </w:tr>
                      <w:tr>
                        <w:trPr>
                          <w:trHeight w:val="230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Отсутствие послеоперационной ликвореи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Рекомендация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</w:t>
                            </w:r>
                          </w:p>
                        </w:tc>
                      </w:tr>
                      <w:tr>
                        <w:trPr>
                          <w:trHeight w:val="221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Этап лечения. Лучевое лечение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30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4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Выполнено радиохирургическое лечение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Рекомендация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</w:t>
                            </w:r>
                          </w:p>
                        </w:tc>
                      </w:tr>
                      <w:tr>
                        <w:trPr>
                          <w:trHeight w:val="221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Этап постлечебного наблюдения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widowControl w:val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27" w:hRule="exact"/>
                        </w:trPr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bottom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Выполнена консультация нейрохирурга (обследования с ин</w:t>
                              <w:softHyphen/>
                              <w:t>тервалом 6, 12, 24 мес)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/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</w:t>
                            </w:r>
                          </w:p>
                        </w:tc>
                      </w:tr>
                      <w:tr>
                        <w:trPr>
                          <w:trHeight w:val="221" w:hRule="exact"/>
                        </w:trPr>
                        <w:tc>
                          <w:tcPr>
                            <w:tcBorders>
                              <w:bottom w:val="single" w:sz="4"/>
                            </w:tcBorders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Borders>
                              <w:bottom w:val="single" w:sz="4"/>
                            </w:tcBorders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140" w:right="0" w:firstLine="0"/>
                              <w:jc w:val="lef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Отсутствует необходимость противоболевой терапии</w:t>
                            </w:r>
                          </w:p>
                        </w:tc>
                        <w:tc>
                          <w:tcPr>
                            <w:tcBorders>
                              <w:bottom w:val="single" w:sz="4"/>
                            </w:tcBorders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220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Стандарт</w:t>
                            </w:r>
                          </w:p>
                        </w:tc>
                        <w:tc>
                          <w:tcPr>
                            <w:tcBorders>
                              <w:bottom w:val="single" w:sz="4"/>
                            </w:tcBorders>
                            <w:shd w:val="clear" w:color="auto" w:fill="FFEFCE"/>
                            <w:vAlign w:val="top"/>
                          </w:tcPr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  <w:shd w:val="clear" w:color="auto" w:fill="auto"/>
                                <w:lang w:val="ru-RU" w:eastAsia="ru-RU" w:bidi="ru-RU"/>
                              </w:rPr>
                              <w:t>А</w:t>
                            </w:r>
                          </w:p>
                        </w:tc>
                      </w:tr>
                    </w:tbl>
                    <w:p>
                      <w:pPr>
                        <w:widowControl w:val="0"/>
                        <w:spacing w:line="1" w:lineRule="exact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6482" behindDoc="0" locked="0" layoutInCell="1" allowOverlap="1">
                <wp:simplePos x="0" y="0"/>
                <wp:positionH relativeFrom="page">
                  <wp:posOffset>692150</wp:posOffset>
                </wp:positionH>
                <wp:positionV relativeFrom="margin">
                  <wp:posOffset>18415</wp:posOffset>
                </wp:positionV>
                <wp:extent cx="2301240" cy="152400"/>
                <wp:wrapNone/>
                <wp:docPr id="14" name="Shape 1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01240" cy="1524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Критерии оценки качества медицинской помощи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54.5pt;margin-top:1.45pt;width:181.20000000000002pt;height:12.pt;z-index:251657729;mso-wrap-distance-left:0;mso-wrap-distance-right:0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Критерии оценки качества медицинской помощи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ния трепанационного окна. При васкулярной де</w:t>
        <w:softHyphen/>
        <w:t>компрессии по поводу НТН выполняется трепана</w:t>
        <w:softHyphen/>
        <w:t xml:space="preserve">ция размером 2*2 см с обязательным обнажением перехода сигмовидного синуса в поперечный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</w:t>
        <w:softHyphen/>
        <w:t>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При васкулярной декомпрессии лицевого нер</w:t>
        <w:softHyphen/>
        <w:t>ва размеры трепанационного окна расширяются вниз для лучшей визуализации акустико-фациаль</w:t>
        <w:softHyphen/>
        <w:t xml:space="preserve">ной группы нервов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При васкулярной де</w:t>
        <w:softHyphen/>
        <w:t>компрессии языкоглоточного нерва трепанацион</w:t>
        <w:softHyphen/>
        <w:t>ное окно формируется в затылочной кости над пере</w:t>
        <w:softHyphen/>
        <w:t xml:space="preserve">ходом ее вертикальной части в горизонтальную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</w:t>
        <w:softHyphen/>
        <w:t>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После вскрытия ТМО мозговое вещество геми</w:t>
        <w:softHyphen/>
        <w:t>сферы мозжечка смещается медиально и осущест</w:t>
        <w:softHyphen/>
        <w:t>вляется препаровка понтомедуллярной цистерны на уровне пораженного нерва. После обнаружения об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ласти нейроваскулярного конфликта артерия и ко</w:t>
        <w:softHyphen/>
        <w:t>решок нерва разделяются и между ними укладыва</w:t>
        <w:softHyphen/>
        <w:t xml:space="preserve">ется искусственный имплантат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В случае ис</w:t>
        <w:softHyphen/>
        <w:t xml:space="preserve">пользования протектора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(опция)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последний форми</w:t>
        <w:softHyphen/>
        <w:t>руется для наложения на компримирующий сосуд, но не на корешок нерва [9—11].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настоящее время при осуществлении васку</w:t>
        <w:softHyphen/>
        <w:t>лярной декомпрессии широко используется эндо</w:t>
        <w:softHyphen/>
        <w:t xml:space="preserve">скопическая ассистенция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позволяющая при уменьшении операционного поля значительно расширить область визуального контроля и мини</w:t>
        <w:softHyphen/>
        <w:t>мизировать количество «слепых» зон [11].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Операционное поле заполняется стерильным физиологическим раствором, и производится по</w:t>
        <w:softHyphen/>
        <w:t>слойная герметизация раны, включая ТМО, кост</w:t>
        <w:softHyphen/>
        <w:t xml:space="preserve">ный дефект и мягкие ткани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(стандарт)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Для гермети-</w:t>
      </w:r>
      <w:r>
        <w:br w:type="page"/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drawing>
          <wp:anchor distT="0" distB="544830" distL="114300" distR="114300" simplePos="0" relativeHeight="125829384" behindDoc="0" locked="0" layoutInCell="1" allowOverlap="1">
            <wp:simplePos x="0" y="0"/>
            <wp:positionH relativeFrom="page">
              <wp:posOffset>678180</wp:posOffset>
            </wp:positionH>
            <wp:positionV relativeFrom="margin">
              <wp:posOffset>30480</wp:posOffset>
            </wp:positionV>
            <wp:extent cx="6169025" cy="6285230"/>
            <wp:wrapTopAndBottom/>
            <wp:docPr id="16" name="Shape 1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box 1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6169025" cy="628523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4" behindDoc="0" locked="0" layoutInCell="1" allowOverlap="1">
                <wp:simplePos x="0" y="0"/>
                <wp:positionH relativeFrom="page">
                  <wp:posOffset>894715</wp:posOffset>
                </wp:positionH>
                <wp:positionV relativeFrom="margin">
                  <wp:posOffset>6391910</wp:posOffset>
                </wp:positionV>
                <wp:extent cx="3435350" cy="173990"/>
                <wp:wrapNone/>
                <wp:docPr id="18" name="Shape 1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435350" cy="1739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Алгоритм ведения пациентов с невралгией тройничного нерва.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70.450000000000003pt;margin-top:503.30000000000001pt;width:270.5pt;height:13.700000000000001pt;z-index:251657731;mso-wrap-distance-left:0;mso-wrap-distance-right:0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Алгоритм ведения пациентов с невралгией тройничного нерва.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зации ТМО допускается использование биодегра</w:t>
        <w:softHyphen/>
        <w:t xml:space="preserve">дирующего материала (ТахоКомб, тахосил) и/или фибрин-тромбинового клея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(опция)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НТН регресс болей сразу после проведен</w:t>
        <w:softHyphen/>
        <w:t>ной операции отмечают 99% пациентов. Регресс симптомов гемифациального спазма в послеопера</w:t>
        <w:softHyphen/>
        <w:t>ционном периоде отмечают 85% больных. Среди всех методик у васкулярной декомпрессии отмеча</w:t>
        <w:softHyphen/>
        <w:t xml:space="preserve">ется наименьшее количество рецидивов. Так, у 64— 74% пациентов отмечается купирование болевого синдрома на протяжении 10-летнего катамнеза, а риск повторного развития НТН составляет 1% — на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10 лет и 0,7% — на 20 лет. Также при васкулярной декомпрессии отмечается наименьший процент развития нарушений чувствительности на лице (1%) и дизестезий (0,3%). При развитии осложнений нев</w:t>
        <w:softHyphen/>
        <w:t>рологического характера проводятся методы меди</w:t>
        <w:softHyphen/>
        <w:t>цинской реабилитации в соответствии с общими принципами реабилитации нейрохирургических больных [9—11].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Деструктивные вмешательства применяются ис</w:t>
        <w:softHyphen/>
        <w:t>ключительно при идиопатической НТН. Спектр де</w:t>
        <w:softHyphen/>
        <w:t>структивных вмешательств включает ризотомию, хи</w:t>
        <w:softHyphen/>
        <w:t xml:space="preserve">мио- или термокоагуляцию на различных отрезках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периферического отдела тройничного нерва, блока</w:t>
        <w:softHyphen/>
        <w:t>ды концевых участков ветвей тройничного нерва [8]. Кратковременный эффект деструктивных вмеша</w:t>
        <w:softHyphen/>
        <w:t>тельств, утрата чувствительности на лице, высокий процент рецидивирования болевого синдрома при</w:t>
        <w:softHyphen/>
        <w:t>вели к значительному сокращению количества де</w:t>
        <w:softHyphen/>
        <w:t>структивных операций (до 90%) за последние 20 лет.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Фактически на сегодняшний день осуществле</w:t>
        <w:softHyphen/>
        <w:t xml:space="preserve">ние деструктивных операций при идиопатической НТН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 рекомендуется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Стереотаксическая радиохирургия (СРХ)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Малоинвазивной альтернативой оперативному лечению устойчивой к медикаментозному лечению НТН является радиохирургия. Для достижения эф</w:t>
        <w:softHyphen/>
        <w:t xml:space="preserve">фекта к корешку тройничного нерва на расстоянии 3—8 мм от ствола мозга до входа в меккелеву полость подводят дозу до 90 Гр в изоцентре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(рекомендация)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Показаниями к применению СРХ являются:</w:t>
      </w:r>
    </w:p>
    <w:p>
      <w:pPr>
        <w:pStyle w:val="Style2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693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отягощенный соматический статус;</w:t>
      </w:r>
    </w:p>
    <w:p>
      <w:pPr>
        <w:pStyle w:val="Style2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679" w:val="left"/>
        </w:tabs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категорический отказ пациента от хирургиче</w:t>
        <w:softHyphen/>
        <w:t>ского вмешательства.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Применение СРХ обосновано неинвазивностью методики, что существенно снижает вероятность осложнений, однако в целом методика имеет мень</w:t>
        <w:softHyphen/>
        <w:t>шую эффективность и большее количество рециди</w:t>
        <w:softHyphen/>
        <w:t>вов среди трех методов. Так, отсутствие болевого синдрома отмечается у 57—60% пациентов в течение 1 года и снижается до 34—41% к 3-му году после</w:t>
        <w:softHyphen/>
        <w:t>операционного наблюдения.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Алгоритм ведения пациентов с невралгией трой</w:t>
        <w:softHyphen/>
        <w:t xml:space="preserve">ничного нерва представлен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рисунке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Приводим критерии оценки качества медицин</w:t>
        <w:softHyphen/>
        <w:t>ской помощи.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486" w:right="1130" w:bottom="1462" w:left="1068" w:header="0" w:footer="3" w:gutter="0"/>
          <w:cols w:num="2" w:space="161"/>
          <w:noEndnote/>
          <w:rtlGutter w:val="0"/>
          <w:docGrid w:linePitch="360"/>
        </w:sectPr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Конфликт интересов отсутствует.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79" w:after="7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486" w:right="0" w:bottom="1486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30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4" w:name="bookmark4"/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ЛИТЕРАТУРА</w:t>
      </w:r>
      <w:bookmarkEnd w:id="4"/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7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Федеральный закон №323-ФЗ от 21.11.11 «Об основах охраны здоро</w:t>
        <w:softHyphen/>
        <w:t>вья граждан в Российской Федерации».</w:t>
      </w:r>
    </w:p>
    <w:p>
      <w:pPr>
        <w:pStyle w:val="Style32"/>
        <w:keepNext w:val="0"/>
        <w:keepLines w:val="0"/>
        <w:widowControl w:val="0"/>
        <w:shd w:val="clear" w:color="auto" w:fill="auto"/>
        <w:bidi w:val="0"/>
        <w:spacing w:before="0" w:after="0" w:line="336" w:lineRule="auto"/>
        <w:ind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Доступно по: </w:t>
      </w:r>
      <w:r>
        <w:fldChar w:fldCharType="begin"/>
      </w:r>
      <w:r>
        <w:rPr/>
        <w:instrText> HYPERLINK "http://www.rosminzdrav.ru/documents/7025-federalny"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</w:rPr>
        <w:t>http://www.rosminzdrav.ru/documents/7025-federalny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Ссылка активна на 12.12.16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7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>Headache Classification Subcommitee of the International Headache Soci</w:t>
        <w:softHyphen/>
        <w:t xml:space="preserve">ety. The international classification of headache disorders. 2nd edition.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Cephalalgia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2004;24:1-150.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7" w:val="left"/>
        </w:tabs>
        <w:bidi w:val="0"/>
        <w:spacing w:before="0" w:line="259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 xml:space="preserve">Dandy WE. Section of sensory root of the trigeminal nerve at the pons.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Bull Johns Hopkins Hosp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1925;36:105.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7" w:val="left"/>
          <w:tab w:pos="331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>Jannetta PJ. Observation on the etiology of trigeminal neuralgia, hemifacial</w:t>
      </w:r>
    </w:p>
    <w:p>
      <w:pPr>
        <w:pStyle w:val="Style32"/>
        <w:keepNext w:val="0"/>
        <w:keepLines w:val="0"/>
        <w:widowControl w:val="0"/>
        <w:shd w:val="clear" w:color="auto" w:fill="auto"/>
        <w:bidi w:val="0"/>
        <w:spacing w:before="0" w:line="240" w:lineRule="auto"/>
        <w:ind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>spasm, acoustic nerve dysfunction and glossopharyngeal neuralgia: Defini</w:t>
        <w:softHyphen/>
        <w:t xml:space="preserve">tive microsurgical treatment and results of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117 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patients.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Neurochirurgia (Stuttg)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1977;20:145-154.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7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 xml:space="preserve">Gronseth G, Cruccu G, Alksne J, Argoff C, Brainin M, Burchiel K, Nur- mikko T, Zakrzewska JM. Practice parameter: The diagnostic evaluation and treatment of trigeminal neuralgia (an evidence-based review).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Neuro</w:t>
        <w:softHyphen/>
        <w:t>logy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2008;71:1183-1190.</w:t>
      </w:r>
    </w:p>
    <w:p>
      <w:pPr>
        <w:pStyle w:val="Style32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>doi: 10.1212/01.wnl.0000326598.83183.04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7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 xml:space="preserve">Barker FGII, Janetta PJ, Bissonette DJ, Sields PT, Larkins MV, Jho HD. Microvascular decompression for hemifacial spasm.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J Neurosurg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1995;82:201-210.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31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 xml:space="preserve">Ferroli P, Fioravanti A, Schiariti M, Tringali G, Franzini A, Calbucci F, Broggi G. Microvascular decompression for glossopharyngeal neuralgia: a long-term retrospectic review of the Milan—Bologna experience in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31 </w:t>
      </w:r>
      <w:r>
        <w:rPr>
          <w:color w:val="000000"/>
          <w:spacing w:val="0"/>
          <w:w w:val="100"/>
          <w:position w:val="0"/>
          <w:shd w:val="clear" w:color="auto" w:fill="auto"/>
        </w:rPr>
        <w:t>con</w:t>
        <w:softHyphen/>
        <w:t xml:space="preserve">secutive cases.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Acta Neurochir (Wien)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2009;151(10):1245-1250.</w:t>
      </w:r>
    </w:p>
    <w:p>
      <w:pPr>
        <w:pStyle w:val="Style32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>doi: 10.1007/s00701-009-0330-5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31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 xml:space="preserve">Wang D, Ouyang D, Englot D, Rolston J, Molinaro A, Ward M. Trends in surgical treatment for trigeminal neuraglia in the United States of America from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1988 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to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2008 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(Evidence-based review).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J Clinical Neuroscience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2013;20:1538-1545.</w:t>
      </w:r>
    </w:p>
    <w:p>
      <w:pPr>
        <w:pStyle w:val="Style32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>doi: 10.1016/j.jocn.2012.12.026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31" w:val="left"/>
        </w:tabs>
        <w:bidi w:val="0"/>
        <w:spacing w:before="0" w:line="254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Коновалов А.Н., Махмудов У.Б., Шиманский В.Н., Таняшин С.В., Пронин И.Н., Лебедева М.А. Васкулярная декомпрессия в лечении невралгии тройничного нерва — опыт лечения первых 140 больных.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  <w:lang w:val="ru-RU" w:eastAsia="ru-RU" w:bidi="ru-RU"/>
        </w:rPr>
        <w:t>Вопросы нейрохирургии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2008;3:3-8.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31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Шиманский В.Н., Карнаухов В.В., Сергиенко Т.А., Пошатаев В.К., Се</w:t>
        <w:softHyphen/>
        <w:t>менов М.С. Эндоскопическая ассистенция при одномоментном удале</w:t>
        <w:softHyphen/>
        <w:t xml:space="preserve">нии менингиомы задней черепной ямки и васкулярной декомпрессии корешка тройничного нерва.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  <w:lang w:val="ru-RU" w:eastAsia="ru-RU" w:bidi="ru-RU"/>
        </w:rPr>
        <w:t>Вопросы нейрохирургии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2011;4:70-74.</w:t>
      </w:r>
    </w:p>
    <w:p>
      <w:pPr>
        <w:pStyle w:val="Style32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31" w:val="left"/>
        </w:tabs>
        <w:bidi w:val="0"/>
        <w:spacing w:before="0" w:line="240" w:lineRule="auto"/>
        <w:ind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</w:rPr>
        <w:t>King WA, Wackym PA, Sen C, Meyer GA, Shiau J, Deutsch H. Adjunctive use of endoscopy during posterior fossa surgery to treat cranial neuropa</w:t>
        <w:softHyphen/>
        <w:t xml:space="preserve">thies. </w:t>
      </w:r>
      <w:r>
        <w:rPr>
          <w:i/>
          <w:iCs/>
          <w:color w:val="000000"/>
          <w:spacing w:val="0"/>
          <w:w w:val="100"/>
          <w:position w:val="0"/>
          <w:sz w:val="13"/>
          <w:szCs w:val="13"/>
          <w:shd w:val="clear" w:color="auto" w:fill="auto"/>
        </w:rPr>
        <w:t>Neurosurgery</w:t>
      </w:r>
      <w:r>
        <w:rPr>
          <w:color w:val="000000"/>
          <w:spacing w:val="0"/>
          <w:w w:val="100"/>
          <w:position w:val="0"/>
          <w:shd w:val="clear" w:color="auto" w:fill="auto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2001;49:108-115.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1486" w:right="1304" w:bottom="1486" w:left="910" w:header="0" w:footer="3" w:gutter="0"/>
      <w:cols w:num="2" w:space="173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702945</wp:posOffset>
              </wp:positionH>
              <wp:positionV relativeFrom="page">
                <wp:posOffset>9874250</wp:posOffset>
              </wp:positionV>
              <wp:extent cx="6092825" cy="103505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6092825" cy="1035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9595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iCs/>
                              <w:color w:val="2471AE"/>
                              <w:spacing w:val="0"/>
                              <w:w w:val="100"/>
                              <w:position w:val="0"/>
                              <w:sz w:val="15"/>
                              <w:szCs w:val="15"/>
                              <w:shd w:val="clear" w:color="auto" w:fill="auto"/>
                              <w:lang w:val="ru-RU" w:eastAsia="ru-RU" w:bidi="ru-RU"/>
                            </w:rPr>
                            <w:t>ВОПРОСЫ НЕЙРОХИРУРГИИ 2, 2017</w:t>
                            <w:tab/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0"/>
                                <w:w w:val="100"/>
                                <w:position w:val="0"/>
                                <w:sz w:val="19"/>
                                <w:szCs w:val="19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5.350000000000001pt;margin-top:777.5pt;width:479.75pt;height:8.1500000000000004pt;z-index:-188744063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9595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i/>
                        <w:iCs/>
                        <w:color w:val="2471AE"/>
                        <w:spacing w:val="0"/>
                        <w:w w:val="100"/>
                        <w:position w:val="0"/>
                        <w:sz w:val="15"/>
                        <w:szCs w:val="15"/>
                        <w:shd w:val="clear" w:color="auto" w:fill="auto"/>
                        <w:lang w:val="ru-RU" w:eastAsia="ru-RU" w:bidi="ru-RU"/>
                      </w:rPr>
                      <w:t>ВОПРОСЫ НЕЙРОХИРУРГИИ 2, 2017</w:t>
                      <w:tab/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19"/>
                          <w:szCs w:val="19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704215</wp:posOffset>
              </wp:positionH>
              <wp:positionV relativeFrom="page">
                <wp:posOffset>9874250</wp:posOffset>
              </wp:positionV>
              <wp:extent cx="6117590" cy="103505"/>
              <wp:wrapNone/>
              <wp:docPr id="6" name="Shape 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6117590" cy="1035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9634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5"/>
                              <w:szCs w:val="15"/>
                            </w:rPr>
                          </w:pP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0"/>
                                <w:w w:val="100"/>
                                <w:position w:val="0"/>
                                <w:sz w:val="19"/>
                                <w:szCs w:val="19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shd w:val="clear" w:color="auto" w:fill="auto"/>
                              <w:lang w:val="ru-RU" w:eastAsia="ru-RU" w:bidi="ru-RU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i/>
                              <w:iCs/>
                              <w:color w:val="2471AE"/>
                              <w:spacing w:val="0"/>
                              <w:w w:val="100"/>
                              <w:position w:val="0"/>
                              <w:sz w:val="15"/>
                              <w:szCs w:val="15"/>
                              <w:shd w:val="clear" w:color="auto" w:fill="auto"/>
                              <w:lang w:val="ru-RU" w:eastAsia="ru-RU" w:bidi="ru-RU"/>
                            </w:rPr>
                            <w:t>ВОПРОСЫ НЕЙРОХИРУРГИИ 2, 2017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2" type="#_x0000_t202" style="position:absolute;margin-left:55.450000000000003pt;margin-top:777.5pt;width:481.69999999999999pt;height:8.1500000000000004pt;z-index:-188744059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9634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5"/>
                        <w:szCs w:val="15"/>
                      </w:rPr>
                    </w:pP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19"/>
                          <w:szCs w:val="19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shd w:val="clear" w:color="auto" w:fill="auto"/>
                        <w:lang w:val="ru-RU" w:eastAsia="ru-RU" w:bidi="ru-RU"/>
                      </w:rPr>
                      <w:tab/>
                    </w:r>
                    <w:r>
                      <w:rPr>
                        <w:rFonts w:ascii="Arial" w:eastAsia="Arial" w:hAnsi="Arial" w:cs="Arial"/>
                        <w:i/>
                        <w:iCs/>
                        <w:color w:val="2471AE"/>
                        <w:spacing w:val="0"/>
                        <w:w w:val="100"/>
                        <w:position w:val="0"/>
                        <w:sz w:val="15"/>
                        <w:szCs w:val="15"/>
                        <w:shd w:val="clear" w:color="auto" w:fill="auto"/>
                        <w:lang w:val="ru-RU" w:eastAsia="ru-RU" w:bidi="ru-RU"/>
                      </w:rPr>
                      <w:t>ВОПРОСЫ НЕЙРОХИРУРГИИ 2, 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666115</wp:posOffset>
              </wp:positionH>
              <wp:positionV relativeFrom="page">
                <wp:posOffset>453390</wp:posOffset>
              </wp:positionV>
              <wp:extent cx="1825625" cy="8509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825625" cy="850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i/>
                              <w:iCs/>
                              <w:color w:val="2471AE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КЛИНИЧЕСКИЕ РЕКОМЕНДАЦИИ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52.450000000000003pt;margin-top:35.700000000000003pt;width:143.75pt;height:6.7000000000000002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i/>
                        <w:iCs/>
                        <w:color w:val="2471AE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КЛИНИЧЕСКИЕ РЕКОМЕНДАЦИИ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simplePos="0" relativeHeight="2" behindDoc="1" locked="0" layoutInCell="1" allowOverlap="1">
              <wp:simplePos x="0" y="0"/>
              <wp:positionH relativeFrom="page">
                <wp:posOffset>589915</wp:posOffset>
              </wp:positionH>
              <wp:positionV relativeFrom="page">
                <wp:posOffset>617855</wp:posOffset>
              </wp:positionV>
              <wp:extent cx="6123305" cy="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ext cx="6123305" cy="0"/>
                      </a:xfrm>
                      <a:prstGeom prst="straightConnector1"/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46.450000000000003pt;margin-top:48.649999999999999pt;width:482.15000000000003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</w:abstractNum>
  <w:abstractNum w:abstractNumId="4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</w:abstractNum>
  <w:abstractNum w:abstractNumId="6">
    <w:multiLevelType w:val="multilevel"/>
    <w:lvl w:ilvl="0">
      <w:start w:val="2"/>
      <w:numFmt w:val="upperRoman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8">
    <w:multiLevelType w:val="multilevel"/>
    <w:lvl w:ilvl="0">
      <w:start w:val="1"/>
      <w:numFmt w:val="bullet"/>
      <w:lvlText w:val="—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</w:abstractNum>
  <w:abstractNum w:abstractNumId="10">
    <w:multiLevelType w:val="multilevel"/>
    <w:lvl w:ilvl="0">
      <w:start w:val="1"/>
      <w:numFmt w:val="bullet"/>
      <w:lvlText w:val="—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</w:abstractNum>
  <w:abstractNum w:abstractNumId="1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evenAndOddHeaders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 (3)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5">
    <w:name w:val="Колонтитул (2)_"/>
    <w:basedOn w:val="DefaultParagraphFont"/>
    <w:link w:val="Styl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0">
    <w:name w:val="Заголовок №1_"/>
    <w:basedOn w:val="DefaultParagraphFont"/>
    <w:link w:val="Styl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3D71"/>
      <w:sz w:val="32"/>
      <w:szCs w:val="32"/>
      <w:u w:val="none"/>
    </w:rPr>
  </w:style>
  <w:style w:type="character" w:customStyle="1" w:styleId="CharStyle12">
    <w:name w:val="Другое_"/>
    <w:basedOn w:val="DefaultParagraphFont"/>
    <w:link w:val="Style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6">
    <w:name w:val="Заголовок №2_"/>
    <w:basedOn w:val="DefaultParagraphFont"/>
    <w:link w:val="Style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3D71"/>
      <w:sz w:val="26"/>
      <w:szCs w:val="26"/>
      <w:u w:val="none"/>
      <w:lang w:val="en-US" w:eastAsia="en-US" w:bidi="en-US"/>
    </w:rPr>
  </w:style>
  <w:style w:type="character" w:customStyle="1" w:styleId="CharStyle19">
    <w:name w:val="Основной текст (4)_"/>
    <w:basedOn w:val="DefaultParagraphFont"/>
    <w:link w:val="Style1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23">
    <w:name w:val="Подпись к таблице_"/>
    <w:basedOn w:val="DefaultParagraphFont"/>
    <w:link w:val="Style22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25">
    <w:name w:val="Подпись к картинке_"/>
    <w:basedOn w:val="DefaultParagraphFont"/>
    <w:link w:val="Style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27">
    <w:name w:val="Основной текст_"/>
    <w:basedOn w:val="DefaultParagraphFont"/>
    <w:link w:val="Style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31">
    <w:name w:val="Заголовок №3_"/>
    <w:basedOn w:val="DefaultParagraphFont"/>
    <w:link w:val="Style30"/>
    <w:rPr>
      <w:rFonts w:ascii="Arial" w:eastAsia="Arial" w:hAnsi="Arial" w:cs="Arial"/>
      <w:b/>
      <w:bCs/>
      <w:i w:val="0"/>
      <w:iCs w:val="0"/>
      <w:smallCaps w:val="0"/>
      <w:strike w:val="0"/>
      <w:color w:val="2471AE"/>
      <w:sz w:val="20"/>
      <w:szCs w:val="20"/>
      <w:u w:val="none"/>
    </w:rPr>
  </w:style>
  <w:style w:type="character" w:customStyle="1" w:styleId="CharStyle33">
    <w:name w:val="Основной текст (2)_"/>
    <w:basedOn w:val="DefaultParagraphFont"/>
    <w:link w:val="Style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paragraph" w:customStyle="1" w:styleId="Style2">
    <w:name w:val="Основной текст (3)"/>
    <w:basedOn w:val="Normal"/>
    <w:link w:val="CharStyle3"/>
    <w:pPr>
      <w:widowControl w:val="0"/>
      <w:shd w:val="clear" w:color="auto" w:fill="auto"/>
      <w:spacing w:after="410" w:line="286" w:lineRule="auto"/>
      <w:ind w:firstLine="1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Style4">
    <w:name w:val="Колонтитул (2)"/>
    <w:basedOn w:val="Normal"/>
    <w:link w:val="CharStyle5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9">
    <w:name w:val="Заголовок №1"/>
    <w:basedOn w:val="Normal"/>
    <w:link w:val="CharStyle10"/>
    <w:pPr>
      <w:widowControl w:val="0"/>
      <w:shd w:val="clear" w:color="auto" w:fill="auto"/>
      <w:spacing w:after="180"/>
      <w:outlineLvl w:val="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3D71"/>
      <w:sz w:val="32"/>
      <w:szCs w:val="32"/>
      <w:u w:val="none"/>
    </w:rPr>
  </w:style>
  <w:style w:type="paragraph" w:customStyle="1" w:styleId="Style11">
    <w:name w:val="Другое"/>
    <w:basedOn w:val="Normal"/>
    <w:link w:val="CharStyle12"/>
    <w:pPr>
      <w:widowControl w:val="0"/>
      <w:shd w:val="clear" w:color="auto" w:fill="auto"/>
      <w:ind w:firstLine="36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5">
    <w:name w:val="Заголовок №2"/>
    <w:basedOn w:val="Normal"/>
    <w:link w:val="CharStyle16"/>
    <w:pPr>
      <w:widowControl w:val="0"/>
      <w:shd w:val="clear" w:color="auto" w:fill="auto"/>
      <w:spacing w:after="140"/>
      <w:outlineLvl w:val="1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3D71"/>
      <w:sz w:val="26"/>
      <w:szCs w:val="26"/>
      <w:u w:val="none"/>
      <w:lang w:val="en-US" w:eastAsia="en-US" w:bidi="en-US"/>
    </w:rPr>
  </w:style>
  <w:style w:type="paragraph" w:customStyle="1" w:styleId="Style18">
    <w:name w:val="Основной текст (4)"/>
    <w:basedOn w:val="Normal"/>
    <w:link w:val="CharStyle19"/>
    <w:pPr>
      <w:widowControl w:val="0"/>
      <w:shd w:val="clear" w:color="auto" w:fill="auto"/>
      <w:spacing w:line="254" w:lineRule="auto"/>
      <w:ind w:left="360" w:firstLine="20"/>
    </w:pPr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22">
    <w:name w:val="Подпись к таблице"/>
    <w:basedOn w:val="Normal"/>
    <w:link w:val="CharStyle23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Style24">
    <w:name w:val="Подпись к картинке"/>
    <w:basedOn w:val="Normal"/>
    <w:link w:val="CharStyle25"/>
    <w:pPr>
      <w:widowControl w:val="0"/>
      <w:shd w:val="clear" w:color="auto" w:fill="auto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Style26">
    <w:name w:val="Основной текст"/>
    <w:basedOn w:val="Normal"/>
    <w:link w:val="CharStyle27"/>
    <w:pPr>
      <w:widowControl w:val="0"/>
      <w:shd w:val="clear" w:color="auto" w:fill="auto"/>
      <w:ind w:firstLine="36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30">
    <w:name w:val="Заголовок №3"/>
    <w:basedOn w:val="Normal"/>
    <w:link w:val="CharStyle31"/>
    <w:pPr>
      <w:widowControl w:val="0"/>
      <w:shd w:val="clear" w:color="auto" w:fill="auto"/>
      <w:spacing w:after="140"/>
      <w:outlineLvl w:val="2"/>
    </w:pPr>
    <w:rPr>
      <w:rFonts w:ascii="Arial" w:eastAsia="Arial" w:hAnsi="Arial" w:cs="Arial"/>
      <w:b/>
      <w:bCs/>
      <w:i w:val="0"/>
      <w:iCs w:val="0"/>
      <w:smallCaps w:val="0"/>
      <w:strike w:val="0"/>
      <w:color w:val="2471AE"/>
      <w:sz w:val="20"/>
      <w:szCs w:val="20"/>
      <w:u w:val="none"/>
    </w:rPr>
  </w:style>
  <w:style w:type="paragraph" w:customStyle="1" w:styleId="Style32">
    <w:name w:val="Основной текст (2)"/>
    <w:basedOn w:val="Normal"/>
    <w:link w:val="CharStyle33"/>
    <w:pPr>
      <w:widowControl w:val="0"/>
      <w:shd w:val="clear" w:color="auto" w:fill="auto"/>
      <w:spacing w:after="40"/>
      <w:ind w:left="360" w:hanging="36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1.jpeg"/><Relationship Id="rId10" Type="http://schemas.openxmlformats.org/officeDocument/2006/relationships/image" Target="media/image1.jpeg" TargetMode="External"/></Relationships>
</file>