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A75" w:rsidRDefault="001E759B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38215" name="Picture 38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15" name="Picture 3821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1A75" w:rsidRDefault="00981A75">
      <w:pPr>
        <w:sectPr w:rsidR="00981A75">
          <w:pgSz w:w="12240" w:h="15840"/>
          <w:pgMar w:top="1440" w:right="1440" w:bottom="1440" w:left="1440" w:header="720" w:footer="720" w:gutter="0"/>
          <w:cols w:space="720"/>
        </w:sectPr>
      </w:pPr>
    </w:p>
    <w:p w:rsidR="00981A75" w:rsidRDefault="001E759B">
      <w:pPr>
        <w:pStyle w:val="Heading1"/>
        <w:spacing w:after="86"/>
      </w:pPr>
      <w:r>
        <w:lastRenderedPageBreak/>
        <w:t>Оглавление</w:t>
      </w:r>
      <w:r>
        <w:t xml:space="preserve"> </w:t>
      </w:r>
    </w:p>
    <w:p w:rsidR="00981A75" w:rsidRDefault="001E759B">
      <w:pPr>
        <w:spacing w:after="112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Оглавление ..................................................................................................................................... 2 </w:t>
      </w:r>
    </w:p>
    <w:p w:rsidR="00981A75" w:rsidRDefault="001E759B">
      <w:pPr>
        <w:spacing w:after="115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>Список сокращений</w:t>
      </w:r>
      <w:r>
        <w:rPr>
          <w:rFonts w:ascii="Times New Roman" w:eastAsia="Times New Roman" w:hAnsi="Times New Roman" w:cs="Times New Roman"/>
          <w:sz w:val="24"/>
        </w:rPr>
        <w:t xml:space="preserve"> ...................................................................................................................... 4 </w:t>
      </w:r>
    </w:p>
    <w:p w:rsidR="00981A75" w:rsidRDefault="001E759B">
      <w:pPr>
        <w:spacing w:after="112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>Термины и определения 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 xml:space="preserve"> 5 </w:t>
      </w:r>
    </w:p>
    <w:p w:rsidR="00981A75" w:rsidRDefault="001E759B">
      <w:pPr>
        <w:numPr>
          <w:ilvl w:val="0"/>
          <w:numId w:val="1"/>
        </w:numPr>
        <w:spacing w:after="0" w:line="360" w:lineRule="auto"/>
        <w:ind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Краткая информация по заболеванию или состоянию (группе заболеваний или состояний) ...................................................................................................................................... 6 </w:t>
      </w:r>
    </w:p>
    <w:p w:rsidR="00981A75" w:rsidRDefault="001E759B">
      <w:pPr>
        <w:numPr>
          <w:ilvl w:val="1"/>
          <w:numId w:val="1"/>
        </w:numPr>
        <w:spacing w:after="115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>Определение заболевания или сос</w:t>
      </w:r>
      <w:r>
        <w:rPr>
          <w:rFonts w:ascii="Times New Roman" w:eastAsia="Times New Roman" w:hAnsi="Times New Roman" w:cs="Times New Roman"/>
          <w:sz w:val="24"/>
        </w:rPr>
        <w:t xml:space="preserve">тояния (группы заболеваний или состояний) ........ 6 </w:t>
      </w:r>
    </w:p>
    <w:p w:rsidR="00981A75" w:rsidRDefault="001E759B">
      <w:pPr>
        <w:numPr>
          <w:ilvl w:val="1"/>
          <w:numId w:val="1"/>
        </w:numPr>
        <w:spacing w:after="113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Этиология и патогенез заболевания или состояния (группы заболеваний или </w:t>
      </w:r>
    </w:p>
    <w:p w:rsidR="00981A75" w:rsidRDefault="001E759B">
      <w:pPr>
        <w:spacing w:after="114"/>
        <w:ind w:left="10" w:right="75" w:hanging="10"/>
        <w:jc w:val="center"/>
      </w:pPr>
      <w:r>
        <w:rPr>
          <w:rFonts w:ascii="Times New Roman" w:eastAsia="Times New Roman" w:hAnsi="Times New Roman" w:cs="Times New Roman"/>
          <w:sz w:val="24"/>
        </w:rPr>
        <w:t>состояний)</w:t>
      </w:r>
      <w:r>
        <w:rPr>
          <w:rFonts w:ascii="Times New Roman" w:eastAsia="Times New Roman" w:hAnsi="Times New Roman" w:cs="Times New Roman"/>
          <w:sz w:val="24"/>
        </w:rPr>
        <w:t xml:space="preserve"> .................................................................................................................................. 6 </w:t>
      </w:r>
    </w:p>
    <w:p w:rsidR="00981A75" w:rsidRDefault="001E759B">
      <w:pPr>
        <w:numPr>
          <w:ilvl w:val="1"/>
          <w:numId w:val="1"/>
        </w:numPr>
        <w:spacing w:after="3" w:line="359" w:lineRule="auto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Эпидемиология заболевания или состояния (группы заболеваний или состояний) ... 7 1.4 Особенности кодирования заболевания </w:t>
      </w:r>
      <w:r>
        <w:rPr>
          <w:rFonts w:ascii="Times New Roman" w:eastAsia="Times New Roman" w:hAnsi="Times New Roman" w:cs="Times New Roman"/>
          <w:sz w:val="24"/>
        </w:rPr>
        <w:t xml:space="preserve">или состояния (группы заболеваний или состояний) по международной статистической классификации болезней и проблем, связанных со здоровьем ............................................................................................................ 7 </w:t>
      </w:r>
    </w:p>
    <w:p w:rsidR="00981A75" w:rsidRDefault="001E759B">
      <w:pPr>
        <w:numPr>
          <w:ilvl w:val="1"/>
          <w:numId w:val="2"/>
        </w:numPr>
        <w:spacing w:after="112"/>
        <w:ind w:right="2" w:hanging="501"/>
        <w:jc w:val="both"/>
      </w:pPr>
      <w:r>
        <w:rPr>
          <w:rFonts w:ascii="Times New Roman" w:eastAsia="Times New Roman" w:hAnsi="Times New Roman" w:cs="Times New Roman"/>
          <w:sz w:val="24"/>
        </w:rPr>
        <w:t>Класси</w:t>
      </w:r>
      <w:r>
        <w:rPr>
          <w:rFonts w:ascii="Times New Roman" w:eastAsia="Times New Roman" w:hAnsi="Times New Roman" w:cs="Times New Roman"/>
          <w:sz w:val="24"/>
        </w:rPr>
        <w:t xml:space="preserve">фикация заболевания или состояния (группы заболеваний или состояний) .... 7 </w:t>
      </w:r>
    </w:p>
    <w:p w:rsidR="00981A75" w:rsidRDefault="001E759B">
      <w:pPr>
        <w:numPr>
          <w:ilvl w:val="1"/>
          <w:numId w:val="2"/>
        </w:numPr>
        <w:spacing w:after="115"/>
        <w:ind w:right="2" w:hanging="501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Клиническая картина заболевания или состояния (группы заболеваний или </w:t>
      </w:r>
    </w:p>
    <w:p w:rsidR="00981A75" w:rsidRDefault="001E759B">
      <w:pPr>
        <w:spacing w:after="114"/>
        <w:ind w:left="10" w:right="65" w:hanging="10"/>
        <w:jc w:val="center"/>
      </w:pPr>
      <w:r>
        <w:rPr>
          <w:rFonts w:ascii="Times New Roman" w:eastAsia="Times New Roman" w:hAnsi="Times New Roman" w:cs="Times New Roman"/>
          <w:sz w:val="24"/>
        </w:rPr>
        <w:t>состояний) 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 9 </w:t>
      </w:r>
    </w:p>
    <w:p w:rsidR="00981A75" w:rsidRDefault="001E759B">
      <w:pPr>
        <w:numPr>
          <w:ilvl w:val="0"/>
          <w:numId w:val="1"/>
        </w:numPr>
        <w:spacing w:after="3" w:line="359" w:lineRule="auto"/>
        <w:ind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Диагностика заболевания или состояния (группы заболеваний или состояний), медицинские показания и противопоказания к применению методов диагностики ........... 10 </w:t>
      </w:r>
    </w:p>
    <w:p w:rsidR="00981A75" w:rsidRDefault="001E759B">
      <w:pPr>
        <w:numPr>
          <w:ilvl w:val="1"/>
          <w:numId w:val="1"/>
        </w:numPr>
        <w:spacing w:after="112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>Жалобы и анамнез ......................................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...................................................................... 10 </w:t>
      </w:r>
    </w:p>
    <w:p w:rsidR="00981A75" w:rsidRDefault="001E759B">
      <w:pPr>
        <w:numPr>
          <w:ilvl w:val="1"/>
          <w:numId w:val="1"/>
        </w:numPr>
        <w:spacing w:after="115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Физикальное обследование ............................................................................................. 11 </w:t>
      </w:r>
    </w:p>
    <w:p w:rsidR="00981A75" w:rsidRDefault="001E759B">
      <w:pPr>
        <w:numPr>
          <w:ilvl w:val="1"/>
          <w:numId w:val="1"/>
        </w:numPr>
        <w:spacing w:after="112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>Лабораторные диагностические исследования ................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 12 </w:t>
      </w:r>
    </w:p>
    <w:p w:rsidR="00981A75" w:rsidRDefault="001E759B">
      <w:pPr>
        <w:numPr>
          <w:ilvl w:val="1"/>
          <w:numId w:val="1"/>
        </w:numPr>
        <w:spacing w:after="115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Инструментальные диагностические исследования ..................................................... 12 </w:t>
      </w:r>
    </w:p>
    <w:p w:rsidR="00981A75" w:rsidRDefault="001E759B">
      <w:pPr>
        <w:numPr>
          <w:ilvl w:val="1"/>
          <w:numId w:val="1"/>
        </w:numPr>
        <w:spacing w:after="112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>Иные диагностические исследования</w:t>
      </w:r>
      <w:r>
        <w:rPr>
          <w:rFonts w:ascii="Times New Roman" w:eastAsia="Times New Roman" w:hAnsi="Times New Roman" w:cs="Times New Roman"/>
          <w:sz w:val="24"/>
        </w:rPr>
        <w:t xml:space="preserve"> ............................................................................. 14 </w:t>
      </w:r>
    </w:p>
    <w:p w:rsidR="00981A75" w:rsidRDefault="001E759B">
      <w:pPr>
        <w:numPr>
          <w:ilvl w:val="0"/>
          <w:numId w:val="1"/>
        </w:numPr>
        <w:spacing w:after="3" w:line="359" w:lineRule="auto"/>
        <w:ind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>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 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............................................................................................................................. 14 </w:t>
      </w:r>
    </w:p>
    <w:p w:rsidR="00981A75" w:rsidRDefault="001E759B">
      <w:pPr>
        <w:numPr>
          <w:ilvl w:val="1"/>
          <w:numId w:val="1"/>
        </w:numPr>
        <w:spacing w:after="112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Консервативное лечение .................................................................................................. 14 </w:t>
      </w:r>
    </w:p>
    <w:p w:rsidR="00981A75" w:rsidRDefault="001E759B">
      <w:pPr>
        <w:numPr>
          <w:ilvl w:val="1"/>
          <w:numId w:val="1"/>
        </w:numPr>
        <w:spacing w:after="115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Хирургическое лечение ................................................................................................... 17 </w:t>
      </w:r>
    </w:p>
    <w:p w:rsidR="00981A75" w:rsidRDefault="001E759B">
      <w:pPr>
        <w:numPr>
          <w:ilvl w:val="1"/>
          <w:numId w:val="1"/>
        </w:numPr>
        <w:spacing w:after="112"/>
        <w:ind w:firstLine="6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Иное лечение…………………………………………………………………………….20 </w:t>
      </w:r>
    </w:p>
    <w:p w:rsidR="00981A75" w:rsidRDefault="001E759B">
      <w:pPr>
        <w:numPr>
          <w:ilvl w:val="0"/>
          <w:numId w:val="1"/>
        </w:numPr>
        <w:spacing w:after="3" w:line="359" w:lineRule="auto"/>
        <w:ind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>Медицинская реабилитация и санаторно-курортное лечение, медицинские показания и прот</w:t>
      </w:r>
      <w:r>
        <w:rPr>
          <w:rFonts w:ascii="Times New Roman" w:eastAsia="Times New Roman" w:hAnsi="Times New Roman" w:cs="Times New Roman"/>
          <w:sz w:val="24"/>
        </w:rPr>
        <w:t>ивопоказания к применению методов медицинской реабилитации, в том числе основанных на использовании природных лечебных факторов…………………………….21 5. Профилактика и диспансерное наблюдение, медицинские показания и противопоказания к применению методов профилакт</w:t>
      </w:r>
      <w:r>
        <w:rPr>
          <w:rFonts w:ascii="Times New Roman" w:eastAsia="Times New Roman" w:hAnsi="Times New Roman" w:cs="Times New Roman"/>
          <w:sz w:val="24"/>
        </w:rPr>
        <w:t xml:space="preserve">ики ..................................................... 21 </w:t>
      </w:r>
    </w:p>
    <w:p w:rsidR="00981A75" w:rsidRDefault="001E759B">
      <w:pPr>
        <w:numPr>
          <w:ilvl w:val="0"/>
          <w:numId w:val="3"/>
        </w:numPr>
        <w:spacing w:after="115"/>
        <w:ind w:right="149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Организация оказания медицинской помощи ...................................................................... 22 </w:t>
      </w:r>
    </w:p>
    <w:p w:rsidR="00981A75" w:rsidRDefault="001E759B">
      <w:pPr>
        <w:numPr>
          <w:ilvl w:val="0"/>
          <w:numId w:val="3"/>
        </w:numPr>
        <w:spacing w:after="0" w:line="360" w:lineRule="auto"/>
        <w:ind w:right="149"/>
        <w:jc w:val="both"/>
      </w:pPr>
      <w:r>
        <w:rPr>
          <w:rFonts w:ascii="Times New Roman" w:eastAsia="Times New Roman" w:hAnsi="Times New Roman" w:cs="Times New Roman"/>
          <w:sz w:val="24"/>
        </w:rPr>
        <w:t>Дополнительная информация (в том числе факторы, влияющие на исход заболевания и</w:t>
      </w:r>
      <w:r>
        <w:rPr>
          <w:rFonts w:ascii="Times New Roman" w:eastAsia="Times New Roman" w:hAnsi="Times New Roman" w:cs="Times New Roman"/>
          <w:sz w:val="24"/>
        </w:rPr>
        <w:t>ли состояния) ............................................................................................................................. 23 Критерии оценки качества медицинской помощи ................................................................... 2</w:t>
      </w:r>
      <w:r>
        <w:rPr>
          <w:rFonts w:ascii="Times New Roman" w:eastAsia="Times New Roman" w:hAnsi="Times New Roman" w:cs="Times New Roman"/>
          <w:sz w:val="24"/>
        </w:rPr>
        <w:t xml:space="preserve">3 </w:t>
      </w:r>
    </w:p>
    <w:p w:rsidR="00981A75" w:rsidRDefault="001E759B">
      <w:pPr>
        <w:spacing w:after="115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Список литературы ..................................................................................................................... 24 </w:t>
      </w:r>
    </w:p>
    <w:p w:rsidR="00981A75" w:rsidRDefault="001E759B">
      <w:pPr>
        <w:spacing w:after="0" w:line="360" w:lineRule="auto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А1. Состав рабочей группы по разработке и пересмотру клинических рекомендаций ........................</w:t>
      </w:r>
      <w:r>
        <w:rPr>
          <w:rFonts w:ascii="Times New Roman" w:eastAsia="Times New Roman" w:hAnsi="Times New Roman" w:cs="Times New Roman"/>
          <w:sz w:val="24"/>
        </w:rPr>
        <w:t xml:space="preserve">...................................................................................................... 33 </w:t>
      </w:r>
    </w:p>
    <w:p w:rsidR="00981A75" w:rsidRDefault="001E759B">
      <w:pPr>
        <w:spacing w:after="3" w:line="359" w:lineRule="auto"/>
        <w:ind w:left="12" w:right="298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А2. Методология разработки клинических рекомендаций.. ............................ 34 Приложение А3. Справочные материалы, включая соответ</w:t>
      </w:r>
      <w:r>
        <w:rPr>
          <w:rFonts w:ascii="Times New Roman" w:eastAsia="Times New Roman" w:hAnsi="Times New Roman" w:cs="Times New Roman"/>
          <w:sz w:val="24"/>
        </w:rPr>
        <w:t>ствие показаний к применению и противопоказаний, способов применения и доз лекарственных препаратов, инструкции по применению лекарственного препарата .............................................................................. 36 Приложение Б. Алгоритмы</w:t>
      </w:r>
      <w:r>
        <w:rPr>
          <w:rFonts w:ascii="Times New Roman" w:eastAsia="Times New Roman" w:hAnsi="Times New Roman" w:cs="Times New Roman"/>
          <w:sz w:val="24"/>
        </w:rPr>
        <w:t xml:space="preserve"> действий врача ............................................................................ .38 </w:t>
      </w:r>
    </w:p>
    <w:p w:rsidR="00981A75" w:rsidRDefault="001E759B">
      <w:pPr>
        <w:spacing w:after="115"/>
        <w:ind w:left="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Приложение В. Информация для пациентов .......................................................................... ..39 </w:t>
      </w:r>
    </w:p>
    <w:p w:rsidR="00981A75" w:rsidRDefault="001E759B">
      <w:pPr>
        <w:spacing w:after="3" w:line="359" w:lineRule="auto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Г1-ГN</w:t>
      </w:r>
      <w:r>
        <w:rPr>
          <w:rFonts w:ascii="Times New Roman" w:eastAsia="Times New Roman" w:hAnsi="Times New Roman" w:cs="Times New Roman"/>
          <w:sz w:val="24"/>
        </w:rPr>
        <w:t xml:space="preserve">. Шкалы оценки, вопросники и другие оценочные инструменты состояния пациента, приведенные в клинических рекомендациях ....................................... 39 </w:t>
      </w:r>
    </w:p>
    <w:p w:rsidR="00981A75" w:rsidRDefault="001E759B">
      <w:pPr>
        <w:spacing w:after="249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95"/>
        <w:ind w:left="2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spacing w:after="86"/>
        <w:ind w:left="29" w:right="22"/>
      </w:pPr>
      <w:r>
        <w:t>Список сокращений</w:t>
      </w:r>
      <w:r>
        <w:t xml:space="preserve"> </w:t>
      </w:r>
    </w:p>
    <w:p w:rsidR="00981A75" w:rsidRDefault="001E759B">
      <w:pPr>
        <w:spacing w:after="3" w:line="359" w:lineRule="auto"/>
        <w:ind w:left="1276" w:right="2" w:hanging="569"/>
        <w:jc w:val="both"/>
      </w:pPr>
      <w:r>
        <w:rPr>
          <w:rFonts w:ascii="Times New Roman" w:eastAsia="Times New Roman" w:hAnsi="Times New Roman" w:cs="Times New Roman"/>
          <w:sz w:val="24"/>
        </w:rPr>
        <w:t>КТ - компьютерная томография (</w:t>
      </w:r>
      <w:r>
        <w:rPr>
          <w:rFonts w:ascii="Times New Roman" w:eastAsia="Times New Roman" w:hAnsi="Times New Roman" w:cs="Times New Roman"/>
          <w:sz w:val="24"/>
        </w:rPr>
        <w:t xml:space="preserve">компьютерной томографии лицевого отдела черепа) (А06.03.002) </w:t>
      </w:r>
    </w:p>
    <w:p w:rsidR="00981A75" w:rsidRDefault="001E759B">
      <w:pPr>
        <w:spacing w:after="3" w:line="359" w:lineRule="auto"/>
        <w:ind w:left="1276" w:right="2" w:hanging="569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МРТ </w:t>
      </w:r>
      <w:r>
        <w:rPr>
          <w:rFonts w:ascii="Times New Roman" w:eastAsia="Times New Roman" w:hAnsi="Times New Roman" w:cs="Times New Roman"/>
          <w:sz w:val="24"/>
        </w:rPr>
        <w:tab/>
        <w:t xml:space="preserve">- </w:t>
      </w:r>
      <w:r>
        <w:rPr>
          <w:rFonts w:ascii="Times New Roman" w:eastAsia="Times New Roman" w:hAnsi="Times New Roman" w:cs="Times New Roman"/>
          <w:sz w:val="24"/>
        </w:rPr>
        <w:tab/>
        <w:t xml:space="preserve">магнитно-резонансная </w:t>
      </w:r>
      <w:r>
        <w:rPr>
          <w:rFonts w:ascii="Times New Roman" w:eastAsia="Times New Roman" w:hAnsi="Times New Roman" w:cs="Times New Roman"/>
          <w:sz w:val="24"/>
        </w:rPr>
        <w:tab/>
        <w:t xml:space="preserve">томография </w:t>
      </w:r>
      <w:r>
        <w:rPr>
          <w:rFonts w:ascii="Times New Roman" w:eastAsia="Times New Roman" w:hAnsi="Times New Roman" w:cs="Times New Roman"/>
          <w:sz w:val="24"/>
        </w:rPr>
        <w:tab/>
        <w:t xml:space="preserve">(магнитно-резонансная </w:t>
      </w:r>
      <w:r>
        <w:rPr>
          <w:rFonts w:ascii="Times New Roman" w:eastAsia="Times New Roman" w:hAnsi="Times New Roman" w:cs="Times New Roman"/>
          <w:sz w:val="24"/>
        </w:rPr>
        <w:tab/>
        <w:t xml:space="preserve">томография лицевого отдела черепа) (А05.03.004)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ННР – нижняя носовая раковина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ННХ – нижний носовой ход </w:t>
      </w:r>
    </w:p>
    <w:p w:rsidR="00981A75" w:rsidRDefault="001E759B">
      <w:pPr>
        <w:tabs>
          <w:tab w:val="center" w:pos="883"/>
          <w:tab w:val="center" w:pos="2573"/>
        </w:tabs>
        <w:spacing w:after="119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НП </w:t>
      </w:r>
      <w:r>
        <w:rPr>
          <w:rFonts w:ascii="Times New Roman" w:eastAsia="Times New Roman" w:hAnsi="Times New Roman" w:cs="Times New Roman"/>
          <w:sz w:val="24"/>
        </w:rPr>
        <w:tab/>
        <w:t xml:space="preserve">– </w:t>
      </w:r>
      <w:r>
        <w:rPr>
          <w:rFonts w:ascii="Times New Roman" w:eastAsia="Times New Roman" w:hAnsi="Times New Roman" w:cs="Times New Roman"/>
          <w:sz w:val="24"/>
        </w:rPr>
        <w:t xml:space="preserve">носовая перегородка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НСК - носослезный канал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НСП - носослезный проток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СК - слезный каналец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СМ - слезный мешок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СНР – средняя носовая раковина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СНХ – средний носовой ход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СОП – слезоотводящие пути 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СТ - слезная точка </w:t>
      </w:r>
      <w:r>
        <w:br w:type="page"/>
      </w:r>
    </w:p>
    <w:p w:rsidR="00981A75" w:rsidRDefault="001E759B">
      <w:pPr>
        <w:pStyle w:val="Heading1"/>
        <w:spacing w:after="85"/>
        <w:ind w:left="715"/>
      </w:pPr>
      <w:r>
        <w:t>Термины и определения</w:t>
      </w:r>
      <w: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Слезотечени</w:t>
      </w:r>
      <w:r>
        <w:rPr>
          <w:rFonts w:ascii="Times New Roman" w:eastAsia="Times New Roman" w:hAnsi="Times New Roman" w:cs="Times New Roman"/>
          <w:b/>
          <w:sz w:val="24"/>
        </w:rPr>
        <w:t>е = эпифора</w:t>
      </w:r>
      <w:r>
        <w:rPr>
          <w:rFonts w:ascii="Times New Roman" w:eastAsia="Times New Roman" w:hAnsi="Times New Roman" w:cs="Times New Roman"/>
          <w:sz w:val="24"/>
        </w:rPr>
        <w:t xml:space="preserve"> - истечение слезной жидкости наружу за пределы глазной щели. </w:t>
      </w:r>
    </w:p>
    <w:p w:rsidR="00981A75" w:rsidRDefault="001E759B">
      <w:pPr>
        <w:spacing w:after="3" w:line="359" w:lineRule="auto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Слезные протоки</w:t>
      </w:r>
      <w:r>
        <w:rPr>
          <w:rFonts w:ascii="Times New Roman" w:eastAsia="Times New Roman" w:hAnsi="Times New Roman" w:cs="Times New Roman"/>
          <w:sz w:val="24"/>
        </w:rPr>
        <w:t xml:space="preserve"> - комплекс анатомических образований слезоотводящей системы </w:t>
      </w:r>
      <w:r>
        <w:rPr>
          <w:rFonts w:ascii="Times New Roman" w:eastAsia="Times New Roman" w:hAnsi="Times New Roman" w:cs="Times New Roman"/>
          <w:b/>
          <w:sz w:val="24"/>
        </w:rPr>
        <w:t>Атрезия</w:t>
      </w:r>
      <w:r>
        <w:rPr>
          <w:rFonts w:ascii="Times New Roman" w:eastAsia="Times New Roman" w:hAnsi="Times New Roman" w:cs="Times New Roman"/>
          <w:sz w:val="24"/>
        </w:rPr>
        <w:t xml:space="preserve"> - порок развития, отсутствие отверстия или канала.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Дакриостеноз</w:t>
      </w:r>
      <w:r>
        <w:rPr>
          <w:rFonts w:ascii="Times New Roman" w:eastAsia="Times New Roman" w:hAnsi="Times New Roman" w:cs="Times New Roman"/>
          <w:sz w:val="24"/>
        </w:rPr>
        <w:t xml:space="preserve"> - сужение слезных протоков.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Дакр</w:t>
      </w:r>
      <w:r>
        <w:rPr>
          <w:rFonts w:ascii="Times New Roman" w:eastAsia="Times New Roman" w:hAnsi="Times New Roman" w:cs="Times New Roman"/>
          <w:b/>
          <w:sz w:val="24"/>
        </w:rPr>
        <w:t>иостаз</w:t>
      </w:r>
      <w:r>
        <w:rPr>
          <w:rFonts w:ascii="Times New Roman" w:eastAsia="Times New Roman" w:hAnsi="Times New Roman" w:cs="Times New Roman"/>
          <w:sz w:val="24"/>
        </w:rPr>
        <w:t xml:space="preserve"> - застой слезы в слезных протоках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Дакриоцеле</w:t>
      </w:r>
      <w:r>
        <w:rPr>
          <w:rFonts w:ascii="Times New Roman" w:eastAsia="Times New Roman" w:hAnsi="Times New Roman" w:cs="Times New Roman"/>
          <w:sz w:val="24"/>
        </w:rPr>
        <w:t xml:space="preserve"> - увеличение объема слезного протока в результате застоя слезы в слезном мешке (дакриоцистоцеле) или носослезном протоке (дакриодуктоцеле).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Дакриопс</w:t>
      </w:r>
      <w:r>
        <w:rPr>
          <w:rFonts w:ascii="Times New Roman" w:eastAsia="Times New Roman" w:hAnsi="Times New Roman" w:cs="Times New Roman"/>
          <w:sz w:val="24"/>
        </w:rPr>
        <w:t xml:space="preserve"> - </w:t>
      </w:r>
      <w:r>
        <w:rPr>
          <w:rFonts w:ascii="Times New Roman" w:eastAsia="Times New Roman" w:hAnsi="Times New Roman" w:cs="Times New Roman"/>
          <w:sz w:val="24"/>
        </w:rPr>
        <w:t xml:space="preserve">кистовидное расширение выводного протока слезной железы вследствие заращения его устья.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Облитерация</w:t>
      </w:r>
      <w:r>
        <w:rPr>
          <w:rFonts w:ascii="Times New Roman" w:eastAsia="Times New Roman" w:hAnsi="Times New Roman" w:cs="Times New Roman"/>
          <w:sz w:val="24"/>
        </w:rPr>
        <w:t xml:space="preserve"> - заращение или закрытие полостного или трубчатого органа вследствие разрастания ткани (чаще соединительной), идущего со стороны его стенок.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Обструкция</w:t>
      </w:r>
      <w:r>
        <w:rPr>
          <w:rFonts w:ascii="Times New Roman" w:eastAsia="Times New Roman" w:hAnsi="Times New Roman" w:cs="Times New Roman"/>
          <w:sz w:val="24"/>
        </w:rPr>
        <w:t xml:space="preserve"> - </w:t>
      </w:r>
      <w:r>
        <w:rPr>
          <w:rFonts w:ascii="Times New Roman" w:eastAsia="Times New Roman" w:hAnsi="Times New Roman" w:cs="Times New Roman"/>
          <w:sz w:val="24"/>
        </w:rPr>
        <w:t xml:space="preserve">ограниченное препятствие по ходу канала или в полости.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Зондирование</w:t>
      </w:r>
      <w:r>
        <w:rPr>
          <w:rFonts w:ascii="Times New Roman" w:eastAsia="Times New Roman" w:hAnsi="Times New Roman" w:cs="Times New Roman"/>
          <w:sz w:val="24"/>
        </w:rPr>
        <w:t xml:space="preserve"> - диагностическая манипуляция, проведение зонда по слезным протокам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Бужирование</w:t>
      </w:r>
      <w:r>
        <w:rPr>
          <w:rFonts w:ascii="Times New Roman" w:eastAsia="Times New Roman" w:hAnsi="Times New Roman" w:cs="Times New Roman"/>
          <w:sz w:val="24"/>
        </w:rPr>
        <w:t xml:space="preserve"> - лечебно-диагностическая манипуляция, проведение зонда по слезным протокам с перфорированием препятствий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Пиоцеле</w:t>
      </w:r>
      <w:r>
        <w:rPr>
          <w:rFonts w:ascii="Times New Roman" w:eastAsia="Times New Roman" w:hAnsi="Times New Roman" w:cs="Times New Roman"/>
          <w:sz w:val="24"/>
        </w:rPr>
        <w:t xml:space="preserve"> - скопление гноя в блокированном слезном мешке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Мукоцеле</w:t>
      </w:r>
      <w:r>
        <w:rPr>
          <w:rFonts w:ascii="Times New Roman" w:eastAsia="Times New Roman" w:hAnsi="Times New Roman" w:cs="Times New Roman"/>
          <w:sz w:val="24"/>
        </w:rPr>
        <w:t xml:space="preserve"> - скопление слизи в блокированном слезном мешке </w:t>
      </w:r>
    </w:p>
    <w:p w:rsidR="00981A75" w:rsidRDefault="001E759B">
      <w:pPr>
        <w:spacing w:after="113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Эмпиема</w:t>
      </w:r>
      <w:r>
        <w:rPr>
          <w:rFonts w:ascii="Times New Roman" w:eastAsia="Times New Roman" w:hAnsi="Times New Roman" w:cs="Times New Roman"/>
          <w:sz w:val="24"/>
        </w:rPr>
        <w:t xml:space="preserve"> - активный гнойный процесс в блокированном слезном мешке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Флегмонозный дакриоцистит – </w:t>
      </w:r>
      <w:r>
        <w:rPr>
          <w:rFonts w:ascii="Times New Roman" w:eastAsia="Times New Roman" w:hAnsi="Times New Roman" w:cs="Times New Roman"/>
          <w:sz w:val="24"/>
        </w:rPr>
        <w:t>распространение гнойно-воспалительного процесса</w:t>
      </w:r>
      <w:r>
        <w:rPr>
          <w:rFonts w:ascii="Times New Roman" w:eastAsia="Times New Roman" w:hAnsi="Times New Roman" w:cs="Times New Roman"/>
          <w:sz w:val="24"/>
        </w:rPr>
        <w:t xml:space="preserve"> на окружающую слезный мешок клетчатку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Стентирование, интубация</w:t>
      </w:r>
      <w:r>
        <w:rPr>
          <w:rFonts w:ascii="Times New Roman" w:eastAsia="Times New Roman" w:hAnsi="Times New Roman" w:cs="Times New Roman"/>
          <w:sz w:val="24"/>
        </w:rPr>
        <w:t xml:space="preserve"> - введение интубирующего материала в слезные протоки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Слезный мениск</w:t>
      </w:r>
      <w:r>
        <w:rPr>
          <w:rFonts w:ascii="Times New Roman" w:eastAsia="Times New Roman" w:hAnsi="Times New Roman" w:cs="Times New Roman"/>
          <w:sz w:val="24"/>
        </w:rPr>
        <w:t xml:space="preserve"> = слезный ручей – скопление слезы между нижним веком и глазным яблоком </w:t>
      </w:r>
    </w:p>
    <w:p w:rsidR="00981A75" w:rsidRDefault="001E759B">
      <w:pPr>
        <w:pStyle w:val="Heading1"/>
        <w:spacing w:after="0" w:line="249" w:lineRule="auto"/>
        <w:ind w:left="3555" w:hanging="2494"/>
        <w:jc w:val="left"/>
      </w:pPr>
      <w:r>
        <w:t>1.</w:t>
      </w:r>
      <w:r>
        <w:rPr>
          <w:rFonts w:ascii="Arial" w:eastAsia="Arial" w:hAnsi="Arial" w:cs="Arial"/>
        </w:rPr>
        <w:t xml:space="preserve"> </w:t>
      </w:r>
      <w:r>
        <w:t>Краткая информация по заболеванию или состоянию (группе заболеваний или состояний)</w:t>
      </w:r>
      <w: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Группа заболеваний (состояний) объединены по общему признаку: нарушению слезоотведения с возможным присоединением инфекционного воспаления.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норме отток слезы происходи</w:t>
      </w:r>
      <w:r>
        <w:rPr>
          <w:rFonts w:ascii="Times New Roman" w:eastAsia="Times New Roman" w:hAnsi="Times New Roman" w:cs="Times New Roman"/>
          <w:sz w:val="24"/>
        </w:rPr>
        <w:t xml:space="preserve">т по свободным СП за счет насосного действия мышечных волокон, окружающих слезный мешок, и относительно низкого давления воздуха в полости носа при дыхании. </w:t>
      </w:r>
    </w:p>
    <w:p w:rsidR="00981A75" w:rsidRDefault="001E759B">
      <w:pPr>
        <w:spacing w:after="125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tabs>
          <w:tab w:val="center" w:pos="1599"/>
          <w:tab w:val="center" w:pos="3430"/>
          <w:tab w:val="center" w:pos="4579"/>
          <w:tab w:val="center" w:pos="5604"/>
          <w:tab w:val="center" w:pos="6881"/>
          <w:tab w:val="center" w:pos="8282"/>
          <w:tab w:val="right" w:pos="9648"/>
        </w:tabs>
        <w:spacing w:after="0" w:line="365" w:lineRule="auto"/>
      </w:pPr>
      <w:r>
        <w:tab/>
      </w:r>
      <w:r>
        <w:rPr>
          <w:rFonts w:ascii="Times New Roman" w:eastAsia="Times New Roman" w:hAnsi="Times New Roman" w:cs="Times New Roman"/>
          <w:b/>
          <w:sz w:val="24"/>
        </w:rPr>
        <w:t>1.1</w:t>
      </w:r>
      <w:r>
        <w:rPr>
          <w:rFonts w:ascii="Arial" w:eastAsia="Arial" w:hAnsi="Arial" w:cs="Arial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Определение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 xml:space="preserve">заболевания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 xml:space="preserve">или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 xml:space="preserve">состояния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 xml:space="preserve">(группы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 xml:space="preserve">заболеваний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ab/>
        <w:t>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pStyle w:val="Heading2"/>
        <w:spacing w:after="0" w:line="365" w:lineRule="auto"/>
        <w:ind w:left="1055" w:hanging="360"/>
      </w:pPr>
      <w:r>
        <w:t>состояний)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Недостаточность слезных протоков – патологическое состояние, проявляющееся задержкой слезооттока по естественным анатомическим путям. Препятствиями для нормального прохождения слезы могут быть: патология слезных точек в виде атрезии, стриктуры, дистопии, з</w:t>
      </w:r>
      <w:r>
        <w:rPr>
          <w:rFonts w:ascii="Times New Roman" w:eastAsia="Times New Roman" w:hAnsi="Times New Roman" w:cs="Times New Roman"/>
          <w:sz w:val="24"/>
        </w:rPr>
        <w:t>аворота или выворота; патология слезных канальцев в виде атрезии, стриктуры, обструкции или облитерации; патология слезного мешка в виде атрезии, стриктуры просвета, обструкции или облитерации; патология носослезного протока в виде атрезии, стриктуры, обст</w:t>
      </w:r>
      <w:r>
        <w:rPr>
          <w:rFonts w:ascii="Times New Roman" w:eastAsia="Times New Roman" w:hAnsi="Times New Roman" w:cs="Times New Roman"/>
          <w:sz w:val="24"/>
        </w:rPr>
        <w:t xml:space="preserve">рукции или облитерации.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Патологическое состояние СОП может осложняться заболеваниями катаральновоспалительного и гнойно-воспалительного характера в связи с инфицированием застойного содержимого.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наличии препятствия в НСП и развитии инфекционного вос</w:t>
      </w:r>
      <w:r>
        <w:rPr>
          <w:rFonts w:ascii="Times New Roman" w:eastAsia="Times New Roman" w:hAnsi="Times New Roman" w:cs="Times New Roman"/>
          <w:sz w:val="24"/>
        </w:rPr>
        <w:t xml:space="preserve">паления развивается дакриоцистит в острой или хронической форме.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случае обструкции входа в СМ со стороны СК и выхода со стороны НСП развивается дакриоцеле – кистовидное расширение СМ, заполненного слизью или гноем. Активизация инфекции в СМ может приве</w:t>
      </w:r>
      <w:r>
        <w:rPr>
          <w:rFonts w:ascii="Times New Roman" w:eastAsia="Times New Roman" w:hAnsi="Times New Roman" w:cs="Times New Roman"/>
          <w:sz w:val="24"/>
        </w:rPr>
        <w:t xml:space="preserve">сти к распространению гнойного процесса за пределы СМ в виде флегмоны окружающих тканей с возможным абсцедированием и формированием свища на коже. </w:t>
      </w:r>
    </w:p>
    <w:p w:rsidR="00981A75" w:rsidRDefault="001E759B">
      <w:pPr>
        <w:spacing w:after="123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 w:line="361" w:lineRule="auto"/>
        <w:ind w:left="1055" w:hanging="360"/>
        <w:jc w:val="both"/>
      </w:pPr>
      <w:r>
        <w:rPr>
          <w:rFonts w:ascii="Times New Roman" w:eastAsia="Times New Roman" w:hAnsi="Times New Roman" w:cs="Times New Roman"/>
          <w:b/>
          <w:sz w:val="24"/>
        </w:rPr>
        <w:t>1.2</w:t>
      </w:r>
      <w:r>
        <w:rPr>
          <w:rFonts w:ascii="Arial" w:eastAsia="Arial" w:hAnsi="Arial" w:cs="Arial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Этиология и патогенез заболевания или состояния (группы заболеваний 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pStyle w:val="Heading2"/>
        <w:spacing w:after="0" w:line="361" w:lineRule="auto"/>
        <w:ind w:left="1055" w:hanging="360"/>
      </w:pPr>
      <w:r>
        <w:t>состояний)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Воспаление слезны</w:t>
      </w:r>
      <w:r>
        <w:rPr>
          <w:rFonts w:ascii="Times New Roman" w:eastAsia="Times New Roman" w:hAnsi="Times New Roman" w:cs="Times New Roman"/>
          <w:sz w:val="24"/>
        </w:rPr>
        <w:t xml:space="preserve">х протоков развивается в результате задержки слезооттока и активизации внутрипротоковой инфекции.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Задержка слезооттока может быть обусловлена пороками развития, дистопией анатомических структур, наличием инородных объектов, сужением просвета или заращение</w:t>
      </w:r>
      <w:r>
        <w:rPr>
          <w:rFonts w:ascii="Times New Roman" w:eastAsia="Times New Roman" w:hAnsi="Times New Roman" w:cs="Times New Roman"/>
          <w:sz w:val="24"/>
        </w:rPr>
        <w:t xml:space="preserve">м слезных протоков. </w:t>
      </w:r>
    </w:p>
    <w:p w:rsidR="00981A75" w:rsidRDefault="001E759B">
      <w:pPr>
        <w:spacing w:after="126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spacing w:after="0" w:line="359" w:lineRule="auto"/>
        <w:ind w:left="1055" w:hanging="360"/>
      </w:pPr>
      <w:r>
        <w:rPr>
          <w:u w:val="none"/>
        </w:rPr>
        <w:t>1.3</w:t>
      </w:r>
      <w:r>
        <w:rPr>
          <w:rFonts w:ascii="Arial" w:eastAsia="Arial" w:hAnsi="Arial" w:cs="Arial"/>
          <w:u w:val="none"/>
        </w:rPr>
        <w:t xml:space="preserve"> </w:t>
      </w:r>
      <w:r>
        <w:t>Эпидемиология</w:t>
      </w:r>
      <w:r>
        <w:t xml:space="preserve"> </w:t>
      </w:r>
      <w:r>
        <w:t xml:space="preserve">заболевания или состояния </w:t>
      </w:r>
      <w:r>
        <w:t>(</w:t>
      </w:r>
      <w:r>
        <w:t>группы заболеваний или</w:t>
      </w:r>
      <w:r>
        <w:rPr>
          <w:u w:val="none"/>
        </w:rPr>
        <w:t xml:space="preserve"> </w:t>
      </w:r>
      <w:r>
        <w:t>состояний)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Заболевания слезоотводящих путей представляют собой значимую медицинскую проблему, затрагивающую широкий спектр пациентов. Их распространенность может варьироваться в зависимости от различных факторов, таких как возраст, пол, географическое положение и соп</w:t>
      </w:r>
      <w:r>
        <w:rPr>
          <w:rFonts w:ascii="Times New Roman" w:eastAsia="Times New Roman" w:hAnsi="Times New Roman" w:cs="Times New Roman"/>
          <w:sz w:val="24"/>
        </w:rPr>
        <w:t xml:space="preserve">утствующие заболевания.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По данным различных исследований, заболевания слезоотводящих путей, такие как дакриоцистит и обструкции слезных протоков, встречаются у 5-10% населения. По другим оценкам, около 10-20% людей старше 60 лет могут испытывать различные</w:t>
      </w:r>
      <w:r>
        <w:rPr>
          <w:rFonts w:ascii="Times New Roman" w:eastAsia="Times New Roman" w:hAnsi="Times New Roman" w:cs="Times New Roman"/>
          <w:sz w:val="24"/>
        </w:rPr>
        <w:t xml:space="preserve"> проблемы, связанные с нарушением оттока слезной жидкости. При этом женщины страдают от заболеваний слезоотводящих путей в несколько раз чаще [1- 5].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Заболевания слезоотводящих путей нередко сопутствуют другим состояниям, таким как аллергический ринит, синусит и различные инфекционные процессы. Хронические воспалительные состояния могут усугублять симптомы и увеличивать риск развития вторичных инфекций.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Эпидемиологические данные показывают, что распространенность заболеваний слезоотводящих путей может варьироваться в зависимости от региона и экологии. Например, в районах с высоким уровнем загрязнения окружающей среды или в условиях повышенной влажности</w:t>
      </w:r>
      <w:r>
        <w:rPr>
          <w:rFonts w:ascii="Times New Roman" w:eastAsia="Times New Roman" w:hAnsi="Times New Roman" w:cs="Times New Roman"/>
          <w:sz w:val="24"/>
        </w:rPr>
        <w:t xml:space="preserve"> наблюдается большее количество случаев воспалительных заболеваний.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 w:line="358" w:lineRule="auto"/>
        <w:ind w:left="1055" w:hanging="360"/>
        <w:jc w:val="both"/>
      </w:pPr>
      <w:r>
        <w:rPr>
          <w:rFonts w:ascii="Times New Roman" w:eastAsia="Times New Roman" w:hAnsi="Times New Roman" w:cs="Times New Roman"/>
          <w:b/>
          <w:sz w:val="24"/>
        </w:rPr>
        <w:t>1.4</w:t>
      </w:r>
      <w:r>
        <w:rPr>
          <w:rFonts w:ascii="Arial" w:eastAsia="Arial" w:hAnsi="Arial" w:cs="Arial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Особенности кодирования заболевания или состояния (группы заболеваний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или состояний) по Международной статистической классификации болезней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и  проблем, связанных со здоровьем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pStyle w:val="Heading2"/>
        <w:spacing w:after="117"/>
        <w:ind w:left="705"/>
        <w:jc w:val="left"/>
      </w:pPr>
      <w:r>
        <w:t>H04.3</w:t>
      </w:r>
      <w:r>
        <w:rPr>
          <w:b w:val="0"/>
        </w:rPr>
        <w:t xml:space="preserve"> Острое и неуточненное воспаление слезных протоков</w:t>
      </w:r>
      <w:r>
        <w:rPr>
          <w:b w:val="0"/>
          <w:u w:val="none"/>
        </w:rPr>
        <w:t xml:space="preserve"> </w:t>
      </w:r>
      <w:r>
        <w:t>H04.4</w:t>
      </w:r>
      <w:r>
        <w:rPr>
          <w:b w:val="0"/>
        </w:rPr>
        <w:t xml:space="preserve"> Хроническое воспаление слезных протоков</w:t>
      </w:r>
      <w:r>
        <w:rPr>
          <w:b w:val="0"/>
          <w:u w:val="none"/>
        </w:rPr>
        <w:t xml:space="preserve"> </w:t>
      </w:r>
      <w:r>
        <w:t>H04.5</w:t>
      </w:r>
      <w:r>
        <w:rPr>
          <w:b w:val="0"/>
        </w:rPr>
        <w:t xml:space="preserve"> Стеноз и недостаточность слезных протоков</w:t>
      </w:r>
      <w:r>
        <w:rPr>
          <w:b w:val="0"/>
          <w:u w:val="none"/>
        </w:rPr>
        <w:t xml:space="preserve">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H04.8</w:t>
      </w:r>
      <w:r>
        <w:rPr>
          <w:rFonts w:ascii="Times New Roman" w:eastAsia="Times New Roman" w:hAnsi="Times New Roman" w:cs="Times New Roman"/>
          <w:sz w:val="24"/>
        </w:rPr>
        <w:t xml:space="preserve"> – другие болезни слёзного аппарата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3"/>
        <w:spacing w:after="0" w:line="361" w:lineRule="auto"/>
        <w:ind w:left="1055" w:hanging="360"/>
      </w:pPr>
      <w:r>
        <w:rPr>
          <w:u w:val="none"/>
        </w:rPr>
        <w:t>1.5</w:t>
      </w:r>
      <w:r>
        <w:rPr>
          <w:rFonts w:ascii="Arial" w:eastAsia="Arial" w:hAnsi="Arial" w:cs="Arial"/>
          <w:u w:val="none"/>
        </w:rPr>
        <w:t xml:space="preserve"> </w:t>
      </w:r>
      <w:r>
        <w:t>Классификация</w:t>
      </w:r>
      <w:r>
        <w:t xml:space="preserve"> </w:t>
      </w:r>
      <w:r>
        <w:t xml:space="preserve">заболевания или состояния </w:t>
      </w:r>
      <w:r>
        <w:t>(</w:t>
      </w:r>
      <w:r>
        <w:t xml:space="preserve">группы заболеваний </w:t>
      </w:r>
      <w:r>
        <w:t>или</w:t>
      </w:r>
      <w:r>
        <w:rPr>
          <w:u w:val="none"/>
        </w:rPr>
        <w:t xml:space="preserve"> </w:t>
      </w:r>
      <w:r>
        <w:t>состояний)</w:t>
      </w:r>
      <w:r>
        <w:rPr>
          <w:u w:val="none"/>
        </w:rPr>
        <w:t xml:space="preserve"> </w:t>
      </w:r>
    </w:p>
    <w:p w:rsidR="00981A75" w:rsidRDefault="001E759B">
      <w:pPr>
        <w:spacing w:after="116"/>
        <w:ind w:left="71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Классификация по клиническому проявлению: </w:t>
      </w:r>
    </w:p>
    <w:p w:rsidR="00981A75" w:rsidRDefault="001E759B">
      <w:pPr>
        <w:spacing w:after="15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Острое и неуточненное воспаление слезных протоков: </w:t>
      </w:r>
    </w:p>
    <w:p w:rsidR="00981A75" w:rsidRDefault="001E759B">
      <w:pPr>
        <w:numPr>
          <w:ilvl w:val="0"/>
          <w:numId w:val="4"/>
        </w:numPr>
        <w:spacing w:after="0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Дакриоцистит (флегмонозный) острый, подострый или неуточненный </w:t>
      </w:r>
    </w:p>
    <w:p w:rsidR="00981A75" w:rsidRDefault="001E759B">
      <w:pPr>
        <w:numPr>
          <w:ilvl w:val="0"/>
          <w:numId w:val="4"/>
        </w:numPr>
        <w:spacing w:after="115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Дакриоперицистит острый, подострый или неуточненный </w:t>
      </w:r>
    </w:p>
    <w:p w:rsidR="00981A75" w:rsidRDefault="001E759B">
      <w:pPr>
        <w:numPr>
          <w:ilvl w:val="0"/>
          <w:numId w:val="4"/>
        </w:numPr>
        <w:spacing w:after="71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Каналикулит слезный острый, подострый или неуточненный </w:t>
      </w:r>
    </w:p>
    <w:p w:rsidR="00981A75" w:rsidRDefault="001E759B">
      <w:pPr>
        <w:spacing w:after="119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Хроническое воспаление слезных протоков: </w:t>
      </w:r>
    </w:p>
    <w:p w:rsidR="00981A75" w:rsidRDefault="001E759B">
      <w:pPr>
        <w:spacing w:after="43" w:line="359" w:lineRule="auto"/>
        <w:ind w:left="717" w:right="5156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Дакриоцистит хронический Слезные протоки: </w:t>
      </w:r>
    </w:p>
    <w:p w:rsidR="00981A75" w:rsidRDefault="001E759B">
      <w:pPr>
        <w:numPr>
          <w:ilvl w:val="0"/>
          <w:numId w:val="4"/>
        </w:numPr>
        <w:spacing w:after="112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каналикулит хронический </w:t>
      </w:r>
    </w:p>
    <w:p w:rsidR="00981A75" w:rsidRDefault="001E759B">
      <w:pPr>
        <w:numPr>
          <w:ilvl w:val="0"/>
          <w:numId w:val="4"/>
        </w:numPr>
        <w:spacing w:after="71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мукоцеле хроническое </w:t>
      </w:r>
    </w:p>
    <w:p w:rsidR="00981A75" w:rsidRDefault="001E759B">
      <w:pPr>
        <w:spacing w:after="122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Стеноз и недостаточность слезных протоков: </w:t>
      </w:r>
    </w:p>
    <w:p w:rsidR="00981A75" w:rsidRDefault="001E759B">
      <w:pPr>
        <w:spacing w:after="115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Дакриолит </w:t>
      </w:r>
    </w:p>
    <w:p w:rsidR="00981A75" w:rsidRDefault="001E759B">
      <w:pPr>
        <w:spacing w:after="41" w:line="359" w:lineRule="auto"/>
        <w:ind w:left="717" w:right="5747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Выворот слезной точки Стеноз слезного: </w:t>
      </w:r>
    </w:p>
    <w:p w:rsidR="00981A75" w:rsidRDefault="001E759B">
      <w:pPr>
        <w:numPr>
          <w:ilvl w:val="0"/>
          <w:numId w:val="4"/>
        </w:numPr>
        <w:spacing w:after="110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канальца </w:t>
      </w:r>
    </w:p>
    <w:p w:rsidR="00981A75" w:rsidRDefault="001E759B">
      <w:pPr>
        <w:numPr>
          <w:ilvl w:val="0"/>
          <w:numId w:val="4"/>
        </w:numPr>
        <w:spacing w:after="112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протока </w:t>
      </w:r>
    </w:p>
    <w:p w:rsidR="00981A75" w:rsidRDefault="001E759B">
      <w:pPr>
        <w:numPr>
          <w:ilvl w:val="0"/>
          <w:numId w:val="4"/>
        </w:numPr>
        <w:spacing w:after="71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мешка </w:t>
      </w:r>
    </w:p>
    <w:p w:rsidR="00981A75" w:rsidRDefault="001E759B">
      <w:pPr>
        <w:spacing w:after="113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Классификация патологии по этиологии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</w:p>
    <w:p w:rsidR="00981A75" w:rsidRDefault="001E759B">
      <w:pPr>
        <w:numPr>
          <w:ilvl w:val="0"/>
          <w:numId w:val="5"/>
        </w:numPr>
        <w:spacing w:after="115"/>
        <w:ind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Аномальная </w:t>
      </w:r>
    </w:p>
    <w:p w:rsidR="00981A75" w:rsidRDefault="001E759B">
      <w:pPr>
        <w:numPr>
          <w:ilvl w:val="0"/>
          <w:numId w:val="5"/>
        </w:numPr>
        <w:spacing w:after="112"/>
        <w:ind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Сенильная </w:t>
      </w:r>
    </w:p>
    <w:p w:rsidR="00981A75" w:rsidRDefault="001E759B">
      <w:pPr>
        <w:numPr>
          <w:ilvl w:val="0"/>
          <w:numId w:val="5"/>
        </w:numPr>
        <w:spacing w:after="115"/>
        <w:ind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Травматическая </w:t>
      </w:r>
    </w:p>
    <w:p w:rsidR="00981A75" w:rsidRDefault="001E759B">
      <w:pPr>
        <w:numPr>
          <w:ilvl w:val="0"/>
          <w:numId w:val="5"/>
        </w:numPr>
        <w:spacing w:after="112"/>
        <w:ind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Механическая </w:t>
      </w:r>
    </w:p>
    <w:p w:rsidR="00981A75" w:rsidRDefault="001E759B">
      <w:pPr>
        <w:numPr>
          <w:ilvl w:val="0"/>
          <w:numId w:val="5"/>
        </w:numPr>
        <w:spacing w:after="3" w:line="359" w:lineRule="auto"/>
        <w:ind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Постморбидная (как осложнение некротических, дегенеративных, онкологических заболеваний)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Классификация патологии по локализации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</w:p>
    <w:p w:rsidR="00981A75" w:rsidRDefault="001E759B">
      <w:pPr>
        <w:numPr>
          <w:ilvl w:val="0"/>
          <w:numId w:val="6"/>
        </w:numPr>
        <w:spacing w:after="112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Слезных точек </w:t>
      </w:r>
    </w:p>
    <w:p w:rsidR="00981A75" w:rsidRDefault="001E759B">
      <w:pPr>
        <w:numPr>
          <w:ilvl w:val="0"/>
          <w:numId w:val="6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Слезных канальцев </w:t>
      </w:r>
    </w:p>
    <w:p w:rsidR="00981A75" w:rsidRDefault="001E759B">
      <w:pPr>
        <w:numPr>
          <w:ilvl w:val="0"/>
          <w:numId w:val="6"/>
        </w:numPr>
        <w:spacing w:after="112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Слезного мешка </w:t>
      </w:r>
    </w:p>
    <w:p w:rsidR="00981A75" w:rsidRDefault="001E759B">
      <w:pPr>
        <w:numPr>
          <w:ilvl w:val="0"/>
          <w:numId w:val="6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Носослезного протока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Классификация патологии по патогенезу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</w:p>
    <w:p w:rsidR="00981A75" w:rsidRDefault="001E759B">
      <w:pPr>
        <w:numPr>
          <w:ilvl w:val="0"/>
          <w:numId w:val="7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Распространенная эпителиальная (SJS, пемфигоид и др) </w:t>
      </w:r>
    </w:p>
    <w:p w:rsidR="00981A75" w:rsidRDefault="001E759B">
      <w:pPr>
        <w:numPr>
          <w:ilvl w:val="0"/>
          <w:numId w:val="7"/>
        </w:numPr>
        <w:spacing w:after="113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>Воспалительная фиброзно-инфильтративная (хроничес</w:t>
      </w:r>
      <w:r>
        <w:rPr>
          <w:rFonts w:ascii="Times New Roman" w:eastAsia="Times New Roman" w:hAnsi="Times New Roman" w:cs="Times New Roman"/>
          <w:sz w:val="24"/>
        </w:rPr>
        <w:t xml:space="preserve">кое воспаление) </w:t>
      </w:r>
    </w:p>
    <w:p w:rsidR="00981A75" w:rsidRDefault="001E759B">
      <w:pPr>
        <w:numPr>
          <w:ilvl w:val="0"/>
          <w:numId w:val="7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Локальная рубцовая 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Классификация патологии по степени ограничения просвета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</w:p>
    <w:p w:rsidR="00981A75" w:rsidRDefault="001E759B">
      <w:pPr>
        <w:numPr>
          <w:ilvl w:val="0"/>
          <w:numId w:val="8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Сужение (стриктура) </w:t>
      </w:r>
    </w:p>
    <w:p w:rsidR="00981A75" w:rsidRDefault="001E759B">
      <w:pPr>
        <w:numPr>
          <w:ilvl w:val="0"/>
          <w:numId w:val="8"/>
        </w:numPr>
        <w:spacing w:after="112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Заращение (обструкция) </w:t>
      </w:r>
    </w:p>
    <w:p w:rsidR="00981A75" w:rsidRDefault="001E759B">
      <w:pPr>
        <w:numPr>
          <w:ilvl w:val="0"/>
          <w:numId w:val="8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Облитерация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Классификация патологии по прогрессированию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</w:p>
    <w:p w:rsidR="00981A75" w:rsidRDefault="001E759B">
      <w:pPr>
        <w:numPr>
          <w:ilvl w:val="0"/>
          <w:numId w:val="9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Стационарная </w:t>
      </w:r>
    </w:p>
    <w:p w:rsidR="00981A75" w:rsidRDefault="001E759B">
      <w:pPr>
        <w:numPr>
          <w:ilvl w:val="0"/>
          <w:numId w:val="9"/>
        </w:numPr>
        <w:spacing w:after="112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Прогрессирующая </w:t>
      </w:r>
    </w:p>
    <w:p w:rsidR="00981A75" w:rsidRDefault="001E759B">
      <w:pPr>
        <w:spacing w:after="125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 w:line="359" w:lineRule="auto"/>
        <w:ind w:left="1055" w:hanging="360"/>
        <w:jc w:val="both"/>
      </w:pPr>
      <w:r>
        <w:rPr>
          <w:rFonts w:ascii="Times New Roman" w:eastAsia="Times New Roman" w:hAnsi="Times New Roman" w:cs="Times New Roman"/>
          <w:b/>
          <w:sz w:val="24"/>
        </w:rPr>
        <w:t>1.6</w:t>
      </w:r>
      <w:r>
        <w:rPr>
          <w:rFonts w:ascii="Arial" w:eastAsia="Arial" w:hAnsi="Arial" w:cs="Arial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Клиническая картина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 заболевания или состояния (группы заболеваний 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pStyle w:val="Heading3"/>
        <w:spacing w:after="0" w:line="359" w:lineRule="auto"/>
        <w:ind w:left="1055" w:hanging="360"/>
      </w:pPr>
      <w:r>
        <w:t>состояний)</w:t>
      </w:r>
      <w:r>
        <w:rPr>
          <w:u w:val="none"/>
        </w:rPr>
        <w:t xml:space="preserve">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Клинические проявления зависят от локализации патологии и ее патогенеза.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Дистопия СТ, как выворот, так и заворот, затрудняют попадание слезы в слезные протоки, наблюдается расширение слезного</w:t>
      </w:r>
      <w:r>
        <w:rPr>
          <w:rFonts w:ascii="Times New Roman" w:eastAsia="Times New Roman" w:hAnsi="Times New Roman" w:cs="Times New Roman"/>
          <w:sz w:val="24"/>
        </w:rPr>
        <w:t xml:space="preserve"> ручья и слезного озера.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Атрезия или облитерация СТ и/или СК и/или всех элементов слезных протоков сопровождаются слезотечением или слезостоянием.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инфекционном поражении отмечается локальная и/или перифокальная воспалительная реакция с выделением гно</w:t>
      </w:r>
      <w:r>
        <w:rPr>
          <w:rFonts w:ascii="Times New Roman" w:eastAsia="Times New Roman" w:hAnsi="Times New Roman" w:cs="Times New Roman"/>
          <w:sz w:val="24"/>
        </w:rPr>
        <w:t>я. Количество гноя зависит от места воспаления, величины просвета протоков, агрессивности инфекции. Каналикулит, как правило, проявляется локальным воспалением в пределах канальца и скоплением творожистых масс или конкрементов в его просвете. При этом эксп</w:t>
      </w:r>
      <w:r>
        <w:rPr>
          <w:rFonts w:ascii="Times New Roman" w:eastAsia="Times New Roman" w:hAnsi="Times New Roman" w:cs="Times New Roman"/>
          <w:sz w:val="24"/>
        </w:rPr>
        <w:t xml:space="preserve">рессия содержимого канальца затруднена, но лаваж по слезным протокам сохраняется.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дакриоцистите надавливание на область СМ сопровождается выделением слизи и/или гноя из СТ. Как правило, гной обладает сливкообразной консистенцией и имеет желтоватый цв</w:t>
      </w:r>
      <w:r>
        <w:rPr>
          <w:rFonts w:ascii="Times New Roman" w:eastAsia="Times New Roman" w:hAnsi="Times New Roman" w:cs="Times New Roman"/>
          <w:sz w:val="24"/>
        </w:rPr>
        <w:t xml:space="preserve">ет. В ряде случаев выделения гноя не наблюдается несмотря на пальпаторно определяемое увеличение объема СМ. Это может быть связано с одновременным блокированием как устья канальцев, так и НСП.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Накопление слизи (мукоцеле) и/или гноя (пиоцеле) в СМ его кис</w:t>
      </w:r>
      <w:r>
        <w:rPr>
          <w:rFonts w:ascii="Times New Roman" w:eastAsia="Times New Roman" w:hAnsi="Times New Roman" w:cs="Times New Roman"/>
          <w:sz w:val="24"/>
        </w:rPr>
        <w:t xml:space="preserve">товидным расширением может наблюдаться длительное время.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активизации инфекции в мешке развивается острый гнойный дакриоцистит с покраснением кожи в проекции СМ и постоянным выделением значительного количества гноя из СТ.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 тех случаях, когда устье сл</w:t>
      </w:r>
      <w:r>
        <w:rPr>
          <w:rFonts w:ascii="Times New Roman" w:eastAsia="Times New Roman" w:hAnsi="Times New Roman" w:cs="Times New Roman"/>
          <w:sz w:val="24"/>
        </w:rPr>
        <w:t xml:space="preserve">езных канальцев закрыто, инфекционное воспаление развивается в полости мешка (эмпиема).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Распространение гнойно-воспалительного процесса за пределы слезного мешка в окружающее клетчаточное пространство (флегмонозный дакриоцистит) обостряет клиническую карт</w:t>
      </w:r>
      <w:r>
        <w:rPr>
          <w:rFonts w:ascii="Times New Roman" w:eastAsia="Times New Roman" w:hAnsi="Times New Roman" w:cs="Times New Roman"/>
          <w:sz w:val="24"/>
        </w:rPr>
        <w:t xml:space="preserve">ину, развиваются выраженный отек вплоть до полного закрытия глазной щели, гиперемия кожи, боль, при этом могут возникать симптомы общей интоксикации, повышение температуры.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Гнойное расплавление стенки слезного мешка происходит, как правило, в сторону пове</w:t>
      </w:r>
      <w:r>
        <w:rPr>
          <w:rFonts w:ascii="Times New Roman" w:eastAsia="Times New Roman" w:hAnsi="Times New Roman" w:cs="Times New Roman"/>
          <w:sz w:val="24"/>
        </w:rPr>
        <w:t xml:space="preserve">рхности кожи. Клиническая картина характеризуется разлитой гиперемией, выраженным локальным выбуханием, постепенным истончением кожи, в итоге - формированием кожного свища. </w:t>
      </w:r>
    </w:p>
    <w:p w:rsidR="00981A75" w:rsidRDefault="001E759B">
      <w:pPr>
        <w:spacing w:after="261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spacing w:line="358" w:lineRule="auto"/>
        <w:ind w:left="29" w:right="19"/>
      </w:pPr>
      <w:r>
        <w:t xml:space="preserve">2. </w:t>
      </w:r>
      <w:r>
        <w:t>Диагностика заболевания или состояния (группы заболеваний или состояний), медицинские показания и противопоказания к применению методов диагностики</w:t>
      </w:r>
      <w:r>
        <w:t xml:space="preserve"> </w:t>
      </w:r>
    </w:p>
    <w:p w:rsidR="00981A75" w:rsidRDefault="001E759B">
      <w:pPr>
        <w:spacing w:after="159"/>
        <w:ind w:left="143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Диагноз устанавливают на основании:  </w:t>
      </w:r>
    </w:p>
    <w:p w:rsidR="00981A75" w:rsidRDefault="001E759B">
      <w:pPr>
        <w:numPr>
          <w:ilvl w:val="0"/>
          <w:numId w:val="10"/>
        </w:numPr>
        <w:spacing w:after="113"/>
        <w:ind w:hanging="34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жалоб на слезотечение с выделением гноя из слезных точек или без него</w:t>
      </w:r>
      <w:r>
        <w:rPr>
          <w:rFonts w:ascii="Times New Roman" w:eastAsia="Times New Roman" w:hAnsi="Times New Roman" w:cs="Times New Roman"/>
          <w:i/>
          <w:sz w:val="24"/>
        </w:rPr>
        <w:t xml:space="preserve">;  </w:t>
      </w:r>
    </w:p>
    <w:p w:rsidR="00981A75" w:rsidRDefault="001E759B">
      <w:pPr>
        <w:numPr>
          <w:ilvl w:val="0"/>
          <w:numId w:val="10"/>
        </w:numPr>
        <w:spacing w:after="38" w:line="362" w:lineRule="auto"/>
        <w:ind w:hanging="34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внешнего осмотра с выявлением нарушения анатомии и положения век, слезных точек;  </w:t>
      </w:r>
    </w:p>
    <w:p w:rsidR="00981A75" w:rsidRDefault="001E759B">
      <w:pPr>
        <w:numPr>
          <w:ilvl w:val="0"/>
          <w:numId w:val="10"/>
        </w:numPr>
        <w:spacing w:after="41" w:line="362" w:lineRule="auto"/>
        <w:ind w:hanging="34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нарушения проходимости слезных путей, выявленного при выполнении цветной слезно-носовой пробы; </w:t>
      </w:r>
    </w:p>
    <w:p w:rsidR="00981A75" w:rsidRDefault="001E759B">
      <w:pPr>
        <w:numPr>
          <w:ilvl w:val="0"/>
          <w:numId w:val="10"/>
        </w:numPr>
        <w:spacing w:after="40" w:line="362" w:lineRule="auto"/>
        <w:ind w:hanging="34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определения физического препятствия в слезных путях, выявленного с помощь</w:t>
      </w:r>
      <w:r>
        <w:rPr>
          <w:rFonts w:ascii="Times New Roman" w:eastAsia="Times New Roman" w:hAnsi="Times New Roman" w:cs="Times New Roman"/>
          <w:i/>
          <w:sz w:val="24"/>
        </w:rPr>
        <w:t xml:space="preserve">ю зондирования СОП; </w:t>
      </w:r>
    </w:p>
    <w:p w:rsidR="00981A75" w:rsidRDefault="001E759B">
      <w:pPr>
        <w:numPr>
          <w:ilvl w:val="0"/>
          <w:numId w:val="10"/>
        </w:numPr>
        <w:spacing w:after="3" w:line="362" w:lineRule="auto"/>
        <w:ind w:hanging="34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визуализации прерывания тени контраста в слезных путях при рентгенологическом исследовании с контрастированием СОП (A06.26.004 </w:t>
      </w:r>
    </w:p>
    <w:p w:rsidR="00981A75" w:rsidRDefault="001E759B">
      <w:pPr>
        <w:spacing w:after="113"/>
        <w:ind w:left="143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Контрастная рентгенография слезной железы и слезного протока). </w:t>
      </w:r>
    </w:p>
    <w:p w:rsidR="00981A75" w:rsidRDefault="001E759B">
      <w:pPr>
        <w:spacing w:after="121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t>2.1 Жалобы и анамнез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сбор анамнеза и жалоб при патологии глаза (А01.26.001) для всех пациентов со слезотечением [1-5] с целью диагностики заболевания. </w:t>
      </w:r>
    </w:p>
    <w:p w:rsidR="00981A75" w:rsidRDefault="001E759B">
      <w:pPr>
        <w:spacing w:after="149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– 5)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При сборе жалоб следует уточни</w:t>
      </w:r>
      <w:r>
        <w:rPr>
          <w:rFonts w:ascii="Times New Roman" w:eastAsia="Times New Roman" w:hAnsi="Times New Roman" w:cs="Times New Roman"/>
          <w:i/>
          <w:sz w:val="24"/>
        </w:rPr>
        <w:t xml:space="preserve">ть наличие слезотечения, сухости, скопления после сна засохшего экссудата на ресницах, гнойных выделений из слезных точек, отмечают количество выделений и их характер. Отмечают затруднения носового дыхания и совпадение его с усилением слезотечения.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Из ана</w:t>
      </w:r>
      <w:r>
        <w:rPr>
          <w:rFonts w:ascii="Times New Roman" w:eastAsia="Times New Roman" w:hAnsi="Times New Roman" w:cs="Times New Roman"/>
          <w:i/>
          <w:sz w:val="24"/>
        </w:rPr>
        <w:t xml:space="preserve">мнеза выясняют давность жалоб, возможные причины, временные совпадения с другими заболеваниями, наличие риносинуситов в прошлом.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t>2.2 Физикальное обследование</w:t>
      </w:r>
      <w:r>
        <w:rPr>
          <w:u w:val="none"/>
        </w:rPr>
        <w:t xml:space="preserve"> </w:t>
      </w:r>
    </w:p>
    <w:p w:rsidR="00981A75" w:rsidRDefault="001E759B">
      <w:pPr>
        <w:numPr>
          <w:ilvl w:val="0"/>
          <w:numId w:val="11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для всех пациентов со слезотечением – внешний осмотр челюстнолицевой области (А0</w:t>
      </w:r>
      <w:r>
        <w:rPr>
          <w:rFonts w:ascii="Times New Roman" w:eastAsia="Times New Roman" w:hAnsi="Times New Roman" w:cs="Times New Roman"/>
          <w:sz w:val="24"/>
        </w:rPr>
        <w:t xml:space="preserve">1.07.005), визуальное исследование глаз (А01.26.002) с целью оценки изменения положение век, формы глазной щели, внутреннего угла глаза, слезных точек, движений век [1-9].  </w:t>
      </w:r>
    </w:p>
    <w:p w:rsidR="00981A75" w:rsidRDefault="001E759B">
      <w:pPr>
        <w:spacing w:after="149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1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5) </w:t>
      </w:r>
    </w:p>
    <w:p w:rsidR="00981A75" w:rsidRDefault="001E759B">
      <w:pPr>
        <w:spacing w:after="159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1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Рекомендуется </w:t>
      </w:r>
      <w:r>
        <w:rPr>
          <w:rFonts w:ascii="Times New Roman" w:eastAsia="Times New Roman" w:hAnsi="Times New Roman" w:cs="Times New Roman"/>
          <w:sz w:val="24"/>
        </w:rPr>
        <w:t>всем пациентам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 подозрении на патологию слезных протоков проводить пальпацию челюстно-лицевой области (А01.07.006), пальпацию при патологии глаз (А01.26.003) в частности – в проекции слёзного мешка - компрессионная проба с оценкой выделени</w:t>
      </w:r>
      <w:r>
        <w:rPr>
          <w:rFonts w:ascii="Times New Roman" w:eastAsia="Times New Roman" w:hAnsi="Times New Roman" w:cs="Times New Roman"/>
          <w:sz w:val="24"/>
        </w:rPr>
        <w:t xml:space="preserve">й из слезных точек. [1-5].  </w:t>
      </w:r>
    </w:p>
    <w:p w:rsidR="00981A75" w:rsidRDefault="001E759B">
      <w:pPr>
        <w:spacing w:after="147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1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5)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С помощью пальпации определяют </w:t>
      </w:r>
      <w:r>
        <w:rPr>
          <w:rFonts w:ascii="Times New Roman" w:eastAsia="Times New Roman" w:hAnsi="Times New Roman" w:cs="Times New Roman"/>
          <w:i/>
          <w:sz w:val="24"/>
        </w:rPr>
        <w:t xml:space="preserve">положение и мобильность век, изменение объема и консистенции слезного мешка, возможность экспрессии его содержимого. </w:t>
      </w:r>
    </w:p>
    <w:p w:rsidR="00981A75" w:rsidRDefault="001E759B">
      <w:pPr>
        <w:spacing w:after="159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1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всем пациентам с эпифорой – проведение канальцевой пробы (носовой пробы, слезно-носовой пробы) (А02.26.019) с целью провер</w:t>
      </w:r>
      <w:r>
        <w:rPr>
          <w:rFonts w:ascii="Times New Roman" w:eastAsia="Times New Roman" w:hAnsi="Times New Roman" w:cs="Times New Roman"/>
          <w:sz w:val="24"/>
        </w:rPr>
        <w:t xml:space="preserve">ки проходимости слезных протоков и оценки активного слезооттока [1-5,10-16,34]. </w:t>
      </w:r>
    </w:p>
    <w:p w:rsidR="00981A75" w:rsidRDefault="001E759B">
      <w:pPr>
        <w:spacing w:after="149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1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4)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i/>
          <w:sz w:val="24"/>
        </w:rPr>
        <w:t xml:space="preserve"> Цветная слёзно-носовая проба (проба Веста) заключается в инстилляции красящего рас</w:t>
      </w:r>
      <w:r>
        <w:rPr>
          <w:rFonts w:ascii="Times New Roman" w:eastAsia="Times New Roman" w:hAnsi="Times New Roman" w:cs="Times New Roman"/>
          <w:i/>
          <w:sz w:val="24"/>
        </w:rPr>
        <w:t>твора (например, флуоресцеина, колларгола и др.) и оценки двух параметров: исчезновения красителя из конъюнктивального мешка (визуальное наблюдение) и появления красителя в полости носа (окрашивание турунды, введенной в нижний носовой ход, риноэндоскопия).</w:t>
      </w:r>
      <w:r>
        <w:rPr>
          <w:rFonts w:ascii="Times New Roman" w:eastAsia="Times New Roman" w:hAnsi="Times New Roman" w:cs="Times New Roman"/>
          <w:i/>
          <w:sz w:val="24"/>
        </w:rPr>
        <w:t xml:space="preserve"> В норме красящее вещество проходит из конъюнктивальной полости в полость носа за 5-10 мин.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Двойная проба Веста может быть проведена с целью определения доли ринита в развитии клинической картины. После закапывания сосудосуживающих средств в нос повторяют</w:t>
      </w:r>
      <w:r>
        <w:rPr>
          <w:rFonts w:ascii="Times New Roman" w:eastAsia="Times New Roman" w:hAnsi="Times New Roman" w:cs="Times New Roman"/>
          <w:i/>
          <w:sz w:val="24"/>
        </w:rPr>
        <w:t xml:space="preserve"> инстилляцию красящего вещества в конъюнктивальный мешок и сравнивают результат с результатом первой пробы Веста. Уменьшение времени прохождения красящего вещества по слезным протокам в нос свидетельствует о риногенной природе эпифоры. </w:t>
      </w:r>
    </w:p>
    <w:p w:rsidR="00981A75" w:rsidRDefault="001E759B">
      <w:pPr>
        <w:pStyle w:val="Heading2"/>
        <w:ind w:left="705"/>
      </w:pPr>
      <w:r>
        <w:t>2.3 Лабораторный ис</w:t>
      </w:r>
      <w:r>
        <w:t>следования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717" w:right="2" w:hanging="1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гнойным дакриоциститом при отсутствии эффекта от первично назначенных противомикробных препаратов для местного применения (S01A) широкого спектра действия в течение 2 недель микроскопия содержимого конъюнктивальной п</w:t>
      </w:r>
      <w:r>
        <w:rPr>
          <w:rFonts w:ascii="Times New Roman" w:eastAsia="Times New Roman" w:hAnsi="Times New Roman" w:cs="Times New Roman"/>
          <w:sz w:val="24"/>
        </w:rPr>
        <w:t>олости (А12.26.022), микробиологическое (культуральное) исследование отделяемого конъюнктивы на аэробные и факультативно-анаэробные условно-патогенные микроорганизмы (А26.26.004) с целью идентификации инфекционного микрофлоры и определение чувствительности</w:t>
      </w:r>
      <w:r>
        <w:rPr>
          <w:rFonts w:ascii="Times New Roman" w:eastAsia="Times New Roman" w:hAnsi="Times New Roman" w:cs="Times New Roman"/>
          <w:sz w:val="24"/>
        </w:rPr>
        <w:t xml:space="preserve"> микроорганизмов к антимикробным химиотерапевтическим препаратам (А26.30.004) [17,18,22].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0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5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8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t>2.4 Инструментальные исследования</w:t>
      </w:r>
      <w:r>
        <w:rPr>
          <w:u w:val="none"/>
        </w:rPr>
        <w:t xml:space="preserve"> </w:t>
      </w:r>
    </w:p>
    <w:p w:rsidR="00981A75" w:rsidRDefault="001E759B">
      <w:pPr>
        <w:numPr>
          <w:ilvl w:val="0"/>
          <w:numId w:val="12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всем пациентам с эпифорой биомикроскопия глаза (A03.26.001) с целью оценки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формы, положения, размеров слезных точек, состояния конъюнктивы и роговицы, оценки слезной пленки и слезного ручья [1-5]. </w:t>
      </w:r>
    </w:p>
    <w:p w:rsidR="00981A75" w:rsidRDefault="001E759B">
      <w:pPr>
        <w:spacing w:after="150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</w:t>
      </w:r>
      <w:r>
        <w:rPr>
          <w:rFonts w:ascii="Times New Roman" w:eastAsia="Times New Roman" w:hAnsi="Times New Roman" w:cs="Times New Roman"/>
          <w:b/>
          <w:sz w:val="24"/>
        </w:rPr>
        <w:t xml:space="preserve">ти доказательств </w:t>
      </w:r>
    </w:p>
    <w:p w:rsidR="00981A75" w:rsidRDefault="001E759B">
      <w:pPr>
        <w:numPr>
          <w:ilvl w:val="1"/>
          <w:numId w:val="12"/>
        </w:numPr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5) </w:t>
      </w:r>
    </w:p>
    <w:p w:rsidR="00981A75" w:rsidRDefault="001E759B">
      <w:pPr>
        <w:numPr>
          <w:ilvl w:val="0"/>
          <w:numId w:val="12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промывание слезных путей (A11.26.004) пациентам с эпифорой нейтральными растворами с целью подтверждения или исключения недостаточности СОП, а также оценки содержимого слезного мешка [1-5,19-21]. </w:t>
      </w:r>
    </w:p>
    <w:p w:rsidR="00981A75" w:rsidRDefault="001E759B">
      <w:pPr>
        <w:spacing w:after="141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</w:t>
      </w:r>
      <w:r>
        <w:rPr>
          <w:rFonts w:ascii="Times New Roman" w:eastAsia="Times New Roman" w:hAnsi="Times New Roman" w:cs="Times New Roman"/>
          <w:b/>
          <w:sz w:val="24"/>
        </w:rPr>
        <w:t xml:space="preserve">рекомендаций С (уровень достоверности доказательств </w:t>
      </w:r>
    </w:p>
    <w:p w:rsidR="00981A75" w:rsidRDefault="001E759B">
      <w:pPr>
        <w:numPr>
          <w:ilvl w:val="1"/>
          <w:numId w:val="12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4)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Промывание слезных протоков проводят через тупоконечную канюлю для промывания слёзных путей (РЗН 2018/7824) нейтральными для слизистого эпителия растворами. Результат промывания оценива</w:t>
      </w:r>
      <w:r>
        <w:rPr>
          <w:rFonts w:ascii="Times New Roman" w:eastAsia="Times New Roman" w:hAnsi="Times New Roman" w:cs="Times New Roman"/>
          <w:i/>
          <w:sz w:val="24"/>
        </w:rPr>
        <w:t xml:space="preserve">ют по соотношению антеградного и ретроградного тока промывной жидкости, появлению жидкости в носовой полости, а также по наличию гноя в случае ретроградного тока [1,2]. </w:t>
      </w:r>
    </w:p>
    <w:p w:rsidR="00981A75" w:rsidRDefault="001E759B">
      <w:pPr>
        <w:spacing w:after="113"/>
        <w:ind w:left="710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Возможно, по показаниям, диагностическое зондирование слезных канальцев, активация с</w:t>
      </w:r>
      <w:r>
        <w:rPr>
          <w:rFonts w:ascii="Times New Roman" w:eastAsia="Times New Roman" w:hAnsi="Times New Roman" w:cs="Times New Roman"/>
          <w:i/>
          <w:sz w:val="24"/>
        </w:rPr>
        <w:t xml:space="preserve">лезных точек (A16.26.011), зондирование слезно-носового канала (A11.26.005).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Для зондирования канальцев, слезного мешка и носослезного протока используют конические и цилиндрические зонды (РЗН 2024/24284 «Инструмент зондирующий»). Особое внимание обращают</w:t>
      </w:r>
      <w:r>
        <w:rPr>
          <w:rFonts w:ascii="Times New Roman" w:eastAsia="Times New Roman" w:hAnsi="Times New Roman" w:cs="Times New Roman"/>
          <w:i/>
          <w:sz w:val="24"/>
        </w:rPr>
        <w:t xml:space="preserve"> на атравматичность процедуры в связи с риском образования ложных ходов, избегая чрезмерных усилий [5,8,35,36].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После расширения слезной точки коническим зондом в исследуемый слезный каналец вводят цилиндрический зонд. При зондировании канальцев необходи</w:t>
      </w:r>
      <w:r>
        <w:rPr>
          <w:rFonts w:ascii="Times New Roman" w:eastAsia="Times New Roman" w:hAnsi="Times New Roman" w:cs="Times New Roman"/>
          <w:i/>
          <w:sz w:val="24"/>
        </w:rPr>
        <w:t>мо убедиться, что зонд, не встречая по своему ходу мягкотканных препятствий, упирается в медиальную стенку слезного мешка, при этом следует помнить, что формирование «ложного хода» в случае недостаточно деликатного зондирования может создать искаженное пре</w:t>
      </w:r>
      <w:r>
        <w:rPr>
          <w:rFonts w:ascii="Times New Roman" w:eastAsia="Times New Roman" w:hAnsi="Times New Roman" w:cs="Times New Roman"/>
          <w:i/>
          <w:sz w:val="24"/>
        </w:rPr>
        <w:t xml:space="preserve">дставление о результатах исследования.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Процедуру следует выполнять аккуратно, не повреждая слизистую, для чего целесообразно смазать зонд глазной мазью или глазным гелем, а при продвижении зонда по слезному канальцу слегка вращать его. Чтобы зонд не упирался в слизистую оболочку канальца, следу</w:t>
      </w:r>
      <w:r>
        <w:rPr>
          <w:rFonts w:ascii="Times New Roman" w:eastAsia="Times New Roman" w:hAnsi="Times New Roman" w:cs="Times New Roman"/>
          <w:i/>
          <w:sz w:val="24"/>
        </w:rPr>
        <w:t>ет постоянно удерживать веко в слегка натянутом кнаружи положении. После того, как зонд, пройдя по канальцу, упрется во внутреннюю стенку слезного мешка (ощущается в виде костной плотности подлежащей слезной ямки), веко отпускают. Зонд переводят в вертикал</w:t>
      </w:r>
      <w:r>
        <w:rPr>
          <w:rFonts w:ascii="Times New Roman" w:eastAsia="Times New Roman" w:hAnsi="Times New Roman" w:cs="Times New Roman"/>
          <w:i/>
          <w:sz w:val="24"/>
        </w:rPr>
        <w:t>ьное положение и осторожно продвигают вдоль внутренней стенки слезного мешка в направлении верхней части носогубной складки в носослезный проток. При этом зонд проходит в носослезный проток, фиксируясь в нем. Зондировать носослезный проток (особенно взросл</w:t>
      </w:r>
      <w:r>
        <w:rPr>
          <w:rFonts w:ascii="Times New Roman" w:eastAsia="Times New Roman" w:hAnsi="Times New Roman" w:cs="Times New Roman"/>
          <w:i/>
          <w:sz w:val="24"/>
        </w:rPr>
        <w:t>ым пациентам) целесообразно через верхний слезный каналец. В ходе зондирования оценивают наличие препятствий (в виде сужения или полного стеноза) в слезном канальце или носослезном протоке при продвижении зонда. При нормальной проходимости слезоотводящих п</w:t>
      </w:r>
      <w:r>
        <w:rPr>
          <w:rFonts w:ascii="Times New Roman" w:eastAsia="Times New Roman" w:hAnsi="Times New Roman" w:cs="Times New Roman"/>
          <w:i/>
          <w:sz w:val="24"/>
        </w:rPr>
        <w:t>утей зонд свободно достигает костной стенки слезной ямки, а затем, по мере его продвижения по носослезному протоку, также не встречает препятствий. В конечном счете зонд упирается в дно нижнего носового хода. На пути зонда возможно появление препятствия ка</w:t>
      </w:r>
      <w:r>
        <w:rPr>
          <w:rFonts w:ascii="Times New Roman" w:eastAsia="Times New Roman" w:hAnsi="Times New Roman" w:cs="Times New Roman"/>
          <w:i/>
          <w:sz w:val="24"/>
        </w:rPr>
        <w:t>к в виде сужения просвета, так и полного заращения исследуемого участка слезоотводящих путей. В таких случаях локализуют удаленность стенозированного участка, замерив длину отрезка зонда, введенного в слезоотводящие пути. Сложности обычно возникают при диа</w:t>
      </w:r>
      <w:r>
        <w:rPr>
          <w:rFonts w:ascii="Times New Roman" w:eastAsia="Times New Roman" w:hAnsi="Times New Roman" w:cs="Times New Roman"/>
          <w:i/>
          <w:sz w:val="24"/>
        </w:rPr>
        <w:t>гностике стеноза устья слезных канальцев. В таком случае зонд упирается в плотно-эластическое препятствие, как правило, прижатое зондом к кости слезной ямки. Помочь может оттягивание века кнаружи, после чего подозрительный на стеноз участок канальца смещае</w:t>
      </w:r>
      <w:r>
        <w:rPr>
          <w:rFonts w:ascii="Times New Roman" w:eastAsia="Times New Roman" w:hAnsi="Times New Roman" w:cs="Times New Roman"/>
          <w:i/>
          <w:sz w:val="24"/>
        </w:rPr>
        <w:t xml:space="preserve">тся навстречу зонду и легче обнаруживает себя [1, 23]. </w:t>
      </w:r>
    </w:p>
    <w:p w:rsidR="00981A75" w:rsidRDefault="001E759B">
      <w:pPr>
        <w:spacing w:after="22"/>
        <w:ind w:left="710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проведение риноскопии (А03.08.004) пациентам с непроходимостью СОП с целью выявления анатомических особенностей полости носа в зоне расположения слезного мешка и носослезного протока</w:t>
      </w:r>
      <w:r>
        <w:rPr>
          <w:rFonts w:ascii="Times New Roman" w:eastAsia="Times New Roman" w:hAnsi="Times New Roman" w:cs="Times New Roman"/>
          <w:sz w:val="24"/>
        </w:rPr>
        <w:t xml:space="preserve"> [24]. </w:t>
      </w:r>
    </w:p>
    <w:p w:rsidR="00981A75" w:rsidRDefault="001E759B">
      <w:pPr>
        <w:spacing w:after="15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20"/>
        <w:ind w:left="710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t>2.5 Иные диагностические исследования</w:t>
      </w:r>
      <w:r>
        <w:rPr>
          <w:u w:val="none"/>
        </w:rPr>
        <w:t xml:space="preserve"> </w:t>
      </w:r>
    </w:p>
    <w:p w:rsidR="00981A75" w:rsidRDefault="001E759B">
      <w:pPr>
        <w:numPr>
          <w:ilvl w:val="0"/>
          <w:numId w:val="13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анамнестическими сведениями о патологии носа и/или околоносовых пазух, с сопутствующими факторами, ин</w:t>
      </w:r>
      <w:r>
        <w:rPr>
          <w:rFonts w:ascii="Times New Roman" w:eastAsia="Times New Roman" w:hAnsi="Times New Roman" w:cs="Times New Roman"/>
          <w:sz w:val="24"/>
        </w:rPr>
        <w:t>ициирующими затруднение носового дыхания, такими как искривление перегородки носа, хронический ринит различной этиологии, заболевания околоносовых пазух и зубочелюстной системы, опухолевые процессы, специфические заболевания, консультация врачаоториноларин</w:t>
      </w:r>
      <w:r>
        <w:rPr>
          <w:rFonts w:ascii="Times New Roman" w:eastAsia="Times New Roman" w:hAnsi="Times New Roman" w:cs="Times New Roman"/>
          <w:sz w:val="24"/>
        </w:rPr>
        <w:t xml:space="preserve">голога с целью определения рациональной тактики комплексного лечения [23, 25].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3"/>
        </w:numPr>
        <w:spacing w:after="0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6"/>
        <w:ind w:left="2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numPr>
          <w:ilvl w:val="0"/>
          <w:numId w:val="13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нарушением проходимости слёзоотводящих путей в качестве дополнительн</w:t>
      </w:r>
      <w:r>
        <w:rPr>
          <w:rFonts w:ascii="Times New Roman" w:eastAsia="Times New Roman" w:hAnsi="Times New Roman" w:cs="Times New Roman"/>
          <w:sz w:val="24"/>
        </w:rPr>
        <w:t>ой аппаратной диагностики с целью уточнения анатомических особенностей носо-орбитальной области и формы слезных протоков, выявления патологических участков  проведение контрастной рентгенографии слёзных путей (А06.26.007) – (дакриоцистографии), компьютерно</w:t>
      </w:r>
      <w:r>
        <w:rPr>
          <w:rFonts w:ascii="Times New Roman" w:eastAsia="Times New Roman" w:hAnsi="Times New Roman" w:cs="Times New Roman"/>
          <w:sz w:val="24"/>
        </w:rPr>
        <w:t>й томографии лицевого отдела черепа (А06.03.002), в том числе с контрастированием слезных протоков, магнитнорезонансная томография лицевого отдела черепа (А05.03.004)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[26-29]. </w:t>
      </w:r>
    </w:p>
    <w:p w:rsidR="00981A75" w:rsidRDefault="001E759B">
      <w:pPr>
        <w:spacing w:after="6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3"/>
        </w:numPr>
        <w:spacing w:after="0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5).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25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spacing w:line="359" w:lineRule="auto"/>
        <w:ind w:left="113" w:right="6" w:hanging="94"/>
      </w:pPr>
      <w:r>
        <w:t>3.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</w:t>
      </w:r>
      <w: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Лечение направлено на восстановление проходимости СОП, ликвидацию инфекционного воспаления, формирование обходных путей оттока слезы. </w:t>
      </w:r>
    </w:p>
    <w:p w:rsidR="00981A75" w:rsidRDefault="001E759B">
      <w:pPr>
        <w:spacing w:after="126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rPr>
          <w:u w:val="none"/>
        </w:rPr>
        <w:t>3.1</w:t>
      </w:r>
      <w:r>
        <w:rPr>
          <w:rFonts w:ascii="Arial" w:eastAsia="Arial" w:hAnsi="Arial" w:cs="Arial"/>
          <w:u w:val="none"/>
        </w:rPr>
        <w:t xml:space="preserve"> </w:t>
      </w:r>
      <w:r>
        <w:t>Консервативное лечение</w:t>
      </w:r>
      <w:r>
        <w:rPr>
          <w:u w:val="none"/>
        </w:rPr>
        <w:t xml:space="preserve"> </w:t>
      </w:r>
    </w:p>
    <w:p w:rsidR="00981A75" w:rsidRDefault="001E759B">
      <w:pPr>
        <w:spacing w:after="11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гнойными выделениями – противоинфенкционная терапия местными пр</w:t>
      </w:r>
      <w:r>
        <w:rPr>
          <w:rFonts w:ascii="Times New Roman" w:eastAsia="Times New Roman" w:hAnsi="Times New Roman" w:cs="Times New Roman"/>
          <w:sz w:val="24"/>
        </w:rPr>
        <w:t>отивомикробными препаратами (S01A) широкого спектра действия с целью противодействия гнойному воспалению и местных осложнений [76-</w:t>
      </w:r>
    </w:p>
    <w:p w:rsidR="00981A75" w:rsidRDefault="001E759B">
      <w:pPr>
        <w:spacing w:after="118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79]. </w:t>
      </w:r>
    </w:p>
    <w:p w:rsidR="00981A75" w:rsidRDefault="001E759B">
      <w:pPr>
        <w:spacing w:after="149"/>
        <w:ind w:right="6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– 5) </w:t>
      </w:r>
    </w:p>
    <w:p w:rsidR="00981A75" w:rsidRDefault="001E759B">
      <w:pPr>
        <w:spacing w:after="0"/>
        <w:ind w:left="296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</w:t>
      </w:r>
      <w:r>
        <w:rPr>
          <w:rFonts w:ascii="Times New Roman" w:eastAsia="Times New Roman" w:hAnsi="Times New Roman" w:cs="Times New Roman"/>
          <w:b/>
          <w:i/>
          <w:sz w:val="24"/>
        </w:rPr>
        <w:t>:</w:t>
      </w:r>
      <w:r>
        <w:rPr>
          <w:rFonts w:ascii="Times New Roman" w:eastAsia="Times New Roman" w:hAnsi="Times New Roman" w:cs="Times New Roman"/>
          <w:b/>
          <w:i/>
          <w:sz w:val="37"/>
          <w:vertAlign w:val="subscript"/>
        </w:rPr>
        <w:t xml:space="preserve"> </w:t>
      </w:r>
    </w:p>
    <w:p w:rsidR="00981A75" w:rsidRDefault="001E759B">
      <w:pPr>
        <w:spacing w:after="136"/>
        <w:ind w:left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Местно в виде инстилляций в конъюнктивальную полость могут применяться: </w:t>
      </w:r>
    </w:p>
    <w:p w:rsidR="00981A75" w:rsidRDefault="001E759B">
      <w:pPr>
        <w:spacing w:after="3" w:line="362" w:lineRule="auto"/>
        <w:ind w:left="28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 - фторхинолоны (S01AE):   офлоксацин** (S01AE01) – закапывают по 1 капле в конъюнктивальный мешок 2-4 раза в </w:t>
      </w:r>
    </w:p>
    <w:p w:rsidR="00981A75" w:rsidRDefault="001E759B">
      <w:pPr>
        <w:spacing w:after="117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>сутки не более 14 дней.  Применяется у детей с 1 года по 1-2 капли раз в</w:t>
      </w:r>
      <w:r>
        <w:rPr>
          <w:rFonts w:ascii="Times New Roman" w:eastAsia="Times New Roman" w:hAnsi="Times New Roman" w:cs="Times New Roman"/>
          <w:i/>
          <w:sz w:val="24"/>
        </w:rPr>
        <w:t xml:space="preserve"> 4-6 часов. </w:t>
      </w:r>
    </w:p>
    <w:p w:rsidR="00981A75" w:rsidRDefault="001E759B">
      <w:pPr>
        <w:spacing w:after="3" w:line="362" w:lineRule="auto"/>
        <w:ind w:left="-13" w:firstLine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>ципрофлоксацин** - по 1-2 капле 4 раза в день.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При тяжелых инфекциях режим дозирования в первые 2 дня может включать инстилляции препарата по 1 или 2 капли каждые 2 часа в период бодрствования. Длительность терапии препаратом по заявленным пок</w:t>
      </w:r>
      <w:r>
        <w:rPr>
          <w:rFonts w:ascii="Times New Roman" w:eastAsia="Times New Roman" w:hAnsi="Times New Roman" w:cs="Times New Roman"/>
          <w:i/>
          <w:sz w:val="24"/>
        </w:rPr>
        <w:t xml:space="preserve">азаниям не должна превышать 21 дня. Применяется у детей с рождения по 1-2 капли раз в 4 часа. </w:t>
      </w:r>
    </w:p>
    <w:p w:rsidR="00981A75" w:rsidRDefault="001E759B">
      <w:pPr>
        <w:spacing w:after="3" w:line="362" w:lineRule="auto"/>
        <w:ind w:left="-13" w:firstLine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>левофлоксацин** - По 1-</w:t>
      </w:r>
      <w:r>
        <w:rPr>
          <w:rFonts w:ascii="Times New Roman" w:eastAsia="Times New Roman" w:hAnsi="Times New Roman" w:cs="Times New Roman"/>
          <w:i/>
          <w:sz w:val="24"/>
        </w:rPr>
        <w:t>2 капле в пораженный(ые) глаз(а) каждые два часа до 8 раз в сутки в период бодрствования в течение первых 2 суток, затем 4 раза в сутки с 3 по 5-й дни лечения Средняя продолжительность курса терапии составляет 5 дней. Применяется у детей с 1 года по 1-2 ка</w:t>
      </w:r>
      <w:r>
        <w:rPr>
          <w:rFonts w:ascii="Times New Roman" w:eastAsia="Times New Roman" w:hAnsi="Times New Roman" w:cs="Times New Roman"/>
          <w:i/>
          <w:sz w:val="24"/>
        </w:rPr>
        <w:t xml:space="preserve">пли каждые 2 часа до 8 раз в сутки. </w:t>
      </w:r>
    </w:p>
    <w:p w:rsidR="00981A75" w:rsidRDefault="001E759B">
      <w:pPr>
        <w:spacing w:after="3" w:line="362" w:lineRule="auto"/>
        <w:ind w:left="-13" w:firstLine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>моксифлоксацин** - по 1 капле 3 раза в день.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Длительность курса терапии зависит от тяжести состояния пациента, клинических и бактериологических особенностей инфекционного процесса. Применяется у детей с 1 года по 1 капл</w:t>
      </w:r>
      <w:r>
        <w:rPr>
          <w:rFonts w:ascii="Times New Roman" w:eastAsia="Times New Roman" w:hAnsi="Times New Roman" w:cs="Times New Roman"/>
          <w:i/>
          <w:sz w:val="24"/>
        </w:rPr>
        <w:t xml:space="preserve">е 3 раза в день); Курс лечения может продолжаться 7-10 дней. </w:t>
      </w:r>
    </w:p>
    <w:p w:rsidR="00981A75" w:rsidRDefault="001E759B">
      <w:pPr>
        <w:spacing w:after="3" w:line="362" w:lineRule="auto"/>
        <w:ind w:left="569" w:hanging="28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    - антибиотики (S01AA): нетилмицин (S01FF23) – глазные капли 0,3% – по 1-2 капли 3 раза в день. Применяется </w:t>
      </w:r>
    </w:p>
    <w:p w:rsidR="00981A75" w:rsidRDefault="001E759B">
      <w:pPr>
        <w:spacing w:after="3" w:line="362" w:lineRule="auto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 детей с 3 лет по 1-2 капли 3 раза в сутки тобрамицин** (S01AA12) - по 1-2 капли </w:t>
      </w:r>
      <w:r>
        <w:rPr>
          <w:rFonts w:ascii="Times New Roman" w:eastAsia="Times New Roman" w:hAnsi="Times New Roman" w:cs="Times New Roman"/>
          <w:i/>
          <w:sz w:val="24"/>
        </w:rPr>
        <w:t>каждые 4 часа в течение при нетяжелом инфекционном процессе. При остром тяжелом инфекционном процессе 2 капли в конъюнктивальный мешок каждые 60 минут, с уменьшением частоты инстилляций препарата по мере уменьшения явлений воспаления. Для профилактики инфе</w:t>
      </w:r>
      <w:r>
        <w:rPr>
          <w:rFonts w:ascii="Times New Roman" w:eastAsia="Times New Roman" w:hAnsi="Times New Roman" w:cs="Times New Roman"/>
          <w:i/>
          <w:sz w:val="24"/>
        </w:rPr>
        <w:t>кционных осложнений после офтальмологических оперативных вмешательств по 1–2 капли 3–4 раза в день в течение месяца после операции. Длительность лечения зависит от этиологии инфекции и может варьироваться от нескольких дней до нескольких недель. Применяетс</w:t>
      </w:r>
      <w:r>
        <w:rPr>
          <w:rFonts w:ascii="Times New Roman" w:eastAsia="Times New Roman" w:hAnsi="Times New Roman" w:cs="Times New Roman"/>
          <w:i/>
          <w:sz w:val="24"/>
        </w:rPr>
        <w:t xml:space="preserve">я у детей с 2 мес. - курс лечения 5-10 дней хлорамфеникол назначается по 1 капле 3–4 раза в день, применяется у взрослых и </w:t>
      </w:r>
    </w:p>
    <w:p w:rsidR="00981A75" w:rsidRDefault="001E759B">
      <w:pPr>
        <w:spacing w:after="3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детей с возраста 4 недель. Курс лечения 7-10 дней.  </w:t>
      </w:r>
    </w:p>
    <w:p w:rsidR="00981A75" w:rsidRDefault="001E759B">
      <w:pPr>
        <w:spacing w:after="3" w:line="362" w:lineRule="auto"/>
        <w:ind w:left="-13" w:firstLine="566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Тетрациклин** в форме глазной мази назначается по 0,5-1 см от 3-4 раза в день. </w:t>
      </w:r>
      <w:r>
        <w:rPr>
          <w:rFonts w:ascii="Times New Roman" w:eastAsia="Times New Roman" w:hAnsi="Times New Roman" w:cs="Times New Roman"/>
          <w:i/>
          <w:sz w:val="24"/>
        </w:rPr>
        <w:t>Применяется у взрослых и у детей с 8 лет. Курс лечения может продолжаться 5-7 дней.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  <w:r>
        <w:rPr>
          <w:rFonts w:ascii="Times New Roman" w:eastAsia="Times New Roman" w:hAnsi="Times New Roman" w:cs="Times New Roman"/>
          <w:i/>
          <w:sz w:val="24"/>
        </w:rPr>
        <w:t xml:space="preserve">Эритромицин в форме глазной мази назначается по 0,5-1 см, закладывая за нижнее веко в виде полоски, 3 раза в день. Продолжительность лечения не должна превышать 14 дней. </w:t>
      </w:r>
    </w:p>
    <w:p w:rsidR="00981A75" w:rsidRDefault="001E759B">
      <w:pPr>
        <w:spacing w:after="127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Применяется у взрослых и у детей с 0 лет. </w:t>
      </w:r>
    </w:p>
    <w:p w:rsidR="00981A75" w:rsidRDefault="001E759B">
      <w:pPr>
        <w:spacing w:after="122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- другие противомикробные препараты (S01AX): </w:t>
      </w:r>
    </w:p>
    <w:p w:rsidR="00981A75" w:rsidRDefault="001E759B">
      <w:pPr>
        <w:spacing w:after="3" w:line="362" w:lineRule="auto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 пиклоксидин (S01AX16) – 2-6 раз в сутки, продолжительность лечения 10 дней; у детей с 0 лет, бензилдиметил-миристоиламино-пропиламмоний (S03AA) по 1 капле до 6 раз в </w:t>
      </w:r>
      <w:r>
        <w:rPr>
          <w:rFonts w:ascii="Times New Roman" w:eastAsia="Times New Roman" w:hAnsi="Times New Roman" w:cs="Times New Roman"/>
          <w:i/>
          <w:sz w:val="24"/>
        </w:rPr>
        <w:t xml:space="preserve">сутки в течение 7–10 дней.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После проведения бактериологического исследования назначают препараты целенаправленного действия на основании определения чувствительности флоры.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Целесообразно пациентам с обострением хронического дакриоцистита при наличии слез</w:t>
      </w:r>
      <w:r>
        <w:rPr>
          <w:rFonts w:ascii="Times New Roman" w:eastAsia="Times New Roman" w:hAnsi="Times New Roman" w:cs="Times New Roman"/>
          <w:i/>
          <w:sz w:val="24"/>
        </w:rPr>
        <w:t>ных точек и восстановленной проходимости слезных протоков проводить курс промываний слезных путей (А11.26.004)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антибактериальными препаратами системного действия (J01) (1-3 сеанса) </w:t>
      </w:r>
    </w:p>
    <w:p w:rsidR="00981A75" w:rsidRDefault="001E759B">
      <w:pPr>
        <w:spacing w:after="156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4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накоплением слизи или гноя при отсутствии приз</w:t>
      </w:r>
      <w:r>
        <w:rPr>
          <w:rFonts w:ascii="Times New Roman" w:eastAsia="Times New Roman" w:hAnsi="Times New Roman" w:cs="Times New Roman"/>
          <w:sz w:val="24"/>
        </w:rPr>
        <w:t xml:space="preserve">наков флегмонозного/абсцедирующего дакриоцистита – компрессия слезного мешка с целью эвакуации содержимого и одновременное местное применение противомикробных препаратов (S01A). [1,5,79]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</w:t>
      </w:r>
      <w:r>
        <w:rPr>
          <w:rFonts w:ascii="Times New Roman" w:eastAsia="Times New Roman" w:hAnsi="Times New Roman" w:cs="Times New Roman"/>
          <w:b/>
          <w:sz w:val="24"/>
        </w:rPr>
        <w:t xml:space="preserve">ельств </w:t>
      </w:r>
    </w:p>
    <w:p w:rsidR="00981A75" w:rsidRDefault="001E759B">
      <w:pPr>
        <w:numPr>
          <w:ilvl w:val="1"/>
          <w:numId w:val="14"/>
        </w:numPr>
        <w:spacing w:after="0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22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4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признаками острого гнойного дакриоцистита применение антибактериальных препаратов системного действия (J01) с целью профилактики внеочаговых осложнений [1,32,33]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</w:t>
      </w:r>
      <w:r>
        <w:rPr>
          <w:rFonts w:ascii="Times New Roman" w:eastAsia="Times New Roman" w:hAnsi="Times New Roman" w:cs="Times New Roman"/>
          <w:b/>
          <w:sz w:val="24"/>
        </w:rPr>
        <w:t xml:space="preserve">(уровень достоверности доказательств </w:t>
      </w:r>
    </w:p>
    <w:p w:rsidR="00981A75" w:rsidRDefault="001E759B">
      <w:pPr>
        <w:numPr>
          <w:ilvl w:val="1"/>
          <w:numId w:val="14"/>
        </w:numPr>
        <w:spacing w:after="0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22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4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хроническим гнойным дакриоциститом до назначения хирургического лечения – промывание слёзных путей (А11.26.004) противоинфекционными препаратами с частотой от 1 до 4 раз в месяц с целью </w:t>
      </w:r>
    </w:p>
    <w:p w:rsidR="00981A75" w:rsidRDefault="001E759B">
      <w:pPr>
        <w:spacing w:after="115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[1,24,32,76,77].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4"/>
        </w:numPr>
        <w:spacing w:after="0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>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5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2"/>
        <w:ind w:left="705"/>
      </w:pPr>
      <w:r>
        <w:t xml:space="preserve">3.2 </w:t>
      </w:r>
      <w:r>
        <w:t>Хирургическое</w:t>
      </w:r>
      <w:r>
        <w:t xml:space="preserve"> </w:t>
      </w:r>
      <w:r>
        <w:t>лечение</w:t>
      </w:r>
      <w:r>
        <w:rPr>
          <w:u w:val="none"/>
        </w:rPr>
        <w:t xml:space="preserve"> </w:t>
      </w:r>
    </w:p>
    <w:p w:rsidR="00981A75" w:rsidRDefault="001E759B">
      <w:pPr>
        <w:spacing w:after="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признаками дакриоцистита/каналикулита </w:t>
      </w:r>
      <w:r>
        <w:rPr>
          <w:rFonts w:ascii="Times New Roman" w:eastAsia="Times New Roman" w:hAnsi="Times New Roman" w:cs="Times New Roman"/>
          <w:sz w:val="24"/>
        </w:rPr>
        <w:t xml:space="preserve">при отсутствии долговременного эффекта от консервативного лечения показано хирургическое лечение с целью формирования путей оттока слезы [2, 3, 23, 32]. </w:t>
      </w:r>
    </w:p>
    <w:p w:rsidR="00981A75" w:rsidRDefault="001E759B">
      <w:pPr>
        <w:spacing w:after="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0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5)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Пациентам с эпифорой и недостаточностью слезоотводящих протоков при отсутствии признаков дакриоцистита возможно проведение хирургического лечения, направленное на восстановление слезоотведения с целью уменьшения слезотечения. </w:t>
      </w:r>
    </w:p>
    <w:p w:rsidR="00981A75" w:rsidRDefault="001E759B">
      <w:pPr>
        <w:spacing w:after="109"/>
        <w:ind w:left="705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>Хирургическое лечение слезных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точек: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Пациентам с дистопией, сужением или заращением слезных точек и/или канальцев возможно проведение хирургического лечения, направленного на восстановление просвета слезных точек и/или канальцев: A16.26.005 Удаление камней слезных канальцев, A16.26.1</w:t>
      </w:r>
      <w:r>
        <w:rPr>
          <w:rFonts w:ascii="Times New Roman" w:eastAsia="Times New Roman" w:hAnsi="Times New Roman" w:cs="Times New Roman"/>
          <w:i/>
          <w:sz w:val="24"/>
        </w:rPr>
        <w:t>36 Расщепление слезных точек и канальцев, A16.26.144 Разрез слезных точек и слезных канальцев, A16.26.007.003 Имплантация обтуратора слезной точки, 16.26.007.002 Интубация слезных протоков, A16.26.011 Зондирование слезных канальцев, активация слезных точек</w:t>
      </w:r>
      <w:r>
        <w:rPr>
          <w:rFonts w:ascii="Times New Roman" w:eastAsia="Times New Roman" w:hAnsi="Times New Roman" w:cs="Times New Roman"/>
          <w:i/>
          <w:sz w:val="24"/>
        </w:rPr>
        <w:t xml:space="preserve">, A16.26.020 Устранение энтропиона или эктропиона, A16.26.127.002 Кантопластика медиальная </w:t>
      </w:r>
      <w:r>
        <w:rPr>
          <w:rFonts w:ascii="Times New Roman" w:eastAsia="Times New Roman" w:hAnsi="Times New Roman" w:cs="Times New Roman"/>
          <w:sz w:val="24"/>
        </w:rPr>
        <w:t>[1.5,8,37-42].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Хирургическое лечение при дислокации слезных точек направлено на восстановление их прилегания к глазному яблоку. В зависимости от причин дислокации, </w:t>
      </w:r>
      <w:r>
        <w:rPr>
          <w:rFonts w:ascii="Times New Roman" w:eastAsia="Times New Roman" w:hAnsi="Times New Roman" w:cs="Times New Roman"/>
          <w:i/>
          <w:sz w:val="24"/>
        </w:rPr>
        <w:t xml:space="preserve">хирургические методы различаются.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дислокации слезной точки за счет атонии нижнего века операцию производят со стороны тарзальной конъюнктивы. Из конъюнктивы ниже слезной точки выкраивают и иссекают различного размера и конфигурации лоскуты. Края раны</w:t>
      </w:r>
      <w:r>
        <w:rPr>
          <w:rFonts w:ascii="Times New Roman" w:eastAsia="Times New Roman" w:hAnsi="Times New Roman" w:cs="Times New Roman"/>
          <w:i/>
          <w:sz w:val="24"/>
        </w:rPr>
        <w:t xml:space="preserve"> зашивают. При дислокациях слезных точек, которые возникают в результате рубцовых изменений кожи век, применяют свободную кожную пластику нижнего века.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стенозе слезных точек возможно проведение серии бужирований (А16.26.011 зондирование слёзных канал</w:t>
      </w:r>
      <w:r>
        <w:rPr>
          <w:rFonts w:ascii="Times New Roman" w:eastAsia="Times New Roman" w:hAnsi="Times New Roman" w:cs="Times New Roman"/>
          <w:i/>
          <w:sz w:val="24"/>
        </w:rPr>
        <w:t>ьцев, активация слёзных точек) с целью их расширения или применение перфорированной пробки для слезной точки (РЗН 2019/9297 Предустановленнный лакримальный обтуратор слёзных точек) [37]. При неудовлетворительном результате выполняют расширение слезной точк</w:t>
      </w:r>
      <w:r>
        <w:rPr>
          <w:rFonts w:ascii="Times New Roman" w:eastAsia="Times New Roman" w:hAnsi="Times New Roman" w:cs="Times New Roman"/>
          <w:i/>
          <w:sz w:val="24"/>
        </w:rPr>
        <w:t>и хирургическим путем. Данная операция имеет множество модификаций. Суть их заключается в рассечении сфинктера слезной точки или в рассечение слезной точки с удалением фрагмента внутренней стенки канальца.  При облитерации слезной точки и сохранности слезн</w:t>
      </w:r>
      <w:r>
        <w:rPr>
          <w:rFonts w:ascii="Times New Roman" w:eastAsia="Times New Roman" w:hAnsi="Times New Roman" w:cs="Times New Roman"/>
          <w:i/>
          <w:sz w:val="24"/>
        </w:rPr>
        <w:t xml:space="preserve">ого канальца формируют новую слезную точку, которая располагается на 1,0-1,5 мм медиальнее места ее предполагаемого нормального расположения. [37-42]. </w:t>
      </w:r>
    </w:p>
    <w:p w:rsidR="00981A75" w:rsidRDefault="001E759B">
      <w:pPr>
        <w:spacing w:after="12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Хирургическое лечение слезных канальцев </w:t>
      </w:r>
    </w:p>
    <w:p w:rsidR="00981A75" w:rsidRDefault="001E759B">
      <w:pPr>
        <w:spacing w:after="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каналикулитом хирургическое лечен</w:t>
      </w:r>
      <w:r>
        <w:rPr>
          <w:rFonts w:ascii="Times New Roman" w:eastAsia="Times New Roman" w:hAnsi="Times New Roman" w:cs="Times New Roman"/>
          <w:sz w:val="24"/>
        </w:rPr>
        <w:t>ие – вскрытие и санация слезного канальца (A16.26.136 Расщепление слезных точек и канальцев, A16.26.144 Разрез слезных точек и слезных канальцев)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с целью купирования гнойного воспаления [1, 3, 38,43-45].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141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</w:t>
      </w:r>
      <w:r>
        <w:rPr>
          <w:rFonts w:ascii="Times New Roman" w:eastAsia="Times New Roman" w:hAnsi="Times New Roman" w:cs="Times New Roman"/>
          <w:b/>
          <w:sz w:val="24"/>
        </w:rPr>
        <w:t xml:space="preserve">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4)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Комментарий</w:t>
      </w:r>
      <w:r>
        <w:rPr>
          <w:rFonts w:ascii="Times New Roman" w:eastAsia="Times New Roman" w:hAnsi="Times New Roman" w:cs="Times New Roman"/>
          <w:i/>
          <w:sz w:val="24"/>
        </w:rPr>
        <w:t xml:space="preserve">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Устранение локальных обструкций канальца возможно с помощью курсов бужирования (Зондирование слёзных каналов А16.26.011) цилиндрическими зондами (</w:t>
      </w:r>
      <w:r>
        <w:rPr>
          <w:rFonts w:ascii="Times New Roman" w:eastAsia="Times New Roman" w:hAnsi="Times New Roman" w:cs="Times New Roman"/>
          <w:color w:val="212529"/>
          <w:sz w:val="24"/>
        </w:rPr>
        <w:t>РЗН 2024/24284</w:t>
      </w:r>
      <w:r>
        <w:rPr>
          <w:rFonts w:ascii="Times New Roman" w:eastAsia="Times New Roman" w:hAnsi="Times New Roman" w:cs="Times New Roman"/>
          <w:i/>
          <w:sz w:val="24"/>
        </w:rPr>
        <w:t>). Эффективность лечения зависит от интенсивности р</w:t>
      </w:r>
      <w:r>
        <w:rPr>
          <w:rFonts w:ascii="Times New Roman" w:eastAsia="Times New Roman" w:hAnsi="Times New Roman" w:cs="Times New Roman"/>
          <w:i/>
          <w:sz w:val="24"/>
        </w:rPr>
        <w:t xml:space="preserve">убцевания и протяженности обструкции.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Лечение облитерации канальцев с помощью бужирования, как правило, безрезультатны.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Канальцевые облитерации можно анатомически классифицировать как проксимальные (до 3 мм от слезной точки), среднего уровня (от 3 мм до</w:t>
      </w:r>
      <w:r>
        <w:rPr>
          <w:rFonts w:ascii="Times New Roman" w:eastAsia="Times New Roman" w:hAnsi="Times New Roman" w:cs="Times New Roman"/>
          <w:i/>
          <w:sz w:val="24"/>
        </w:rPr>
        <w:t xml:space="preserve"> 6 мм) и дистальные (&gt; 6 мм от слезной точки).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Проксимальную облитерацию слезного канальца можно лечить, выполняя пунктопластику </w:t>
      </w:r>
      <w:r>
        <w:rPr>
          <w:rFonts w:ascii="Times New Roman" w:eastAsia="Times New Roman" w:hAnsi="Times New Roman" w:cs="Times New Roman"/>
          <w:i/>
          <w:sz w:val="24"/>
        </w:rPr>
        <w:t>(А16.26.007 пластика слёзных точек и слёзных канальцев): выполняют поперечный разрез в проекции сохранного канальца, отыскивают его просвет и на этом мете формируют слезную точку, иссекая заднюю стенку канальца. В просвет канальца временно устанавливают им</w:t>
      </w:r>
      <w:r>
        <w:rPr>
          <w:rFonts w:ascii="Times New Roman" w:eastAsia="Times New Roman" w:hAnsi="Times New Roman" w:cs="Times New Roman"/>
          <w:i/>
          <w:sz w:val="24"/>
        </w:rPr>
        <w:t xml:space="preserve">плантат (А16.26.007002 Интубация слёзных протоков) [45]. </w:t>
      </w:r>
    </w:p>
    <w:p w:rsidR="00981A75" w:rsidRDefault="001E759B">
      <w:pPr>
        <w:spacing w:after="112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 качестве имплантатов для слёзных канальцев могут быть использованы: </w:t>
      </w:r>
    </w:p>
    <w:p w:rsidR="00981A75" w:rsidRDefault="001E759B">
      <w:pPr>
        <w:spacing w:after="3" w:line="362" w:lineRule="auto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микродренажи офтальмологические для коррекции слёзоотводящих путей (РЗС 2020/13101 от 31.12.2020), микродренажи офтальмологических силиконовые (ФСР 2010/07232 от </w:t>
      </w:r>
    </w:p>
    <w:p w:rsidR="00981A75" w:rsidRDefault="001E759B">
      <w:pPr>
        <w:spacing w:after="115"/>
        <w:ind w:left="-3" w:hanging="10"/>
      </w:pPr>
      <w:r>
        <w:rPr>
          <w:rFonts w:ascii="Times New Roman" w:eastAsia="Times New Roman" w:hAnsi="Times New Roman" w:cs="Times New Roman"/>
          <w:i/>
          <w:sz w:val="24"/>
        </w:rPr>
        <w:t xml:space="preserve">3.08.2017).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облитерации средней трети канальца проводят попытку разрушения стриктуры зон</w:t>
      </w:r>
      <w:r>
        <w:rPr>
          <w:rFonts w:ascii="Times New Roman" w:eastAsia="Times New Roman" w:hAnsi="Times New Roman" w:cs="Times New Roman"/>
          <w:i/>
          <w:sz w:val="24"/>
        </w:rPr>
        <w:t>дами (А16.26.011 Зондирование слёзных канальцев). При отсутствии эффекта от бужирования, возможно, проведение неполного дозированного рассечения канальца (Разрез слезных точек и слезных канальцев А16.26.144), формирование новой слезной точки медиальнее зон</w:t>
      </w:r>
      <w:r>
        <w:rPr>
          <w:rFonts w:ascii="Times New Roman" w:eastAsia="Times New Roman" w:hAnsi="Times New Roman" w:cs="Times New Roman"/>
          <w:i/>
          <w:sz w:val="24"/>
        </w:rPr>
        <w:t xml:space="preserve">ы облитерации, протезирование канальца имплантатами (А16.26.007002 Интубация слёзных протоков).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облитерации дистальной части слезных канальцев свою эффективность показала баллонная дакриопластика (А16.26.007.001 Дилятация слёзных протоков </w:t>
      </w:r>
    </w:p>
    <w:p w:rsidR="00981A75" w:rsidRDefault="001E759B">
      <w:pPr>
        <w:spacing w:after="118"/>
        <w:ind w:left="-13"/>
        <w:jc w:val="both"/>
      </w:pPr>
      <w:r>
        <w:rPr>
          <w:rFonts w:ascii="Times New Roman" w:eastAsia="Times New Roman" w:hAnsi="Times New Roman" w:cs="Times New Roman"/>
          <w:i/>
          <w:sz w:val="24"/>
        </w:rPr>
        <w:t>экспандера</w:t>
      </w:r>
      <w:r>
        <w:rPr>
          <w:rFonts w:ascii="Times New Roman" w:eastAsia="Times New Roman" w:hAnsi="Times New Roman" w:cs="Times New Roman"/>
          <w:i/>
          <w:sz w:val="24"/>
        </w:rPr>
        <w:t xml:space="preserve">ми) [57-62].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Пластика слёзных точек и слёзных канальцев (А16.26.007), осуществляемая с помощью эндоскопической техники (Система видеоэндоскопическая для диагностики и лечения слёзного канала LAC-29FY РЗН 2017/5868) – дакриоэндоскопия, позволяет проводить</w:t>
      </w:r>
      <w:r>
        <w:rPr>
          <w:rFonts w:ascii="Times New Roman" w:eastAsia="Times New Roman" w:hAnsi="Times New Roman" w:cs="Times New Roman"/>
          <w:i/>
          <w:sz w:val="24"/>
        </w:rPr>
        <w:t xml:space="preserve"> реканализацию канальцев с помощью микроэндоскопически контролируемой трепанации, а также дакриоринотомии, микродрельной дакриопластики или лазерной дакриопластики [59,63-65].  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невозможности восстановления проходимости слезных канальцев выполняют опе</w:t>
      </w:r>
      <w:r>
        <w:rPr>
          <w:rFonts w:ascii="Times New Roman" w:eastAsia="Times New Roman" w:hAnsi="Times New Roman" w:cs="Times New Roman"/>
          <w:i/>
          <w:sz w:val="24"/>
        </w:rPr>
        <w:t xml:space="preserve">рацию лакориностомию (А16.26.010.002). </w:t>
      </w:r>
    </w:p>
    <w:p w:rsidR="00981A75" w:rsidRDefault="001E759B">
      <w:pPr>
        <w:spacing w:after="112"/>
        <w:ind w:left="2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Пациентам с полным заращением или атрезией слезных канальцев возможно хирургическое лечение путем формирования обходных путей оттока методами: 1) создание анастомоза между конъюнктивальной полостью и слезным мешком</w:t>
      </w:r>
      <w:r>
        <w:rPr>
          <w:rFonts w:ascii="Times New Roman" w:eastAsia="Times New Roman" w:hAnsi="Times New Roman" w:cs="Times New Roman"/>
          <w:i/>
          <w:sz w:val="24"/>
        </w:rPr>
        <w:t xml:space="preserve">/полостью носа; 2) имплантация лакопротеза [8,67]. </w:t>
      </w:r>
    </w:p>
    <w:p w:rsidR="00981A75" w:rsidRDefault="001E759B">
      <w:pPr>
        <w:spacing w:after="116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A16.26.010 Конъюнктиводакриостомия, конъюнктивориностомия </w:t>
      </w:r>
    </w:p>
    <w:p w:rsidR="00981A75" w:rsidRDefault="001E759B">
      <w:pPr>
        <w:spacing w:after="113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A16.26.010.001 Лакоцистостомия с постоянной интубацией </w:t>
      </w:r>
    </w:p>
    <w:p w:rsidR="00981A75" w:rsidRDefault="001E759B">
      <w:pPr>
        <w:spacing w:after="115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A16.26.010.002 Лакориностомия с имплантацией лакопротеза </w:t>
      </w:r>
    </w:p>
    <w:p w:rsidR="00981A75" w:rsidRDefault="001E759B">
      <w:pPr>
        <w:spacing w:after="119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5"/>
        <w:ind w:left="705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Хирургическое лечение носослезного протока </w:t>
      </w:r>
    </w:p>
    <w:p w:rsidR="00981A75" w:rsidRDefault="001E759B">
      <w:pPr>
        <w:numPr>
          <w:ilvl w:val="0"/>
          <w:numId w:val="15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сужением носослезного протока или короткой обструкцией расширение протока, реканализация СОП с интубацией - дилатация слезных протоков экспандерами для взрослых (А16.26.007.001) и/или ин</w:t>
      </w:r>
      <w:r>
        <w:rPr>
          <w:rFonts w:ascii="Times New Roman" w:eastAsia="Times New Roman" w:hAnsi="Times New Roman" w:cs="Times New Roman"/>
          <w:sz w:val="24"/>
        </w:rPr>
        <w:t xml:space="preserve">тубация слезных протоков с целью восстановления проходимости СОП у всех пациентов (А16.26.007.002) [48,51,54,55,57,58,62,68,83]. </w:t>
      </w:r>
    </w:p>
    <w:p w:rsidR="00981A75" w:rsidRDefault="001E759B">
      <w:pPr>
        <w:spacing w:after="145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В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3).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2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Лечение абсцедирующего дакриоцистита </w:t>
      </w:r>
    </w:p>
    <w:p w:rsidR="00981A75" w:rsidRDefault="001E759B">
      <w:pPr>
        <w:numPr>
          <w:ilvl w:val="0"/>
          <w:numId w:val="15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</w:t>
      </w:r>
      <w:r>
        <w:rPr>
          <w:rFonts w:ascii="Times New Roman" w:eastAsia="Times New Roman" w:hAnsi="Times New Roman" w:cs="Times New Roman"/>
          <w:b/>
          <w:sz w:val="24"/>
        </w:rPr>
        <w:t>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абсцедирующим дакриоциститом – чрескожное вскрытие абсцесса, санация и дренирование гнойной полости (вскрытие флегмоны слезного мешка, разрез слезных точек и слезных канальцев А16.26.006) с целью купирования гнойного воспаления [5,30</w:t>
      </w:r>
      <w:r>
        <w:rPr>
          <w:rFonts w:ascii="Times New Roman" w:eastAsia="Times New Roman" w:hAnsi="Times New Roman" w:cs="Times New Roman"/>
          <w:sz w:val="24"/>
        </w:rPr>
        <w:t xml:space="preserve">,79]. </w:t>
      </w:r>
    </w:p>
    <w:p w:rsidR="00981A75" w:rsidRDefault="001E759B">
      <w:pPr>
        <w:spacing w:after="146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5).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6"/>
        <w:ind w:left="2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15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Дакриоцисториностомия </w:t>
      </w:r>
    </w:p>
    <w:p w:rsidR="00981A75" w:rsidRDefault="001E759B">
      <w:pPr>
        <w:numPr>
          <w:ilvl w:val="0"/>
          <w:numId w:val="15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признаками дакриоцистита и отсутствием эффекта от консервативного лечения с целью восстановления проходимости СОП о</w:t>
      </w:r>
      <w:r>
        <w:rPr>
          <w:rFonts w:ascii="Times New Roman" w:eastAsia="Times New Roman" w:hAnsi="Times New Roman" w:cs="Times New Roman"/>
          <w:sz w:val="24"/>
        </w:rPr>
        <w:t>перация дакриоцисториностомия (А16.26.008), которая может быть выполнена наружным или эндоскопическим доступом (дакриоцисториностомия с использованием эндоскопических технологий А16.26.009.001, дакриоцисториностомия с интубацией и использованием эндоскопич</w:t>
      </w:r>
      <w:r>
        <w:rPr>
          <w:rFonts w:ascii="Times New Roman" w:eastAsia="Times New Roman" w:hAnsi="Times New Roman" w:cs="Times New Roman"/>
          <w:sz w:val="24"/>
        </w:rPr>
        <w:t xml:space="preserve">еских технологий А16.26.009.001) [1-5,23,24,32,35,74]. </w:t>
      </w:r>
    </w:p>
    <w:p w:rsidR="00981A75" w:rsidRDefault="001E759B">
      <w:pPr>
        <w:spacing w:after="141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А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1)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Комментарий: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Дакриоцисториностомия наружным доступом проводится после разрешения острого гнойного дакриоцистита.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Дакриоцисториностомия эндоскопическим доступом может быть выполнена даже на фоне активного гнойного дакриоцистита.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процессе интубации СОП для проведения стента по всем участкам СОП используют различные проводники, входящие в состав лакримальных интубаци</w:t>
      </w:r>
      <w:r>
        <w:rPr>
          <w:rFonts w:ascii="Times New Roman" w:eastAsia="Times New Roman" w:hAnsi="Times New Roman" w:cs="Times New Roman"/>
          <w:i/>
          <w:sz w:val="24"/>
        </w:rPr>
        <w:t xml:space="preserve">онных наборов (РЗН 2019/9292 от 27.11.2019): полый зонд с леской, систему Ритленга, систему Кроуфорда, Бика, Монока и др.) </w:t>
      </w:r>
    </w:p>
    <w:p w:rsidR="00981A75" w:rsidRDefault="001E759B">
      <w:pPr>
        <w:spacing w:after="119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4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Дакриоцистэктомия </w:t>
      </w:r>
    </w:p>
    <w:p w:rsidR="00981A75" w:rsidRDefault="001E759B">
      <w:pPr>
        <w:numPr>
          <w:ilvl w:val="0"/>
          <w:numId w:val="15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пациентам с рецидивирующим гнойным дакриоциститом и отсутствием эффекта от дакриоцисториностомии </w:t>
      </w:r>
      <w:r>
        <w:rPr>
          <w:rFonts w:ascii="Times New Roman" w:eastAsia="Times New Roman" w:hAnsi="Times New Roman" w:cs="Times New Roman"/>
          <w:sz w:val="24"/>
        </w:rPr>
        <w:t xml:space="preserve">или невозможностью дакриоцисториностомии по общему клиническому состоянию – иссечение слезного мешка (дакриоцистэктомия А16.26.009) [75, 80-82]. </w:t>
      </w:r>
    </w:p>
    <w:p w:rsidR="00981A75" w:rsidRDefault="001E759B">
      <w:pPr>
        <w:spacing w:after="141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4)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09"/>
        <w:ind w:left="705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Комментарий.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Пациентам </w:t>
      </w:r>
      <w:r>
        <w:rPr>
          <w:rFonts w:ascii="Times New Roman" w:eastAsia="Times New Roman" w:hAnsi="Times New Roman" w:cs="Times New Roman"/>
          <w:i/>
          <w:sz w:val="24"/>
        </w:rPr>
        <w:t xml:space="preserve">с осложненным соматическим состоянием, тяжелым нарушением анатомии носо-орбитальной области возможно иссечение слезного мешка без предварительной дакриоцисториностомии.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3.3 Иное лечение </w:t>
      </w:r>
      <w:r>
        <w:rPr>
          <w:rFonts w:ascii="Times New Roman" w:eastAsia="Times New Roman" w:hAnsi="Times New Roman" w:cs="Times New Roman"/>
          <w:sz w:val="24"/>
        </w:rPr>
        <w:t xml:space="preserve">– не применяется. </w:t>
      </w:r>
    </w:p>
    <w:p w:rsidR="00981A75" w:rsidRDefault="001E759B">
      <w:pPr>
        <w:spacing w:after="20"/>
        <w:ind w:left="710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981A75" w:rsidRDefault="001E759B">
      <w:pPr>
        <w:numPr>
          <w:ilvl w:val="2"/>
          <w:numId w:val="16"/>
        </w:numPr>
        <w:spacing w:after="0" w:line="357" w:lineRule="auto"/>
        <w:ind w:right="10" w:firstLine="778"/>
      </w:pPr>
      <w:r>
        <w:rPr>
          <w:rFonts w:ascii="Times New Roman" w:eastAsia="Times New Roman" w:hAnsi="Times New Roman" w:cs="Times New Roman"/>
          <w:b/>
          <w:sz w:val="28"/>
        </w:rPr>
        <w:t>Медицинская реабилитация и санаторно-</w:t>
      </w:r>
      <w:r>
        <w:rPr>
          <w:rFonts w:ascii="Times New Roman" w:eastAsia="Times New Roman" w:hAnsi="Times New Roman" w:cs="Times New Roman"/>
          <w:b/>
          <w:sz w:val="28"/>
        </w:rPr>
        <w:t xml:space="preserve">курортное лечение, медицинские показания и противопоказания к применению методов реабилитации, в том числе основанных на использовании природных лечебных факторов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Медицинскую реабилитацию не проводят.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21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2"/>
          <w:numId w:val="16"/>
        </w:numPr>
        <w:spacing w:after="4" w:line="266" w:lineRule="auto"/>
        <w:ind w:right="10" w:firstLine="778"/>
      </w:pPr>
      <w:r>
        <w:rPr>
          <w:rFonts w:ascii="Times New Roman" w:eastAsia="Times New Roman" w:hAnsi="Times New Roman" w:cs="Times New Roman"/>
          <w:b/>
          <w:sz w:val="28"/>
        </w:rPr>
        <w:t>Профилактика и диспансерное наблюдение, мед</w:t>
      </w:r>
      <w:r>
        <w:rPr>
          <w:rFonts w:ascii="Times New Roman" w:eastAsia="Times New Roman" w:hAnsi="Times New Roman" w:cs="Times New Roman"/>
          <w:b/>
          <w:sz w:val="28"/>
        </w:rPr>
        <w:t xml:space="preserve">ицинские показания и </w:t>
      </w:r>
    </w:p>
    <w:p w:rsidR="00981A75" w:rsidRDefault="001E759B">
      <w:pPr>
        <w:pStyle w:val="Heading1"/>
        <w:ind w:left="29" w:right="19"/>
      </w:pPr>
      <w:r>
        <w:t>противопоказания к применению методов профилактики</w:t>
      </w:r>
      <w:r>
        <w:rPr>
          <w:sz w:val="37"/>
          <w:vertAlign w:val="subscript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Специфических методов профилактики не существует. </w:t>
      </w:r>
    </w:p>
    <w:p w:rsidR="00981A75" w:rsidRDefault="001E759B">
      <w:pPr>
        <w:spacing w:after="159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7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Рекомендуется </w:t>
      </w:r>
      <w:r>
        <w:rPr>
          <w:rFonts w:ascii="Times New Roman" w:eastAsia="Times New Roman" w:hAnsi="Times New Roman" w:cs="Times New Roman"/>
          <w:sz w:val="24"/>
        </w:rPr>
        <w:t xml:space="preserve">прием (осмотр, консультация) врача-офтальмолога повторный (B01.029.002) </w:t>
      </w:r>
      <w:r>
        <w:rPr>
          <w:rFonts w:ascii="Times New Roman" w:eastAsia="Times New Roman" w:hAnsi="Times New Roman" w:cs="Times New Roman"/>
          <w:sz w:val="24"/>
        </w:rPr>
        <w:t xml:space="preserve">пациентов с признаками дакриоцистита, получающих консервативное лечение, для контроля эффективности лечения с целью предупреждения осложнений </w:t>
      </w:r>
    </w:p>
    <w:p w:rsidR="00981A75" w:rsidRDefault="001E759B">
      <w:pPr>
        <w:spacing w:after="120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[76,77,78, 79]. </w:t>
      </w:r>
    </w:p>
    <w:p w:rsidR="00981A75" w:rsidRDefault="001E759B">
      <w:pPr>
        <w:spacing w:after="147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</w:p>
    <w:p w:rsidR="00981A75" w:rsidRDefault="001E759B">
      <w:pPr>
        <w:numPr>
          <w:ilvl w:val="1"/>
          <w:numId w:val="17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5)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Комментарии: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 П</w:t>
      </w:r>
      <w:r>
        <w:rPr>
          <w:rFonts w:ascii="Times New Roman" w:eastAsia="Times New Roman" w:hAnsi="Times New Roman" w:cs="Times New Roman"/>
          <w:i/>
          <w:sz w:val="24"/>
        </w:rPr>
        <w:t>осле первичного осмотра и назначения противомикробных препаратов при острых воспалении или обострении хронического воспаления СОП требуется контроль за эффективностью лечения и возможна коррекция лечения после получения результатов бактериологического иссл</w:t>
      </w:r>
      <w:r>
        <w:rPr>
          <w:rFonts w:ascii="Times New Roman" w:eastAsia="Times New Roman" w:hAnsi="Times New Roman" w:cs="Times New Roman"/>
          <w:i/>
          <w:sz w:val="24"/>
        </w:rPr>
        <w:t xml:space="preserve">едования назначают препараты целенаправленного действия на основании определения чувствительности флоры.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Целесообразно пациентам с обострением хронического дакриоцистита при наличии слезных точек и восстановленной проходимости слезных протоков проводить к</w:t>
      </w:r>
      <w:r>
        <w:rPr>
          <w:rFonts w:ascii="Times New Roman" w:eastAsia="Times New Roman" w:hAnsi="Times New Roman" w:cs="Times New Roman"/>
          <w:i/>
          <w:sz w:val="24"/>
        </w:rPr>
        <w:t>урс промываний слезных путей (А11.26.004) антибактериальными препаратами системного действия (J01) (1-3 сеанса</w:t>
      </w:r>
      <w:r>
        <w:rPr>
          <w:rFonts w:ascii="Times New Roman" w:eastAsia="Times New Roman" w:hAnsi="Times New Roman" w:cs="Times New Roman"/>
          <w:sz w:val="24"/>
        </w:rPr>
        <w:t xml:space="preserve">). </w:t>
      </w:r>
    </w:p>
    <w:p w:rsidR="00981A75" w:rsidRDefault="001E759B">
      <w:pPr>
        <w:spacing w:after="156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7"/>
        </w:numPr>
        <w:spacing w:after="3" w:line="359" w:lineRule="auto"/>
        <w:ind w:right="2" w:hanging="348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прием (осмотр, консультация) врача-офтальмолога повторный (B01.029.002) пациентов с патологией СОП после хирургического лечени</w:t>
      </w:r>
      <w:r>
        <w:rPr>
          <w:rFonts w:ascii="Times New Roman" w:eastAsia="Times New Roman" w:hAnsi="Times New Roman" w:cs="Times New Roman"/>
          <w:sz w:val="24"/>
        </w:rPr>
        <w:t xml:space="preserve">я с проведением внешнего осмотра челюстно-лицевой области (А01.07.005), визуальное исследование глаз (А01.26.002) [1-6,23,24,32,35]. </w:t>
      </w:r>
    </w:p>
    <w:p w:rsidR="00981A75" w:rsidRDefault="001E759B">
      <w:pPr>
        <w:spacing w:after="149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А (уровень достоверности доказательств </w:t>
      </w:r>
    </w:p>
    <w:p w:rsidR="00981A75" w:rsidRDefault="001E759B">
      <w:pPr>
        <w:numPr>
          <w:ilvl w:val="1"/>
          <w:numId w:val="17"/>
        </w:numPr>
        <w:spacing w:after="121"/>
        <w:ind w:hanging="180"/>
      </w:pPr>
      <w:r>
        <w:rPr>
          <w:rFonts w:ascii="Times New Roman" w:eastAsia="Times New Roman" w:hAnsi="Times New Roman" w:cs="Times New Roman"/>
          <w:b/>
          <w:sz w:val="24"/>
        </w:rPr>
        <w:t xml:space="preserve">1)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Комментарий: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Необходимо наблюдение за состоянием швов, положением интубационного материала, состояние полости носа и области соустья.  </w:t>
      </w:r>
    </w:p>
    <w:p w:rsidR="00981A75" w:rsidRDefault="001E759B">
      <w:pPr>
        <w:spacing w:after="113"/>
        <w:ind w:left="7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Кожные швы снимают на 10-14 сутки. </w:t>
      </w:r>
    </w:p>
    <w:p w:rsidR="00981A75" w:rsidRDefault="001E759B">
      <w:pPr>
        <w:spacing w:after="3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течение 1-1.5 месяцев после проведения дакриоцисториностомии регулярно проводится эндориноскопи</w:t>
      </w:r>
      <w:r>
        <w:rPr>
          <w:rFonts w:ascii="Times New Roman" w:eastAsia="Times New Roman" w:hAnsi="Times New Roman" w:cs="Times New Roman"/>
          <w:i/>
          <w:sz w:val="24"/>
        </w:rPr>
        <w:t xml:space="preserve">я (А03.08.004.001 Эндоскопическая эндоназальная ревизия полости носа, носоглотки) для проведения санации полости носа в области соустья. </w:t>
      </w:r>
    </w:p>
    <w:p w:rsidR="00981A75" w:rsidRDefault="001E759B">
      <w:pPr>
        <w:spacing w:after="237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Интубационный материал удаляется через 6 месяцев после интубации слезных путей с последующим промыванием слезных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путей (А11.26.004) нейтральными растворами. </w:t>
      </w:r>
    </w:p>
    <w:p w:rsidR="00981A75" w:rsidRDefault="001E759B">
      <w:pPr>
        <w:spacing w:after="36" w:line="362" w:lineRule="auto"/>
        <w:ind w:left="-13" w:firstLine="69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Для субъективной оценки выраженности слезотечения у пациентов с эпифорой до и в процессе лечения возможно использование шкалы оценки эпифоры по Мунку (Приложение </w:t>
      </w:r>
    </w:p>
    <w:p w:rsidR="00981A75" w:rsidRDefault="001E759B">
      <w:pPr>
        <w:spacing w:after="201"/>
        <w:ind w:left="-3" w:hanging="10"/>
      </w:pPr>
      <w:r>
        <w:rPr>
          <w:rFonts w:ascii="Times New Roman" w:eastAsia="Times New Roman" w:hAnsi="Times New Roman" w:cs="Times New Roman"/>
          <w:i/>
          <w:sz w:val="24"/>
        </w:rPr>
        <w:t xml:space="preserve">Г1) [3,84-90]. </w:t>
      </w:r>
    </w:p>
    <w:p w:rsidR="00981A75" w:rsidRDefault="001E759B">
      <w:pPr>
        <w:spacing w:after="156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59" w:lineRule="auto"/>
        <w:ind w:left="722" w:right="2" w:hanging="360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</w:t>
      </w:r>
      <w:r>
        <w:rPr>
          <w:rFonts w:ascii="Times New Roman" w:eastAsia="Times New Roman" w:hAnsi="Times New Roman" w:cs="Times New Roman"/>
          <w:sz w:val="24"/>
        </w:rPr>
        <w:t xml:space="preserve"> длительное дис</w:t>
      </w:r>
      <w:r>
        <w:rPr>
          <w:rFonts w:ascii="Times New Roman" w:eastAsia="Times New Roman" w:hAnsi="Times New Roman" w:cs="Times New Roman"/>
          <w:sz w:val="24"/>
        </w:rPr>
        <w:t xml:space="preserve">пансерное наблюдение - диспансерный приём (осмотр, консультация) врача-офтальмолога (В04.029.001) пациентов с непроходимостью СОП в послеоперационном периоде с целью профилактики рецидивов [1-5, 8,10].  </w:t>
      </w:r>
    </w:p>
    <w:p w:rsidR="00981A75" w:rsidRDefault="001E759B">
      <w:pPr>
        <w:spacing w:after="137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</w:t>
      </w:r>
      <w:r>
        <w:rPr>
          <w:rFonts w:ascii="Times New Roman" w:eastAsia="Times New Roman" w:hAnsi="Times New Roman" w:cs="Times New Roman"/>
          <w:b/>
          <w:sz w:val="24"/>
        </w:rPr>
        <w:t xml:space="preserve">верности доказательств </w:t>
      </w:r>
    </w:p>
    <w:p w:rsidR="00981A75" w:rsidRDefault="001E759B">
      <w:pPr>
        <w:spacing w:after="121"/>
        <w:ind w:left="705" w:hanging="10"/>
      </w:pPr>
      <w:r>
        <w:rPr>
          <w:rFonts w:ascii="Times New Roman" w:eastAsia="Times New Roman" w:hAnsi="Times New Roman" w:cs="Times New Roman"/>
          <w:b/>
          <w:sz w:val="24"/>
        </w:rPr>
        <w:t>– 4)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981A75" w:rsidRDefault="001E759B">
      <w:pPr>
        <w:spacing w:after="0" w:line="238" w:lineRule="auto"/>
        <w:ind w:left="710" w:right="8878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981A75" w:rsidRDefault="001E759B">
      <w:pPr>
        <w:spacing w:after="24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ind w:left="29" w:right="22"/>
      </w:pPr>
      <w:r>
        <w:rPr>
          <w:sz w:val="24"/>
        </w:rPr>
        <w:t>6</w:t>
      </w:r>
      <w:r>
        <w:rPr>
          <w:sz w:val="37"/>
          <w:vertAlign w:val="subscript"/>
        </w:rPr>
        <w:t xml:space="preserve">. </w:t>
      </w:r>
      <w:r>
        <w:t>Организация оказания медицинской помощи</w:t>
      </w:r>
      <w:r>
        <w:rPr>
          <w:sz w:val="37"/>
          <w:vertAlign w:val="subscript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Врач-педиатр (прием (осмотр, консультация) врача-педиатра участкового первичный B01.031.003), врач-терапевт (прием (осмотр, консультация) врача-</w:t>
      </w:r>
      <w:r>
        <w:rPr>
          <w:rFonts w:ascii="Times New Roman" w:eastAsia="Times New Roman" w:hAnsi="Times New Roman" w:cs="Times New Roman"/>
          <w:sz w:val="24"/>
        </w:rPr>
        <w:t xml:space="preserve">терапевта первичный B01.047.001) направляют пациента при наличии жалоб на слезотечение к врачуофтальмологу офтальмологического консультативного кабинета.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Первичную диагностику осуществляет врач-офтальмолог офтальмологического кабинета.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Малые хирургически</w:t>
      </w:r>
      <w:r>
        <w:rPr>
          <w:rFonts w:ascii="Times New Roman" w:eastAsia="Times New Roman" w:hAnsi="Times New Roman" w:cs="Times New Roman"/>
          <w:sz w:val="24"/>
        </w:rPr>
        <w:t xml:space="preserve">е вмешательства, в том числе вскрытие и дренирование абсцесса, лечение каналикулита проводит врач-офтальмолог в условиях перевязочной или дневного стационара.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Сложные хирургические вмешательства проводит врач-офтальмолог в условиях офтальмологического ста</w:t>
      </w:r>
      <w:r>
        <w:rPr>
          <w:rFonts w:ascii="Times New Roman" w:eastAsia="Times New Roman" w:hAnsi="Times New Roman" w:cs="Times New Roman"/>
          <w:sz w:val="24"/>
        </w:rPr>
        <w:t xml:space="preserve">ционара.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Показания для госпитализации в офтальмологический стационар: планирование сложного хирургического вмешательства. </w:t>
      </w:r>
    </w:p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Показания к выписке пациента из офтальмологического стационара: отсутствие осложнений, отсутствие гнойного воспаления. </w:t>
      </w:r>
    </w:p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9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40" w:line="357" w:lineRule="auto"/>
        <w:ind w:left="2649" w:hanging="1882"/>
      </w:pPr>
      <w:r>
        <w:rPr>
          <w:rFonts w:ascii="Times New Roman" w:eastAsia="Times New Roman" w:hAnsi="Times New Roman" w:cs="Times New Roman"/>
          <w:b/>
          <w:sz w:val="28"/>
        </w:rPr>
        <w:t>7. Доп</w:t>
      </w:r>
      <w:r>
        <w:rPr>
          <w:rFonts w:ascii="Times New Roman" w:eastAsia="Times New Roman" w:hAnsi="Times New Roman" w:cs="Times New Roman"/>
          <w:b/>
          <w:sz w:val="28"/>
        </w:rPr>
        <w:t xml:space="preserve">олнительная информация (в том числе факторы, влияющие на исход заболевания или состояния) </w:t>
      </w:r>
    </w:p>
    <w:p w:rsidR="00981A75" w:rsidRDefault="001E759B">
      <w:pPr>
        <w:spacing w:after="189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Дополнительной информации нет.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24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spacing w:after="103" w:line="249" w:lineRule="auto"/>
        <w:ind w:left="2172"/>
        <w:jc w:val="left"/>
      </w:pPr>
      <w:r>
        <w:t>Критерии оценки качества медицинской̆ помощи</w:t>
      </w:r>
      <w: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9654" w:type="dxa"/>
        <w:tblInd w:w="-5" w:type="dxa"/>
        <w:tblCellMar>
          <w:top w:w="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6"/>
        <w:gridCol w:w="108"/>
        <w:gridCol w:w="6405"/>
        <w:gridCol w:w="2755"/>
      </w:tblGrid>
      <w:tr w:rsidR="00981A75">
        <w:trPr>
          <w:trHeight w:val="576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981A75" w:rsidRDefault="001E759B">
            <w:pPr>
              <w:spacing w:after="0"/>
              <w:ind w:lef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513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981A75" w:rsidRDefault="001E759B">
            <w:pPr>
              <w:spacing w:after="0"/>
              <w:ind w:right="2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Критерии качества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981A75" w:rsidRDefault="001E759B">
            <w:pPr>
              <w:tabs>
                <w:tab w:val="right" w:pos="2755"/>
              </w:tabs>
              <w:spacing w:after="0"/>
              <w:ind w:left="-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Оценка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выполнения </w:t>
            </w:r>
          </w:p>
          <w:p w:rsidR="00981A75" w:rsidRDefault="001E759B">
            <w:pPr>
              <w:spacing w:after="0"/>
              <w:ind w:left="-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(да/нет) </w:t>
            </w:r>
          </w:p>
        </w:tc>
      </w:tr>
      <w:tr w:rsidR="00981A75">
        <w:trPr>
          <w:trHeight w:val="574"/>
        </w:trPr>
        <w:tc>
          <w:tcPr>
            <w:tcW w:w="494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15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1. </w:t>
            </w:r>
          </w:p>
        </w:tc>
        <w:tc>
          <w:tcPr>
            <w:tcW w:w="640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-1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Проведён сбор жалоб и анамнеза всем пациентам со слезотечением для установления диагноза  </w:t>
            </w:r>
          </w:p>
        </w:tc>
        <w:tc>
          <w:tcPr>
            <w:tcW w:w="275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  <w:tr w:rsidR="00981A75">
        <w:trPr>
          <w:trHeight w:val="1119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161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2. 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-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Проведено физикальное обследование: оценка изменения положение век, внутреннего угла глаза, слезных точек движений век, компрессионная проба, канальцев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ая проба при диагностике заболевания.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  <w:p w:rsidR="00981A75" w:rsidRDefault="001E759B">
            <w:pPr>
              <w:spacing w:after="0"/>
              <w:ind w:left="-4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</w:p>
        </w:tc>
      </w:tr>
      <w:tr w:rsidR="00981A75">
        <w:trPr>
          <w:trHeight w:val="842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-2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биомикроскопия глаза при диагностике заболевания, динамическом наблюдении и контроле за лечением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  <w:tr w:rsidR="00981A75">
        <w:trPr>
          <w:trHeight w:val="842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промывание слезных путей (A11.26.004 нейтральными растворами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диагностике заболевания контролем за лечением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tabs>
                <w:tab w:val="center" w:pos="1079"/>
              </w:tabs>
              <w:spacing w:after="0"/>
              <w:ind w:left="-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50749" cy="168771"/>
                      <wp:effectExtent l="0" t="0" r="0" b="0"/>
                      <wp:docPr id="33094" name="Group 330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749" cy="168771"/>
                                <a:chOff x="0" y="0"/>
                                <a:chExt cx="50749" cy="168771"/>
                              </a:xfrm>
                            </wpg:grpSpPr>
                            <wps:wsp>
                              <wps:cNvPr id="33050" name="Rectangle 33050"/>
                              <wps:cNvSpPr/>
                              <wps:spPr>
                                <a:xfrm>
                                  <a:off x="0" y="0"/>
                                  <a:ext cx="6749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981A75" w:rsidRDefault="001E759B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33094" style="width:3.996pt;height:13.2891pt;mso-position-horizontal-relative:char;mso-position-vertical-relative:line" coordsize="507,1687">
                      <v:rect id="Rectangle 33050" style="position:absolute;width:674;height:2244;left:0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)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Да/нет </w:t>
            </w:r>
          </w:p>
          <w:p w:rsidR="00981A75" w:rsidRDefault="001E759B">
            <w:pPr>
              <w:spacing w:after="0"/>
              <w:ind w:left="-4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</w:p>
        </w:tc>
      </w:tr>
      <w:tr w:rsidR="00981A75">
        <w:trPr>
          <w:trHeight w:val="569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-1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Проведено установление факта недостаточности слезоотведения через естественные пути оттока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  <w:tr w:rsidR="00981A75">
        <w:trPr>
          <w:trHeight w:val="290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диагностика уровня нарушения слезоотведения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  <w:tr w:rsidR="00981A75">
        <w:trPr>
          <w:trHeight w:val="843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 w:right="-1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назначение местного, а при необходимости системного противоинфекционного, противовоспалительного лечения. 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  <w:tr w:rsidR="00981A75">
        <w:trPr>
          <w:trHeight w:val="293"/>
        </w:trPr>
        <w:tc>
          <w:tcPr>
            <w:tcW w:w="4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 </w:t>
            </w:r>
          </w:p>
        </w:tc>
        <w:tc>
          <w:tcPr>
            <w:tcW w:w="6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хирургическое лечение при наличии показаний. 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left="74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Да/нет </w:t>
            </w:r>
          </w:p>
        </w:tc>
      </w:tr>
    </w:tbl>
    <w:p w:rsidR="00981A75" w:rsidRDefault="001E759B">
      <w:pPr>
        <w:pStyle w:val="Heading1"/>
        <w:spacing w:after="90"/>
        <w:ind w:left="712"/>
      </w:pPr>
      <w:r>
        <w:t>Список литературы</w:t>
      </w:r>
      <w:r>
        <w:t xml:space="preserve"> </w:t>
      </w:r>
    </w:p>
    <w:p w:rsidR="00981A75" w:rsidRDefault="001E759B">
      <w:pPr>
        <w:spacing w:after="111"/>
        <w:ind w:left="71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Школьник С.Ф. Современные подходы к диагностике и лечению заболеваний слезоотводящего тракта. // Практическая медицина, №4 (59), 2012. С. 173 – 176.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Школьник, Сергей Филиппович. Малоинвазивные технологии в диагностике и лечении дакриостенозов и воспалител</w:t>
      </w:r>
      <w:r>
        <w:rPr>
          <w:rFonts w:ascii="Times New Roman" w:eastAsia="Times New Roman" w:hAnsi="Times New Roman" w:cs="Times New Roman"/>
          <w:sz w:val="24"/>
        </w:rPr>
        <w:t>ьных заболеваний слезоотводящего тракта : Дис. ... доктора медицинских наук: 14.01.07 ; 14.01.03 / Школьник Сергей Филиппович; [Место защиты: Национальный медицинский исследовательский центр Межотраслевой научно-технический комплекс «Микрохирургия глаза» и</w:t>
      </w:r>
      <w:r>
        <w:rPr>
          <w:rFonts w:ascii="Times New Roman" w:eastAsia="Times New Roman" w:hAnsi="Times New Roman" w:cs="Times New Roman"/>
          <w:sz w:val="24"/>
        </w:rPr>
        <w:t xml:space="preserve">мени академика С.Н. Федорова Министерства здравоохранения Российской Федерации]. — Москва, 2020. — 300 с.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Атькова, Е. Л. Системный подход к диагностике и лечению дакриостеноза: специальность 14.00.08 «Глазные болезни»: автореферат диссертации на соискание</w:t>
      </w:r>
      <w:r>
        <w:rPr>
          <w:rFonts w:ascii="Times New Roman" w:eastAsia="Times New Roman" w:hAnsi="Times New Roman" w:cs="Times New Roman"/>
          <w:sz w:val="24"/>
        </w:rPr>
        <w:t xml:space="preserve"> ученой степени доктора медицинских наук / Атькова Евгения Львовна ; ФГБУ «Московский научно-исследовательский институт глазных болезней им. Гельмгольца». – Москва, 2019. – 41 с. – Место защиты : ФГБНУ Научноисследовательский институт глазных болезней. – Т</w:t>
      </w:r>
      <w:r>
        <w:rPr>
          <w:rFonts w:ascii="Times New Roman" w:eastAsia="Times New Roman" w:hAnsi="Times New Roman" w:cs="Times New Roman"/>
          <w:sz w:val="24"/>
        </w:rPr>
        <w:t xml:space="preserve">екст : непосредственный.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Офтальмология: национальное руководство / под ред. С.Э. Аветисова, Е.А. Егорова, Л.К. Мошетовой, В.В. — М.: ГЭОТАР-Медиа, 2008. — 944 с.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Черкунов, Б.Ф. Болезни слезных органов: монография / Б.Ф. Черкунов; М-во здравоохранения Рос</w:t>
      </w:r>
      <w:r>
        <w:rPr>
          <w:rFonts w:ascii="Times New Roman" w:eastAsia="Times New Roman" w:hAnsi="Times New Roman" w:cs="Times New Roman"/>
          <w:sz w:val="24"/>
        </w:rPr>
        <w:t xml:space="preserve">. Федерации. Департамент здравоохранения администрации Самар. обл., Самар. гос. мед. ун-т. – Самара: ООО Офорт, 2001. – 295 с </w:t>
      </w:r>
    </w:p>
    <w:p w:rsidR="00981A75" w:rsidRDefault="001E759B">
      <w:pPr>
        <w:numPr>
          <w:ilvl w:val="0"/>
          <w:numId w:val="18"/>
        </w:numPr>
        <w:spacing w:after="164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Аветисов, Э.С. Руководство по детской офтальмологии / Э.С. Аветисов, Е.И. Ковалевский, А.В. Хватова. – М.: Медицина, 1987. – 496 </w:t>
      </w:r>
      <w:r>
        <w:rPr>
          <w:rFonts w:ascii="Times New Roman" w:eastAsia="Times New Roman" w:hAnsi="Times New Roman" w:cs="Times New Roman"/>
          <w:sz w:val="24"/>
        </w:rPr>
        <w:t xml:space="preserve">с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Белоглазов, В.Г. Ранняя диагностика, клиника и лечение заболеваний слезоотводящей системы у детей: методические рекомендации / В.Г. Белоглазов. – М., 1989. – 12 с.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Малиновский, Г.Ф. Практическое руководство по лечению заболеваний слезных органов / Г.Ф. Малиновский, В.В. Моторный. – Минск: Белорусская наука, 2000. – 192 с.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Тейлор Д. Детская офтальмология / / Д. Тейлор, К. Хойт, пер. с англ. под общ. ред. Э.В. Егорово</w:t>
      </w:r>
      <w:r>
        <w:rPr>
          <w:rFonts w:ascii="Times New Roman" w:eastAsia="Times New Roman" w:hAnsi="Times New Roman" w:cs="Times New Roman"/>
          <w:sz w:val="24"/>
        </w:rPr>
        <w:t xml:space="preserve">й. – М.: БИНОМ, 2007. – 246 с.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Ali, M.J. Simpl vs complex nasolacrimal dact obstruction: etiology, management and outcomes / M. J. Ali, S. Kamal, A. Gupta, M.H. Ali, M.N. Naik // Int Forum Allergy Rhinol. – 2015. – Feb. – Vol. 5, № 2. – Р.174–177.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Nagara</w:t>
      </w:r>
      <w:r>
        <w:rPr>
          <w:rFonts w:ascii="Times New Roman" w:eastAsia="Times New Roman" w:hAnsi="Times New Roman" w:cs="Times New Roman"/>
          <w:sz w:val="24"/>
        </w:rPr>
        <w:t>ju G, Samhitha H. R, Kailash P. Chhabria, Rishika H. “Efficacy of Fluorescein Dye Disappearance Test in the Diagnosis of Lacrimal System outflow Obstruction”. Journal of Evidence based Medicine and Healthcare; Volume 2, Issue 10, March 09, 2015; Page: 1377</w:t>
      </w:r>
      <w:r>
        <w:rPr>
          <w:rFonts w:ascii="Times New Roman" w:eastAsia="Times New Roman" w:hAnsi="Times New Roman" w:cs="Times New Roman"/>
          <w:sz w:val="24"/>
        </w:rPr>
        <w:t xml:space="preserve">1386.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Архипова Е.Н. Оптимизация методов исследования заболеваний слезоотводящих путей: Автореф. дис. … канд. мед. наук: 14.01.07. М., 2014. – 24 с.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Атькова, Е.Л. Современные возможности диагностики нарушений слезопроведения / Е.Л.Атькова, В.Г. Белоглазов</w:t>
      </w:r>
      <w:r>
        <w:rPr>
          <w:rFonts w:ascii="Times New Roman" w:eastAsia="Times New Roman" w:hAnsi="Times New Roman" w:cs="Times New Roman"/>
          <w:sz w:val="24"/>
        </w:rPr>
        <w:t xml:space="preserve">, С.А. Эль-Саед, Е.Н. Архипова // Офтальмохирургия. – 2010. – № 1. – С. 58–61 </w:t>
      </w:r>
    </w:p>
    <w:p w:rsidR="00981A75" w:rsidRDefault="001E759B">
      <w:pPr>
        <w:numPr>
          <w:ilvl w:val="0"/>
          <w:numId w:val="18"/>
        </w:numPr>
        <w:spacing w:after="164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Конторович, Ю.И.К методике проведения канальцевой пробы / Ю.И. Конторович // Вестник офтальмологии. – 1961. – № 2. – С. 53–55.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Чиненов, И.М. Усовершенствование методов ранней д</w:t>
      </w:r>
      <w:r>
        <w:rPr>
          <w:rFonts w:ascii="Times New Roman" w:eastAsia="Times New Roman" w:hAnsi="Times New Roman" w:cs="Times New Roman"/>
          <w:sz w:val="24"/>
        </w:rPr>
        <w:t xml:space="preserve">иагностики и эффективности восстановления нарушений слезоотведения у детей: Автореф. дис. ... канд. мед. наук: 14.00.08. М., 1997. – 22 с.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Шимко, Ю.Н. Оптимизация диагностики и лечения патологии слезоотводящей системы на поликлиническом этапе: Автореф. ди</w:t>
      </w:r>
      <w:r>
        <w:rPr>
          <w:rFonts w:ascii="Times New Roman" w:eastAsia="Times New Roman" w:hAnsi="Times New Roman" w:cs="Times New Roman"/>
          <w:sz w:val="24"/>
        </w:rPr>
        <w:t xml:space="preserve">с… канд. мед. наук: 14.01.07. М., 2011. – 23 с.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Исследование проходимости слезоотводящих путей при патологии полости носа и околоносовых пазух  Мирошниченко А.П., Храппо Н.С., Соловьева Л.В. </w:t>
      </w:r>
    </w:p>
    <w:p w:rsidR="00981A75" w:rsidRDefault="001E759B">
      <w:pPr>
        <w:spacing w:after="116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Практическая медицина. 2016. № 2-2 (94). С. 24-26.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Давыдов Д.В</w:t>
      </w:r>
      <w:r>
        <w:rPr>
          <w:rFonts w:ascii="Times New Roman" w:eastAsia="Times New Roman" w:hAnsi="Times New Roman" w:cs="Times New Roman"/>
          <w:sz w:val="24"/>
        </w:rPr>
        <w:t xml:space="preserve">., Иванова З.Г., Юсипова Э.Р., Маресьева Е.П., Джандарова Д.Т., Анцифирова Н.Г. Анализ микробиологических исследований у пациентов с эпифорой // Рефракционная хирургия и офтальмология. – 2004. – Т .4. – № 2. – С.29-31.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Скойбедо, И.Е. Методика проведения а</w:t>
      </w:r>
      <w:r>
        <w:rPr>
          <w:rFonts w:ascii="Times New Roman" w:eastAsia="Times New Roman" w:hAnsi="Times New Roman" w:cs="Times New Roman"/>
          <w:sz w:val="24"/>
        </w:rPr>
        <w:t xml:space="preserve">нестезии при зондировании слезно-носового протока у детей / И.Е. Скойбедо, С.Г. Ефимов, В.Н. Болотников, Ф.С. Королихин, Д.А. Докашенко // Вестник оренбургского государственного университета. – 2015. –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Т. 187, № 12. – С. 204–206. </w:t>
      </w:r>
    </w:p>
    <w:p w:rsidR="00981A75" w:rsidRDefault="001E759B">
      <w:pPr>
        <w:numPr>
          <w:ilvl w:val="0"/>
          <w:numId w:val="18"/>
        </w:numPr>
        <w:spacing w:after="4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El-Mansoury, J. Results of late probing for congenital nasolacrimal duct obstruction / J. ElMansoury, J.H. Calhoun, L.B. Nelson, R.D. Harley // Ophthalmology. – 1986. – Vol. 93, № </w:t>
      </w:r>
    </w:p>
    <w:p w:rsidR="00981A75" w:rsidRDefault="001E759B">
      <w:pPr>
        <w:spacing w:after="279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8. – Р. 1052–1054.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Gupta, A.Buried Probe in Complex Congenital Nasolacrima</w:t>
      </w:r>
      <w:r>
        <w:rPr>
          <w:rFonts w:ascii="Times New Roman" w:eastAsia="Times New Roman" w:hAnsi="Times New Roman" w:cs="Times New Roman"/>
          <w:sz w:val="24"/>
        </w:rPr>
        <w:t xml:space="preserve">l Duct Obstructions: Clinical Profiles and Outcomes / A. Gupta, S. Kamal, M.J. Ali, M.N. Naik // Ophthal Plast Reconstr Surg. – 2015. – Jul-Aug. – Vol. – 31, № 4. – Р. 318–320.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Боровских Е.В., Боробова И.М., Егоров В.В. Микробный спектр и чувствительность</w:t>
      </w:r>
      <w:r>
        <w:rPr>
          <w:rFonts w:ascii="Times New Roman" w:eastAsia="Times New Roman" w:hAnsi="Times New Roman" w:cs="Times New Roman"/>
          <w:sz w:val="24"/>
        </w:rPr>
        <w:t xml:space="preserve"> к антибиотикам микрофлоры, встречающейся у больных с воспалительными заболеваниями // Офтальмологические ведомости. – 2014. – Т. 7. – № 1. – С. 13-18.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Заболевания носа и околоносовых пазух: эндомикрохирургия / Г. З. Пискунов, С. З. Пискунов, В. С. Козлов</w:t>
      </w:r>
      <w:r>
        <w:rPr>
          <w:rFonts w:ascii="Times New Roman" w:eastAsia="Times New Roman" w:hAnsi="Times New Roman" w:cs="Times New Roman"/>
          <w:sz w:val="24"/>
        </w:rPr>
        <w:t xml:space="preserve">, А. С. Лопатин. – Москва : Коллекция «Совершенно секретно», 2003. – 208 с. 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Белоглазов, В. Г. Клинические аспекты эндоназальной хирургии стенозов и непроходимости слезоотводящих путей: специальность 14.00.08 «Глазные болезни» : автореферат диссертации на</w:t>
      </w:r>
      <w:r>
        <w:rPr>
          <w:rFonts w:ascii="Times New Roman" w:eastAsia="Times New Roman" w:hAnsi="Times New Roman" w:cs="Times New Roman"/>
          <w:sz w:val="24"/>
        </w:rPr>
        <w:t xml:space="preserve"> соискание ученой степени доктора медицинских наук / Белоглазов Владимир Георгиевич. – Москва, 1979.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Сoncha bullosa в практике оториноларинголога. Карпищенко С.А., Лавренова Г.В., Оганян К.А. Российская ринология. 2023. Т. 31. № 3. С. 206-211.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Атькова, Е</w:t>
      </w:r>
      <w:r>
        <w:rPr>
          <w:rFonts w:ascii="Times New Roman" w:eastAsia="Times New Roman" w:hAnsi="Times New Roman" w:cs="Times New Roman"/>
          <w:sz w:val="24"/>
        </w:rPr>
        <w:t>.Л. Диагностическая значимость компьютерной томографии и магнитнорезонансной томографии при дакриостенозах / Е.Л. Атькова, И.С. Федотов, Е.Н. Архипова // Сборник тезисов VIII Всероссийской научно-практической конференции с международным участием «Федоровск</w:t>
      </w:r>
      <w:r>
        <w:rPr>
          <w:rFonts w:ascii="Times New Roman" w:eastAsia="Times New Roman" w:hAnsi="Times New Roman" w:cs="Times New Roman"/>
          <w:sz w:val="24"/>
        </w:rPr>
        <w:t xml:space="preserve">ие чтения – 2009». – М., 2009. – С. 341–342.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Атькова, Е.Л. Функциональная мультиспиральная компьютерная томография в диагностике патологии слезоотведения. / Е.Л. Атькова, И.В. Бодрова, Е.Н. Архипова, Н.П. Ставицкая // Тезисы докладов П съезда лучевой диаг</w:t>
      </w:r>
      <w:r>
        <w:rPr>
          <w:rFonts w:ascii="Times New Roman" w:eastAsia="Times New Roman" w:hAnsi="Times New Roman" w:cs="Times New Roman"/>
          <w:sz w:val="24"/>
        </w:rPr>
        <w:t xml:space="preserve">ностики Сибири. – Томск, 2012. – С. 7–8. </w:t>
      </w:r>
    </w:p>
    <w:p w:rsidR="00981A75" w:rsidRDefault="001E759B">
      <w:pPr>
        <w:numPr>
          <w:ilvl w:val="0"/>
          <w:numId w:val="18"/>
        </w:numPr>
        <w:spacing w:after="158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Атькова, Е.Л. Неинвазивный способ контрастирования слезоотводящих путей при проведении мультиспиральной компьютерной томографии / Е.Л. Атькова, Е.Н. Архипова, Н.П. Ставицкая, Н.Н. Краховецкий // Офтальмологические </w:t>
      </w:r>
      <w:r>
        <w:rPr>
          <w:rFonts w:ascii="Times New Roman" w:eastAsia="Times New Roman" w:hAnsi="Times New Roman" w:cs="Times New Roman"/>
          <w:sz w:val="24"/>
        </w:rPr>
        <w:t xml:space="preserve">ведомости. – 2012. – № 2. – С. 35–58.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Moran, C.C.Helican CT with topical water-soluble cantrast media for imaging of the lacrimal drainage apparatus / C.C. Moran, K. Buckwalter, K.S. Caldermeyer, R.R. Smith // AJR Am J Roentgenol. – 1995. – Vol. 164. – P.</w:t>
      </w:r>
      <w:r>
        <w:rPr>
          <w:rFonts w:ascii="Times New Roman" w:eastAsia="Times New Roman" w:hAnsi="Times New Roman" w:cs="Times New Roman"/>
          <w:sz w:val="24"/>
        </w:rPr>
        <w:t xml:space="preserve"> 995–996.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Астахов, Ю.С. Современные методы диагностики и лечения заболеваний слезных органов / Ю.С. Астахов, М.А. Рябова, Н.Ю. Кузнецова, К.А. Дерен // Материалы научно-практической конференции ГУ НИИ глазных болезней РАМН. – М., 2005. – С. 41–45.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Каторг</w:t>
      </w:r>
      <w:r>
        <w:rPr>
          <w:rFonts w:ascii="Times New Roman" w:eastAsia="Times New Roman" w:hAnsi="Times New Roman" w:cs="Times New Roman"/>
          <w:sz w:val="24"/>
        </w:rPr>
        <w:t xml:space="preserve">ина О.А. Раннее активное консервативное лечение флегмонозного дакриоцистита у детей / О.А. Каторгина, С.Н. Грицюк // Офтальмологический журнал. </w:t>
      </w:r>
    </w:p>
    <w:p w:rsidR="00981A75" w:rsidRDefault="001E759B">
      <w:pPr>
        <w:spacing w:after="277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– 1972. – № 7. – С. 512–514.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Бржеский, В. В. Заболевания слезного аппарата / В. В. Бржеский, Ю. С. Астахов, Н.</w:t>
      </w:r>
      <w:r>
        <w:rPr>
          <w:rFonts w:ascii="Times New Roman" w:eastAsia="Times New Roman" w:hAnsi="Times New Roman" w:cs="Times New Roman"/>
          <w:sz w:val="24"/>
        </w:rPr>
        <w:t xml:space="preserve"> Ю. Кузнецова. – Санкт-Петербург, 2009. – 17 с. 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Сефералиева, Р. Э. Лечение острого гнойного дакриоцистита методом пункции слезного мешка / Р. Э. Сефералиева // Теоретические и практические аспекты современной медицины : Сборник материалов 95-й Всероссийс</w:t>
      </w:r>
      <w:r>
        <w:rPr>
          <w:rFonts w:ascii="Times New Roman" w:eastAsia="Times New Roman" w:hAnsi="Times New Roman" w:cs="Times New Roman"/>
          <w:sz w:val="24"/>
        </w:rPr>
        <w:t>кой научнопрактической конференции, посвящённой десятилетию науки и технологий в России, Симферополь, 06 апреля 2023 года. – Симферополь: Федеральное государственное автономное образовательное учреждение высшего образования "Крымский федеральный университе</w:t>
      </w:r>
      <w:r>
        <w:rPr>
          <w:rFonts w:ascii="Times New Roman" w:eastAsia="Times New Roman" w:hAnsi="Times New Roman" w:cs="Times New Roman"/>
          <w:sz w:val="24"/>
        </w:rPr>
        <w:t xml:space="preserve">т имени В.И. Вернадского" (Медицинская академия имени С.И. Георгиевского - структурное подразделение), 2023. – С. 206-207. – EDN GUPBGR.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Конторович, Ю.И. К методике проведения канальцевой пробы / Ю.И. Конторович // Вестник офтальмологии. – 1961. – № 2. – </w:t>
      </w:r>
      <w:r>
        <w:rPr>
          <w:rFonts w:ascii="Times New Roman" w:eastAsia="Times New Roman" w:hAnsi="Times New Roman" w:cs="Times New Roman"/>
          <w:sz w:val="24"/>
        </w:rPr>
        <w:t xml:space="preserve">С. 53–55.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Состояние дакриологической помощи на современном этапе / О. Ф. Михеева, С. Ф. Школьник, Н. П. Паштаев, О. А. Волков // Вестник Тамбовского университета. Серия: Естественные и технические науки. – 2017. – Т. 22, № 6-2. – С. 1492-1502. – DOI 10.20</w:t>
      </w:r>
      <w:r>
        <w:rPr>
          <w:rFonts w:ascii="Times New Roman" w:eastAsia="Times New Roman" w:hAnsi="Times New Roman" w:cs="Times New Roman"/>
          <w:sz w:val="24"/>
        </w:rPr>
        <w:t xml:space="preserve">310/1810-0198-2017-22-6-1492-1502. – EDN YRNTQH.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Катаев М.Г. Результаты консервативного лечения непроходимости слёзоотводящих путей // 8 съезд офтальмологов Росси: тез.докл. М., 2005, с 648.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Konuk O, Urgancioglu B, Unal M. Long-term success rate of perfo</w:t>
      </w:r>
      <w:r>
        <w:rPr>
          <w:rFonts w:ascii="Times New Roman" w:eastAsia="Times New Roman" w:hAnsi="Times New Roman" w:cs="Times New Roman"/>
          <w:sz w:val="24"/>
        </w:rPr>
        <w:t xml:space="preserve">rated punctal plugs in the management of acquired punctal stenosis. Ophthalmic Plast Reconstr Surg. 2008 SepOct;24(5):399-402. [PubMed]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JONES LT. The cure of epiphora due to canalicular disorders, trauma and surgical failures on the lacrimal passages. Tra</w:t>
      </w:r>
      <w:r>
        <w:rPr>
          <w:rFonts w:ascii="Times New Roman" w:eastAsia="Times New Roman" w:hAnsi="Times New Roman" w:cs="Times New Roman"/>
          <w:sz w:val="24"/>
        </w:rPr>
        <w:t xml:space="preserve">ns Am Acad Ophthalmol Otolaryngol. 1962 Jul-Aug;66:50624. [PubMed]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Murdock J, Lee WW, Zatezalo CC, Ballin A. Three-Snip Punctoplasty Outcome Rates and Follow-Up Treatments. Orbit. 2015 Jun;34(3):160-3. [PubMed]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Shahid H, Sandhu A, Keenan T, Pearson A. Fa</w:t>
      </w:r>
      <w:r>
        <w:rPr>
          <w:rFonts w:ascii="Times New Roman" w:eastAsia="Times New Roman" w:hAnsi="Times New Roman" w:cs="Times New Roman"/>
          <w:sz w:val="24"/>
        </w:rPr>
        <w:t xml:space="preserve">ctors affecting outcome of punctoplasty surgery: a review of 205 cases. Br J Ophthalmol. 2008 Dec;92(12):1689-92. [PubMed]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Hussain RN, Kanani H, McMullan T. Use of mini-monoka stents for punctal/canalicular stenosis. Br J Ophthalmol. 2012 May;96(5):671-3.</w:t>
      </w:r>
      <w:r>
        <w:rPr>
          <w:rFonts w:ascii="Times New Roman" w:eastAsia="Times New Roman" w:hAnsi="Times New Roman" w:cs="Times New Roman"/>
          <w:sz w:val="24"/>
        </w:rPr>
        <w:t xml:space="preserve"> [PubMed]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Edelstein J, Reiss G. The wedge punctoplasty for treatment of punctal stenosis. Ophthalmic Surg. 1992 Dec;23(12):818-21. [PubMed]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Бастриков Н.И. Болезни слёзных органов и способы их лечения. – Ростов-на-Дону, 2007. – 256 с.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Kaliki S, Ali MJ, H</w:t>
      </w:r>
      <w:r>
        <w:rPr>
          <w:rFonts w:ascii="Times New Roman" w:eastAsia="Times New Roman" w:hAnsi="Times New Roman" w:cs="Times New Roman"/>
          <w:sz w:val="24"/>
        </w:rPr>
        <w:t xml:space="preserve">onavar SG, Chandrasekhar G, Naik MN. Primary canaliculitis: clinical features, microbiological profile, and management outcome. Ophthalmic Plast Reconstr Surg. 2012;28:355–60. doi: 10.1097/IOP.0b013e31825fb0cd. [DOI] [PubMed] [Google Scholar]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Liarakos VS, Boboridis KG, Mavrikakis E &amp;Mavrikakis I (2009): Management of canalicular obstructions. Curr Opin Oph-thalmol 20: 395–400.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Nathoo NA, Rath S, Wan D, Buffam F. Trephination for canalicular obstruction: experience in 45 eyes. Orbit. 2013;32:28</w:t>
      </w:r>
      <w:r>
        <w:rPr>
          <w:rFonts w:ascii="Times New Roman" w:eastAsia="Times New Roman" w:hAnsi="Times New Roman" w:cs="Times New Roman"/>
          <w:sz w:val="24"/>
        </w:rPr>
        <w:t xml:space="preserve">1–84.doi:10.3109/01676830.2013.814685.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Khoubian JF, Kikawwa DO, Gonnering RS. Trephination and silicone stent intubation for the treatment of canalicular obstruction: effect of the level of obstruction. Ophthal Plast Reconstr Surg. 2006;22:248–52. doi:10.</w:t>
      </w:r>
      <w:r>
        <w:rPr>
          <w:rFonts w:ascii="Times New Roman" w:eastAsia="Times New Roman" w:hAnsi="Times New Roman" w:cs="Times New Roman"/>
          <w:sz w:val="24"/>
        </w:rPr>
        <w:t xml:space="preserve">1097/01.iop.0000226863.21961.35.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Zadeng Z, Singh M, Singh U. Role of lacrimal canalicular trephination and mini-monoka stent in the management of idiopathic distal canalicular obstructions: our experience of 23 cases. Asia-Pac J Ophthalmol. 2014;3:27–31. </w:t>
      </w:r>
      <w:r>
        <w:rPr>
          <w:rFonts w:ascii="Times New Roman" w:eastAsia="Times New Roman" w:hAnsi="Times New Roman" w:cs="Times New Roman"/>
          <w:sz w:val="24"/>
        </w:rPr>
        <w:t xml:space="preserve">doi:10.1097/APO.0000000000000002.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Kong YJ, Choi HS, Jang JW, Kim SJ, Jang SY. Surgical outcome of canalicular trephination combined with endoscopic dacryocystorhinostomy in patients with distal or common canalicular obstruction. Korean J Ophthalmol. 2015;</w:t>
      </w:r>
      <w:r>
        <w:rPr>
          <w:rFonts w:ascii="Times New Roman" w:eastAsia="Times New Roman" w:hAnsi="Times New Roman" w:cs="Times New Roman"/>
          <w:sz w:val="24"/>
        </w:rPr>
        <w:t xml:space="preserve">29:368–74. doi:10.3341/ kjo.2015.29.6.368.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Shams PN, Pirbhai S, Selva D. A prospective outcomes study of membranous and solid distal common canalicular obstructions.Eye. 2016;30:621–26. doi:10.1038/eye.2016.11.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Paik JS, Cho W, Yang S. Bicanalicular doubl</w:t>
      </w:r>
      <w:r>
        <w:rPr>
          <w:rFonts w:ascii="Times New Roman" w:eastAsia="Times New Roman" w:hAnsi="Times New Roman" w:cs="Times New Roman"/>
          <w:sz w:val="24"/>
        </w:rPr>
        <w:t xml:space="preserve">e silicone stenting in endoscopic dacryocystorhinostomy with lacrimal trephination in distal or common canalicular obstruction. Eur Arch Otorhinolaryngol. 2012;269:1605–11. doi:10.1007/s00405-011-1845y.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Baek BJ, Hwang GR, Jung DH, Kim IS, Sin JM, Lee HM. </w:t>
      </w:r>
      <w:r>
        <w:rPr>
          <w:rFonts w:ascii="Times New Roman" w:eastAsia="Times New Roman" w:hAnsi="Times New Roman" w:cs="Times New Roman"/>
          <w:sz w:val="24"/>
        </w:rPr>
        <w:t xml:space="preserve">Surgical results of endoscopic dacryocystorhinostomy and lacrimal trephination in distal or common canalicular obstruction. </w:t>
      </w:r>
      <w:r>
        <w:rPr>
          <w:rFonts w:ascii="Times New Roman" w:eastAsia="Times New Roman" w:hAnsi="Times New Roman" w:cs="Times New Roman"/>
          <w:sz w:val="24"/>
        </w:rPr>
        <w:tab/>
        <w:t xml:space="preserve">Clin </w:t>
      </w:r>
      <w:r>
        <w:rPr>
          <w:rFonts w:ascii="Times New Roman" w:eastAsia="Times New Roman" w:hAnsi="Times New Roman" w:cs="Times New Roman"/>
          <w:sz w:val="24"/>
        </w:rPr>
        <w:tab/>
        <w:t xml:space="preserve">Experiment </w:t>
      </w:r>
      <w:r>
        <w:rPr>
          <w:rFonts w:ascii="Times New Roman" w:eastAsia="Times New Roman" w:hAnsi="Times New Roman" w:cs="Times New Roman"/>
          <w:sz w:val="24"/>
        </w:rPr>
        <w:tab/>
        <w:t xml:space="preserve">Otorhinolaryngol. </w:t>
      </w:r>
      <w:r>
        <w:rPr>
          <w:rFonts w:ascii="Times New Roman" w:eastAsia="Times New Roman" w:hAnsi="Times New Roman" w:cs="Times New Roman"/>
          <w:sz w:val="24"/>
        </w:rPr>
        <w:tab/>
        <w:t xml:space="preserve">2012;5:101–06. doi:10.3342/ceo.2012.5.2.101.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Haefliger IO, Piffaretti JM. Lacrimal drainage s</w:t>
      </w:r>
      <w:r>
        <w:rPr>
          <w:rFonts w:ascii="Times New Roman" w:eastAsia="Times New Roman" w:hAnsi="Times New Roman" w:cs="Times New Roman"/>
          <w:sz w:val="24"/>
        </w:rPr>
        <w:t xml:space="preserve">ystem endoscopic examination and surgery through the lacrimal punctum. Klin Monatsbl Augenheilkd. 2001;218:384–87. doi:10.1055/s-2001-15907.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Ali MJ. Canalicular and nasolacrimal duct recanalization. In:Ali MJ, editor. Principles and Practice of Lacrimal S</w:t>
      </w:r>
      <w:r>
        <w:rPr>
          <w:rFonts w:ascii="Times New Roman" w:eastAsia="Times New Roman" w:hAnsi="Times New Roman" w:cs="Times New Roman"/>
          <w:sz w:val="24"/>
        </w:rPr>
        <w:t xml:space="preserve">urgery. 2nd ed. Singapore: Springer; 2018. p. 349–53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Quaranta-Leoni FM, Fiorino MG, SerricchioF &amp; Quaranta-Leoni F (2020):Management of proximal </w:t>
      </w:r>
      <w:r>
        <w:rPr>
          <w:rFonts w:ascii="Times New Roman" w:eastAsia="Times New Roman" w:hAnsi="Times New Roman" w:cs="Times New Roman"/>
          <w:sz w:val="24"/>
        </w:rPr>
        <w:tab/>
        <w:t xml:space="preserve">lacrimal </w:t>
      </w:r>
      <w:r>
        <w:rPr>
          <w:rFonts w:ascii="Times New Roman" w:eastAsia="Times New Roman" w:hAnsi="Times New Roman" w:cs="Times New Roman"/>
          <w:sz w:val="24"/>
        </w:rPr>
        <w:tab/>
        <w:t xml:space="preserve">obstruc-tions: </w:t>
      </w:r>
      <w:r>
        <w:rPr>
          <w:rFonts w:ascii="Times New Roman" w:eastAsia="Times New Roman" w:hAnsi="Times New Roman" w:cs="Times New Roman"/>
          <w:sz w:val="24"/>
        </w:rPr>
        <w:tab/>
        <w:t xml:space="preserve">a </w:t>
      </w:r>
      <w:r>
        <w:rPr>
          <w:rFonts w:ascii="Times New Roman" w:eastAsia="Times New Roman" w:hAnsi="Times New Roman" w:cs="Times New Roman"/>
          <w:sz w:val="24"/>
        </w:rPr>
        <w:tab/>
        <w:t xml:space="preserve">rationale. </w:t>
      </w:r>
      <w:r>
        <w:rPr>
          <w:rFonts w:ascii="Times New Roman" w:eastAsia="Times New Roman" w:hAnsi="Times New Roman" w:cs="Times New Roman"/>
          <w:sz w:val="24"/>
        </w:rPr>
        <w:tab/>
        <w:t xml:space="preserve">Acta </w:t>
      </w:r>
      <w:r>
        <w:rPr>
          <w:rFonts w:ascii="Times New Roman" w:eastAsia="Times New Roman" w:hAnsi="Times New Roman" w:cs="Times New Roman"/>
          <w:sz w:val="24"/>
        </w:rPr>
        <w:tab/>
        <w:t>Ophthalmol https://doi.org/10.1111/aos.14632 [Online ahead ofp</w:t>
      </w:r>
      <w:r>
        <w:rPr>
          <w:rFonts w:ascii="Times New Roman" w:eastAsia="Times New Roman" w:hAnsi="Times New Roman" w:cs="Times New Roman"/>
          <w:sz w:val="24"/>
        </w:rPr>
        <w:t xml:space="preserve">rint]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Vahdani K &amp; Rose GE (2019): Transcanalic-ular trephination for canalicular block afterdacryocystorhssinostomy. Ophthalmology126: 1589–1591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Zoumalan CI, Maher EA, Lelli GJ Jr, Lisman RD. Balloon canaliculoplasty for acquired canalicular </w:t>
      </w:r>
      <w:r>
        <w:rPr>
          <w:rFonts w:ascii="Times New Roman" w:eastAsia="Times New Roman" w:hAnsi="Times New Roman" w:cs="Times New Roman"/>
          <w:sz w:val="24"/>
        </w:rPr>
        <w:tab/>
        <w:t xml:space="preserve">stenosis. </w:t>
      </w:r>
      <w:r>
        <w:rPr>
          <w:rFonts w:ascii="Times New Roman" w:eastAsia="Times New Roman" w:hAnsi="Times New Roman" w:cs="Times New Roman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Ophthal </w:t>
      </w:r>
      <w:r>
        <w:rPr>
          <w:rFonts w:ascii="Times New Roman" w:eastAsia="Times New Roman" w:hAnsi="Times New Roman" w:cs="Times New Roman"/>
          <w:sz w:val="24"/>
        </w:rPr>
        <w:tab/>
        <w:t xml:space="preserve">Plast </w:t>
      </w:r>
      <w:r>
        <w:rPr>
          <w:rFonts w:ascii="Times New Roman" w:eastAsia="Times New Roman" w:hAnsi="Times New Roman" w:cs="Times New Roman"/>
          <w:sz w:val="24"/>
        </w:rPr>
        <w:tab/>
        <w:t xml:space="preserve">Reconstr </w:t>
      </w:r>
      <w:r>
        <w:rPr>
          <w:rFonts w:ascii="Times New Roman" w:eastAsia="Times New Roman" w:hAnsi="Times New Roman" w:cs="Times New Roman"/>
          <w:sz w:val="24"/>
        </w:rPr>
        <w:tab/>
        <w:t xml:space="preserve">Surg. </w:t>
      </w:r>
      <w:r>
        <w:rPr>
          <w:rFonts w:ascii="Times New Roman" w:eastAsia="Times New Roman" w:hAnsi="Times New Roman" w:cs="Times New Roman"/>
          <w:sz w:val="24"/>
        </w:rPr>
        <w:tab/>
        <w:t xml:space="preserve">2010;26:459–61. doi:10.1097/IOP.0b013e3181eea 303. 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Ko GY, Lee DH, Ahn HS, Yoon HK, SungKB &amp; Song HY (2000): Balloon catheterdilation in common canalicular obstructionof the lacrimal system: safety and long-</w:t>
      </w:r>
      <w:r>
        <w:rPr>
          <w:rFonts w:ascii="Times New Roman" w:eastAsia="Times New Roman" w:hAnsi="Times New Roman" w:cs="Times New Roman"/>
          <w:sz w:val="24"/>
        </w:rPr>
        <w:t xml:space="preserve">termeffectiveness. Radiology 214: 781–786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Athanasiov PA, Madge S, Kakizaki H &amp; SelvaD (2011): A review of bypass tubes forproximal lacrimal drainage obstruction.Surv Ophthalmol 56: 252–266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Wilhelm KE, Hofer U, Textor HJ, Bóker T, Strunk H, Schild HH. Non</w:t>
      </w:r>
      <w:r>
        <w:rPr>
          <w:rFonts w:ascii="Times New Roman" w:eastAsia="Times New Roman" w:hAnsi="Times New Roman" w:cs="Times New Roman"/>
          <w:sz w:val="24"/>
        </w:rPr>
        <w:t xml:space="preserve">-surgical fluoroscopically guided dacryoplasty of common canalicular obstructions. Cardiovasc Intervent Radiol. 2000;23:1–8. 59. </w:t>
      </w:r>
    </w:p>
    <w:p w:rsidR="00981A75" w:rsidRDefault="001E759B">
      <w:pPr>
        <w:numPr>
          <w:ilvl w:val="0"/>
          <w:numId w:val="18"/>
        </w:numPr>
        <w:spacing w:after="0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Yang SW, Park HY, Kikkawa DO. Ballooning canaliculoplasty after lacrimal trephination in monocanalicular and common canalicula</w:t>
      </w:r>
      <w:r>
        <w:rPr>
          <w:rFonts w:ascii="Times New Roman" w:eastAsia="Times New Roman" w:hAnsi="Times New Roman" w:cs="Times New Roman"/>
          <w:sz w:val="24"/>
        </w:rPr>
        <w:t>r obstruction. Jpn J Ophthalmol. 2008;52:444–</w:t>
      </w:r>
    </w:p>
    <w:p w:rsidR="00981A75" w:rsidRDefault="001E759B">
      <w:pPr>
        <w:spacing w:after="279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49. doi:10.1007/s10384-008-0598-7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Атькова Е.Л., Ярцев В.Д., Резникова Л.В. Лечение стенозов устья слезных канальцев методом баллонной дакриопластики //РМЖ. Клиническая офтальмология. 2017. № 3. </w:t>
      </w:r>
    </w:p>
    <w:p w:rsidR="00981A75" w:rsidRDefault="001E759B">
      <w:pPr>
        <w:spacing w:after="277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С. 131–134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St</w:t>
      </w:r>
      <w:r>
        <w:rPr>
          <w:rFonts w:ascii="Times New Roman" w:eastAsia="Times New Roman" w:hAnsi="Times New Roman" w:cs="Times New Roman"/>
          <w:sz w:val="24"/>
        </w:rPr>
        <w:t xml:space="preserve">einhauer J, Norda A, Emmerich KH, Meyer-Rúsenberg HW. Laser canaliculoplasty. Ophthalmologe. 2000;97:692–95.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Kuchar A, Novak P, Pieh S, Fink M, Steinkogler FJ. Endoscopic laser recanalization of presaccal canalicular obstruction. Br J Ophthalmol. 1999;83:</w:t>
      </w:r>
      <w:r>
        <w:rPr>
          <w:rFonts w:ascii="Times New Roman" w:eastAsia="Times New Roman" w:hAnsi="Times New Roman" w:cs="Times New Roman"/>
          <w:sz w:val="24"/>
        </w:rPr>
        <w:t xml:space="preserve">443–47.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Liarakos VS, Boboridis KG, Mavrikakis E, Mavrikakis I. Management of canalicular obstructions. </w:t>
      </w:r>
      <w:r>
        <w:rPr>
          <w:rFonts w:ascii="Times New Roman" w:eastAsia="Times New Roman" w:hAnsi="Times New Roman" w:cs="Times New Roman"/>
          <w:sz w:val="24"/>
        </w:rPr>
        <w:tab/>
        <w:t xml:space="preserve">Curr </w:t>
      </w:r>
      <w:r>
        <w:rPr>
          <w:rFonts w:ascii="Times New Roman" w:eastAsia="Times New Roman" w:hAnsi="Times New Roman" w:cs="Times New Roman"/>
          <w:sz w:val="24"/>
        </w:rPr>
        <w:tab/>
        <w:t xml:space="preserve">Opin </w:t>
      </w:r>
      <w:r>
        <w:rPr>
          <w:rFonts w:ascii="Times New Roman" w:eastAsia="Times New Roman" w:hAnsi="Times New Roman" w:cs="Times New Roman"/>
          <w:sz w:val="24"/>
        </w:rPr>
        <w:tab/>
        <w:t xml:space="preserve">Ophthalmol. </w:t>
      </w:r>
      <w:r>
        <w:rPr>
          <w:rFonts w:ascii="Times New Roman" w:eastAsia="Times New Roman" w:hAnsi="Times New Roman" w:cs="Times New Roman"/>
          <w:sz w:val="24"/>
        </w:rPr>
        <w:tab/>
        <w:t xml:space="preserve">2009;20:395–400. doi:10.1097/ICU.0b013e32832ec3e0.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Quaranta-Leoni FM, Fiorino MG, SerricchioF &amp; Quaranta-Leoni F (2020):Manag</w:t>
      </w:r>
      <w:r>
        <w:rPr>
          <w:rFonts w:ascii="Times New Roman" w:eastAsia="Times New Roman" w:hAnsi="Times New Roman" w:cs="Times New Roman"/>
          <w:sz w:val="24"/>
        </w:rPr>
        <w:t xml:space="preserve">ement of proximal </w:t>
      </w:r>
      <w:r>
        <w:rPr>
          <w:rFonts w:ascii="Times New Roman" w:eastAsia="Times New Roman" w:hAnsi="Times New Roman" w:cs="Times New Roman"/>
          <w:sz w:val="24"/>
        </w:rPr>
        <w:tab/>
        <w:t xml:space="preserve">lacrimal </w:t>
      </w:r>
      <w:r>
        <w:rPr>
          <w:rFonts w:ascii="Times New Roman" w:eastAsia="Times New Roman" w:hAnsi="Times New Roman" w:cs="Times New Roman"/>
          <w:sz w:val="24"/>
        </w:rPr>
        <w:tab/>
        <w:t xml:space="preserve">obstruc-tions: </w:t>
      </w:r>
      <w:r>
        <w:rPr>
          <w:rFonts w:ascii="Times New Roman" w:eastAsia="Times New Roman" w:hAnsi="Times New Roman" w:cs="Times New Roman"/>
          <w:sz w:val="24"/>
        </w:rPr>
        <w:tab/>
        <w:t xml:space="preserve">a </w:t>
      </w:r>
      <w:r>
        <w:rPr>
          <w:rFonts w:ascii="Times New Roman" w:eastAsia="Times New Roman" w:hAnsi="Times New Roman" w:cs="Times New Roman"/>
          <w:sz w:val="24"/>
        </w:rPr>
        <w:tab/>
        <w:t xml:space="preserve">rationale. </w:t>
      </w:r>
      <w:r>
        <w:rPr>
          <w:rFonts w:ascii="Times New Roman" w:eastAsia="Times New Roman" w:hAnsi="Times New Roman" w:cs="Times New Roman"/>
          <w:sz w:val="24"/>
        </w:rPr>
        <w:tab/>
        <w:t xml:space="preserve">Acta </w:t>
      </w:r>
      <w:r>
        <w:rPr>
          <w:rFonts w:ascii="Times New Roman" w:eastAsia="Times New Roman" w:hAnsi="Times New Roman" w:cs="Times New Roman"/>
          <w:sz w:val="24"/>
        </w:rPr>
        <w:tab/>
        <w:t xml:space="preserve">Ophthalmol https://doi.org/10.1111/aos.14632 [Online ahead ofprint]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Восстановление слезоотведения путем операции эндоскопической лакориностомии с лакопротезированием синтетическим биодеград</w:t>
      </w:r>
      <w:r>
        <w:rPr>
          <w:rFonts w:ascii="Times New Roman" w:eastAsia="Times New Roman" w:hAnsi="Times New Roman" w:cs="Times New Roman"/>
          <w:sz w:val="24"/>
        </w:rPr>
        <w:t xml:space="preserve">ируемым имплантатом / В. А. Ободов, В. А. Кузнецов, М. В. Гилев [и др.] // Отражение. – 2018. – № 1(6). – С. 151-155. – EDN XQHAEP. </w:t>
      </w:r>
    </w:p>
    <w:p w:rsidR="00981A75" w:rsidRDefault="001E759B">
      <w:pPr>
        <w:numPr>
          <w:ilvl w:val="0"/>
          <w:numId w:val="18"/>
        </w:numPr>
        <w:spacing w:after="162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Ярцев, В.Д. Баллонная дакриопластика при стенозах вертикального отдела слезоотводящих путей (экспериментально-клиническое и</w:t>
      </w:r>
      <w:r>
        <w:rPr>
          <w:rFonts w:ascii="Times New Roman" w:eastAsia="Times New Roman" w:hAnsi="Times New Roman" w:cs="Times New Roman"/>
          <w:sz w:val="24"/>
        </w:rPr>
        <w:t xml:space="preserve">сследование): Автореф. дис. … канд. мед. наук: 14.01.07. М., 2016. – 24 с.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Красножен В.Н. Применение новых технологий в лечении патологии слезоотводящих путей. — Казань, 2005. — 40 с., ил.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Van Swol JM, Myers WK, Nguyen SA, et al. Revision dacryocystorhin</w:t>
      </w:r>
      <w:r>
        <w:rPr>
          <w:rFonts w:ascii="Times New Roman" w:eastAsia="Times New Roman" w:hAnsi="Times New Roman" w:cs="Times New Roman"/>
          <w:sz w:val="24"/>
        </w:rPr>
        <w:t xml:space="preserve">ostomy: systematic review </w:t>
      </w:r>
      <w:r>
        <w:rPr>
          <w:rFonts w:ascii="Times New Roman" w:eastAsia="Times New Roman" w:hAnsi="Times New Roman" w:cs="Times New Roman"/>
          <w:sz w:val="24"/>
        </w:rPr>
        <w:tab/>
        <w:t xml:space="preserve">and </w:t>
      </w:r>
      <w:r>
        <w:rPr>
          <w:rFonts w:ascii="Times New Roman" w:eastAsia="Times New Roman" w:hAnsi="Times New Roman" w:cs="Times New Roman"/>
          <w:sz w:val="24"/>
        </w:rPr>
        <w:tab/>
        <w:t xml:space="preserve">meta-analysis. </w:t>
      </w:r>
      <w:r>
        <w:rPr>
          <w:rFonts w:ascii="Times New Roman" w:eastAsia="Times New Roman" w:hAnsi="Times New Roman" w:cs="Times New Roman"/>
          <w:sz w:val="24"/>
        </w:rPr>
        <w:tab/>
        <w:t xml:space="preserve">Orbit </w:t>
      </w:r>
      <w:r>
        <w:rPr>
          <w:rFonts w:ascii="Times New Roman" w:eastAsia="Times New Roman" w:hAnsi="Times New Roman" w:cs="Times New Roman"/>
          <w:sz w:val="24"/>
        </w:rPr>
        <w:tab/>
        <w:t xml:space="preserve">2023;42:1-10. https://doi.org/10.1080/01676830.2022.2109178 10.1080/01676830.2022.2109178 [DOI] [PubMed] [Google Scholar] </w:t>
      </w:r>
    </w:p>
    <w:p w:rsidR="00981A75" w:rsidRDefault="001E759B">
      <w:pPr>
        <w:numPr>
          <w:ilvl w:val="0"/>
          <w:numId w:val="18"/>
        </w:numPr>
        <w:spacing w:after="124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Orsolini MJ, Schellini SA, Souza Meneguim RLF, et al. Success of endoscopic dacryocystorhinostomy with or without stents: systematic review and meta-analysis. Orbit 2020;39:258-265. </w:t>
      </w:r>
      <w:r>
        <w:rPr>
          <w:rFonts w:ascii="Times New Roman" w:eastAsia="Times New Roman" w:hAnsi="Times New Roman" w:cs="Times New Roman"/>
          <w:sz w:val="24"/>
        </w:rPr>
        <w:tab/>
        <w:t xml:space="preserve">https://doi.org/10.1080/01676830.2019.1677726 </w:t>
      </w:r>
    </w:p>
    <w:p w:rsidR="00981A75" w:rsidRDefault="001E759B">
      <w:pPr>
        <w:spacing w:after="277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>10.1080/01676830.2019.1677</w:t>
      </w:r>
      <w:r>
        <w:rPr>
          <w:rFonts w:ascii="Times New Roman" w:eastAsia="Times New Roman" w:hAnsi="Times New Roman" w:cs="Times New Roman"/>
          <w:sz w:val="24"/>
        </w:rPr>
        <w:t xml:space="preserve">726 [DOI] [PubMed] [Google Scholar] </w:t>
      </w:r>
    </w:p>
    <w:p w:rsidR="00981A75" w:rsidRDefault="001E759B">
      <w:pPr>
        <w:numPr>
          <w:ilvl w:val="0"/>
          <w:numId w:val="18"/>
        </w:numPr>
        <w:spacing w:after="0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Vinciguerra A, Nonis A, Resti AG, et al. Influence of surgical techniques on endoscopic dacryocystorhinostomy: a systematic review and meta-analysis. Otolaryngol Head Neck </w:t>
      </w:r>
    </w:p>
    <w:p w:rsidR="00981A75" w:rsidRDefault="001E759B">
      <w:pPr>
        <w:tabs>
          <w:tab w:val="center" w:pos="949"/>
          <w:tab w:val="center" w:pos="3313"/>
          <w:tab w:val="right" w:pos="9648"/>
        </w:tabs>
        <w:spacing w:after="121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Surg </w:t>
      </w:r>
      <w:r>
        <w:rPr>
          <w:rFonts w:ascii="Times New Roman" w:eastAsia="Times New Roman" w:hAnsi="Times New Roman" w:cs="Times New Roman"/>
          <w:sz w:val="24"/>
        </w:rPr>
        <w:tab/>
        <w:t xml:space="preserve">2021;165:14-22. </w:t>
      </w:r>
      <w:r>
        <w:rPr>
          <w:rFonts w:ascii="Times New Roman" w:eastAsia="Times New Roman" w:hAnsi="Times New Roman" w:cs="Times New Roman"/>
          <w:sz w:val="24"/>
        </w:rPr>
        <w:tab/>
        <w:t>https://doi.org/10.117</w:t>
      </w:r>
      <w:r>
        <w:rPr>
          <w:rFonts w:ascii="Times New Roman" w:eastAsia="Times New Roman" w:hAnsi="Times New Roman" w:cs="Times New Roman"/>
          <w:sz w:val="24"/>
        </w:rPr>
        <w:t xml:space="preserve">7/0194599820972677 </w:t>
      </w:r>
    </w:p>
    <w:p w:rsidR="00981A75" w:rsidRDefault="001E759B">
      <w:pPr>
        <w:spacing w:after="277"/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10.1177/0194599820972677 [DOI] [PubMed] [Google Scholar] </w:t>
      </w:r>
    </w:p>
    <w:p w:rsidR="00981A75" w:rsidRDefault="001E759B">
      <w:pPr>
        <w:numPr>
          <w:ilvl w:val="0"/>
          <w:numId w:val="18"/>
        </w:numPr>
        <w:spacing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Evereklioglu, C., Sener, H., Polat, O.A. et al. Success rate of external, endonasal, and transcanalicular laser DCR with or without silicone stent intubation for NLD obstruction:</w:t>
      </w:r>
      <w:r>
        <w:rPr>
          <w:rFonts w:ascii="Times New Roman" w:eastAsia="Times New Roman" w:hAnsi="Times New Roman" w:cs="Times New Roman"/>
          <w:sz w:val="24"/>
        </w:rPr>
        <w:t xml:space="preserve"> a network meta-analysis of randomized controlled trials. Graefes Arch Clin Exp Ophthalmol 261, 3369–3384 (2023). https://doi.org/10.1007/s00417-023-06089-y </w:t>
      </w:r>
    </w:p>
    <w:p w:rsidR="00981A75" w:rsidRDefault="001E759B">
      <w:pPr>
        <w:numPr>
          <w:ilvl w:val="0"/>
          <w:numId w:val="18"/>
        </w:numPr>
        <w:spacing w:after="16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Ing, E. B., Bedi, H., Hussain, A., Zakrewski, H., Ing, R., Nijhawan, N., … Winn, B. J. (2018). Met</w:t>
      </w:r>
      <w:r>
        <w:rPr>
          <w:rFonts w:ascii="Times New Roman" w:eastAsia="Times New Roman" w:hAnsi="Times New Roman" w:cs="Times New Roman"/>
          <w:sz w:val="24"/>
        </w:rPr>
        <w:t xml:space="preserve">a-analysis of randomized controlled trials in dacryocystorhinostomy with and without </w:t>
      </w:r>
      <w:r>
        <w:rPr>
          <w:rFonts w:ascii="Times New Roman" w:eastAsia="Times New Roman" w:hAnsi="Times New Roman" w:cs="Times New Roman"/>
          <w:sz w:val="24"/>
        </w:rPr>
        <w:tab/>
        <w:t xml:space="preserve">silicone </w:t>
      </w:r>
      <w:r>
        <w:rPr>
          <w:rFonts w:ascii="Times New Roman" w:eastAsia="Times New Roman" w:hAnsi="Times New Roman" w:cs="Times New Roman"/>
          <w:sz w:val="24"/>
        </w:rPr>
        <w:tab/>
        <w:t xml:space="preserve">intubation. </w:t>
      </w:r>
      <w:r>
        <w:rPr>
          <w:rFonts w:ascii="Times New Roman" w:eastAsia="Times New Roman" w:hAnsi="Times New Roman" w:cs="Times New Roman"/>
          <w:sz w:val="24"/>
        </w:rPr>
        <w:tab/>
        <w:t xml:space="preserve">Canadian </w:t>
      </w:r>
      <w:r>
        <w:rPr>
          <w:rFonts w:ascii="Times New Roman" w:eastAsia="Times New Roman" w:hAnsi="Times New Roman" w:cs="Times New Roman"/>
          <w:sz w:val="24"/>
        </w:rPr>
        <w:tab/>
        <w:t xml:space="preserve">Journal </w:t>
      </w:r>
      <w:r>
        <w:rPr>
          <w:rFonts w:ascii="Times New Roman" w:eastAsia="Times New Roman" w:hAnsi="Times New Roman" w:cs="Times New Roman"/>
          <w:sz w:val="24"/>
        </w:rPr>
        <w:tab/>
        <w:t xml:space="preserve">of </w:t>
      </w:r>
      <w:r>
        <w:rPr>
          <w:rFonts w:ascii="Times New Roman" w:eastAsia="Times New Roman" w:hAnsi="Times New Roman" w:cs="Times New Roman"/>
          <w:sz w:val="24"/>
        </w:rPr>
        <w:tab/>
        <w:t xml:space="preserve">Ophthalmology. doi:10.1016/j.jcjo.2017.12.006 </w:t>
      </w:r>
    </w:p>
    <w:p w:rsidR="00981A75" w:rsidRDefault="001E759B">
      <w:pPr>
        <w:numPr>
          <w:ilvl w:val="0"/>
          <w:numId w:val="18"/>
        </w:numPr>
        <w:spacing w:after="2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Boynton, J. R. Role of dacryocysectomy in the management of failed dacryocyst</w:t>
      </w:r>
      <w:r>
        <w:rPr>
          <w:rFonts w:ascii="Times New Roman" w:eastAsia="Times New Roman" w:hAnsi="Times New Roman" w:cs="Times New Roman"/>
          <w:sz w:val="24"/>
        </w:rPr>
        <w:t xml:space="preserve">orhinostomy associated with chronic dacryocystitis / J. R. Boynton, M. A. Anawis. – Text : immediate // Ophthalmic. Surg. Lasers. – 1996. – Vol. 27, № 2. – P. 133– 136.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Егоров Е.А., Оганезова Ж.Г., Ставицкая Т.В. Офтальмофармакология. Руководство для врач</w:t>
      </w:r>
      <w:r>
        <w:rPr>
          <w:rFonts w:ascii="Times New Roman" w:eastAsia="Times New Roman" w:hAnsi="Times New Roman" w:cs="Times New Roman"/>
          <w:sz w:val="24"/>
        </w:rPr>
        <w:t xml:space="preserve">ей. М.: ГЭОТАР-Медиа, 2025; с. 483-488.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Астахов Ю.С., Николаенко В.П. Офтальмология, Фармакотерапия без ошибок. М.: Еното, 2021; с. 335.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Сравнительная оценка эффективности Вигамокса и Тобропта в отношении стафилококков – возбудителей острого бактериально</w:t>
      </w:r>
      <w:r>
        <w:rPr>
          <w:rFonts w:ascii="Times New Roman" w:eastAsia="Times New Roman" w:hAnsi="Times New Roman" w:cs="Times New Roman"/>
          <w:sz w:val="24"/>
        </w:rPr>
        <w:t xml:space="preserve">го дакриоцистита / Ю. С. Батищева, Л. Е. Федорищева, Н. Г. Ходакова [и др.] // Бюллетень медицинских интернет-конференций. – 2013. – Т. 3, № 3. – С. 701. – EDN PVWIQH.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Аветисов С. Э., Егоров Е. А., Мошетова Л. К., Нероев В. В., Тахчиди Х. П. Офтальмология</w:t>
      </w:r>
      <w:r>
        <w:rPr>
          <w:rFonts w:ascii="Times New Roman" w:eastAsia="Times New Roman" w:hAnsi="Times New Roman" w:cs="Times New Roman"/>
          <w:sz w:val="24"/>
        </w:rPr>
        <w:t xml:space="preserve"> : национальное руководство. М.: ГЭОТАР-Медиа, 2024; с. 425-429. </w:t>
      </w:r>
    </w:p>
    <w:p w:rsidR="00981A75" w:rsidRDefault="001E759B">
      <w:pPr>
        <w:numPr>
          <w:ilvl w:val="0"/>
          <w:numId w:val="18"/>
        </w:numPr>
        <w:spacing w:after="0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Tong, Jessica Y1,2; Selva, Dinesh1,2. Dacryocystectomy: A fibrin glue-assisted subfascial excision. Indian Journal of Ophthalmology 71(5):p 2260-2262, May 2023. | DOI: </w:t>
      </w:r>
    </w:p>
    <w:p w:rsidR="00981A75" w:rsidRDefault="001E759B">
      <w:pPr>
        <w:ind w:left="722"/>
        <w:jc w:val="both"/>
      </w:pPr>
      <w:r>
        <w:rPr>
          <w:rFonts w:ascii="Times New Roman" w:eastAsia="Times New Roman" w:hAnsi="Times New Roman" w:cs="Times New Roman"/>
          <w:sz w:val="24"/>
        </w:rPr>
        <w:t>10.4103/IJO.IJO_2667_</w:t>
      </w:r>
      <w:r>
        <w:rPr>
          <w:rFonts w:ascii="Times New Roman" w:eastAsia="Times New Roman" w:hAnsi="Times New Roman" w:cs="Times New Roman"/>
          <w:sz w:val="24"/>
        </w:rPr>
        <w:t xml:space="preserve">22 </w:t>
      </w:r>
    </w:p>
    <w:p w:rsidR="00981A75" w:rsidRDefault="001E759B">
      <w:pPr>
        <w:numPr>
          <w:ilvl w:val="0"/>
          <w:numId w:val="18"/>
        </w:numPr>
        <w:spacing w:after="2" w:line="357" w:lineRule="auto"/>
        <w:ind w:hanging="37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Daga J, Ali MJ. Endoscopic endonasal dacryocystectomy. Am J Ophthalmol Case Rep. 2024 Dec 24;37:102244. doi: 10.1016/j.ajoc.2024.102244. PMID: 39811416; PMCID: PMC11732574.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8"/>
        </w:numPr>
        <w:spacing w:after="2" w:line="357" w:lineRule="auto"/>
        <w:ind w:hanging="37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Alam MS, Kundu D. Is dacryocystectomy effective in reducing epiphora? Indian J Ophthalmol. 2022 Dec;70(12):4416-4418. doi: 10.4103/ijo.IJO_972_22. PMID: 36453356; PMCID: PMC9940519.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8"/>
        </w:numPr>
        <w:spacing w:after="3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Бржеский В.В., Чистякова М.Н. Возможности комплексного лечения стенозов н</w:t>
      </w:r>
      <w:r>
        <w:rPr>
          <w:rFonts w:ascii="Times New Roman" w:eastAsia="Times New Roman" w:hAnsi="Times New Roman" w:cs="Times New Roman"/>
          <w:sz w:val="24"/>
        </w:rPr>
        <w:t xml:space="preserve">осослёзного протока у детей / Русский медицинский журнал, Клиническая офтальмология. – 2010, - Т11- №4. </w:t>
      </w:r>
      <w:hyperlink r:id="rId8">
        <w:r>
          <w:rPr>
            <w:rFonts w:ascii="Times New Roman" w:eastAsia="Times New Roman" w:hAnsi="Times New Roman" w:cs="Times New Roman"/>
            <w:color w:val="0563C1"/>
            <w:sz w:val="24"/>
            <w:u w:val="single" w:color="0563C1"/>
          </w:rPr>
          <w:t>https://www.rmj.</w:t>
        </w:r>
        <w:r>
          <w:rPr>
            <w:rFonts w:ascii="Times New Roman" w:eastAsia="Times New Roman" w:hAnsi="Times New Roman" w:cs="Times New Roman"/>
            <w:color w:val="0563C1"/>
            <w:sz w:val="24"/>
            <w:u w:val="single" w:color="0563C1"/>
          </w:rPr>
          <w:t xml:space="preserve">ru/articles/oftalmologiya/Vozmoghnosti_kompleksnogo_lecheniya_stenoz </w:t>
        </w:r>
      </w:hyperlink>
      <w:hyperlink r:id="rId9">
        <w:r>
          <w:rPr>
            <w:rFonts w:ascii="Times New Roman" w:eastAsia="Times New Roman" w:hAnsi="Times New Roman" w:cs="Times New Roman"/>
            <w:color w:val="0563C1"/>
            <w:sz w:val="24"/>
            <w:u w:val="single" w:color="0563C1"/>
          </w:rPr>
          <w:t>ov_nososleznogo_protoka_u_detey/</w:t>
        </w:r>
      </w:hyperlink>
      <w:hyperlink r:id="rId10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981A75" w:rsidRDefault="001E759B">
      <w:pPr>
        <w:numPr>
          <w:ilvl w:val="0"/>
          <w:numId w:val="18"/>
        </w:numPr>
        <w:spacing w:after="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Pleyen I., van den Bosch W., Bockholts D., Malder P., Paridaens D. Silicone intubation with or without balloon dacryocystoplasty in acqui</w:t>
      </w:r>
      <w:r>
        <w:rPr>
          <w:rFonts w:ascii="Times New Roman" w:eastAsia="Times New Roman" w:hAnsi="Times New Roman" w:cs="Times New Roman"/>
          <w:sz w:val="24"/>
        </w:rPr>
        <w:t xml:space="preserve">red partial nasolacrimal duct obstruction // Am. J. Ophthalmol. – 2007. – Vol. 144. – N 5. – P. 776-780. </w:t>
      </w:r>
    </w:p>
    <w:p w:rsidR="00981A75" w:rsidRDefault="001E759B">
      <w:pPr>
        <w:numPr>
          <w:ilvl w:val="0"/>
          <w:numId w:val="18"/>
        </w:numPr>
        <w:spacing w:after="0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Pleyen I., Paridaens A. Bicanalicular silicone intubation in acquired partial nasolacrimal duct obstruction // Bull. Soc. Belge Ophthalmol. – 2008. – </w:t>
      </w:r>
      <w:r>
        <w:rPr>
          <w:rFonts w:ascii="Times New Roman" w:eastAsia="Times New Roman" w:hAnsi="Times New Roman" w:cs="Times New Roman"/>
          <w:sz w:val="24"/>
        </w:rPr>
        <w:t xml:space="preserve">Vol. 309-310. – P. 23-26. </w:t>
      </w:r>
    </w:p>
    <w:p w:rsidR="00981A75" w:rsidRDefault="001E759B">
      <w:pPr>
        <w:numPr>
          <w:ilvl w:val="0"/>
          <w:numId w:val="18"/>
        </w:numPr>
        <w:spacing w:after="2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Shams P.N., Pirbhai A., Selva D. A prospective outcome study of membranous and solid distal common canalicular obstructions // Eye (Lond). – 2016. – Vol. 30. – N 4. – P. 621626. </w:t>
      </w:r>
    </w:p>
    <w:p w:rsidR="00981A75" w:rsidRDefault="001E759B">
      <w:pPr>
        <w:numPr>
          <w:ilvl w:val="0"/>
          <w:numId w:val="18"/>
        </w:numPr>
        <w:spacing w:after="1" w:line="359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Singh S., Ali M.J., Mohamed A. Comparison of outco</w:t>
      </w:r>
      <w:r>
        <w:rPr>
          <w:rFonts w:ascii="Times New Roman" w:eastAsia="Times New Roman" w:hAnsi="Times New Roman" w:cs="Times New Roman"/>
          <w:sz w:val="24"/>
        </w:rPr>
        <w:t xml:space="preserve">mes of 3-snip punctoplasty versus simple punctal dilatation with monocanalicular intubation for acquired punctal stenosis // Ophthal. Plast. Reconstr. Surg. – 2018. –Vol. 34. – N 4. –P. 375-377. </w:t>
      </w:r>
    </w:p>
    <w:p w:rsidR="00981A75" w:rsidRDefault="001E759B">
      <w:pPr>
        <w:numPr>
          <w:ilvl w:val="0"/>
          <w:numId w:val="18"/>
        </w:numPr>
        <w:spacing w:after="2" w:line="360" w:lineRule="auto"/>
        <w:ind w:hanging="370"/>
        <w:jc w:val="both"/>
      </w:pPr>
      <w:r>
        <w:rPr>
          <w:rFonts w:ascii="Times New Roman" w:eastAsia="Times New Roman" w:hAnsi="Times New Roman" w:cs="Times New Roman"/>
          <w:sz w:val="24"/>
        </w:rPr>
        <w:t>Tsai, Ming-Jer &amp; Lin, I-Wen &amp; Lee, Su-Shin &amp; Lai, Chung-Shen</w:t>
      </w:r>
      <w:r>
        <w:rPr>
          <w:rFonts w:ascii="Times New Roman" w:eastAsia="Times New Roman" w:hAnsi="Times New Roman" w:cs="Times New Roman"/>
          <w:sz w:val="24"/>
        </w:rPr>
        <w:t xml:space="preserve">g. (2018). Stitch guide technique for bicanalicular nasal intubation in single canalicular laceration reconstruction. The Kaohsiung Journal of Medical Sciences. 34. 10.1016/j.kjms.2018.04.007. </w:t>
      </w:r>
    </w:p>
    <w:p w:rsidR="00981A75" w:rsidRDefault="001E759B">
      <w:pPr>
        <w:numPr>
          <w:ilvl w:val="0"/>
          <w:numId w:val="18"/>
        </w:numPr>
        <w:spacing w:after="2" w:line="357" w:lineRule="auto"/>
        <w:ind w:hanging="37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Alam MS, Kundu D. Is dacryocystectomy effective in reducing ep</w:t>
      </w:r>
      <w:r>
        <w:rPr>
          <w:rFonts w:ascii="Times New Roman" w:eastAsia="Times New Roman" w:hAnsi="Times New Roman" w:cs="Times New Roman"/>
          <w:color w:val="212121"/>
          <w:sz w:val="24"/>
        </w:rPr>
        <w:t>iphora? Indian J Ophthalmol. 2022 Dec;70(12):4416-4418. doi: 10.4103/ijo.IJO_972_22. PMID: 36453356; PMCID: PMC9940519.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18"/>
        </w:numPr>
        <w:spacing w:after="2" w:line="357" w:lineRule="auto"/>
        <w:ind w:hanging="37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Sipkova Z, Vonica O, Olurin O, Obi EE, Pearson AR. Assessment of patient-reported outcome and quality of life improvement following sur</w:t>
      </w:r>
      <w:r>
        <w:rPr>
          <w:rFonts w:ascii="Times New Roman" w:eastAsia="Times New Roman" w:hAnsi="Times New Roman" w:cs="Times New Roman"/>
          <w:color w:val="212121"/>
          <w:sz w:val="24"/>
        </w:rPr>
        <w:t>gery for epiphora. Eye (Lond). 2017 Dec;31(12):1664-1671. doi: 10.1038/eye.2017.120. Epub 2017 Jun 16. PMID: 28622317; PMCID: PMC5733284.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4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31"/>
        <w:ind w:left="7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981A75" w:rsidRDefault="001E759B">
      <w:pPr>
        <w:spacing w:after="0"/>
        <w:ind w:left="773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spacing w:after="0" w:line="249" w:lineRule="auto"/>
        <w:ind w:left="3024" w:hanging="2257"/>
      </w:pPr>
      <w:r>
        <w:rPr>
          <w:rFonts w:ascii="Times New Roman" w:eastAsia="Times New Roman" w:hAnsi="Times New Roman" w:cs="Times New Roman"/>
          <w:b/>
          <w:sz w:val="28"/>
        </w:rPr>
        <w:t xml:space="preserve">Приложение А1. Состав рабочей группы по разработке и пересмотру </w:t>
      </w:r>
    </w:p>
    <w:p w:rsidR="00981A75" w:rsidRDefault="001E759B">
      <w:pPr>
        <w:pStyle w:val="Heading1"/>
        <w:spacing w:after="0" w:line="249" w:lineRule="auto"/>
        <w:ind w:left="3024" w:hanging="2257"/>
        <w:jc w:val="left"/>
      </w:pPr>
      <w:r>
        <w:t>клинических рекомендаций</w:t>
      </w:r>
      <w:r>
        <w:t xml:space="preserve"> </w:t>
      </w:r>
    </w:p>
    <w:p w:rsidR="00981A75" w:rsidRDefault="001E759B">
      <w:pPr>
        <w:spacing w:after="0"/>
        <w:ind w:left="773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Атькова Е.Л. – </w:t>
      </w:r>
      <w:r>
        <w:rPr>
          <w:rFonts w:ascii="Times New Roman" w:eastAsia="Times New Roman" w:hAnsi="Times New Roman" w:cs="Times New Roman"/>
          <w:sz w:val="24"/>
        </w:rPr>
        <w:t>заведующая отделом патологии слезного аппарата ФГБНУ «Научно-исследовательского института глазных болезней им. М.М. Краснова», доктор медицинских наук. Общероссийская общественная организация «Общество офтальмологов России», Всероссийская общественная орга</w:t>
      </w:r>
      <w:r>
        <w:rPr>
          <w:rFonts w:ascii="Times New Roman" w:eastAsia="Times New Roman" w:hAnsi="Times New Roman" w:cs="Times New Roman"/>
          <w:sz w:val="24"/>
        </w:rPr>
        <w:t xml:space="preserve">низация «Российское общество ринологов»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>Бржеский В.В. - заведующий кафедрой офтальмологии ФГБОУ ВО СПбГПМУ, доктор медицинских наук, профессор. Общероссийская общественная организация «Общество офтальмологов России», Общероссийская общественная организаци</w:t>
      </w:r>
      <w:r>
        <w:rPr>
          <w:rFonts w:ascii="Times New Roman" w:eastAsia="Times New Roman" w:hAnsi="Times New Roman" w:cs="Times New Roman"/>
          <w:sz w:val="24"/>
        </w:rPr>
        <w:t xml:space="preserve">я «Ассоциация врачей-офтальмологов».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Захарова М.А. – научный сотрудник отдела реконструктивно-восстановительной окулопластики ФГАУ НМИЦ «Микрохирургия глаза» им. ака. С.Н. Федорова» Минздрава России, кандидат медицинских наук. Общероссийская общественная </w:t>
      </w:r>
      <w:r>
        <w:rPr>
          <w:rFonts w:ascii="Times New Roman" w:eastAsia="Times New Roman" w:hAnsi="Times New Roman" w:cs="Times New Roman"/>
          <w:sz w:val="24"/>
        </w:rPr>
        <w:t xml:space="preserve">организация «Общество офтальмологов России».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Карпищенко С.А. – заведующий кафедрой оториноларингологии с клиникой Первого СПГМУ им. акад. И.П.Павлова, доктор медицинских наук, профессор. Всероссийская общественная организация «Российское общество ринолого</w:t>
      </w:r>
      <w:r>
        <w:rPr>
          <w:rFonts w:ascii="Times New Roman" w:eastAsia="Times New Roman" w:hAnsi="Times New Roman" w:cs="Times New Roman"/>
          <w:sz w:val="24"/>
        </w:rPr>
        <w:t xml:space="preserve">в»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>Катаев М.Г. Заведующий отделом реконструктивно-восстановительной окулопластики ФГАУ НМИЦ «Микрохирургия глаза» им. ака. С.Н.Федорова» Минздрава России, профессор кафедры офтальмологии ИНПО, доктор медицинских наук, профессор. Общероссийская общественна</w:t>
      </w:r>
      <w:r>
        <w:rPr>
          <w:rFonts w:ascii="Times New Roman" w:eastAsia="Times New Roman" w:hAnsi="Times New Roman" w:cs="Times New Roman"/>
          <w:sz w:val="24"/>
        </w:rPr>
        <w:t xml:space="preserve">я организация «Общество офтальмологов России».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Красножен В.Н. - заведующий кафедрой оториноларингологии Казанской государственной медицинской академии, доктор медицинских наук, профессор. </w:t>
      </w:r>
    </w:p>
    <w:p w:rsidR="00981A75" w:rsidRDefault="001E759B">
      <w:pPr>
        <w:spacing w:after="118"/>
        <w:ind w:left="1080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>Всероссийская общественная организация «Российское общество риноло</w:t>
      </w:r>
      <w:r>
        <w:rPr>
          <w:rFonts w:ascii="Times New Roman" w:eastAsia="Times New Roman" w:hAnsi="Times New Roman" w:cs="Times New Roman"/>
          <w:sz w:val="24"/>
        </w:rPr>
        <w:t xml:space="preserve">гов»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Куликов А.Н. - начальник кафедры офтальмологии ВМА им. С.М.Кирова, заслуженный врач РФ, доктор медицинских наук, профессор. Общероссийская общественная организация «Общество офтальмологов России».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>Порицкий Ю.В. -   доцент кафедры офтальмологии ВМА и</w:t>
      </w:r>
      <w:r>
        <w:rPr>
          <w:rFonts w:ascii="Times New Roman" w:eastAsia="Times New Roman" w:hAnsi="Times New Roman" w:cs="Times New Roman"/>
          <w:sz w:val="24"/>
        </w:rPr>
        <w:t xml:space="preserve">м. С. М. Кирова, кандидат медицинских наук. Общероссийская общественная организация «Общество офтальмологов России». </w:t>
      </w:r>
    </w:p>
    <w:p w:rsidR="00981A75" w:rsidRDefault="001E759B">
      <w:pPr>
        <w:numPr>
          <w:ilvl w:val="0"/>
          <w:numId w:val="19"/>
        </w:numPr>
        <w:spacing w:after="3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Школьник Г.С. - Заведующая отделением реконструктивной окулопластической и лазерной хирургии, кандидат медицинских наук, врач-офтальмолог </w:t>
      </w:r>
      <w:r>
        <w:rPr>
          <w:rFonts w:ascii="Times New Roman" w:eastAsia="Times New Roman" w:hAnsi="Times New Roman" w:cs="Times New Roman"/>
          <w:sz w:val="24"/>
        </w:rPr>
        <w:t xml:space="preserve">высшей квалификационной категории, Чебоксарский филиал ФГАУ НМИЦ «Микрохирургия глаза» им. ака. С.Н. Федорова» Минздрава России. Общероссийская общественная организация «Общество офтальмологов России». </w:t>
      </w:r>
    </w:p>
    <w:p w:rsidR="00981A75" w:rsidRDefault="001E759B">
      <w:pPr>
        <w:numPr>
          <w:ilvl w:val="0"/>
          <w:numId w:val="19"/>
        </w:numPr>
        <w:spacing w:after="38" w:line="359" w:lineRule="auto"/>
        <w:ind w:right="2" w:hanging="360"/>
        <w:jc w:val="both"/>
      </w:pPr>
      <w:r>
        <w:rPr>
          <w:rFonts w:ascii="Times New Roman" w:eastAsia="Times New Roman" w:hAnsi="Times New Roman" w:cs="Times New Roman"/>
          <w:sz w:val="24"/>
        </w:rPr>
        <w:t>Ярцев В.Д. – ведущий научный сотрудник отдела патолог</w:t>
      </w:r>
      <w:r>
        <w:rPr>
          <w:rFonts w:ascii="Times New Roman" w:eastAsia="Times New Roman" w:hAnsi="Times New Roman" w:cs="Times New Roman"/>
          <w:sz w:val="24"/>
        </w:rPr>
        <w:t>ии слезного аппарата ФГБНУ «Научно-исследовательского института глазных болезней им. М.М. Краснова», доктор медицинских наук. Общероссийская общественная организация «Общество офтальмологов России». Всероссийская общественная организация «Российское общест</w:t>
      </w:r>
      <w:r>
        <w:rPr>
          <w:rFonts w:ascii="Times New Roman" w:eastAsia="Times New Roman" w:hAnsi="Times New Roman" w:cs="Times New Roman"/>
          <w:sz w:val="24"/>
        </w:rPr>
        <w:t xml:space="preserve">во ринологов»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spacing w:after="3"/>
        <w:ind w:left="717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Конфликт интересов отсутствует. </w:t>
      </w:r>
    </w:p>
    <w:p w:rsidR="00981A75" w:rsidRDefault="001E759B">
      <w:pPr>
        <w:spacing w:after="2" w:line="235" w:lineRule="auto"/>
        <w:ind w:left="710" w:right="4402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pStyle w:val="Heading1"/>
        <w:spacing w:after="0" w:line="357" w:lineRule="auto"/>
        <w:ind w:left="3910" w:hanging="2288"/>
        <w:jc w:val="left"/>
      </w:pPr>
      <w:r>
        <w:t>Приложение А2. Методология разработки клинических рекомендаций</w:t>
      </w:r>
      <w:r>
        <w:t xml:space="preserve"> </w:t>
      </w:r>
    </w:p>
    <w:p w:rsidR="00981A75" w:rsidRDefault="001E759B">
      <w:pPr>
        <w:spacing w:after="115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7"/>
        <w:ind w:left="705" w:hanging="10"/>
      </w:pPr>
      <w:r>
        <w:rPr>
          <w:rFonts w:ascii="Times New Roman" w:eastAsia="Times New Roman" w:hAnsi="Times New Roman" w:cs="Times New Roman"/>
          <w:sz w:val="24"/>
          <w:u w:val="single" w:color="000000"/>
        </w:rPr>
        <w:t>Целевая аудитория данных клинических рекомендаций: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20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Врачи-педиатры </w:t>
      </w:r>
    </w:p>
    <w:p w:rsidR="00981A75" w:rsidRDefault="001E759B">
      <w:pPr>
        <w:numPr>
          <w:ilvl w:val="0"/>
          <w:numId w:val="20"/>
        </w:numPr>
        <w:spacing w:after="113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Врачи общей практики (семейные врачи). </w:t>
      </w:r>
    </w:p>
    <w:p w:rsidR="00981A75" w:rsidRDefault="001E759B">
      <w:pPr>
        <w:numPr>
          <w:ilvl w:val="0"/>
          <w:numId w:val="21"/>
        </w:numPr>
        <w:spacing w:after="115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Врачи-офтальмологи. </w:t>
      </w:r>
    </w:p>
    <w:p w:rsidR="00981A75" w:rsidRDefault="001E759B">
      <w:pPr>
        <w:numPr>
          <w:ilvl w:val="0"/>
          <w:numId w:val="21"/>
        </w:numPr>
        <w:spacing w:after="112"/>
        <w:ind w:right="2" w:hanging="240"/>
        <w:jc w:val="both"/>
      </w:pPr>
      <w:r>
        <w:rPr>
          <w:rFonts w:ascii="Times New Roman" w:eastAsia="Times New Roman" w:hAnsi="Times New Roman" w:cs="Times New Roman"/>
          <w:sz w:val="24"/>
        </w:rPr>
        <w:t>Врачи-</w:t>
      </w:r>
      <w:r>
        <w:rPr>
          <w:rFonts w:ascii="Times New Roman" w:eastAsia="Times New Roman" w:hAnsi="Times New Roman" w:cs="Times New Roman"/>
          <w:sz w:val="24"/>
        </w:rPr>
        <w:t xml:space="preserve">оториноларингологи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Методы, использованные для сбора/селекции доказательств: </w:t>
      </w:r>
      <w:r>
        <w:rPr>
          <w:rFonts w:ascii="Times New Roman" w:eastAsia="Times New Roman" w:hAnsi="Times New Roman" w:cs="Times New Roman"/>
          <w:sz w:val="24"/>
        </w:rPr>
        <w:t>поиск в электронных базах данных, анализ современных научных разработок по проблеме приобретённой патологии СОП в России и за рубежом; обобщение практического опыта российских и з</w:t>
      </w:r>
      <w:r>
        <w:rPr>
          <w:rFonts w:ascii="Times New Roman" w:eastAsia="Times New Roman" w:hAnsi="Times New Roman" w:cs="Times New Roman"/>
          <w:sz w:val="24"/>
        </w:rPr>
        <w:t>арубежных специалистов; библиотечные ресурсы. Описание методов, использованных для сбора/селекции доказательств: доказательной базой для рекомендаций являются публикации, вошедшие в Кохрайновскую библиотеку, базы данных EMBASE и MEDLINE, а также монографии</w:t>
      </w:r>
      <w:r>
        <w:rPr>
          <w:rFonts w:ascii="Times New Roman" w:eastAsia="Times New Roman" w:hAnsi="Times New Roman" w:cs="Times New Roman"/>
          <w:sz w:val="24"/>
        </w:rPr>
        <w:t xml:space="preserve"> и статьи в ведущих специализированных рецензируемых отечественных медицинских журналах по данной тематике. Глубина поиска составляла 10 лет. Методы, использованные для оценки качества и силы доказательств: консенсус экспертов, оценка значимости в соответс</w:t>
      </w:r>
      <w:r>
        <w:rPr>
          <w:rFonts w:ascii="Times New Roman" w:eastAsia="Times New Roman" w:hAnsi="Times New Roman" w:cs="Times New Roman"/>
          <w:sz w:val="24"/>
        </w:rPr>
        <w:t xml:space="preserve">твии с рейтинговой схемой. </w:t>
      </w:r>
    </w:p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0"/>
        <w:ind w:left="1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1. Шкала оценки уровней достоверности доказательств (УДД) для методов диагностики (диагностических вмешательств) </w:t>
      </w:r>
    </w:p>
    <w:tbl>
      <w:tblPr>
        <w:tblStyle w:val="TableGrid"/>
        <w:tblW w:w="9854" w:type="dxa"/>
        <w:tblInd w:w="-106" w:type="dxa"/>
        <w:tblCellMar>
          <w:top w:w="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102"/>
        <w:gridCol w:w="8752"/>
      </w:tblGrid>
      <w:tr w:rsidR="00981A75">
        <w:trPr>
          <w:trHeight w:val="329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УДД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71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Расшифровка </w:t>
            </w:r>
          </w:p>
        </w:tc>
      </w:tr>
      <w:tr w:rsidR="00981A75">
        <w:trPr>
          <w:trHeight w:val="64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обзоры исследований с контролем референтным методом или систематический обзор рандомизированных клинических исследований с </w:t>
            </w:r>
          </w:p>
        </w:tc>
      </w:tr>
      <w:tr w:rsidR="00981A75">
        <w:trPr>
          <w:trHeight w:val="329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981A75"/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применением метаанализа </w:t>
            </w:r>
          </w:p>
        </w:tc>
      </w:tr>
      <w:tr w:rsidR="00981A75">
        <w:trPr>
          <w:trHeight w:val="1280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исследования с контролем референтным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метаанализа </w:t>
            </w:r>
          </w:p>
        </w:tc>
      </w:tr>
      <w:tr w:rsidR="00981A75">
        <w:trPr>
          <w:trHeight w:val="1279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13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Исследования без последовательного контроля референтным методом или исследования с референтным методом, не являющимся независимым от исследуемого метода, или нерандомизированные сравнительные исследования, в том числе когортные исследования </w:t>
            </w:r>
          </w:p>
        </w:tc>
      </w:tr>
      <w:tr w:rsidR="00981A75">
        <w:trPr>
          <w:trHeight w:val="329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Несравните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льные исследования, описание клинического случая </w:t>
            </w:r>
          </w:p>
        </w:tc>
      </w:tr>
      <w:tr w:rsidR="00981A75">
        <w:trPr>
          <w:trHeight w:val="32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2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8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Имеется лишь обоснование механизма действия или мнение экспертов </w:t>
            </w:r>
          </w:p>
        </w:tc>
      </w:tr>
    </w:tbl>
    <w:p w:rsidR="00981A75" w:rsidRDefault="001E759B">
      <w:pPr>
        <w:spacing w:after="115"/>
        <w:ind w:left="2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0"/>
        <w:ind w:left="1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2. Шкала оценки уровней достоверности доказательств (УДД) для методов профилактики, лечения, медицинской реабилитации в том числе основанных на использовании природных лечебных факторов (профилактических, лечебных, реабилитационных вмешательств) </w:t>
      </w:r>
    </w:p>
    <w:tbl>
      <w:tblPr>
        <w:tblStyle w:val="TableGrid"/>
        <w:tblW w:w="9575" w:type="dxa"/>
        <w:tblInd w:w="-106" w:type="dxa"/>
        <w:tblCellMar>
          <w:top w:w="7" w:type="dxa"/>
          <w:left w:w="108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1102"/>
        <w:gridCol w:w="8474"/>
      </w:tblGrid>
      <w:tr w:rsidR="00981A75">
        <w:trPr>
          <w:trHeight w:val="28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ДД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left="66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Расшифровка  </w:t>
            </w:r>
          </w:p>
        </w:tc>
      </w:tr>
      <w:tr w:rsidR="00981A75">
        <w:trPr>
          <w:trHeight w:val="5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Систематический обзор рандомизированных клинических исследований с применением метаанализа </w:t>
            </w:r>
          </w:p>
        </w:tc>
      </w:tr>
      <w:tr w:rsidR="00981A75">
        <w:trPr>
          <w:trHeight w:val="838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рандомизированные клинические исследований и систематические обзоры исследований любого дизайна, за исключением рандомизированных клинических исследований с применением метаанализа </w:t>
            </w:r>
          </w:p>
        </w:tc>
      </w:tr>
      <w:tr w:rsidR="00981A75">
        <w:trPr>
          <w:trHeight w:val="5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Нерандомизированные сравнительные исследования, в т.ч. когортные исследования </w:t>
            </w:r>
          </w:p>
        </w:tc>
      </w:tr>
      <w:tr w:rsidR="00981A75">
        <w:trPr>
          <w:trHeight w:val="5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981A75">
        <w:trPr>
          <w:trHeight w:val="564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  <w:ind w:righ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8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Имеется лишь обоснование механизма действия вмешательства (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доклинические исследования) или мнение экспертов </w:t>
            </w:r>
          </w:p>
        </w:tc>
      </w:tr>
    </w:tbl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1" w:line="358" w:lineRule="auto"/>
        <w:ind w:left="2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3. Шкала оценки уровней убедительности рекомендаций (УУР) для методов профилактики, диагностики, лечения, </w:t>
      </w:r>
      <w:r>
        <w:rPr>
          <w:rFonts w:ascii="Times New Roman" w:eastAsia="Times New Roman" w:hAnsi="Times New Roman" w:cs="Times New Roman"/>
          <w:b/>
          <w:sz w:val="24"/>
        </w:rPr>
        <w:t xml:space="preserve">медицинской реабилитации, в том числе основанных на использовании природных лечебных факторов </w:t>
      </w:r>
    </w:p>
    <w:p w:rsidR="00981A75" w:rsidRDefault="001E759B">
      <w:pPr>
        <w:spacing w:after="0"/>
        <w:ind w:left="1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(профилактических, диагностических, лечебных, реабилитационных вмешательств)  </w:t>
      </w:r>
    </w:p>
    <w:tbl>
      <w:tblPr>
        <w:tblStyle w:val="TableGrid"/>
        <w:tblW w:w="9340" w:type="dxa"/>
        <w:tblInd w:w="-5" w:type="dxa"/>
        <w:tblCellMar>
          <w:top w:w="9" w:type="dxa"/>
          <w:left w:w="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939"/>
        <w:gridCol w:w="7401"/>
      </w:tblGrid>
      <w:tr w:rsidR="00981A75">
        <w:trPr>
          <w:trHeight w:val="290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1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УУР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Расшифровка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981A75">
        <w:trPr>
          <w:trHeight w:val="1118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81A75" w:rsidRDefault="001E759B">
            <w:pPr>
              <w:spacing w:after="0"/>
              <w:ind w:right="1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</w:t>
            </w:r>
          </w:p>
        </w:tc>
      </w:tr>
      <w:tr w:rsidR="00981A75">
        <w:trPr>
          <w:trHeight w:val="1397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81A75" w:rsidRDefault="001E759B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Условная рекомендац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 </w:t>
            </w:r>
          </w:p>
        </w:tc>
      </w:tr>
      <w:tr w:rsidR="00981A75">
        <w:trPr>
          <w:trHeight w:val="290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Слабая рекомендация (отсутствие доказательств надлежащего качества </w:t>
            </w:r>
          </w:p>
        </w:tc>
      </w:tr>
      <w:tr w:rsidR="00981A75">
        <w:trPr>
          <w:trHeight w:val="1121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981A75"/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81A75" w:rsidRDefault="001E759B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нными) </w:t>
            </w:r>
          </w:p>
        </w:tc>
      </w:tr>
    </w:tbl>
    <w:p w:rsidR="00981A75" w:rsidRDefault="001E759B">
      <w:pPr>
        <w:spacing w:after="112"/>
        <w:ind w:left="71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112"/>
        <w:ind w:left="70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Порядок обновления клинических рекомендаций.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3" w:line="359" w:lineRule="auto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Механизм обновления клинических рекомендаций предусматривает их систематическую актуализацию – </w:t>
      </w:r>
      <w:r>
        <w:rPr>
          <w:rFonts w:ascii="Times New Roman" w:eastAsia="Times New Roman" w:hAnsi="Times New Roman" w:cs="Times New Roman"/>
          <w:sz w:val="24"/>
        </w:rPr>
        <w:t>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утверждённым клинич</w:t>
      </w:r>
      <w:r>
        <w:rPr>
          <w:rFonts w:ascii="Times New Roman" w:eastAsia="Times New Roman" w:hAnsi="Times New Roman" w:cs="Times New Roman"/>
          <w:sz w:val="24"/>
        </w:rPr>
        <w:t xml:space="preserve">еским рекомендациям, но не чаще 1 раза в 6 месяцев. </w:t>
      </w:r>
    </w:p>
    <w:p w:rsidR="00981A75" w:rsidRDefault="001E759B">
      <w:pPr>
        <w:spacing w:after="115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2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15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53"/>
        <w:ind w:left="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pStyle w:val="Heading1"/>
        <w:spacing w:line="358" w:lineRule="auto"/>
        <w:ind w:left="29"/>
      </w:pPr>
      <w: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 инструкции по применению лекарственного пре</w:t>
      </w:r>
      <w:r>
        <w:t>парата</w:t>
      </w:r>
      <w:r>
        <w:t xml:space="preserve"> </w:t>
      </w:r>
    </w:p>
    <w:p w:rsidR="00981A75" w:rsidRDefault="001E759B">
      <w:pPr>
        <w:numPr>
          <w:ilvl w:val="0"/>
          <w:numId w:val="22"/>
        </w:numPr>
        <w:spacing w:after="3" w:line="359" w:lineRule="auto"/>
        <w:ind w:right="-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Актуальные инструкции к лекарственным препаратам, упоминаемым в данных клинических рекомендациях, можно найти на сайте </w:t>
      </w:r>
      <w:hyperlink r:id="rId11">
        <w:r>
          <w:rPr>
            <w:rFonts w:ascii="Times New Roman" w:eastAsia="Times New Roman" w:hAnsi="Times New Roman" w:cs="Times New Roman"/>
            <w:color w:val="0563C1"/>
            <w:sz w:val="24"/>
            <w:u w:val="single" w:color="0563C1"/>
          </w:rPr>
          <w:t>http://grls.rosminzdrav.ru</w:t>
        </w:r>
      </w:hyperlink>
      <w:hyperlink r:id="rId12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981A75" w:rsidRDefault="001E759B">
      <w:pPr>
        <w:numPr>
          <w:ilvl w:val="0"/>
          <w:numId w:val="22"/>
        </w:numPr>
        <w:spacing w:after="1" w:line="358" w:lineRule="auto"/>
        <w:ind w:right="-2" w:hanging="10"/>
        <w:jc w:val="both"/>
      </w:pPr>
      <w:r>
        <w:rPr>
          <w:rFonts w:ascii="Times New Roman" w:eastAsia="Times New Roman" w:hAnsi="Times New Roman" w:cs="Times New Roman"/>
          <w:color w:val="212121"/>
          <w:sz w:val="24"/>
        </w:rPr>
        <w:t>Международная статистическая классификация болезней и проблем, связанных со здоровьем (10-й пересмотр) (МКБ-10) (версия 2.27 от 02.09.2024)"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22"/>
        </w:numPr>
        <w:spacing w:after="1" w:line="358" w:lineRule="auto"/>
        <w:ind w:right="-2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Приказ Министерства здравоохранения РФ от 13 октября 2017 г. N 804н «Об утверждении номенклатуры медицинских услуг</w:t>
      </w:r>
      <w:r>
        <w:rPr>
          <w:rFonts w:ascii="Times New Roman" w:eastAsia="Times New Roman" w:hAnsi="Times New Roman" w:cs="Times New Roman"/>
          <w:sz w:val="24"/>
        </w:rPr>
        <w:t xml:space="preserve">». </w:t>
      </w:r>
      <w:r>
        <w:rPr>
          <w:rFonts w:ascii="Times New Roman" w:eastAsia="Times New Roman" w:hAnsi="Times New Roman" w:cs="Times New Roman"/>
          <w:color w:val="212121"/>
          <w:sz w:val="24"/>
        </w:rPr>
        <w:t>Приказ Минздрава России от 13.10.2017 N 804н (ред. от 24.09.2020, с изм. от 26.10.2022) "Об утверждении номенклатуры медицинских услуг" (Зарегистрировано в Минюсте России 07.11.2017 N 48808).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numPr>
          <w:ilvl w:val="0"/>
          <w:numId w:val="22"/>
        </w:numPr>
        <w:spacing w:after="3" w:line="359" w:lineRule="auto"/>
        <w:ind w:right="-2" w:hanging="10"/>
        <w:jc w:val="both"/>
      </w:pPr>
      <w:r>
        <w:rPr>
          <w:rFonts w:ascii="Times New Roman" w:eastAsia="Times New Roman" w:hAnsi="Times New Roman" w:cs="Times New Roman"/>
          <w:sz w:val="24"/>
        </w:rPr>
        <w:t>Федеральный закон от 21.11.2011 N 323-</w:t>
      </w:r>
      <w:r>
        <w:rPr>
          <w:rFonts w:ascii="Times New Roman" w:eastAsia="Times New Roman" w:hAnsi="Times New Roman" w:cs="Times New Roman"/>
          <w:sz w:val="24"/>
        </w:rPr>
        <w:t xml:space="preserve">ФЗ (ред. от 23.07.2025) "Об основах охраны  здоровья граждан в Российской Федерации" (с изм. и доп., вступ. в силу с 01.09.2025). </w:t>
      </w:r>
      <w:r>
        <w:rPr>
          <w:rFonts w:ascii="Times New Roman" w:eastAsia="Times New Roman" w:hAnsi="Times New Roman" w:cs="Times New Roman"/>
          <w:color w:val="212121"/>
          <w:sz w:val="24"/>
        </w:rPr>
        <w:t>5.</w:t>
      </w:r>
      <w:r>
        <w:rPr>
          <w:rFonts w:ascii="Arial" w:eastAsia="Arial" w:hAnsi="Arial" w:cs="Arial"/>
          <w:color w:val="212121"/>
          <w:sz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4"/>
        </w:rPr>
        <w:t>Приказ Минздрава России от 12.11.2012 N 902н (ред. от 01.02.2022) "Об утверждении Порядка оказания медицинской помощи взрос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лому населению при заболеваниях глаза, его придаточного аппарата и орбиты" (Зарегистрировано в Минюсте России 13.12.2012 N 26116). </w:t>
      </w:r>
      <w:r>
        <w:rPr>
          <w:rFonts w:ascii="Times New Roman" w:eastAsia="Times New Roman" w:hAnsi="Times New Roman" w:cs="Times New Roman"/>
          <w:sz w:val="24"/>
        </w:rPr>
        <w:t>6.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Перечень жизненно необходимых и важнейших лекарственных препаратов для медицинского применения на 2025 год. Распоряжение П</w:t>
      </w:r>
      <w:r>
        <w:rPr>
          <w:rFonts w:ascii="Times New Roman" w:eastAsia="Times New Roman" w:hAnsi="Times New Roman" w:cs="Times New Roman"/>
          <w:sz w:val="24"/>
        </w:rPr>
        <w:t xml:space="preserve">равительства РФ от 12.10.2019 N </w:t>
      </w:r>
    </w:p>
    <w:p w:rsidR="00981A75" w:rsidRDefault="001E759B">
      <w:pPr>
        <w:spacing w:after="3" w:line="359" w:lineRule="auto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>2406-р (ред. от 15.01.2025) «Об утверждении перечня жизненно необходимых и важнейших лекарственных препаратов на 2025 год, а также перечней лекарственных препаратов для медицинского применения и минимального ассортимента ле</w:t>
      </w:r>
      <w:r>
        <w:rPr>
          <w:rFonts w:ascii="Times New Roman" w:eastAsia="Times New Roman" w:hAnsi="Times New Roman" w:cs="Times New Roman"/>
          <w:sz w:val="24"/>
        </w:rPr>
        <w:t xml:space="preserve">карственных препаратов, необходимых для оказания медицинской помощи». </w:t>
      </w:r>
      <w:r>
        <w:br w:type="page"/>
      </w:r>
    </w:p>
    <w:p w:rsidR="00981A75" w:rsidRDefault="001E759B">
      <w:pPr>
        <w:pStyle w:val="Heading1"/>
        <w:spacing w:after="0" w:line="249" w:lineRule="auto"/>
        <w:ind w:left="2067"/>
        <w:jc w:val="left"/>
      </w:pPr>
      <w:r>
        <w:t>Приложение Б. Алгоритмы действия врача</w:t>
      </w:r>
      <w:r>
        <w:t xml:space="preserve"> </w:t>
      </w:r>
    </w:p>
    <w:p w:rsidR="00981A75" w:rsidRDefault="001E759B">
      <w:pPr>
        <w:spacing w:after="0"/>
        <w:ind w:left="-783" w:right="-600"/>
      </w:pPr>
      <w:r>
        <w:rPr>
          <w:noProof/>
        </w:rPr>
        <w:drawing>
          <wp:inline distT="0" distB="0" distL="0" distR="0">
            <wp:extent cx="7004304" cy="9009889"/>
            <wp:effectExtent l="0" t="0" r="0" b="0"/>
            <wp:docPr id="38219" name="Picture 38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19" name="Picture 38219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04304" cy="9009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1A75" w:rsidRDefault="001E759B">
      <w:pPr>
        <w:pStyle w:val="Heading1"/>
        <w:spacing w:after="85"/>
        <w:ind w:left="29" w:right="27"/>
      </w:pPr>
      <w:r>
        <w:t>Приложение В. Информация для пациента</w:t>
      </w:r>
      <w:r>
        <w:t xml:space="preserve">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Жалобы на слезотечение в числе прочих заболеваний глаз могут быть связаны с сужением или заращением сле</w:t>
      </w:r>
      <w:r>
        <w:rPr>
          <w:rFonts w:ascii="Times New Roman" w:eastAsia="Times New Roman" w:hAnsi="Times New Roman" w:cs="Times New Roman"/>
          <w:sz w:val="24"/>
        </w:rPr>
        <w:t>зных протоков. Застой слезы и присоединение инфекции часто сопровождаются появлением гнойных выделений из слезных точек и может привести к тяжелому воспалительному процессу в тканях вокруг слезного мешка – абсцессу или флегмоне слезного мешка, которое треб</w:t>
      </w:r>
      <w:r>
        <w:rPr>
          <w:rFonts w:ascii="Times New Roman" w:eastAsia="Times New Roman" w:hAnsi="Times New Roman" w:cs="Times New Roman"/>
          <w:sz w:val="24"/>
        </w:rPr>
        <w:t>ует активных лечебных мероприятий, в том числе, хирургических. Чаще всего патология слезоотводящих путей проявляется хроническим дакриоциститом. Наличие гноя может привести к осложнениям со стороны глаза и является противопоказанием для внутриглазных опера</w:t>
      </w:r>
      <w:r>
        <w:rPr>
          <w:rFonts w:ascii="Times New Roman" w:eastAsia="Times New Roman" w:hAnsi="Times New Roman" w:cs="Times New Roman"/>
          <w:sz w:val="24"/>
        </w:rPr>
        <w:t>ций, например, экстракции катаракты. Как правило, для лечения дакриоцистита требуется хирургическое вмешательство. Для выяснения причин слезотечения необходимо тщательное обследование с применением инструментальных методов. Но в ряде случаев слезотечение о</w:t>
      </w:r>
      <w:r>
        <w:rPr>
          <w:rFonts w:ascii="Times New Roman" w:eastAsia="Times New Roman" w:hAnsi="Times New Roman" w:cs="Times New Roman"/>
          <w:sz w:val="24"/>
        </w:rPr>
        <w:t xml:space="preserve">бусловлено заращением слезных путей и не сопровождается гнойным воспалением. В таких случаях консервативное и хирургическое лечение могут быть неэффективными, но клиническое состояние не представляет угрозы для глаза.  </w:t>
      </w:r>
    </w:p>
    <w:p w:rsidR="00981A75" w:rsidRDefault="001E759B">
      <w:pPr>
        <w:spacing w:after="3" w:line="359" w:lineRule="auto"/>
        <w:ind w:left="2" w:right="2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Эффективность консервативного и хиру</w:t>
      </w:r>
      <w:r>
        <w:rPr>
          <w:rFonts w:ascii="Times New Roman" w:eastAsia="Times New Roman" w:hAnsi="Times New Roman" w:cs="Times New Roman"/>
          <w:sz w:val="24"/>
        </w:rPr>
        <w:t xml:space="preserve">ргического лечения зависит от многих факторов, индивидуальных анатомо-физиологических особенностей, активности присоединившейся инфекции, сопутствующих заболеваний. </w:t>
      </w:r>
    </w:p>
    <w:p w:rsidR="00981A75" w:rsidRDefault="001E759B">
      <w:pPr>
        <w:spacing w:after="153"/>
        <w:ind w:left="56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35"/>
        <w:ind w:left="67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pStyle w:val="Heading1"/>
        <w:spacing w:after="242" w:line="357" w:lineRule="auto"/>
        <w:ind w:left="2" w:firstLine="708"/>
        <w:jc w:val="left"/>
      </w:pPr>
      <w:r>
        <w:t xml:space="preserve">Приложение Г1 </w:t>
      </w:r>
      <w:r>
        <w:t xml:space="preserve">- </w:t>
      </w:r>
      <w:r>
        <w:t>ГN. Шкалы оценки, вопросники и другие оценочные инструменты состояния пациента, приведенные в клинических рекомендациях</w:t>
      </w:r>
      <w:r>
        <w:t xml:space="preserve"> </w:t>
      </w:r>
    </w:p>
    <w:p w:rsidR="00981A75" w:rsidRDefault="001E759B">
      <w:pPr>
        <w:spacing w:after="325" w:line="266" w:lineRule="auto"/>
        <w:ind w:left="29" w:right="25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Приложение Г1. </w:t>
      </w:r>
    </w:p>
    <w:p w:rsidR="00981A75" w:rsidRDefault="001E759B">
      <w:pPr>
        <w:spacing w:after="352"/>
        <w:ind w:left="10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Название на русском языке: Шкала оценки эпифоры по Мунку </w:t>
      </w:r>
    </w:p>
    <w:p w:rsidR="00981A75" w:rsidRDefault="001E759B">
      <w:pPr>
        <w:spacing w:after="355"/>
        <w:jc w:val="both"/>
      </w:pPr>
      <w:r>
        <w:rPr>
          <w:rFonts w:ascii="Times New Roman" w:eastAsia="Times New Roman" w:hAnsi="Times New Roman" w:cs="Times New Roman"/>
          <w:sz w:val="24"/>
        </w:rPr>
        <w:t>Оригинальное название (если есть):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The Munk score for grading</w:t>
      </w:r>
      <w:r>
        <w:rPr>
          <w:rFonts w:ascii="Times New Roman" w:eastAsia="Times New Roman" w:hAnsi="Times New Roman" w:cs="Times New Roman"/>
          <w:color w:val="212121"/>
          <w:sz w:val="24"/>
        </w:rPr>
        <w:t xml:space="preserve"> of epiphora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1E759B">
      <w:pPr>
        <w:spacing w:after="19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Источники: [3,84-90] </w:t>
      </w:r>
    </w:p>
    <w:p w:rsidR="00981A75" w:rsidRDefault="001E759B">
      <w:pPr>
        <w:spacing w:after="114"/>
        <w:ind w:left="-3" w:hanging="10"/>
      </w:pPr>
      <w:r>
        <w:rPr>
          <w:rFonts w:ascii="Times New Roman" w:eastAsia="Times New Roman" w:hAnsi="Times New Roman" w:cs="Times New Roman"/>
          <w:color w:val="222222"/>
          <w:sz w:val="24"/>
        </w:rPr>
        <w:t xml:space="preserve">Тип (подчеркнуть):  </w:t>
      </w:r>
    </w:p>
    <w:p w:rsidR="00981A75" w:rsidRDefault="001E759B">
      <w:pPr>
        <w:spacing w:after="114"/>
        <w:ind w:left="-3" w:hanging="10"/>
      </w:pPr>
      <w:r>
        <w:rPr>
          <w:rFonts w:ascii="Times New Roman" w:eastAsia="Times New Roman" w:hAnsi="Times New Roman" w:cs="Times New Roman"/>
          <w:color w:val="222222"/>
          <w:sz w:val="24"/>
        </w:rPr>
        <w:t xml:space="preserve">Тип: </w:t>
      </w:r>
      <w:r>
        <w:rPr>
          <w:rFonts w:ascii="Times New Roman" w:eastAsia="Times New Roman" w:hAnsi="Times New Roman" w:cs="Times New Roman"/>
          <w:color w:val="222222"/>
          <w:sz w:val="24"/>
          <w:u w:val="single" w:color="222222"/>
        </w:rPr>
        <w:t>шкала оценки,</w:t>
      </w:r>
      <w:r>
        <w:rPr>
          <w:rFonts w:ascii="Times New Roman" w:eastAsia="Times New Roman" w:hAnsi="Times New Roman" w:cs="Times New Roman"/>
          <w:color w:val="222222"/>
          <w:sz w:val="24"/>
        </w:rPr>
        <w:t xml:space="preserve">    индекс, вопросник </w:t>
      </w:r>
    </w:p>
    <w:p w:rsidR="00981A75" w:rsidRDefault="001E759B">
      <w:pPr>
        <w:spacing w:after="355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Назначение: оценка выраженности слезотечения (эпифоры)  </w:t>
      </w:r>
    </w:p>
    <w:p w:rsidR="00981A75" w:rsidRDefault="001E759B">
      <w:pPr>
        <w:spacing w:after="3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Оценочный инструмент, содержание:  </w:t>
      </w:r>
    </w:p>
    <w:p w:rsidR="00981A75" w:rsidRDefault="001E759B">
      <w:pPr>
        <w:spacing w:after="115"/>
        <w:ind w:left="720" w:hanging="10"/>
      </w:pPr>
      <w:r>
        <w:rPr>
          <w:rFonts w:ascii="Times New Roman" w:eastAsia="Times New Roman" w:hAnsi="Times New Roman" w:cs="Times New Roman"/>
          <w:sz w:val="24"/>
        </w:rPr>
        <w:t xml:space="preserve">Шкала </w:t>
      </w:r>
      <w:r>
        <w:rPr>
          <w:rFonts w:ascii="Times New Roman" w:eastAsia="Times New Roman" w:hAnsi="Times New Roman" w:cs="Times New Roman"/>
          <w:color w:val="333333"/>
          <w:sz w:val="24"/>
        </w:rPr>
        <w:t xml:space="preserve">Munk предполагает градацию степени слезотечения в баллах: </w:t>
      </w:r>
    </w:p>
    <w:p w:rsidR="00981A75" w:rsidRDefault="001E759B">
      <w:pPr>
        <w:numPr>
          <w:ilvl w:val="0"/>
          <w:numId w:val="23"/>
        </w:numPr>
        <w:spacing w:after="115"/>
        <w:ind w:hanging="360"/>
      </w:pPr>
      <w:r>
        <w:rPr>
          <w:rFonts w:ascii="Times New Roman" w:eastAsia="Times New Roman" w:hAnsi="Times New Roman" w:cs="Times New Roman"/>
          <w:color w:val="333333"/>
          <w:sz w:val="24"/>
        </w:rPr>
        <w:t xml:space="preserve">0 баллов — слезотечения нет; </w:t>
      </w:r>
    </w:p>
    <w:p w:rsidR="00981A75" w:rsidRDefault="001E759B">
      <w:pPr>
        <w:numPr>
          <w:ilvl w:val="0"/>
          <w:numId w:val="23"/>
        </w:numPr>
        <w:spacing w:after="115"/>
        <w:ind w:hanging="360"/>
      </w:pPr>
      <w:r>
        <w:rPr>
          <w:rFonts w:ascii="Times New Roman" w:eastAsia="Times New Roman" w:hAnsi="Times New Roman" w:cs="Times New Roman"/>
          <w:color w:val="333333"/>
          <w:sz w:val="24"/>
        </w:rPr>
        <w:t xml:space="preserve">1 балл — редкое слезотечение, требующее вытирания слезы менее 2 раз в день; </w:t>
      </w:r>
    </w:p>
    <w:p w:rsidR="00981A75" w:rsidRDefault="001E759B">
      <w:pPr>
        <w:numPr>
          <w:ilvl w:val="0"/>
          <w:numId w:val="23"/>
        </w:numPr>
        <w:spacing w:after="115"/>
        <w:ind w:hanging="360"/>
      </w:pPr>
      <w:r>
        <w:rPr>
          <w:rFonts w:ascii="Times New Roman" w:eastAsia="Times New Roman" w:hAnsi="Times New Roman" w:cs="Times New Roman"/>
          <w:color w:val="333333"/>
          <w:sz w:val="24"/>
        </w:rPr>
        <w:t xml:space="preserve">2 балла — слезотечение, требующее вытирания слезы 2–4 раза в день; </w:t>
      </w:r>
    </w:p>
    <w:p w:rsidR="00981A75" w:rsidRDefault="001E759B">
      <w:pPr>
        <w:numPr>
          <w:ilvl w:val="0"/>
          <w:numId w:val="23"/>
        </w:numPr>
        <w:spacing w:after="115"/>
        <w:ind w:hanging="360"/>
      </w:pPr>
      <w:r>
        <w:rPr>
          <w:rFonts w:ascii="Times New Roman" w:eastAsia="Times New Roman" w:hAnsi="Times New Roman" w:cs="Times New Roman"/>
          <w:color w:val="333333"/>
          <w:sz w:val="24"/>
        </w:rPr>
        <w:t xml:space="preserve">3 балла — слезотечение, требующее вытирания слезы 5–10 раз в день; </w:t>
      </w:r>
    </w:p>
    <w:p w:rsidR="00981A75" w:rsidRDefault="001E759B">
      <w:pPr>
        <w:numPr>
          <w:ilvl w:val="0"/>
          <w:numId w:val="23"/>
        </w:numPr>
        <w:spacing w:after="2" w:line="356" w:lineRule="auto"/>
        <w:ind w:hanging="360"/>
      </w:pPr>
      <w:r>
        <w:rPr>
          <w:rFonts w:ascii="Times New Roman" w:eastAsia="Times New Roman" w:hAnsi="Times New Roman" w:cs="Times New Roman"/>
          <w:color w:val="333333"/>
          <w:sz w:val="24"/>
        </w:rPr>
        <w:t xml:space="preserve">4 балла — </w:t>
      </w:r>
      <w:r>
        <w:rPr>
          <w:rFonts w:ascii="Times New Roman" w:eastAsia="Times New Roman" w:hAnsi="Times New Roman" w:cs="Times New Roman"/>
          <w:color w:val="333333"/>
          <w:sz w:val="24"/>
        </w:rPr>
        <w:t xml:space="preserve">слезотечение, требующее вытирания слезы 10 раз в день, или постоянное слезотечение. </w:t>
      </w:r>
    </w:p>
    <w:p w:rsidR="00981A75" w:rsidRDefault="001E759B">
      <w:pPr>
        <w:spacing w:after="240" w:line="359" w:lineRule="auto"/>
        <w:ind w:left="12" w:right="2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Пояснения: Значения данной шкалы могут быть использованы для субъективной оценки проведенного лечения у пациентов с эпифорой. </w:t>
      </w:r>
    </w:p>
    <w:p w:rsidR="00981A75" w:rsidRDefault="001E759B">
      <w:pPr>
        <w:spacing w:after="357"/>
        <w:ind w:left="2"/>
      </w:pPr>
      <w:r>
        <w:rPr>
          <w:rFonts w:ascii="Times New Roman" w:eastAsia="Times New Roman" w:hAnsi="Times New Roman" w:cs="Times New Roman"/>
          <w:color w:val="222222"/>
          <w:sz w:val="24"/>
        </w:rPr>
        <w:t xml:space="preserve"> </w:t>
      </w:r>
    </w:p>
    <w:p w:rsidR="00981A75" w:rsidRDefault="001E759B">
      <w:pPr>
        <w:spacing w:after="230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981A75" w:rsidRDefault="001E759B">
      <w:pPr>
        <w:spacing w:after="88"/>
        <w:ind w:left="710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981A75" w:rsidRDefault="001E759B">
      <w:pPr>
        <w:spacing w:after="0"/>
        <w:ind w:left="710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981A75" w:rsidRDefault="00981A75">
      <w:pPr>
        <w:sectPr w:rsidR="00981A75">
          <w:footerReference w:type="even" r:id="rId14"/>
          <w:footerReference w:type="default" r:id="rId15"/>
          <w:footerReference w:type="first" r:id="rId16"/>
          <w:pgSz w:w="11906" w:h="16838"/>
          <w:pgMar w:top="1137" w:right="842" w:bottom="1056" w:left="1416" w:header="720" w:footer="716" w:gutter="0"/>
          <w:cols w:space="720"/>
        </w:sectPr>
      </w:pPr>
    </w:p>
    <w:p w:rsidR="00981A75" w:rsidRDefault="001E759B">
      <w:pPr>
        <w:spacing w:after="0"/>
        <w:ind w:left="-1440" w:right="10466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9906</wp:posOffset>
            </wp:positionH>
            <wp:positionV relativeFrom="page">
              <wp:posOffset>0</wp:posOffset>
            </wp:positionV>
            <wp:extent cx="7513321" cy="10664952"/>
            <wp:effectExtent l="0" t="0" r="0" b="0"/>
            <wp:wrapTopAndBottom/>
            <wp:docPr id="38221" name="Picture 38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21" name="Picture 3822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13321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81A75">
      <w:footerReference w:type="even" r:id="rId18"/>
      <w:footerReference w:type="default" r:id="rId19"/>
      <w:footerReference w:type="first" r:id="rId20"/>
      <w:pgSz w:w="11906" w:h="16838"/>
      <w:pgMar w:top="1440" w:right="1440" w:bottom="1440" w:left="1440" w:header="720" w:footer="99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1E759B">
      <w:pPr>
        <w:spacing w:after="0" w:line="240" w:lineRule="auto"/>
      </w:pPr>
      <w:r>
        <w:separator/>
      </w:r>
    </w:p>
  </w:endnote>
  <w:endnote w:type="continuationSeparator" w:id="0">
    <w:p w:rsidR="00000000" w:rsidRDefault="001E75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1E759B">
    <w:pPr>
      <w:spacing w:after="0"/>
      <w:ind w:left="703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2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981A75" w:rsidRDefault="001E759B">
    <w:pPr>
      <w:spacing w:after="0"/>
      <w:ind w:left="710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1E759B">
    <w:pPr>
      <w:spacing w:after="0"/>
      <w:ind w:left="703"/>
      <w:jc w:val="center"/>
    </w:pPr>
    <w:r>
      <w:fldChar w:fldCharType="begin"/>
    </w:r>
    <w:r>
      <w:instrText xml:space="preserve"> PA</w:instrText>
    </w:r>
    <w:r>
      <w:instrText xml:space="preserve">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2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981A75" w:rsidRDefault="001E759B">
    <w:pPr>
      <w:spacing w:after="0"/>
      <w:ind w:left="710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1E759B">
    <w:pPr>
      <w:spacing w:after="0"/>
      <w:ind w:left="703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2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981A75" w:rsidRDefault="001E759B">
    <w:pPr>
      <w:spacing w:after="0"/>
      <w:ind w:left="710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981A75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981A75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75" w:rsidRDefault="00981A7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1E759B">
      <w:pPr>
        <w:spacing w:after="0" w:line="240" w:lineRule="auto"/>
      </w:pPr>
      <w:r>
        <w:separator/>
      </w:r>
    </w:p>
  </w:footnote>
  <w:footnote w:type="continuationSeparator" w:id="0">
    <w:p w:rsidR="00000000" w:rsidRDefault="001E759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F20870"/>
    <w:multiLevelType w:val="multilevel"/>
    <w:tmpl w:val="B67C69B4"/>
    <w:lvl w:ilvl="0">
      <w:start w:val="1"/>
      <w:numFmt w:val="decimal"/>
      <w:lvlText w:val="%1."/>
      <w:lvlJc w:val="left"/>
      <w:pPr>
        <w:ind w:left="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38D416A"/>
    <w:multiLevelType w:val="hybridMultilevel"/>
    <w:tmpl w:val="7018A5A8"/>
    <w:lvl w:ilvl="0" w:tplc="937699DE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D0CDC6">
      <w:start w:val="1"/>
      <w:numFmt w:val="bullet"/>
      <w:lvlText w:val="–"/>
      <w:lvlJc w:val="left"/>
      <w:pPr>
        <w:ind w:left="8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DCFA0E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4E68272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F29E5E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EA6C2A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4EF618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E7E2F72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92A382C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79728BD"/>
    <w:multiLevelType w:val="hybridMultilevel"/>
    <w:tmpl w:val="1CE4C31E"/>
    <w:lvl w:ilvl="0" w:tplc="D062F7CE">
      <w:start w:val="1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9AE3E6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84FE34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D08BD4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482C9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82229EE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18080B2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D4043C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C3A4C0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80B162E"/>
    <w:multiLevelType w:val="hybridMultilevel"/>
    <w:tmpl w:val="4B2E87AC"/>
    <w:lvl w:ilvl="0" w:tplc="64406924">
      <w:start w:val="1"/>
      <w:numFmt w:val="decimal"/>
      <w:lvlText w:val="%1."/>
      <w:lvlJc w:val="left"/>
      <w:pPr>
        <w:ind w:left="10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A0A2F2">
      <w:start w:val="1"/>
      <w:numFmt w:val="lowerLetter"/>
      <w:lvlText w:val="%2"/>
      <w:lvlJc w:val="left"/>
      <w:pPr>
        <w:ind w:left="11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9635EC">
      <w:start w:val="1"/>
      <w:numFmt w:val="lowerRoman"/>
      <w:lvlText w:val="%3"/>
      <w:lvlJc w:val="left"/>
      <w:pPr>
        <w:ind w:left="18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778B4B0">
      <w:start w:val="1"/>
      <w:numFmt w:val="decimal"/>
      <w:lvlText w:val="%4"/>
      <w:lvlJc w:val="left"/>
      <w:pPr>
        <w:ind w:left="25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F7C417C">
      <w:start w:val="1"/>
      <w:numFmt w:val="lowerLetter"/>
      <w:lvlText w:val="%5"/>
      <w:lvlJc w:val="left"/>
      <w:pPr>
        <w:ind w:left="33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285EC6">
      <w:start w:val="1"/>
      <w:numFmt w:val="lowerRoman"/>
      <w:lvlText w:val="%6"/>
      <w:lvlJc w:val="left"/>
      <w:pPr>
        <w:ind w:left="40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87E0C90">
      <w:start w:val="1"/>
      <w:numFmt w:val="decimal"/>
      <w:lvlText w:val="%7"/>
      <w:lvlJc w:val="left"/>
      <w:pPr>
        <w:ind w:left="47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F70E296">
      <w:start w:val="1"/>
      <w:numFmt w:val="lowerLetter"/>
      <w:lvlText w:val="%8"/>
      <w:lvlJc w:val="left"/>
      <w:pPr>
        <w:ind w:left="54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278D2F6">
      <w:start w:val="1"/>
      <w:numFmt w:val="lowerRoman"/>
      <w:lvlText w:val="%9"/>
      <w:lvlJc w:val="left"/>
      <w:pPr>
        <w:ind w:left="61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95924A3"/>
    <w:multiLevelType w:val="hybridMultilevel"/>
    <w:tmpl w:val="96084ACC"/>
    <w:lvl w:ilvl="0" w:tplc="C95C5CA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8DEF30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BA34D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CF4D9A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1D2271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BBE1F9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604A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10DEE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970B59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9837AAC"/>
    <w:multiLevelType w:val="hybridMultilevel"/>
    <w:tmpl w:val="E2C4207E"/>
    <w:lvl w:ilvl="0" w:tplc="DEDE9508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E4EF56">
      <w:start w:val="1"/>
      <w:numFmt w:val="bullet"/>
      <w:lvlText w:val="–"/>
      <w:lvlJc w:val="left"/>
      <w:pPr>
        <w:ind w:left="8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6CBB7C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FEA6D6A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D8FB96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C185520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940786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CAA5B0A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524C9A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BD27624"/>
    <w:multiLevelType w:val="hybridMultilevel"/>
    <w:tmpl w:val="3C969222"/>
    <w:lvl w:ilvl="0" w:tplc="8C9495E0">
      <w:start w:val="1"/>
      <w:numFmt w:val="bullet"/>
      <w:lvlText w:val="•"/>
      <w:lvlJc w:val="left"/>
      <w:pPr>
        <w:ind w:left="14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1E3D22">
      <w:start w:val="1"/>
      <w:numFmt w:val="bullet"/>
      <w:lvlText w:val="o"/>
      <w:lvlJc w:val="left"/>
      <w:pPr>
        <w:ind w:left="21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A42950">
      <w:start w:val="1"/>
      <w:numFmt w:val="bullet"/>
      <w:lvlText w:val="▪"/>
      <w:lvlJc w:val="left"/>
      <w:pPr>
        <w:ind w:left="2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DAFB38">
      <w:start w:val="1"/>
      <w:numFmt w:val="bullet"/>
      <w:lvlText w:val="•"/>
      <w:lvlJc w:val="left"/>
      <w:pPr>
        <w:ind w:left="35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B2BEAA">
      <w:start w:val="1"/>
      <w:numFmt w:val="bullet"/>
      <w:lvlText w:val="o"/>
      <w:lvlJc w:val="left"/>
      <w:pPr>
        <w:ind w:left="43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BD29C56">
      <w:start w:val="1"/>
      <w:numFmt w:val="bullet"/>
      <w:lvlText w:val="▪"/>
      <w:lvlJc w:val="left"/>
      <w:pPr>
        <w:ind w:left="50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4EB72E">
      <w:start w:val="1"/>
      <w:numFmt w:val="bullet"/>
      <w:lvlText w:val="•"/>
      <w:lvlJc w:val="left"/>
      <w:pPr>
        <w:ind w:left="57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D1E8F8A">
      <w:start w:val="1"/>
      <w:numFmt w:val="bullet"/>
      <w:lvlText w:val="o"/>
      <w:lvlJc w:val="left"/>
      <w:pPr>
        <w:ind w:left="64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50A2C86">
      <w:start w:val="1"/>
      <w:numFmt w:val="bullet"/>
      <w:lvlText w:val="▪"/>
      <w:lvlJc w:val="left"/>
      <w:pPr>
        <w:ind w:left="71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C437F51"/>
    <w:multiLevelType w:val="hybridMultilevel"/>
    <w:tmpl w:val="5720E9A4"/>
    <w:lvl w:ilvl="0" w:tplc="E414801E">
      <w:start w:val="6"/>
      <w:numFmt w:val="decimal"/>
      <w:lvlText w:val="%1.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6E01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8EA7A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3A930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88AC4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FE2B30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64D85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FE77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8BA95C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D0F4E5A"/>
    <w:multiLevelType w:val="hybridMultilevel"/>
    <w:tmpl w:val="36E2F0BA"/>
    <w:lvl w:ilvl="0" w:tplc="D682F2D2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8CDA14">
      <w:start w:val="1"/>
      <w:numFmt w:val="bullet"/>
      <w:lvlText w:val="–"/>
      <w:lvlJc w:val="left"/>
      <w:pPr>
        <w:ind w:left="8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3E8602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EA3276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F586D84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70A39E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8E06C2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A4A2F2E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2C2F47E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F8E1A04"/>
    <w:multiLevelType w:val="hybridMultilevel"/>
    <w:tmpl w:val="92902916"/>
    <w:lvl w:ilvl="0" w:tplc="B7641E24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7F2053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D422CD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80BC2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1AC8FB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D8945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10E32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1A0DA8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08BB30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04748B8"/>
    <w:multiLevelType w:val="hybridMultilevel"/>
    <w:tmpl w:val="E362B290"/>
    <w:lvl w:ilvl="0" w:tplc="B770C01E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B4D694">
      <w:start w:val="1"/>
      <w:numFmt w:val="bullet"/>
      <w:lvlText w:val="–"/>
      <w:lvlJc w:val="left"/>
      <w:pPr>
        <w:ind w:left="8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BEB29C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81E2AEE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336233A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866CDA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C8FE12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3EDC2E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E6AD21E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A602B41"/>
    <w:multiLevelType w:val="hybridMultilevel"/>
    <w:tmpl w:val="38FA1978"/>
    <w:lvl w:ilvl="0" w:tplc="7BD650F6">
      <w:start w:val="1"/>
      <w:numFmt w:val="bullet"/>
      <w:lvlText w:val="•"/>
      <w:lvlJc w:val="left"/>
      <w:pPr>
        <w:ind w:left="14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2AE6562">
      <w:start w:val="1"/>
      <w:numFmt w:val="bullet"/>
      <w:lvlText w:val="o"/>
      <w:lvlJc w:val="left"/>
      <w:pPr>
        <w:ind w:left="20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F4C034">
      <w:start w:val="1"/>
      <w:numFmt w:val="bullet"/>
      <w:lvlText w:val="▪"/>
      <w:lvlJc w:val="left"/>
      <w:pPr>
        <w:ind w:left="27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D84666">
      <w:start w:val="1"/>
      <w:numFmt w:val="bullet"/>
      <w:lvlText w:val="•"/>
      <w:lvlJc w:val="left"/>
      <w:pPr>
        <w:ind w:left="34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E4E558">
      <w:start w:val="1"/>
      <w:numFmt w:val="bullet"/>
      <w:lvlText w:val="o"/>
      <w:lvlJc w:val="left"/>
      <w:pPr>
        <w:ind w:left="42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C4E5E58">
      <w:start w:val="1"/>
      <w:numFmt w:val="bullet"/>
      <w:lvlText w:val="▪"/>
      <w:lvlJc w:val="left"/>
      <w:pPr>
        <w:ind w:left="49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04C3CA">
      <w:start w:val="1"/>
      <w:numFmt w:val="bullet"/>
      <w:lvlText w:val="•"/>
      <w:lvlJc w:val="left"/>
      <w:pPr>
        <w:ind w:left="56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28CFDC6">
      <w:start w:val="1"/>
      <w:numFmt w:val="bullet"/>
      <w:lvlText w:val="o"/>
      <w:lvlJc w:val="left"/>
      <w:pPr>
        <w:ind w:left="63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07A942A">
      <w:start w:val="1"/>
      <w:numFmt w:val="bullet"/>
      <w:lvlText w:val="▪"/>
      <w:lvlJc w:val="left"/>
      <w:pPr>
        <w:ind w:left="70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C8A4540"/>
    <w:multiLevelType w:val="hybridMultilevel"/>
    <w:tmpl w:val="D0B654F8"/>
    <w:lvl w:ilvl="0" w:tplc="18B8D466">
      <w:start w:val="1"/>
      <w:numFmt w:val="decimal"/>
      <w:lvlText w:val="%1."/>
      <w:lvlJc w:val="left"/>
      <w:pPr>
        <w:ind w:left="7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FE2F86">
      <w:start w:val="1"/>
      <w:numFmt w:val="lowerLetter"/>
      <w:lvlText w:val="%2"/>
      <w:lvlJc w:val="left"/>
      <w:pPr>
        <w:ind w:left="1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8824E0A">
      <w:start w:val="1"/>
      <w:numFmt w:val="lowerRoman"/>
      <w:lvlText w:val="%3"/>
      <w:lvlJc w:val="left"/>
      <w:pPr>
        <w:ind w:left="1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EC7C26">
      <w:start w:val="1"/>
      <w:numFmt w:val="decimal"/>
      <w:lvlText w:val="%4"/>
      <w:lvlJc w:val="left"/>
      <w:pPr>
        <w:ind w:left="2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F87354">
      <w:start w:val="1"/>
      <w:numFmt w:val="lowerLetter"/>
      <w:lvlText w:val="%5"/>
      <w:lvlJc w:val="left"/>
      <w:pPr>
        <w:ind w:left="3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72CBCCA">
      <w:start w:val="1"/>
      <w:numFmt w:val="lowerRoman"/>
      <w:lvlText w:val="%6"/>
      <w:lvlJc w:val="left"/>
      <w:pPr>
        <w:ind w:left="4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16E4446">
      <w:start w:val="1"/>
      <w:numFmt w:val="decimal"/>
      <w:lvlText w:val="%7"/>
      <w:lvlJc w:val="left"/>
      <w:pPr>
        <w:ind w:left="4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3EF984">
      <w:start w:val="1"/>
      <w:numFmt w:val="lowerLetter"/>
      <w:lvlText w:val="%8"/>
      <w:lvlJc w:val="left"/>
      <w:pPr>
        <w:ind w:left="5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A4EB43E">
      <w:start w:val="1"/>
      <w:numFmt w:val="lowerRoman"/>
      <w:lvlText w:val="%9"/>
      <w:lvlJc w:val="left"/>
      <w:pPr>
        <w:ind w:left="6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BAC39E5"/>
    <w:multiLevelType w:val="hybridMultilevel"/>
    <w:tmpl w:val="AEFED376"/>
    <w:lvl w:ilvl="0" w:tplc="0340EEAE">
      <w:start w:val="1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D6588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20E6916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388A9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8F083B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0EE1A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0659FE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1A329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054313C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306428F"/>
    <w:multiLevelType w:val="hybridMultilevel"/>
    <w:tmpl w:val="37BEEFF6"/>
    <w:lvl w:ilvl="0" w:tplc="504E3E28">
      <w:start w:val="1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C7AC796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24EF6E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E6EB2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352AD3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CC3CBC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F6FC8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808D1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D05332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5393D77"/>
    <w:multiLevelType w:val="multilevel"/>
    <w:tmpl w:val="9C1ECE3A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5"/>
      <w:numFmt w:val="decimal"/>
      <w:lvlText w:val="%1.%2"/>
      <w:lvlJc w:val="left"/>
      <w:pPr>
        <w:ind w:left="7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ADF702C"/>
    <w:multiLevelType w:val="hybridMultilevel"/>
    <w:tmpl w:val="4DEA6EEC"/>
    <w:lvl w:ilvl="0" w:tplc="C95E9F7A">
      <w:start w:val="1"/>
      <w:numFmt w:val="decimal"/>
      <w:lvlText w:val="%1."/>
      <w:lvlJc w:val="left"/>
      <w:pPr>
        <w:ind w:left="7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5E8B81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420644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AA2AB6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42A9FC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7CFDB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94BE6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5EC956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CC0767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C770F92"/>
    <w:multiLevelType w:val="hybridMultilevel"/>
    <w:tmpl w:val="FA54313A"/>
    <w:lvl w:ilvl="0" w:tplc="D50EF106">
      <w:start w:val="1"/>
      <w:numFmt w:val="bullet"/>
      <w:lvlText w:val="•"/>
      <w:lvlJc w:val="left"/>
      <w:pPr>
        <w:ind w:left="707"/>
      </w:pPr>
      <w:rPr>
        <w:rFonts w:ascii="Arial" w:eastAsia="Arial" w:hAnsi="Arial" w:cs="Aria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E1C097E">
      <w:start w:val="1"/>
      <w:numFmt w:val="bullet"/>
      <w:lvlText w:val="o"/>
      <w:lvlJc w:val="left"/>
      <w:pPr>
        <w:ind w:left="14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FF2440E">
      <w:start w:val="1"/>
      <w:numFmt w:val="bullet"/>
      <w:lvlText w:val="▪"/>
      <w:lvlJc w:val="left"/>
      <w:pPr>
        <w:ind w:left="21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58C4E28">
      <w:start w:val="1"/>
      <w:numFmt w:val="bullet"/>
      <w:lvlText w:val="•"/>
      <w:lvlJc w:val="left"/>
      <w:pPr>
        <w:ind w:left="2882"/>
      </w:pPr>
      <w:rPr>
        <w:rFonts w:ascii="Arial" w:eastAsia="Arial" w:hAnsi="Arial" w:cs="Aria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2D2673E">
      <w:start w:val="1"/>
      <w:numFmt w:val="bullet"/>
      <w:lvlText w:val="o"/>
      <w:lvlJc w:val="left"/>
      <w:pPr>
        <w:ind w:left="36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8CCA3C4">
      <w:start w:val="1"/>
      <w:numFmt w:val="bullet"/>
      <w:lvlText w:val="▪"/>
      <w:lvlJc w:val="left"/>
      <w:pPr>
        <w:ind w:left="43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AD271E2">
      <w:start w:val="1"/>
      <w:numFmt w:val="bullet"/>
      <w:lvlText w:val="•"/>
      <w:lvlJc w:val="left"/>
      <w:pPr>
        <w:ind w:left="5042"/>
      </w:pPr>
      <w:rPr>
        <w:rFonts w:ascii="Arial" w:eastAsia="Arial" w:hAnsi="Arial" w:cs="Aria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01816DC">
      <w:start w:val="1"/>
      <w:numFmt w:val="bullet"/>
      <w:lvlText w:val="o"/>
      <w:lvlJc w:val="left"/>
      <w:pPr>
        <w:ind w:left="57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664FA9E">
      <w:start w:val="1"/>
      <w:numFmt w:val="bullet"/>
      <w:lvlText w:val="▪"/>
      <w:lvlJc w:val="left"/>
      <w:pPr>
        <w:ind w:left="64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333333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C92268E"/>
    <w:multiLevelType w:val="hybridMultilevel"/>
    <w:tmpl w:val="81309B22"/>
    <w:lvl w:ilvl="0" w:tplc="D4FC883C">
      <w:start w:val="2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80826C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E7A596E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ACD104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1C447C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E4CF274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C6206D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62C95A2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764686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2F35CB3"/>
    <w:multiLevelType w:val="hybridMultilevel"/>
    <w:tmpl w:val="35F2DDF8"/>
    <w:lvl w:ilvl="0" w:tplc="385EEA5E">
      <w:start w:val="1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F8114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12EB0B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DFCCA7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0E576E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DA150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952849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2F8524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6B82D6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8D46071"/>
    <w:multiLevelType w:val="hybridMultilevel"/>
    <w:tmpl w:val="568CB16A"/>
    <w:lvl w:ilvl="0" w:tplc="B1546D7E">
      <w:start w:val="1"/>
      <w:numFmt w:val="decimal"/>
      <w:lvlText w:val="%1."/>
      <w:lvlJc w:val="left"/>
      <w:pPr>
        <w:ind w:left="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90685A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A844D8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A2BD7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1048FAA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0CF07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44AE6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720C52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15C48A8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CF1249E"/>
    <w:multiLevelType w:val="hybridMultilevel"/>
    <w:tmpl w:val="10AE6280"/>
    <w:lvl w:ilvl="0" w:tplc="1FD2470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438BB7C">
      <w:start w:val="1"/>
      <w:numFmt w:val="lowerLetter"/>
      <w:lvlText w:val="%2"/>
      <w:lvlJc w:val="left"/>
      <w:pPr>
        <w:ind w:left="6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16A7734">
      <w:start w:val="4"/>
      <w:numFmt w:val="decimal"/>
      <w:lvlRestart w:val="0"/>
      <w:lvlText w:val="%3."/>
      <w:lvlJc w:val="left"/>
      <w:pPr>
        <w:ind w:left="105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2A4071C">
      <w:start w:val="1"/>
      <w:numFmt w:val="decimal"/>
      <w:lvlText w:val="%4"/>
      <w:lvlJc w:val="left"/>
      <w:pPr>
        <w:ind w:left="17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1FEC452">
      <w:start w:val="1"/>
      <w:numFmt w:val="lowerLetter"/>
      <w:lvlText w:val="%5"/>
      <w:lvlJc w:val="left"/>
      <w:pPr>
        <w:ind w:left="24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E5E2592">
      <w:start w:val="1"/>
      <w:numFmt w:val="lowerRoman"/>
      <w:lvlText w:val="%6"/>
      <w:lvlJc w:val="left"/>
      <w:pPr>
        <w:ind w:left="31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CA6ABCE">
      <w:start w:val="1"/>
      <w:numFmt w:val="decimal"/>
      <w:lvlText w:val="%7"/>
      <w:lvlJc w:val="left"/>
      <w:pPr>
        <w:ind w:left="39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AAED854">
      <w:start w:val="1"/>
      <w:numFmt w:val="lowerLetter"/>
      <w:lvlText w:val="%8"/>
      <w:lvlJc w:val="left"/>
      <w:pPr>
        <w:ind w:left="46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5F8841E">
      <w:start w:val="1"/>
      <w:numFmt w:val="lowerRoman"/>
      <w:lvlText w:val="%9"/>
      <w:lvlJc w:val="left"/>
      <w:pPr>
        <w:ind w:left="53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30C6F12"/>
    <w:multiLevelType w:val="hybridMultilevel"/>
    <w:tmpl w:val="915E5224"/>
    <w:lvl w:ilvl="0" w:tplc="C4E28846">
      <w:start w:val="1"/>
      <w:numFmt w:val="bullet"/>
      <w:lvlText w:val="•"/>
      <w:lvlJc w:val="left"/>
      <w:pPr>
        <w:ind w:left="7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366302">
      <w:start w:val="1"/>
      <w:numFmt w:val="bullet"/>
      <w:lvlText w:val="–"/>
      <w:lvlJc w:val="left"/>
      <w:pPr>
        <w:ind w:left="87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36B796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606401E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A1C85D0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F2A7E0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56B5E8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958704C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C2CC12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5"/>
  </w:num>
  <w:num w:numId="3">
    <w:abstractNumId w:val="7"/>
  </w:num>
  <w:num w:numId="4">
    <w:abstractNumId w:val="11"/>
  </w:num>
  <w:num w:numId="5">
    <w:abstractNumId w:val="16"/>
  </w:num>
  <w:num w:numId="6">
    <w:abstractNumId w:val="14"/>
  </w:num>
  <w:num w:numId="7">
    <w:abstractNumId w:val="2"/>
  </w:num>
  <w:num w:numId="8">
    <w:abstractNumId w:val="19"/>
  </w:num>
  <w:num w:numId="9">
    <w:abstractNumId w:val="13"/>
  </w:num>
  <w:num w:numId="10">
    <w:abstractNumId w:val="6"/>
  </w:num>
  <w:num w:numId="11">
    <w:abstractNumId w:val="8"/>
  </w:num>
  <w:num w:numId="12">
    <w:abstractNumId w:val="5"/>
  </w:num>
  <w:num w:numId="13">
    <w:abstractNumId w:val="1"/>
  </w:num>
  <w:num w:numId="14">
    <w:abstractNumId w:val="10"/>
  </w:num>
  <w:num w:numId="15">
    <w:abstractNumId w:val="9"/>
  </w:num>
  <w:num w:numId="16">
    <w:abstractNumId w:val="21"/>
  </w:num>
  <w:num w:numId="17">
    <w:abstractNumId w:val="22"/>
  </w:num>
  <w:num w:numId="18">
    <w:abstractNumId w:val="12"/>
  </w:num>
  <w:num w:numId="19">
    <w:abstractNumId w:val="3"/>
  </w:num>
  <w:num w:numId="20">
    <w:abstractNumId w:val="20"/>
  </w:num>
  <w:num w:numId="21">
    <w:abstractNumId w:val="18"/>
  </w:num>
  <w:num w:numId="22">
    <w:abstractNumId w:val="4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1A75"/>
    <w:rsid w:val="001E759B"/>
    <w:rsid w:val="00981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F0414465-523C-4839-A96F-D097AFA9C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4" w:line="266" w:lineRule="auto"/>
      <w:ind w:left="167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54"/>
      <w:ind w:left="720" w:hanging="10"/>
      <w:jc w:val="both"/>
      <w:outlineLvl w:val="1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54"/>
      <w:ind w:left="720" w:hanging="10"/>
      <w:jc w:val="both"/>
      <w:outlineLvl w:val="2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mj.ru/articles/oftalmologiya/Vozmoghnosti_kompleksnogo_lecheniya_stenozov_nososleznogo_protoka_u_detey/" TargetMode="External"/><Relationship Id="rId13" Type="http://schemas.openxmlformats.org/officeDocument/2006/relationships/image" Target="media/image2.pn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://grls.rosminzdrav.ru/" TargetMode="External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openxmlformats.org/officeDocument/2006/relationships/footer" Target="foot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grls.rosminzdrav.ru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s://www.rmj.ru/articles/oftalmologiya/Vozmoghnosti_kompleksnogo_lecheniya_stenozov_nososleznogo_protoka_u_detey/" TargetMode="External"/><Relationship Id="rId19" Type="http://schemas.openxmlformats.org/officeDocument/2006/relationships/footer" Target="footer5.xml"/><Relationship Id="rId4" Type="http://schemas.openxmlformats.org/officeDocument/2006/relationships/webSettings" Target="webSettings.xml"/><Relationship Id="rId9" Type="http://schemas.openxmlformats.org/officeDocument/2006/relationships/hyperlink" Target="https://www.rmj.ru/articles/oftalmologiya/Vozmoghnosti_kompleksnogo_lecheniya_stenozov_nososleznogo_protoka_u_detey/" TargetMode="Externa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10758</Words>
  <Characters>61327</Characters>
  <Application>Microsoft Office Word</Application>
  <DocSecurity>4</DocSecurity>
  <Lines>511</Lines>
  <Paragraphs>143</Paragraphs>
  <ScaleCrop>false</ScaleCrop>
  <Company/>
  <LinksUpToDate>false</LinksUpToDate>
  <CharactersWithSpaces>71942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2025-12-23T13:32:00Z</dcterms:created>
  <dcterms:modified xsi:type="dcterms:W3CDTF">2025-12-23T13:32:00Z</dcterms:modified>
</cp:coreProperties>
</file>